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100"/>
        <w:jc w:val="center"/>
      </w:pPr>
      <w:r>
        <w:rPr>
          <w:rFonts w:ascii="Georgia" w:cs="Georgia" w:eastAsia="Georgia" w:hAnsi="Georgia"/>
          <w:b/>
          <w:bCs/>
          <w:color w:val="232A1E"/>
          <w:sz w:val="72"/>
          <w:szCs w:val="72"/>
        </w:rPr>
        <w:t xml:space="preserve">O-LIVE</w:t>
      </w:r>
    </w:p>
    <w:p>
      <w:pPr>
        <w:spacing w:after="150"/>
        <w:jc w:val="center"/>
      </w:pPr>
      <w:r>
        <w:rPr>
          <w:rFonts w:ascii="Georgia" w:cs="Georgia" w:eastAsia="Georgia" w:hAnsi="Georgia"/>
          <w:color w:val="5C6B3C"/>
          <w:sz w:val="38"/>
          <w:szCs w:val="38"/>
        </w:rPr>
        <w:t xml:space="preserve">Spécification produit v2 — post-audit</w:t>
      </w:r>
    </w:p>
    <w:p>
      <w:pPr>
        <w:spacing w:after="110"/>
        <w:jc w:val="center"/>
      </w:pPr>
      <w:r>
        <w:rPr>
          <w:color w:val="232A1E"/>
          <w:sz w:val="22"/>
          <w:szCs w:val="22"/>
        </w:rPr>
        <w:t xml:space="preserve">Réconciliée contre le code réel · Phase 0 exécutée et franchie · Remplace la v1.1</w:t>
      </w:r>
    </w:p>
    <w:p>
      <w:pPr>
        <w:spacing w:after="2200"/>
        <w:jc w:val="center"/>
      </w:pPr>
      <w:r>
        <w:rPr>
          <w:color w:val="666666"/>
          <w:sz w:val="20"/>
          <w:szCs w:val="20"/>
        </w:rPr>
        <w:t xml:space="preserve">Version 2.0 — Août 2026 — Ali Gharsallah — Confidentiel</w:t>
      </w:r>
    </w:p>
    <w:p>
      <w:pPr>
        <w:jc w:val="center"/>
      </w:pPr>
      <w:r>
        <w:rPr>
          <w:i/>
          <w:iCs/>
          <w:color w:val="666666"/>
          <w:sz w:val="18"/>
          <w:szCs w:val="18"/>
        </w:rPr>
        <w:t xml:space="preserve">Fondée sur les livrables Phase 0 exécutés sur le dépôt : AUDIT.md, RULES_INVENTORY.md, TEST_AUDIT.md, GAP_ANALYSIS.md, EFFORT_REVISION.md, ADR-TM-001 (Option C), ADR-PEP-001 (Option C). Principe : « le repo fait foi ». Les sections construction de la v1.1 restent la référence de contenu pour ce qui demeure à bâtir ; la présente v2 dit ce qui existe, ce qui s'étend, ce qui se construit, et dans quel ordre.</w:t>
      </w:r>
    </w:p>
    <w:p>
      <w:r>
        <w:br w:type="page"/>
      </w:r>
    </w:p>
    <w:p>
      <w:pPr>
        <w:pStyle w:val="Heading1"/>
      </w:pPr>
      <w:r>
        <w:rPr>
          <w:color w:val="232A1E"/>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b w:val="false"/>
          <w:bCs w:val="false"/>
          <w:i w:val="false"/>
          <w:iCs w:val="false"/>
          <w:color w:val="232A1E"/>
        </w:rPr>
        <w:t xml:space="preserve">1. Ce que la Phase 0 a changé</w:t>
      </w:r>
    </w:p>
    <w:p>
      <w:pPr>
        <w:spacing w:after="100" w:line="262"/>
        <w:jc w:val="both"/>
      </w:pPr>
      <w:r>
        <w:rPr>
          <w:b w:val="false"/>
          <w:bCs w:val="false"/>
          <w:i w:val="false"/>
          <w:iCs w:val="false"/>
        </w:rPr>
        <w:t xml:space="preserve">La Phase 0 a fait son travail : elle a invalidé des prémisses fondatrices des documents précédents. Cette v2 acte les corrections. Règle de lecture : en cas de divergence entre un document et le code, </w:t>
      </w:r>
      <w:r>
        <w:rPr>
          <w:b/>
          <w:bCs/>
          <w:i w:val="false"/>
          <w:iCs w:val="false"/>
        </w:rPr>
        <w:t xml:space="preserve">le repo fait foi</w:t>
      </w:r>
      <w:r>
        <w:rPr>
          <w:b w:val="false"/>
          <w:bCs w:val="false"/>
          <w:i w:val="false"/>
          <w:iCs w:val="false"/>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00"/>
      </w:tblGrid>
      <w:tr>
        <w:trPr>
          <w:tblHeader/>
        </w:trPr>
        <w:tc>
          <w:tcPr>
            <w:tcW w:type="dxa" w:w="29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Prémisse v1.1</w:t>
            </w:r>
          </w:p>
        </w:tc>
        <w:tc>
          <w:tcPr>
            <w:tcW w:type="dxa" w:w="33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Réalité constatée (preuve)</w:t>
            </w:r>
          </w:p>
        </w:tc>
        <w:tc>
          <w:tcPr>
            <w:tcW w:type="dxa" w:w="28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Conséquence</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Moteur KYC event-sourcé Python, ~64 tests, R1–R51</w:t>
            </w:r>
          </w:p>
        </w:tc>
        <w:tc>
          <w:tcPr>
            <w:tcW w:type="dxa" w:w="3300"/>
            <w:tcMar>
              <w:top w:type="dxa" w:w="45"/>
              <w:left w:type="dxa" w:w="85"/>
              <w:bottom w:type="dxa" w:w="45"/>
              <w:right w:type="dxa" w:w="85"/>
            </w:tcMar>
          </w:tcPr>
          <w:p>
            <w:pPr>
              <w:spacing w:after="0" w:line="236"/>
            </w:pPr>
            <w:r>
              <w:rPr>
                <w:b w:val="false"/>
                <w:bCs w:val="false"/>
                <w:i w:val="false"/>
                <w:iCs w:val="false"/>
                <w:sz w:val="17"/>
                <w:szCs w:val="17"/>
              </w:rPr>
              <w:t xml:space="preserve">Système polyglotte : moteur workflow </w:t>
            </w:r>
            <w:r>
              <w:rPr>
                <w:b/>
                <w:bCs/>
                <w:i w:val="false"/>
                <w:iCs w:val="false"/>
                <w:sz w:val="17"/>
                <w:szCs w:val="17"/>
              </w:rPr>
              <w:t xml:space="preserve">TypeScript/NestJS</w:t>
            </w:r>
            <w:r>
              <w:rPr>
                <w:b w:val="false"/>
                <w:bCs w:val="false"/>
                <w:i w:val="false"/>
                <w:iCs w:val="false"/>
                <w:sz w:val="17"/>
                <w:szCs w:val="17"/>
              </w:rPr>
              <w:t xml:space="preserve"> (~50 modules, 525 its), moteur </w:t>
            </w:r>
            <w:r>
              <w:rPr>
                <w:b/>
                <w:bCs/>
                <w:i w:val="false"/>
                <w:iCs w:val="false"/>
                <w:sz w:val="17"/>
                <w:szCs w:val="17"/>
              </w:rPr>
              <w:t xml:space="preserve">CPSI Python</w:t>
            </w:r>
            <w:r>
              <w:rPr>
                <w:b w:val="false"/>
                <w:bCs w:val="false"/>
                <w:i w:val="false"/>
                <w:iCs w:val="false"/>
                <w:sz w:val="17"/>
                <w:szCs w:val="17"/>
              </w:rPr>
              <w:t xml:space="preserve"> de scoring perpétuel (117 tests), workflow-engine-py, package screening-engine, front web — </w:t>
            </w:r>
            <w:r>
              <w:rPr>
                <w:b/>
                <w:bCs/>
                <w:i w:val="false"/>
                <w:iCs w:val="false"/>
                <w:sz w:val="17"/>
                <w:szCs w:val="17"/>
              </w:rPr>
              <w:t xml:space="preserve">1'400+ cas</w:t>
            </w:r>
            <w:r>
              <w:rPr>
                <w:b w:val="false"/>
                <w:bCs w:val="false"/>
                <w:i w:val="false"/>
                <w:iCs w:val="false"/>
                <w:sz w:val="17"/>
                <w:szCs w:val="17"/>
              </w:rPr>
              <w:t xml:space="preserve">, namespace </w:t>
            </w:r>
            <w:r>
              <w:rPr>
                <w:b/>
                <w:bCs/>
                <w:i w:val="false"/>
                <w:iCs w:val="false"/>
                <w:sz w:val="17"/>
                <w:szCs w:val="17"/>
              </w:rPr>
              <w:t xml:space="preserve">R1→R417</w:t>
            </w:r>
          </w:p>
        </w:tc>
        <w:tc>
          <w:tcPr>
            <w:tcW w:type="dxa" w:w="2800"/>
            <w:tcMar>
              <w:top w:type="dxa" w:w="45"/>
              <w:left w:type="dxa" w:w="85"/>
              <w:bottom w:type="dxa" w:w="45"/>
              <w:right w:type="dxa" w:w="85"/>
            </w:tcMar>
          </w:tcPr>
          <w:p>
            <w:pPr>
              <w:spacing w:after="0" w:line="236"/>
            </w:pPr>
            <w:r>
              <w:rPr>
                <w:b w:val="false"/>
                <w:bCs w:val="false"/>
                <w:i w:val="false"/>
                <w:iCs w:val="false"/>
                <w:sz w:val="17"/>
                <w:szCs w:val="17"/>
              </w:rPr>
              <w:t xml:space="preserve">Le travail dominant n'est plus la construction mais l'</w:t>
            </w:r>
            <w:r>
              <w:rPr>
                <w:b/>
                <w:bCs/>
                <w:i w:val="false"/>
                <w:iCs w:val="false"/>
                <w:sz w:val="17"/>
                <w:szCs w:val="17"/>
              </w:rPr>
              <w:t xml:space="preserve">extension et le durcissement</w:t>
            </w:r>
            <w:r>
              <w:rPr>
                <w:b w:val="false"/>
                <w:bCs w:val="false"/>
                <w:i w:val="false"/>
                <w:iCs w:val="false"/>
                <w:sz w:val="17"/>
                <w:szCs w:val="17"/>
              </w:rPr>
              <w:t xml:space="preserve"> ; les prompts sont réécrits pour TS/NestJS</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Event sourcing = différenciateur structurel</w:t>
            </w:r>
          </w:p>
        </w:tc>
        <w:tc>
          <w:tcPr>
            <w:tcW w:type="dxa" w:w="3300"/>
            <w:tcMar>
              <w:top w:type="dxa" w:w="45"/>
              <w:left w:type="dxa" w:w="85"/>
              <w:bottom w:type="dxa" w:w="45"/>
              <w:right w:type="dxa" w:w="85"/>
            </w:tcMar>
          </w:tcPr>
          <w:p>
            <w:pPr>
              <w:spacing w:after="0" w:line="236"/>
            </w:pPr>
            <w:r>
              <w:rPr>
                <w:b w:val="false"/>
                <w:bCs w:val="false"/>
                <w:i w:val="false"/>
                <w:iCs w:val="false"/>
                <w:sz w:val="17"/>
                <w:szCs w:val="17"/>
              </w:rPr>
              <w:t xml:space="preserve">« O-Live est </w:t>
            </w:r>
            <w:r>
              <w:rPr>
                <w:b/>
                <w:bCs/>
                <w:i w:val="false"/>
                <w:iCs w:val="false"/>
                <w:sz w:val="17"/>
                <w:szCs w:val="17"/>
              </w:rPr>
              <w:t xml:space="preserve">CRUD-primaire</w:t>
            </w:r>
            <w:r>
              <w:rPr>
                <w:b w:val="false"/>
                <w:bCs w:val="false"/>
                <w:i w:val="false"/>
                <w:iCs w:val="false"/>
                <w:sz w:val="17"/>
                <w:szCs w:val="17"/>
              </w:rPr>
              <w:t xml:space="preserve"> (pas event-sourcé) » (optimistic-lock.ts:4-8) ; journal domain_events </w:t>
            </w:r>
            <w:r>
              <w:rPr>
                <w:b/>
                <w:bCs/>
                <w:i w:val="false"/>
                <w:iCs w:val="false"/>
                <w:sz w:val="17"/>
                <w:szCs w:val="17"/>
              </w:rPr>
              <w:t xml:space="preserve">append-only en parallèle</w:t>
            </w:r>
            <w:r>
              <w:rPr>
                <w:b w:val="false"/>
                <w:bCs w:val="false"/>
                <w:i w:val="false"/>
                <w:iCs w:val="false"/>
                <w:sz w:val="17"/>
                <w:szCs w:val="17"/>
              </w:rPr>
              <w:t xml:space="preserve">, upcasting à la lecture, rejeu à date limité (etatADate)</w:t>
            </w:r>
          </w:p>
        </w:tc>
        <w:tc>
          <w:tcPr>
            <w:tcW w:type="dxa" w:w="2800"/>
            <w:tcMar>
              <w:top w:type="dxa" w:w="45"/>
              <w:left w:type="dxa" w:w="85"/>
              <w:bottom w:type="dxa" w:w="45"/>
              <w:right w:type="dxa" w:w="85"/>
            </w:tcMar>
          </w:tcPr>
          <w:p>
            <w:pPr>
              <w:spacing w:after="0" w:line="236"/>
            </w:pPr>
            <w:r>
              <w:rPr>
                <w:b w:val="false"/>
                <w:bCs w:val="false"/>
                <w:i w:val="false"/>
                <w:iCs w:val="false"/>
                <w:sz w:val="17"/>
                <w:szCs w:val="17"/>
              </w:rPr>
              <w:t xml:space="preserve">Pitch reformulé (section 3) ; </w:t>
            </w:r>
            <w:r>
              <w:rPr>
                <w:b/>
                <w:bCs/>
                <w:i w:val="false"/>
                <w:iCs w:val="false"/>
                <w:sz w:val="17"/>
                <w:szCs w:val="17"/>
              </w:rPr>
              <w:t xml:space="preserve">interdiction de dire « event sourcing » en démo</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Screening à construire (module B)</w:t>
            </w:r>
          </w:p>
        </w:tc>
        <w:tc>
          <w:tcPr>
            <w:tcW w:type="dxa" w:w="3300"/>
            <w:tcMar>
              <w:top w:type="dxa" w:w="45"/>
              <w:left w:type="dxa" w:w="85"/>
              <w:bottom w:type="dxa" w:w="45"/>
              <w:right w:type="dxa" w:w="85"/>
            </w:tcMar>
          </w:tcPr>
          <w:p>
            <w:pPr>
              <w:spacing w:after="0" w:line="236"/>
            </w:pPr>
            <w:r>
              <w:rPr>
                <w:b w:val="false"/>
                <w:bCs w:val="false"/>
                <w:i w:val="false"/>
                <w:iCs w:val="false"/>
                <w:sz w:val="17"/>
                <w:szCs w:val="17"/>
              </w:rPr>
              <w:t xml:space="preserve">Moteur fin </w:t>
            </w:r>
            <w:r>
              <w:rPr>
                <w:b/>
                <w:bCs/>
                <w:i w:val="false"/>
                <w:iCs w:val="false"/>
                <w:sz w:val="17"/>
                <w:szCs w:val="17"/>
              </w:rPr>
              <w:t xml:space="preserve">construit et branché</w:t>
            </w:r>
            <w:r>
              <w:rPr>
                <w:b w:val="false"/>
                <w:bCs w:val="false"/>
                <w:i w:val="false"/>
                <w:iCs w:val="false"/>
                <w:sz w:val="17"/>
                <w:szCs w:val="17"/>
              </w:rPr>
              <w:t xml:space="preserve"> : packages/screening-engine (JW + IDF + blocking trigramme + Double Metaphone R416), golden set 127 cas asserté en CI (rappel ≥ 0.90, précision ≥ 0.95), rejeu fidèle à config persistée (R48/R49)</w:t>
            </w:r>
          </w:p>
        </w:tc>
        <w:tc>
          <w:tcPr>
            <w:tcW w:type="dxa" w:w="2800"/>
            <w:tcMar>
              <w:top w:type="dxa" w:w="45"/>
              <w:left w:type="dxa" w:w="85"/>
              <w:bottom w:type="dxa" w:w="45"/>
              <w:right w:type="dxa" w:w="85"/>
            </w:tcMar>
          </w:tcPr>
          <w:p>
            <w:pPr>
              <w:spacing w:after="0" w:line="236"/>
            </w:pPr>
            <w:r>
              <w:rPr>
                <w:b w:val="false"/>
                <w:bCs w:val="false"/>
                <w:i w:val="false"/>
                <w:iCs w:val="false"/>
                <w:sz w:val="17"/>
                <w:szCs w:val="17"/>
              </w:rPr>
              <w:t xml:space="preserve">Module B se réduit à 3 chantiers : translittération non-latine, ingestion de listes réelles, front branché sur le vrai moteur</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TM, MROS, case management à construire (modules C, D)</w:t>
            </w:r>
          </w:p>
        </w:tc>
        <w:tc>
          <w:tcPr>
            <w:tcW w:type="dxa" w:w="3300"/>
            <w:tcMar>
              <w:top w:type="dxa" w:w="45"/>
              <w:left w:type="dxa" w:w="85"/>
              <w:bottom w:type="dxa" w:w="45"/>
              <w:right w:type="dxa" w:w="85"/>
            </w:tcMar>
          </w:tcPr>
          <w:p>
            <w:pPr>
              <w:spacing w:after="0" w:line="236"/>
            </w:pPr>
            <w:r>
              <w:rPr>
                <w:b w:val="false"/>
                <w:bCs w:val="false"/>
                <w:i w:val="false"/>
                <w:iCs w:val="false"/>
                <w:sz w:val="17"/>
                <w:szCs w:val="17"/>
              </w:rPr>
              <w:t xml:space="preserve">AML 2G (R189–R206), CPSI (R63–R86), MROS art. 9a, riskcases LoD1/LoD2, gel des visas sur hit (R46), whitelist gouvernée, SWIFT (R300) </w:t>
            </w:r>
            <w:r>
              <w:rPr>
                <w:b/>
                <w:bCs/>
                <w:i w:val="false"/>
                <w:iCs w:val="false"/>
                <w:sz w:val="17"/>
                <w:szCs w:val="17"/>
              </w:rPr>
              <w:t xml:space="preserve">existent</w:t>
            </w:r>
          </w:p>
        </w:tc>
        <w:tc>
          <w:tcPr>
            <w:tcW w:type="dxa" w:w="2800"/>
            <w:tcMar>
              <w:top w:type="dxa" w:w="45"/>
              <w:left w:type="dxa" w:w="85"/>
              <w:bottom w:type="dxa" w:w="45"/>
              <w:right w:type="dxa" w:w="85"/>
            </w:tcMar>
          </w:tcPr>
          <w:p>
            <w:pPr>
              <w:spacing w:after="0" w:line="236"/>
            </w:pPr>
            <w:r>
              <w:rPr>
                <w:b w:val="false"/>
                <w:bCs w:val="false"/>
                <w:i w:val="false"/>
                <w:iCs w:val="false"/>
                <w:sz w:val="17"/>
                <w:szCs w:val="17"/>
              </w:rPr>
              <w:t xml:space="preserve">Modules C/D deviennent des lots de fiabilisation et de complétion ciblée (section 6)</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OLIVIA à concevoir</w:t>
            </w:r>
          </w:p>
        </w:tc>
        <w:tc>
          <w:tcPr>
            <w:tcW w:type="dxa" w:w="3300"/>
            <w:tcMar>
              <w:top w:type="dxa" w:w="45"/>
              <w:left w:type="dxa" w:w="85"/>
              <w:bottom w:type="dxa" w:w="45"/>
              <w:right w:type="dxa" w:w="85"/>
            </w:tcMar>
          </w:tcPr>
          <w:p>
            <w:pPr>
              <w:spacing w:after="0" w:line="236"/>
            </w:pPr>
            <w:r>
              <w:rPr>
                <w:b w:val="false"/>
                <w:bCs w:val="false"/>
                <w:i w:val="false"/>
                <w:iCs w:val="false"/>
                <w:sz w:val="17"/>
                <w:szCs w:val="17"/>
              </w:rPr>
              <w:t xml:space="preserve">Module olivia + persona IA avec golden set et suite d'attaque </w:t>
            </w:r>
            <w:r>
              <w:rPr>
                <w:b/>
                <w:bCs/>
                <w:i w:val="false"/>
                <w:iCs w:val="false"/>
                <w:sz w:val="17"/>
                <w:szCs w:val="17"/>
              </w:rPr>
              <w:t xml:space="preserve">existent</w:t>
            </w:r>
            <w:r>
              <w:rPr>
                <w:b w:val="false"/>
                <w:bCs w:val="false"/>
                <w:i w:val="false"/>
                <w:iCs w:val="false"/>
                <w:sz w:val="17"/>
                <w:szCs w:val="17"/>
              </w:rPr>
              <w:t xml:space="preserve"> ; principe R44 (« l'IA analyse, l'humain décide ») câblé</w:t>
            </w:r>
          </w:p>
        </w:tc>
        <w:tc>
          <w:tcPr>
            <w:tcW w:type="dxa" w:w="2800"/>
            <w:tcMar>
              <w:top w:type="dxa" w:w="45"/>
              <w:left w:type="dxa" w:w="85"/>
              <w:bottom w:type="dxa" w:w="45"/>
              <w:right w:type="dxa" w:w="85"/>
            </w:tcMar>
          </w:tcPr>
          <w:p>
            <w:pPr>
              <w:spacing w:after="0" w:line="236"/>
            </w:pPr>
            <w:r>
              <w:rPr>
                <w:b w:val="false"/>
                <w:bCs w:val="false"/>
                <w:i w:val="false"/>
                <w:iCs w:val="false"/>
                <w:sz w:val="17"/>
                <w:szCs w:val="17"/>
              </w:rPr>
              <w:t xml:space="preserve">Le chantier OLIVIA devient un chantier de </w:t>
            </w:r>
            <w:r>
              <w:rPr>
                <w:b/>
                <w:bCs/>
                <w:i w:val="false"/>
                <w:iCs w:val="false"/>
                <w:sz w:val="17"/>
                <w:szCs w:val="17"/>
              </w:rPr>
              <w:t xml:space="preserve">packaging commercial</w:t>
            </w:r>
            <w:r>
              <w:rPr>
                <w:b w:val="false"/>
                <w:bCs w:val="false"/>
                <w:i w:val="false"/>
                <w:iCs w:val="false"/>
                <w:sz w:val="17"/>
                <w:szCs w:val="17"/>
              </w:rPr>
              <w:t xml:space="preserve"> (Module O de la v1.1) + rapport de valeur</w:t>
            </w:r>
          </w:p>
        </w:tc>
      </w:tr>
    </w:tbl>
    <w:p>
      <w:pPr>
        <w:pBdr>
          <w:left w:val="single" w:color="5C6B3C" w:sz="18"/>
        </w:pBdr>
        <w:shd w:fill="EEF0EA" w:val="clear"/>
        <w:spacing w:after="130" w:line="262"/>
        <w:ind w:left="160"/>
        <w:jc w:val="both"/>
      </w:pPr>
      <w:r>
        <w:rPr>
          <w:b/>
          <w:bCs/>
          <w:i w:val="false"/>
          <w:iCs w:val="false"/>
        </w:rPr>
        <w:t xml:space="preserve">À re-commiter dans le repo</w:t>
      </w:r>
      <w:r>
        <w:rPr>
          <w:b w:val="false"/>
          <w:bCs w:val="false"/>
          <w:i w:val="false"/>
          <w:iCs w:val="false"/>
        </w:rPr>
        <w:t xml:space="preserve"> : EFFORT_REVISION.md, ADR-TM-001.md, ADR-PEP-001.md et TEST_AUDIT.md sous docs/audit/ et docs/adr/ — ils ont été produits et validés mais ne figurent plus dans les pièces jointes disponibles. Les décisions qu'ils portent sont actées en section 5.</w:t>
      </w:r>
    </w:p>
    <w:p>
      <w:pPr>
        <w:pStyle w:val="Heading1"/>
        <w:spacing w:after="130" w:before="300"/>
      </w:pPr>
      <w:r>
        <w:rPr>
          <w:b w:val="false"/>
          <w:bCs w:val="false"/>
          <w:i w:val="false"/>
          <w:iCs w:val="false"/>
          <w:color w:val="232A1E"/>
        </w:rPr>
        <w:t xml:space="preserve">2. État réel du produit (carte de référence)</w:t>
      </w:r>
    </w:p>
    <w:p>
      <w:pPr>
        <w:pStyle w:val="ListParagraph"/>
        <w:numPr>
          <w:ilvl w:val="0"/>
          <w:numId w:val="2"/>
        </w:numPr>
        <w:spacing w:after="55" w:line="262"/>
        <w:jc w:val="both"/>
      </w:pPr>
      <w:r>
        <w:rPr>
          <w:b/>
          <w:bCs/>
          <w:i w:val="false"/>
          <w:iCs w:val="false"/>
        </w:rPr>
        <w:t xml:space="preserve">Moteur workflow KYC (TS/NestJS, apps/api)</w:t>
      </w:r>
      <w:r>
        <w:rPr>
          <w:b w:val="false"/>
          <w:bCs w:val="false"/>
          <w:i w:val="false"/>
          <w:iCs w:val="false"/>
        </w:rPr>
        <w:t xml:space="preserve"> : agrégat KycFile, visas qualifiés OK/CONDITIONAL/NOK (R86), 4-eyes de section (R13) et final renforcé (R52), handoff phasé ARM→RM→BRM→Compliance→Validation (R85), gel sur hit (R46), machine à états fermée (R16), verrou optimiste avec 409 typé (R53/R336), rejeu à date (R48).</w:t>
      </w:r>
    </w:p>
    <w:p>
      <w:pPr>
        <w:pStyle w:val="ListParagraph"/>
        <w:numPr>
          <w:ilvl w:val="0"/>
          <w:numId w:val="2"/>
        </w:numPr>
        <w:spacing w:after="55" w:line="262"/>
        <w:jc w:val="both"/>
      </w:pPr>
      <w:r>
        <w:rPr>
          <w:b/>
          <w:bCs/>
          <w:i w:val="false"/>
          <w:iCs w:val="false"/>
        </w:rPr>
        <w:t xml:space="preserve">Journal d'événements</w:t>
      </w:r>
      <w:r>
        <w:rPr>
          <w:b w:val="false"/>
          <w:bCs w:val="false"/>
          <w:i w:val="false"/>
          <w:iCs w:val="false"/>
        </w:rPr>
        <w:t xml:space="preserve"> : émission centralisée emitEvent, append-only (R49), outbox worker, projecteur golden record idempotent par diff (R104), upcasting pur à la lecture (R339), colonne event_version.</w:t>
      </w:r>
    </w:p>
    <w:p>
      <w:pPr>
        <w:pStyle w:val="ListParagraph"/>
        <w:numPr>
          <w:ilvl w:val="0"/>
          <w:numId w:val="2"/>
        </w:numPr>
        <w:spacing w:after="55" w:line="262"/>
        <w:jc w:val="both"/>
      </w:pPr>
      <w:r>
        <w:rPr>
          <w:b/>
          <w:bCs/>
          <w:i w:val="false"/>
          <w:iCs w:val="false"/>
        </w:rPr>
        <w:t xml:space="preserve">Screening</w:t>
      </w:r>
      <w:r>
        <w:rPr>
          <w:b w:val="false"/>
          <w:bCs w:val="false"/>
          <w:i w:val="false"/>
          <w:iCs w:val="false"/>
        </w:rPr>
        <w:t xml:space="preserve"> : packages/screening-engine (normalisation, blocking trigramme, JW+IDF, phonétique R416, discriminants DOB/type/nationalité), décomposition de score persistée (R411), config versionnée à date avec override d'appel tracé (R414/R415), rejeu identique|DIVERGENT, gate CI golden 127 cas, escalade </w:t>
      </w:r>
      <w:r>
        <w:rPr>
          <w:b/>
          <w:bCs/>
          <w:i w:val="false"/>
          <w:iCs w:val="false"/>
        </w:rPr>
        <w:t xml:space="preserve">proposée</w:t>
      </w:r>
      <w:r>
        <w:rPr>
          <w:b w:val="false"/>
          <w:bCs w:val="false"/>
          <w:i w:val="false"/>
          <w:iCs w:val="false"/>
        </w:rPr>
        <w:t xml:space="preserve"> par événement (R39/R44).</w:t>
      </w:r>
    </w:p>
    <w:p>
      <w:pPr>
        <w:pStyle w:val="ListParagraph"/>
        <w:numPr>
          <w:ilvl w:val="0"/>
          <w:numId w:val="2"/>
        </w:numPr>
        <w:spacing w:after="55" w:line="262"/>
        <w:jc w:val="both"/>
      </w:pPr>
      <w:r>
        <w:rPr>
          <w:b/>
          <w:bCs/>
          <w:i w:val="false"/>
          <w:iCs w:val="false"/>
        </w:rPr>
        <w:t xml:space="preserve">AML/CPSI</w:t>
      </w:r>
      <w:r>
        <w:rPr>
          <w:b w:val="false"/>
          <w:bCs w:val="false"/>
          <w:i w:val="false"/>
          <w:iCs w:val="false"/>
        </w:rPr>
        <w:t xml:space="preserve"> : scoring AML 2G à fenêtres paramétrées tenant (R189–R206), CPSI Python score perpétuel pur (statique+signaux, half-life, groupes de pairs, 39 attributs typés ATTR_DEFS), propositions jamais effets de bord.</w:t>
      </w:r>
    </w:p>
    <w:p>
      <w:pPr>
        <w:pStyle w:val="ListParagraph"/>
        <w:numPr>
          <w:ilvl w:val="0"/>
          <w:numId w:val="2"/>
        </w:numPr>
        <w:spacing w:after="55" w:line="262"/>
        <w:jc w:val="both"/>
      </w:pPr>
      <w:r>
        <w:rPr>
          <w:b/>
          <w:bCs/>
          <w:i w:val="false"/>
          <w:iCs w:val="false"/>
        </w:rPr>
        <w:t xml:space="preserve">MROS, riskcases, GED/coffre, personnes (bijectivité, PEPisation), PMS/corebanking/custody, paramètres tenant gouvernés (R125–R128), RLS Postgres FORCE sur toutes les tables tenantées.</w:t>
      </w:r>
    </w:p>
    <w:p>
      <w:pPr>
        <w:pStyle w:val="ListParagraph"/>
        <w:numPr>
          <w:ilvl w:val="0"/>
          <w:numId w:val="2"/>
        </w:numPr>
        <w:spacing w:after="55" w:line="262"/>
        <w:jc w:val="both"/>
      </w:pPr>
      <w:r>
        <w:rPr>
          <w:b/>
          <w:bCs/>
          <w:i w:val="false"/>
          <w:iCs w:val="false"/>
        </w:rPr>
        <w:t xml:space="preserve">Dettes majeures constatées</w:t>
      </w:r>
      <w:r>
        <w:rPr>
          <w:b w:val="false"/>
          <w:bCs w:val="false"/>
          <w:i w:val="false"/>
          <w:iCs w:val="false"/>
        </w:rPr>
        <w:t xml:space="preserve"> : runner CPSI faux-vert ; vague R222–R238 non testée (~1'664 lignes) ; bloc61/Analytique 2G hors CI ; front quasi non testé et écran screening à confiance fabriquée par hachage ; IDF module-global (C8) ; namespace R plat sans registre (C5) ; événements sans schéma au write (C6) ; override d'appel prime sur config gouvernée (C7) ; PEP non câblé listes→statut (C4).</w:t>
      </w:r>
    </w:p>
    <w:p>
      <w:pPr>
        <w:pStyle w:val="Heading1"/>
        <w:spacing w:after="130" w:before="300"/>
      </w:pPr>
      <w:r>
        <w:rPr>
          <w:b w:val="false"/>
          <w:bCs w:val="false"/>
          <w:i w:val="false"/>
          <w:iCs w:val="false"/>
          <w:color w:val="232A1E"/>
        </w:rPr>
        <w:t xml:space="preserve">3. Le pitch reformulé — véridique et vendable</w:t>
      </w:r>
    </w:p>
    <w:p>
      <w:pPr>
        <w:spacing w:after="100" w:line="262"/>
        <w:jc w:val="both"/>
      </w:pPr>
      <w:r>
        <w:rPr>
          <w:b w:val="false"/>
          <w:bCs w:val="false"/>
          <w:i w:val="false"/>
          <w:iCs w:val="false"/>
        </w:rPr>
        <w:t xml:space="preserve">La thèse commerciale d'auditabilité est conservée, mais reformulée sur ce que le code fait réellement. </w:t>
      </w:r>
      <w:r>
        <w:rPr>
          <w:b/>
          <w:bCs/>
          <w:i w:val="false"/>
          <w:iCs w:val="false"/>
        </w:rPr>
        <w:t xml:space="preserve">Interdits de langage</w:t>
      </w:r>
      <w:r>
        <w:rPr>
          <w:b w:val="false"/>
          <w:bCs w:val="false"/>
          <w:i w:val="false"/>
          <w:iCs w:val="false"/>
        </w:rPr>
        <w:t xml:space="preserve"> en démo, plaquette et réponse d'appel d'offres : « event sourcing », « event-sourcé », « CQRS complet », « rejeu total de l'état ». Un CTO qui ouvre le capot lirait le contraire dans le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La preuve</w:t>
            </w:r>
          </w:p>
        </w:tc>
        <w:tc>
          <w:tcPr>
            <w:tcW w:type="dxa" w:w="68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Ce qu'on dit — et ce que le code démontre</w:t>
            </w:r>
          </w:p>
        </w:tc>
      </w:tr>
      <w:tr>
        <w:trPr>
          <w:tblHeader w:val="false"/>
        </w:trPr>
        <w:tc>
          <w:tcPr>
            <w:tcW w:type="dxa" w:w="2200"/>
            <w:tcMar>
              <w:top w:type="dxa" w:w="45"/>
              <w:left w:type="dxa" w:w="85"/>
              <w:bottom w:type="dxa" w:w="45"/>
              <w:right w:type="dxa" w:w="85"/>
            </w:tcMar>
          </w:tcPr>
          <w:p>
            <w:pPr>
              <w:spacing w:after="0" w:line="236"/>
            </w:pPr>
            <w:r>
              <w:rPr>
                <w:b/>
                <w:bCs/>
                <w:i w:val="false"/>
                <w:iCs w:val="false"/>
                <w:sz w:val="17"/>
                <w:szCs w:val="17"/>
              </w:rPr>
              <w:t xml:space="preserve">Journal immuable</w:t>
            </w:r>
          </w:p>
        </w:tc>
        <w:tc>
          <w:tcPr>
            <w:tcW w:type="dxa" w:w="6800"/>
            <w:tcMar>
              <w:top w:type="dxa" w:w="45"/>
              <w:left w:type="dxa" w:w="85"/>
              <w:bottom w:type="dxa" w:w="45"/>
              <w:right w:type="dxa" w:w="85"/>
            </w:tcMar>
          </w:tcPr>
          <w:p>
            <w:pPr>
              <w:spacing w:after="0" w:line="236"/>
            </w:pPr>
            <w:r>
              <w:rPr>
                <w:b w:val="false"/>
                <w:bCs w:val="false"/>
                <w:i w:val="false"/>
                <w:iCs w:val="false"/>
                <w:sz w:val="17"/>
                <w:szCs w:val="17"/>
              </w:rPr>
              <w:t xml:space="preserve">« Chaque décision — visa, hit, changement de seuil, déclaration — est journalisée en append-only ; personne ne l'efface, pas même l'admin » (R49). Démontrable en 30 secondes.</w:t>
            </w:r>
          </w:p>
        </w:tc>
      </w:tr>
      <w:tr>
        <w:trPr>
          <w:tblHeader w:val="false"/>
        </w:trPr>
        <w:tc>
          <w:tcPr>
            <w:tcW w:type="dxa" w:w="2200"/>
            <w:tcMar>
              <w:top w:type="dxa" w:w="45"/>
              <w:left w:type="dxa" w:w="85"/>
              <w:bottom w:type="dxa" w:w="45"/>
              <w:right w:type="dxa" w:w="85"/>
            </w:tcMar>
          </w:tcPr>
          <w:p>
            <w:pPr>
              <w:spacing w:after="0" w:line="236"/>
            </w:pPr>
            <w:r>
              <w:rPr>
                <w:b/>
                <w:bCs/>
                <w:i w:val="false"/>
                <w:iCs w:val="false"/>
                <w:sz w:val="17"/>
                <w:szCs w:val="17"/>
              </w:rPr>
              <w:t xml:space="preserve">État à date</w:t>
            </w:r>
          </w:p>
        </w:tc>
        <w:tc>
          <w:tcPr>
            <w:tcW w:type="dxa" w:w="6800"/>
            <w:tcMar>
              <w:top w:type="dxa" w:w="45"/>
              <w:left w:type="dxa" w:w="85"/>
              <w:bottom w:type="dxa" w:w="45"/>
              <w:right w:type="dxa" w:w="85"/>
            </w:tcMar>
          </w:tcPr>
          <w:p>
            <w:pPr>
              <w:spacing w:after="0" w:line="236"/>
            </w:pPr>
            <w:r>
              <w:rPr>
                <w:b w:val="false"/>
                <w:bCs w:val="false"/>
                <w:i w:val="false"/>
                <w:iCs w:val="false"/>
                <w:sz w:val="17"/>
                <w:szCs w:val="17"/>
              </w:rPr>
              <w:t xml:space="preserve">« Quel était l'état de ce dossier au 12 mars ? » : réponse par requête sur le journal, pas par reconstruction de mémoire (R48, etatADate) ; lecture upcastée sans réécriture (R339).</w:t>
            </w:r>
          </w:p>
        </w:tc>
      </w:tr>
      <w:tr>
        <w:trPr>
          <w:tblHeader w:val="false"/>
        </w:trPr>
        <w:tc>
          <w:tcPr>
            <w:tcW w:type="dxa" w:w="2200"/>
            <w:tcMar>
              <w:top w:type="dxa" w:w="45"/>
              <w:left w:type="dxa" w:w="85"/>
              <w:bottom w:type="dxa" w:w="45"/>
              <w:right w:type="dxa" w:w="85"/>
            </w:tcMar>
          </w:tcPr>
          <w:p>
            <w:pPr>
              <w:spacing w:after="0" w:line="236"/>
            </w:pPr>
            <w:r>
              <w:rPr>
                <w:b/>
                <w:bCs/>
                <w:i w:val="false"/>
                <w:iCs w:val="false"/>
                <w:sz w:val="17"/>
                <w:szCs w:val="17"/>
              </w:rPr>
              <w:t xml:space="preserve">Référentiels versionnés</w:t>
            </w:r>
          </w:p>
        </w:tc>
        <w:tc>
          <w:tcPr>
            <w:tcW w:type="dxa" w:w="6800"/>
            <w:tcMar>
              <w:top w:type="dxa" w:w="45"/>
              <w:left w:type="dxa" w:w="85"/>
              <w:bottom w:type="dxa" w:w="45"/>
              <w:right w:type="dxa" w:w="85"/>
            </w:tcMar>
          </w:tcPr>
          <w:p>
            <w:pPr>
              <w:spacing w:after="0" w:line="236"/>
            </w:pPr>
            <w:r>
              <w:rPr>
                <w:b w:val="false"/>
                <w:bCs w:val="false"/>
                <w:i w:val="false"/>
                <w:iCs w:val="false"/>
                <w:sz w:val="17"/>
                <w:szCs w:val="17"/>
              </w:rPr>
              <w:t xml:space="preserve">Barèmes, matrices documentaires et configs de screening sont gouvernés par date d'effet ; un dossier garde à vie la version de sa création (R29/R282/R288) ; le rejeu screening utilise la config persistée du run, jamais la courante.</w:t>
            </w:r>
          </w:p>
        </w:tc>
      </w:tr>
      <w:tr>
        <w:trPr>
          <w:tblHeader w:val="false"/>
        </w:trPr>
        <w:tc>
          <w:tcPr>
            <w:tcW w:type="dxa" w:w="2200"/>
            <w:tcMar>
              <w:top w:type="dxa" w:w="45"/>
              <w:left w:type="dxa" w:w="85"/>
              <w:bottom w:type="dxa" w:w="45"/>
              <w:right w:type="dxa" w:w="85"/>
            </w:tcMar>
          </w:tcPr>
          <w:p>
            <w:pPr>
              <w:spacing w:after="0" w:line="236"/>
            </w:pPr>
            <w:r>
              <w:rPr>
                <w:b/>
                <w:bCs/>
                <w:i w:val="false"/>
                <w:iCs w:val="false"/>
                <w:sz w:val="17"/>
                <w:szCs w:val="17"/>
              </w:rPr>
              <w:t xml:space="preserve">L'humain décide</w:t>
            </w:r>
          </w:p>
        </w:tc>
        <w:tc>
          <w:tcPr>
            <w:tcW w:type="dxa" w:w="6800"/>
            <w:tcMar>
              <w:top w:type="dxa" w:w="45"/>
              <w:left w:type="dxa" w:w="85"/>
              <w:bottom w:type="dxa" w:w="45"/>
              <w:right w:type="dxa" w:w="85"/>
            </w:tcMar>
          </w:tcPr>
          <w:p>
            <w:pPr>
              <w:spacing w:after="0" w:line="236"/>
            </w:pPr>
            <w:r>
              <w:rPr>
                <w:b w:val="false"/>
                <w:bCs w:val="false"/>
                <w:i w:val="false"/>
                <w:iCs w:val="false"/>
                <w:sz w:val="17"/>
                <w:szCs w:val="17"/>
              </w:rPr>
              <w:t xml:space="preserve">Le moteur propose (escalade, PEPisation, aiguillage CPSI), l'humain qualifie sous 4-eyes ; aucun chemin de code n'exécute une sanction automatiquement (R39/R44). Argument régulateur, pas une limitation.</w:t>
            </w:r>
          </w:p>
        </w:tc>
      </w:tr>
    </w:tbl>
    <w:p>
      <w:pPr>
        <w:pStyle w:val="Heading1"/>
        <w:spacing w:after="130" w:before="300"/>
      </w:pPr>
      <w:r>
        <w:rPr>
          <w:b w:val="false"/>
          <w:bCs w:val="false"/>
          <w:i w:val="false"/>
          <w:iCs w:val="false"/>
          <w:color w:val="232A1E"/>
        </w:rPr>
        <w:t xml:space="preserve">4. Reclassification des modules contre le code réel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900"/>
      </w:tblGrid>
      <w:tr>
        <w:trPr>
          <w:tblHeader/>
        </w:trPr>
        <w:tc>
          <w:tcPr>
            <w:tcW w:type="dxa" w:w="15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Module v1.1</w:t>
            </w:r>
          </w:p>
        </w:tc>
        <w:tc>
          <w:tcPr>
            <w:tcW w:type="dxa" w:w="16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Verdict</w:t>
            </w:r>
          </w:p>
        </w:tc>
        <w:tc>
          <w:tcPr>
            <w:tcW w:type="dxa" w:w="59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Reste à faire réellement</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A — Inférence goal-driven</w:t>
            </w:r>
          </w:p>
        </w:tc>
        <w:tc>
          <w:tcPr>
            <w:tcW w:type="dxa" w:w="1600"/>
            <w:tcMar>
              <w:top w:type="dxa" w:w="45"/>
              <w:left w:type="dxa" w:w="85"/>
              <w:bottom w:type="dxa" w:w="45"/>
              <w:right w:type="dxa" w:w="85"/>
            </w:tcMar>
          </w:tcPr>
          <w:p>
            <w:pPr>
              <w:spacing w:after="0" w:line="236"/>
            </w:pPr>
            <w:r>
              <w:rPr>
                <w:b/>
                <w:bCs/>
                <w:i w:val="false"/>
                <w:iCs w:val="false"/>
                <w:sz w:val="17"/>
                <w:szCs w:val="17"/>
              </w:rPr>
              <w:t xml:space="preserve">CONSTRUIRE</w:t>
            </w:r>
            <w:r>
              <w:rPr>
                <w:b w:val="false"/>
                <w:bCs w:val="false"/>
                <w:i w:val="false"/>
                <w:iCs w:val="false"/>
                <w:sz w:val="17"/>
                <w:szCs w:val="17"/>
              </w:rPr>
              <w:t xml:space="preserve"> (adapté)</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Toujours le chantier différenciant. Design révisé en section 7 pour composer avec les 5 points de résistance : ledger = </w:t>
            </w:r>
            <w:r>
              <w:rPr>
                <w:b/>
                <w:bCs/>
                <w:i w:val="false"/>
                <w:iCs w:val="false"/>
                <w:sz w:val="17"/>
                <w:szCs w:val="17"/>
              </w:rPr>
              <w:t xml:space="preserve">service de lecture</w:t>
            </w:r>
            <w:r>
              <w:rPr>
                <w:b w:val="false"/>
                <w:bCs w:val="false"/>
                <w:i w:val="false"/>
                <w:iCs w:val="false"/>
                <w:sz w:val="17"/>
                <w:szCs w:val="17"/>
              </w:rPr>
              <w:t xml:space="preserve"> sur tables + journal, pas un replay ; règles réifiées progressivement, R1–R51 inchangées (~90 % reformulables, RULES_INVENTORY).</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B — Screening</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Trois chantiers : (1) translittération arabe/cyrillique + golden set non-latin (normalisation latin-only aujourd'hui) ; (2) ingestion de </w:t>
            </w:r>
            <w:r>
              <w:rPr>
                <w:b/>
                <w:bCs/>
                <w:i w:val="false"/>
                <w:iCs w:val="false"/>
                <w:sz w:val="17"/>
                <w:szCs w:val="17"/>
              </w:rPr>
              <w:t xml:space="preserve">listes réelles</w:t>
            </w:r>
            <w:r>
              <w:rPr>
                <w:b w:val="false"/>
                <w:bCs w:val="false"/>
                <w:i w:val="false"/>
                <w:iCs w:val="false"/>
                <w:sz w:val="17"/>
                <w:szCs w:val="17"/>
              </w:rPr>
              <w:t xml:space="preserve"> versionnées OpenSanctions/SECO avec delta et rescreening (fixtures synthétiques aujourd'hui) ; (3) front branché sur le vrai moteur (supprimer la confiance par hachage).</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C — Transaction monitoring</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AML 2G et CPSI existent. Reste : fiabiliser le signal (lots S5/S3), frontière du contexte Surveillance (ADR-TM-001), agrégations aujourd'hui recalculées sur faits injectés — l'agrégation incrémentale gouvernée par le journal est un chantier ultérieur, pas un préalable.</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D — Case mgmt &amp; MROS</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riskcases LoD1/LoD2 et MROS (discrétion art. 9a) existent. Reste : export goAML XML validé XSD, chronomètre réglementaire testé par simulation d'horloge, KPI conformité consolidés.</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E — Connecteurs</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 / CONSTRUIRE</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Parseur SWIFT (R300) existe. camt.053/054 et pipeline SFTP/réconciliation restent à construire selon la v1.1 §10.</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F — Temps réel</w:t>
            </w:r>
          </w:p>
        </w:tc>
        <w:tc>
          <w:tcPr>
            <w:tcW w:type="dxa" w:w="1600"/>
            <w:tcMar>
              <w:top w:type="dxa" w:w="45"/>
              <w:left w:type="dxa" w:w="85"/>
              <w:bottom w:type="dxa" w:w="45"/>
              <w:right w:type="dxa" w:w="85"/>
            </w:tcMar>
          </w:tcPr>
          <w:p>
            <w:pPr>
              <w:spacing w:after="0" w:line="236"/>
            </w:pPr>
            <w:r>
              <w:rPr>
                <w:b w:val="false"/>
                <w:bCs w:val="false"/>
                <w:i w:val="false"/>
                <w:iCs w:val="false"/>
                <w:sz w:val="17"/>
                <w:szCs w:val="17"/>
              </w:rPr>
              <w:t xml:space="preserve">Inchangé</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Toujours conditionné à un partenaire d'exploitation ou client financeur. Aucun changement.</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G — ML</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CPSI + analytique 2G couvrent une part de la vision ; ML-1 triage sur décisions historiques reste futur (données insuffisantes).</w:t>
            </w:r>
          </w:p>
        </w:tc>
      </w:tr>
      <w:tr>
        <w:trPr>
          <w:tblHeader w:val="false"/>
        </w:trPr>
        <w:tc>
          <w:tcPr>
            <w:tcW w:type="dxa" w:w="1500"/>
            <w:tcMar>
              <w:top w:type="dxa" w:w="45"/>
              <w:left w:type="dxa" w:w="85"/>
              <w:bottom w:type="dxa" w:w="45"/>
              <w:right w:type="dxa" w:w="85"/>
            </w:tcMar>
          </w:tcPr>
          <w:p>
            <w:pPr>
              <w:spacing w:after="0" w:line="236"/>
            </w:pPr>
            <w:r>
              <w:rPr>
                <w:b w:val="false"/>
                <w:bCs w:val="false"/>
                <w:i w:val="false"/>
                <w:iCs w:val="false"/>
                <w:sz w:val="17"/>
                <w:szCs w:val="17"/>
              </w:rPr>
              <w:t xml:space="preserve">O — OLIVIA</w:t>
            </w:r>
          </w:p>
        </w:tc>
        <w:tc>
          <w:tcPr>
            <w:tcW w:type="dxa" w:w="1600"/>
            <w:tcMar>
              <w:top w:type="dxa" w:w="45"/>
              <w:left w:type="dxa" w:w="85"/>
              <w:bottom w:type="dxa" w:w="45"/>
              <w:right w:type="dxa" w:w="85"/>
            </w:tcMar>
          </w:tcPr>
          <w:p>
            <w:pPr>
              <w:spacing w:after="0" w:line="236"/>
            </w:pPr>
            <w:r>
              <w:rPr>
                <w:b/>
                <w:bCs/>
                <w:i w:val="false"/>
                <w:iCs w:val="false"/>
                <w:sz w:val="17"/>
                <w:szCs w:val="17"/>
              </w:rPr>
              <w:t xml:space="preserve">ÉTENDRE (packaging)</w:t>
            </w:r>
          </w:p>
        </w:tc>
        <w:tc>
          <w:tcPr>
            <w:tcW w:type="dxa" w:w="5900"/>
            <w:tcMar>
              <w:top w:type="dxa" w:w="45"/>
              <w:left w:type="dxa" w:w="85"/>
              <w:bottom w:type="dxa" w:w="45"/>
              <w:right w:type="dxa" w:w="85"/>
            </w:tcMar>
          </w:tcPr>
          <w:p>
            <w:pPr>
              <w:spacing w:after="0" w:line="236"/>
            </w:pPr>
            <w:r>
              <w:rPr>
                <w:b w:val="false"/>
                <w:bCs w:val="false"/>
                <w:i w:val="false"/>
                <w:iCs w:val="false"/>
                <w:sz w:val="17"/>
                <w:szCs w:val="17"/>
              </w:rPr>
              <w:t xml:space="preserve">Le module et la persona existent avec golden set et suite d'attaque. Reste : le </w:t>
            </w:r>
            <w:r>
              <w:rPr>
                <w:b/>
                <w:bCs/>
                <w:i w:val="false"/>
                <w:iCs w:val="false"/>
                <w:sz w:val="17"/>
                <w:szCs w:val="17"/>
              </w:rPr>
              <w:t xml:space="preserve">packaging commercial</w:t>
            </w:r>
            <w:r>
              <w:rPr>
                <w:b w:val="false"/>
                <w:bCs w:val="false"/>
                <w:i w:val="false"/>
                <w:iCs w:val="false"/>
                <w:sz w:val="17"/>
                <w:szCs w:val="17"/>
              </w:rPr>
              <w:t xml:space="preserve"> O1/O2/O3 de la v1.1 §13, le rapport de valeur mensuel, le curseur d'autonomie exposé par tenant.</w:t>
            </w:r>
          </w:p>
        </w:tc>
      </w:tr>
    </w:tbl>
    <w:p>
      <w:pPr>
        <w:pStyle w:val="Heading1"/>
        <w:spacing w:after="130" w:before="300"/>
      </w:pPr>
      <w:r>
        <w:rPr>
          <w:b w:val="false"/>
          <w:bCs w:val="false"/>
          <w:i w:val="false"/>
          <w:iCs w:val="false"/>
          <w:color w:val="232A1E"/>
        </w:rPr>
        <w:t xml:space="preserve">5. Décisions d'architecture actées</w:t>
      </w:r>
    </w:p>
    <w:p>
      <w:pPr>
        <w:pStyle w:val="Heading2"/>
        <w:spacing w:after="90" w:before="220"/>
      </w:pPr>
      <w:r>
        <w:rPr>
          <w:b w:val="false"/>
          <w:bCs w:val="false"/>
          <w:i w:val="false"/>
          <w:iCs w:val="false"/>
          <w:color w:val="5C6B3C"/>
        </w:rPr>
        <w:t xml:space="preserve">5.1 ADR-TM-001 — contexte Surveillance : Option C</w:t>
      </w:r>
    </w:p>
    <w:p>
      <w:pPr>
        <w:spacing w:after="100" w:line="262"/>
        <w:jc w:val="both"/>
      </w:pPr>
      <w:r>
        <w:rPr>
          <w:b w:val="false"/>
          <w:bCs w:val="false"/>
          <w:i w:val="false"/>
          <w:iCs w:val="false"/>
        </w:rPr>
        <w:t xml:space="preserve">Le contexte « Surveillance » est un </w:t>
      </w:r>
      <w:r>
        <w:rPr>
          <w:b/>
          <w:bCs/>
          <w:i w:val="false"/>
          <w:iCs w:val="false"/>
        </w:rPr>
        <w:t xml:space="preserve">contexte borné logique à l'intérieur du monolithe NestJS</w:t>
      </w:r>
      <w:r>
        <w:rPr>
          <w:b w:val="false"/>
          <w:bCs w:val="false"/>
          <w:i w:val="false"/>
          <w:iCs w:val="false"/>
        </w:rPr>
        <w:t xml:space="preserve"> (frontière de modules, ports explicites, événements), </w:t>
      </w:r>
      <w:r>
        <w:rPr>
          <w:b/>
          <w:bCs/>
          <w:i w:val="false"/>
          <w:iCs w:val="false"/>
        </w:rPr>
        <w:t xml:space="preserve">pas</w:t>
      </w:r>
      <w:r>
        <w:rPr>
          <w:b w:val="false"/>
          <w:bCs w:val="false"/>
          <w:i w:val="false"/>
          <w:iCs w:val="false"/>
        </w:rPr>
        <w:t xml:space="preserve"> un service séparé. Motifs : le moteur lourd — le CPSI — est déjà un process séparé couplé par propositions ; une séparation physique supplémentaire ne rapporterait que des coûts (RLS à réimplémenter, verdicts synchrones cassés, opérations doublées) sans bénéfice pour un exploitant solo. Conséquences : la frontière se matérialise par lots (S1/S2), pas par refonte.</w:t>
      </w:r>
    </w:p>
    <w:p>
      <w:pPr>
        <w:pStyle w:val="Heading2"/>
        <w:spacing w:after="90" w:before="220"/>
      </w:pPr>
      <w:r>
        <w:rPr>
          <w:b w:val="false"/>
          <w:bCs w:val="false"/>
          <w:i w:val="false"/>
          <w:iCs w:val="false"/>
          <w:color w:val="5C6B3C"/>
        </w:rPr>
        <w:t xml:space="preserve">5.2 ADR-PEP-001 — source de vérité PEP : Option C (résout C4)</w:t>
      </w:r>
    </w:p>
    <w:p>
      <w:pPr>
        <w:spacing w:after="100" w:line="262"/>
        <w:jc w:val="both"/>
      </w:pPr>
      <w:r>
        <w:rPr>
          <w:b/>
          <w:bCs/>
          <w:i w:val="false"/>
          <w:iCs w:val="false"/>
        </w:rPr>
        <w:t xml:space="preserve">L'autorité du statut PEP est la fiche personne (statutPep), décidée par un humain</w:t>
      </w:r>
      <w:r>
        <w:rPr>
          <w:b w:val="false"/>
          <w:bCs w:val="false"/>
          <w:i w:val="false"/>
          <w:iCs w:val="false"/>
        </w:rPr>
        <w:t xml:space="preserve"> via les seuls chemins d'écriture existants (declarerPep / leverPep, tracés). Les listes PEP externes et le questionnaire sont des </w:t>
      </w:r>
      <w:r>
        <w:rPr>
          <w:b/>
          <w:bCs/>
          <w:i w:val="false"/>
          <w:iCs w:val="false"/>
        </w:rPr>
        <w:t xml:space="preserve">signaux candidats</w:t>
      </w:r>
      <w:r>
        <w:rPr>
          <w:b w:val="false"/>
          <w:bCs w:val="false"/>
          <w:i w:val="false"/>
          <w:iCs w:val="false"/>
        </w:rPr>
        <w:t xml:space="preserve"> : un hit PEP-liste crée une </w:t>
      </w:r>
      <w:r>
        <w:rPr>
          <w:b/>
          <w:bCs/>
          <w:i w:val="false"/>
          <w:iCs w:val="false"/>
        </w:rPr>
        <w:t xml:space="preserve">proposition de PEPisation</w:t>
      </w:r>
      <w:r>
        <w:rPr>
          <w:b w:val="false"/>
          <w:bCs w:val="false"/>
          <w:i w:val="false"/>
          <w:iCs w:val="false"/>
        </w:rPr>
        <w:t xml:space="preserve"> (R32/R44), jamais une bascule silencieuse ; l'écoulement du délai alerte mais ne déclasse jamais (R33). Conforme LBA art. 6 : c'est l'établissement qui détermine, pas la liste. Chemin de mise en conformité = lot S4 : câbler hit PEP-liste → proposition → décision humaine → statutPep, avec trace liante hit↔décision, et rendre le registre PEP (R50) et le CPSI cohérents avec cette autorité unique.</w:t>
      </w:r>
    </w:p>
    <w:p>
      <w:pPr>
        <w:pStyle w:val="Heading1"/>
        <w:spacing w:after="130" w:before="300"/>
      </w:pPr>
      <w:r>
        <w:rPr>
          <w:b w:val="false"/>
          <w:bCs w:val="false"/>
          <w:i w:val="false"/>
          <w:iCs w:val="false"/>
          <w:color w:val="232A1E"/>
        </w:rPr>
        <w:t xml:space="preserve">6. Backlog re-priorisé — lots et gates</w:t>
      </w:r>
    </w:p>
    <w:p>
      <w:pPr>
        <w:spacing w:after="100" w:line="262"/>
        <w:jc w:val="both"/>
      </w:pPr>
      <w:r>
        <w:rPr>
          <w:b w:val="false"/>
          <w:bCs w:val="false"/>
          <w:i w:val="false"/>
          <w:iCs w:val="false"/>
        </w:rPr>
        <w:t xml:space="preserve">Ordre de la valeur par le risque : d'abord rendre le </w:t>
      </w:r>
      <w:r>
        <w:rPr>
          <w:b/>
          <w:bCs/>
          <w:i w:val="false"/>
          <w:iCs w:val="false"/>
        </w:rPr>
        <w:t xml:space="preserve">signal de test digne de confiance</w:t>
      </w:r>
      <w:r>
        <w:rPr>
          <w:b w:val="false"/>
          <w:bCs w:val="false"/>
          <w:i w:val="false"/>
          <w:iCs w:val="false"/>
        </w:rPr>
        <w:t xml:space="preserve"> (sans lui, tout le reste est bâti sur du sable), puis combler le plus gros trou de couverture, puis matérialiser les frontières, puis fermer le gap de conformité C4, puis les dettes structurelles, puis les extensions. Effort total contexte Surveillance : </w:t>
      </w:r>
      <w:r>
        <w:rPr>
          <w:b/>
          <w:bCs/>
          <w:i w:val="false"/>
          <w:iCs w:val="false"/>
        </w:rPr>
        <w:t xml:space="preserve">52–92 j·h</w:t>
      </w:r>
      <w:r>
        <w:rPr>
          <w:b w:val="false"/>
          <w:bCs w:val="false"/>
          <w:i w:val="false"/>
          <w:iCs w:val="false"/>
        </w:rPr>
        <w:t xml:space="preserve"> (EFFORT_REVISION, bottom-up) ; dettes front 8–15 j·h ; OLIVIA 5–9 j·h.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300"/>
        <w:gridCol w:w="3200"/>
      </w:tblGrid>
      <w:tr>
        <w:trPr>
          <w:tblHeader/>
        </w:trPr>
        <w:tc>
          <w:tcPr>
            <w:tcW w:type="dxa" w:w="9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Lot</w:t>
            </w:r>
          </w:p>
        </w:tc>
        <w:tc>
          <w:tcPr>
            <w:tcW w:type="dxa" w:w="36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Contenu</w:t>
            </w:r>
          </w:p>
        </w:tc>
        <w:tc>
          <w:tcPr>
            <w:tcW w:type="dxa" w:w="13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Effort</w:t>
            </w:r>
          </w:p>
        </w:tc>
        <w:tc>
          <w:tcPr>
            <w:tcW w:type="dxa" w:w="32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Gate de sortie</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L1</w:t>
            </w:r>
            <w:r>
              <w:rPr>
                <w:b w:val="false"/>
                <w:bCs w:val="false"/>
                <w:i w:val="false"/>
                <w:iCs w:val="false"/>
                <w:sz w:val="17"/>
                <w:szCs w:val="17"/>
              </w:rPr>
              <w:t xml:space="preserve"> (S5)</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Signal fiable : corriger le runner CPSI </w:t>
            </w:r>
            <w:r>
              <w:rPr>
                <w:b/>
                <w:bCs/>
                <w:i w:val="false"/>
                <w:iCs w:val="false"/>
                <w:sz w:val="17"/>
                <w:szCs w:val="17"/>
              </w:rPr>
              <w:t xml:space="preserve">faux-vert</w:t>
            </w:r>
            <w:r>
              <w:rPr>
                <w:b w:val="false"/>
                <w:bCs w:val="false"/>
                <w:i w:val="false"/>
                <w:iCs w:val="false"/>
                <w:sz w:val="17"/>
                <w:szCs w:val="17"/>
              </w:rPr>
              <w:t xml:space="preserve"> (retour de code réel, échec = échec) ; réintégrer bloc61/Analytique 2G en CI </w:t>
            </w:r>
            <w:r>
              <w:rPr>
                <w:b/>
                <w:bCs/>
                <w:i w:val="false"/>
                <w:iCs w:val="false"/>
                <w:sz w:val="17"/>
                <w:szCs w:val="17"/>
              </w:rPr>
              <w:t xml:space="preserve">bloquante</w:t>
            </w:r>
            <w:r>
              <w:rPr>
                <w:b w:val="false"/>
                <w:bCs w:val="false"/>
                <w:i w:val="false"/>
                <w:iCs w:val="false"/>
                <w:sz w:val="17"/>
                <w:szCs w:val="17"/>
              </w:rPr>
              <w:t xml:space="preserve"> ; contrat Nest↔Python vérifié</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3–6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Un test cassé volontairement fait échouer la CI sur chaque surface ; zéro suite hors CI</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L2</w:t>
            </w:r>
            <w:r>
              <w:rPr>
                <w:b w:val="false"/>
                <w:bCs w:val="false"/>
                <w:i w:val="false"/>
                <w:iCs w:val="false"/>
                <w:sz w:val="17"/>
                <w:szCs w:val="17"/>
              </w:rPr>
              <w:t xml:space="preserve"> (S3)</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Couverture de la vague </w:t>
            </w:r>
            <w:r>
              <w:rPr>
                <w:b/>
                <w:bCs/>
                <w:i w:val="false"/>
                <w:iCs w:val="false"/>
                <w:sz w:val="17"/>
                <w:szCs w:val="17"/>
              </w:rPr>
              <w:t xml:space="preserve">R222–R238</w:t>
            </w:r>
            <w:r>
              <w:rPr>
                <w:b w:val="false"/>
                <w:bCs w:val="false"/>
                <w:i w:val="false"/>
                <w:iCs w:val="false"/>
                <w:sz w:val="17"/>
                <w:szCs w:val="17"/>
              </w:rPr>
              <w:t xml:space="preserve"> (~1'664 lignes sans filet : businesstrip, oprisk, custody/ta, crossborder, txflux, regwatch, formations, nba) — tests par module, priorité aux gardes réglementaires</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12–22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Chaque module de la vague a ses specs ; mutation d'une garde = test rouge</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L3</w:t>
            </w:r>
            <w:r>
              <w:rPr>
                <w:b w:val="false"/>
                <w:bCs w:val="false"/>
                <w:i w:val="false"/>
                <w:iCs w:val="false"/>
                <w:sz w:val="17"/>
                <w:szCs w:val="17"/>
              </w:rPr>
              <w:t xml:space="preserve"> (S1+S2)</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Frontière du contexte Surveillance (ADR-TM-001) : ports explicites, consommateurs d'événements nommés, dépendances vérifiées par test d'architecture ; documentation de la carte</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8–14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Import direct inter-contexte interdit = test d'archi rouge ; carte commit-ée</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L4</w:t>
            </w:r>
            <w:r>
              <w:rPr>
                <w:b w:val="false"/>
                <w:bCs w:val="false"/>
                <w:i w:val="false"/>
                <w:iCs w:val="false"/>
                <w:sz w:val="17"/>
                <w:szCs w:val="17"/>
              </w:rPr>
              <w:t xml:space="preserve"> (S4)</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Routage PEP (ADR-PEP-001) : hit PEP-liste → proposition → décision humaine → statutPep, trace liante ; registre R50 et poids CPSI alignés sur l'autorité unique</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6–11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Un hit PEP-liste finit soit en PEPisation tracée soit en rejet motivé ; le registre voit les deux chemins</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L5</w:t>
            </w:r>
            <w:r>
              <w:rPr>
                <w:b w:val="false"/>
                <w:bCs w:val="false"/>
                <w:i w:val="false"/>
                <w:iCs w:val="false"/>
                <w:sz w:val="17"/>
                <w:szCs w:val="17"/>
              </w:rPr>
              <w:t xml:space="preserve"> (S6–S8)</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Dettes structurelles : </w:t>
            </w:r>
            <w:r>
              <w:rPr>
                <w:b/>
                <w:bCs/>
                <w:i w:val="false"/>
                <w:iCs w:val="false"/>
                <w:sz w:val="17"/>
                <w:szCs w:val="17"/>
              </w:rPr>
              <w:t xml:space="preserve">C5</w:t>
            </w:r>
            <w:r>
              <w:rPr>
                <w:b w:val="false"/>
                <w:bCs w:val="false"/>
                <w:i w:val="false"/>
                <w:iCs w:val="false"/>
                <w:sz w:val="17"/>
                <w:szCs w:val="17"/>
              </w:rPr>
              <w:t xml:space="preserve"> registre central des identifiants R (unicité outillée) ; </w:t>
            </w:r>
            <w:r>
              <w:rPr>
                <w:b/>
                <w:bCs/>
                <w:i w:val="false"/>
                <w:iCs w:val="false"/>
                <w:sz w:val="17"/>
                <w:szCs w:val="17"/>
              </w:rPr>
              <w:t xml:space="preserve">C6</w:t>
            </w:r>
            <w:r>
              <w:rPr>
                <w:b w:val="false"/>
                <w:bCs w:val="false"/>
                <w:i w:val="false"/>
                <w:iCs w:val="false"/>
                <w:sz w:val="17"/>
                <w:szCs w:val="17"/>
              </w:rPr>
              <w:t xml:space="preserve"> catalogue d'événements type↔schéma↔version au write ; </w:t>
            </w:r>
            <w:r>
              <w:rPr>
                <w:b/>
                <w:bCs/>
                <w:i w:val="false"/>
                <w:iCs w:val="false"/>
                <w:sz w:val="17"/>
                <w:szCs w:val="17"/>
              </w:rPr>
              <w:t xml:space="preserve">C7</w:t>
            </w:r>
            <w:r>
              <w:rPr>
                <w:b w:val="false"/>
                <w:bCs w:val="false"/>
                <w:i w:val="false"/>
                <w:iCs w:val="false"/>
                <w:sz w:val="17"/>
                <w:szCs w:val="17"/>
              </w:rPr>
              <w:t xml:space="preserve"> précédence config gouvernée &gt; override (ou override borné et justifié) ; </w:t>
            </w:r>
            <w:r>
              <w:rPr>
                <w:b/>
                <w:bCs/>
                <w:i w:val="false"/>
                <w:iCs w:val="false"/>
                <w:sz w:val="17"/>
                <w:szCs w:val="17"/>
              </w:rPr>
              <w:t xml:space="preserve">C8</w:t>
            </w:r>
            <w:r>
              <w:rPr>
                <w:b w:val="false"/>
                <w:bCs w:val="false"/>
                <w:i w:val="false"/>
                <w:iCs w:val="false"/>
                <w:sz w:val="17"/>
                <w:szCs w:val="17"/>
              </w:rPr>
              <w:t xml:space="preserve"> IDF instancié par run</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12–20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Collision d'identifiant ou d'événement = CI rouge ; run concurrent multi-tenant sans fuite d'IDF</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L6</w:t>
            </w:r>
            <w:r>
              <w:rPr>
                <w:b w:val="false"/>
                <w:bCs w:val="false"/>
                <w:i w:val="false"/>
                <w:iCs w:val="false"/>
                <w:sz w:val="17"/>
                <w:szCs w:val="17"/>
              </w:rPr>
              <w:t xml:space="preserve"> (B réel)</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Screening réel : ingestion </w:t>
            </w:r>
            <w:r>
              <w:rPr>
                <w:b/>
                <w:bCs/>
                <w:i w:val="false"/>
                <w:iCs w:val="false"/>
                <w:sz w:val="17"/>
                <w:szCs w:val="17"/>
              </w:rPr>
              <w:t xml:space="preserve">OpenSanctions/SECO</w:t>
            </w:r>
            <w:r>
              <w:rPr>
                <w:b w:val="false"/>
                <w:bCs w:val="false"/>
                <w:i w:val="false"/>
                <w:iCs w:val="false"/>
                <w:sz w:val="17"/>
                <w:szCs w:val="17"/>
              </w:rPr>
              <w:t xml:space="preserve"> versionnée (delta, rescreening ciblé, delisting → revue, âge de liste exposé), translittération arabe/cyrillique + golden set non-latin, front branché sur le vrai moteur (suppression du hachage)</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15–25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Rescreening delta sur base réelle ; rappel ≥ 0.90 maintenu sur golden étendu non-latin ; l'écran affiche les scores du moteur</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L7</w:t>
            </w:r>
            <w:r>
              <w:rPr>
                <w:b w:val="false"/>
                <w:bCs w:val="false"/>
                <w:i w:val="false"/>
                <w:iCs w:val="false"/>
                <w:sz w:val="17"/>
                <w:szCs w:val="17"/>
              </w:rPr>
              <w:t xml:space="preserve"> (A)</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Module A — inférence goal-driven, design adapté (section 7)</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20–35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Gap &lt; 1 s ; verdict ledger = verdict gardes existantes sur corpus (divergences documentées) ; démo Trust+PEP jouable</w:t>
            </w:r>
          </w:p>
        </w:tc>
      </w:tr>
      <w:tr>
        <w:trPr>
          <w:tblHeader w:val="false"/>
        </w:trPr>
        <w:tc>
          <w:tcPr>
            <w:tcW w:type="dxa" w:w="900"/>
            <w:tcMar>
              <w:top w:type="dxa" w:w="45"/>
              <w:left w:type="dxa" w:w="85"/>
              <w:bottom w:type="dxa" w:w="45"/>
              <w:right w:type="dxa" w:w="85"/>
            </w:tcMar>
          </w:tcPr>
          <w:p>
            <w:pPr>
              <w:spacing w:after="0" w:line="236"/>
            </w:pPr>
            <w:r>
              <w:rPr>
                <w:b/>
                <w:bCs/>
                <w:i w:val="false"/>
                <w:iCs w:val="false"/>
                <w:sz w:val="17"/>
                <w:szCs w:val="17"/>
              </w:rPr>
              <w:t xml:space="preserve">L8</w:t>
            </w:r>
            <w:r>
              <w:rPr>
                <w:b w:val="false"/>
                <w:bCs w:val="false"/>
                <w:i w:val="false"/>
                <w:iCs w:val="false"/>
                <w:sz w:val="17"/>
                <w:szCs w:val="17"/>
              </w:rPr>
              <w:t xml:space="preserve"> (D+ / O)</w:t>
            </w:r>
          </w:p>
        </w:tc>
        <w:tc>
          <w:tcPr>
            <w:tcW w:type="dxa" w:w="3600"/>
            <w:tcMar>
              <w:top w:type="dxa" w:w="45"/>
              <w:left w:type="dxa" w:w="85"/>
              <w:bottom w:type="dxa" w:w="45"/>
              <w:right w:type="dxa" w:w="85"/>
            </w:tcMar>
          </w:tcPr>
          <w:p>
            <w:pPr>
              <w:spacing w:after="0" w:line="236"/>
            </w:pPr>
            <w:r>
              <w:rPr>
                <w:b w:val="false"/>
                <w:bCs w:val="false"/>
                <w:i w:val="false"/>
                <w:iCs w:val="false"/>
                <w:sz w:val="17"/>
                <w:szCs w:val="17"/>
              </w:rPr>
              <w:t xml:space="preserve">Complétion D (goAML XSD, chronomètre testé, KPI) ; packaging Module O (paliers, rapport de valeur, curseur exposé)</w:t>
            </w:r>
          </w:p>
        </w:tc>
        <w:tc>
          <w:tcPr>
            <w:tcW w:type="dxa" w:w="1300"/>
            <w:tcMar>
              <w:top w:type="dxa" w:w="45"/>
              <w:left w:type="dxa" w:w="85"/>
              <w:bottom w:type="dxa" w:w="45"/>
              <w:right w:type="dxa" w:w="85"/>
            </w:tcMar>
          </w:tcPr>
          <w:p>
            <w:pPr>
              <w:spacing w:after="0" w:line="236"/>
            </w:pPr>
            <w:r>
              <w:rPr>
                <w:b w:val="false"/>
                <w:bCs w:val="false"/>
                <w:i w:val="false"/>
                <w:iCs w:val="false"/>
                <w:sz w:val="17"/>
                <w:szCs w:val="17"/>
              </w:rPr>
              <w:t xml:space="preserve">10–18 j·h</w:t>
            </w:r>
          </w:p>
        </w:tc>
        <w:tc>
          <w:tcPr>
            <w:tcW w:type="dxa" w:w="3200"/>
            <w:tcMar>
              <w:top w:type="dxa" w:w="45"/>
              <w:left w:type="dxa" w:w="85"/>
              <w:bottom w:type="dxa" w:w="45"/>
              <w:right w:type="dxa" w:w="85"/>
            </w:tcMar>
          </w:tcPr>
          <w:p>
            <w:pPr>
              <w:spacing w:after="0" w:line="236"/>
            </w:pPr>
            <w:r>
              <w:rPr>
                <w:b w:val="false"/>
                <w:bCs w:val="false"/>
                <w:i w:val="false"/>
                <w:iCs w:val="false"/>
                <w:sz w:val="17"/>
                <w:szCs w:val="17"/>
              </w:rPr>
              <w:t xml:space="preserve">goAML valide XSD ; rapport de valeur généré sur tenant de démo</w:t>
            </w:r>
          </w:p>
        </w:tc>
      </w:tr>
    </w:tbl>
    <w:p>
      <w:pPr>
        <w:pBdr>
          <w:left w:val="single" w:color="5C6B3C" w:sz="18"/>
        </w:pBdr>
        <w:shd w:fill="EEF0EA" w:val="clear"/>
        <w:spacing w:after="130" w:line="262"/>
        <w:ind w:left="160"/>
        <w:jc w:val="both"/>
      </w:pPr>
      <w:r>
        <w:rPr>
          <w:b w:val="false"/>
          <w:bCs w:val="false"/>
          <w:i w:val="false"/>
          <w:iCs w:val="false"/>
        </w:rPr>
        <w:t xml:space="preserve">En parallèle et sans dépendance au code : les prompts V (matrice de conformité générée depuis le journal réel, script de démo honnête) et l'étude pricing PV-4. La règle de la v1.1 demeure : </w:t>
      </w:r>
      <w:r>
        <w:rPr>
          <w:b/>
          <w:bCs/>
          <w:i w:val="false"/>
          <w:iCs w:val="false"/>
        </w:rPr>
        <w:t xml:space="preserve">un prompt = une session = un commit</w:t>
      </w:r>
      <w:r>
        <w:rPr>
          <w:b w:val="false"/>
          <w:bCs w:val="false"/>
          <w:i w:val="false"/>
          <w:iCs w:val="false"/>
        </w:rPr>
        <w:t xml:space="preserve">, gate vérifiée avant le lot suivant.</w:t>
      </w:r>
    </w:p>
    <w:p>
      <w:pPr>
        <w:pStyle w:val="Heading1"/>
        <w:spacing w:after="130" w:before="300"/>
      </w:pPr>
      <w:r>
        <w:rPr>
          <w:b w:val="false"/>
          <w:bCs w:val="false"/>
          <w:i w:val="false"/>
          <w:iCs w:val="false"/>
          <w:color w:val="232A1E"/>
        </w:rPr>
        <w:t xml:space="preserve">7. Module A adapté — l'inférence sur un moteur impératif</w:t>
      </w:r>
    </w:p>
    <w:p>
      <w:pPr>
        <w:spacing w:after="100" w:line="262"/>
        <w:jc w:val="both"/>
      </w:pPr>
      <w:r>
        <w:rPr>
          <w:b w:val="false"/>
          <w:bCs w:val="false"/>
          <w:i w:val="false"/>
          <w:iCs w:val="false"/>
        </w:rPr>
        <w:t xml:space="preserve">Le design v1.1 supposait des projections rejouées ; le code réel est impératif « throw-first », sans base de faits, avec précédence codée dans le flux de contrôle (AUDIT §6). Le design v2 compose avec ces cinq résistances au lieu de les combattre :</w:t>
      </w:r>
    </w:p>
    <w:p>
      <w:pPr>
        <w:pStyle w:val="ListParagraph"/>
        <w:numPr>
          <w:ilvl w:val="0"/>
          <w:numId w:val="2"/>
        </w:numPr>
        <w:spacing w:after="55" w:line="262"/>
        <w:jc w:val="both"/>
      </w:pPr>
      <w:r>
        <w:rPr>
          <w:b/>
          <w:bCs/>
          <w:i w:val="false"/>
          <w:iCs w:val="false"/>
        </w:rPr>
        <w:t xml:space="preserve">Le RequirementLedger est un service de lecture</w:t>
      </w:r>
      <w:r>
        <w:rPr>
          <w:b w:val="false"/>
          <w:bCs w:val="false"/>
          <w:i w:val="false"/>
          <w:iCs w:val="false"/>
        </w:rPr>
        <w:t xml:space="preserve">, pas une projection rejouée : il construit CaseFacts depuis les tables d'état (kycFile, visas, documents, personnes, hits) complétées par le journal quand la donnée n'existe qu'en événement. Aucune écriture, aucun effet de bord — le gap est une </w:t>
      </w:r>
      <w:r>
        <w:rPr>
          <w:b/>
          <w:bCs/>
          <w:i w:val="false"/>
          <w:iCs w:val="false"/>
        </w:rPr>
        <w:t xml:space="preserve">vue</w:t>
      </w:r>
      <w:r>
        <w:rPr>
          <w:b w:val="false"/>
          <w:bCs w:val="false"/>
          <w:i w:val="false"/>
          <w:iCs w:val="false"/>
        </w:rPr>
        <w:t xml:space="preserve">.</w:t>
      </w:r>
    </w:p>
    <w:p>
      <w:pPr>
        <w:pStyle w:val="ListParagraph"/>
        <w:numPr>
          <w:ilvl w:val="0"/>
          <w:numId w:val="2"/>
        </w:numPr>
        <w:spacing w:after="55" w:line="262"/>
        <w:jc w:val="both"/>
      </w:pPr>
      <w:r>
        <w:rPr>
          <w:b/>
          <w:bCs/>
          <w:i w:val="false"/>
          <w:iCs w:val="false"/>
        </w:rPr>
        <w:t xml:space="preserve">Les règles ne sont pas réécrites, elles sont réifiées en miroir</w:t>
      </w:r>
      <w:r>
        <w:rPr>
          <w:b w:val="false"/>
          <w:bCs w:val="false"/>
          <w:i w:val="false"/>
          <w:iCs w:val="false"/>
        </w:rPr>
        <w:t xml:space="preserve"> : les profils YAML (CompletionProfile, Requirement, activation_rules avec DSL sûr sans eval) décrivent l'état cible ; R1–R51 restent les gardes d'exécution. Le test de cohérence est l'outil central : verdict « dossier complet » des gardes = verdict du ledger sur le corpus, divergences consignées dans MIGRATION_DIVERGENCES.md, </w:t>
      </w:r>
      <w:r>
        <w:rPr>
          <w:b/>
          <w:bCs/>
          <w:i w:val="false"/>
          <w:iCs w:val="false"/>
        </w:rPr>
        <w:t xml:space="preserve">jamais corrigées en silence</w:t>
      </w:r>
      <w:r>
        <w:rPr>
          <w:b w:val="false"/>
          <w:bCs w:val="false"/>
          <w:i w:val="false"/>
          <w:iCs w:val="false"/>
        </w:rPr>
        <w:t xml:space="preserve">.</w:t>
      </w:r>
    </w:p>
    <w:p>
      <w:pPr>
        <w:pStyle w:val="ListParagraph"/>
        <w:numPr>
          <w:ilvl w:val="0"/>
          <w:numId w:val="2"/>
        </w:numPr>
        <w:spacing w:after="55" w:line="262"/>
        <w:jc w:val="both"/>
      </w:pPr>
      <w:r>
        <w:rPr>
          <w:b/>
          <w:bCs/>
          <w:i w:val="false"/>
          <w:iCs w:val="false"/>
        </w:rPr>
        <w:t xml:space="preserve">La précédence reste dans les gardes</w:t>
      </w:r>
      <w:r>
        <w:rPr>
          <w:b w:val="false"/>
          <w:bCs w:val="false"/>
          <w:i w:val="false"/>
          <w:iCs w:val="false"/>
        </w:rPr>
        <w:t xml:space="preserve"> : le ledger ordonne l'affichage (bloquants d'abord) mais ne prétend pas répliquer l'ordre de refus de validate() — il explique (explain : règle d'activation, faits, base légale, événement satisfaisant), il ne décide pas.</w:t>
      </w:r>
    </w:p>
    <w:p>
      <w:pPr>
        <w:pStyle w:val="ListParagraph"/>
        <w:numPr>
          <w:ilvl w:val="0"/>
          <w:numId w:val="2"/>
        </w:numPr>
        <w:spacing w:after="55" w:line="262"/>
        <w:jc w:val="both"/>
      </w:pPr>
      <w:r>
        <w:rPr>
          <w:b/>
          <w:bCs/>
          <w:i w:val="false"/>
          <w:iCs w:val="false"/>
        </w:rPr>
        <w:t xml:space="preserve">Multi-tenant sûr par construction</w:t>
      </w:r>
      <w:r>
        <w:rPr>
          <w:b w:val="false"/>
          <w:bCs w:val="false"/>
          <w:i w:val="false"/>
          <w:iCs w:val="false"/>
        </w:rPr>
        <w:t xml:space="preserve"> : le ledger est instancié par requête (aucun état module-global — leçon C8) et lit sous RLS.</w:t>
      </w:r>
    </w:p>
    <w:p>
      <w:pPr>
        <w:pStyle w:val="ListParagraph"/>
        <w:numPr>
          <w:ilvl w:val="0"/>
          <w:numId w:val="2"/>
        </w:numPr>
        <w:spacing w:after="55" w:line="262"/>
        <w:jc w:val="both"/>
      </w:pPr>
      <w:r>
        <w:rPr>
          <w:b/>
          <w:bCs/>
          <w:i w:val="false"/>
          <w:iCs w:val="false"/>
        </w:rPr>
        <w:t xml:space="preserve">Chemin d'extension</w:t>
      </w:r>
      <w:r>
        <w:rPr>
          <w:b w:val="false"/>
          <w:bCs w:val="false"/>
          <w:i w:val="false"/>
          <w:iCs w:val="false"/>
        </w:rPr>
        <w:t xml:space="preserve"> : quand un client paiera la simulation de configuration (dry-run « quels dossiers changent de gap ? »), elle s'implémente comme lecture comparative de deux résolutions de profils — sans refonte du moteur.</w:t>
      </w:r>
    </w:p>
    <w:p>
      <w:pPr>
        <w:pStyle w:val="Heading1"/>
        <w:spacing w:after="130" w:before="300"/>
      </w:pPr>
      <w:r>
        <w:rPr>
          <w:b w:val="false"/>
          <w:bCs w:val="false"/>
          <w:i w:val="false"/>
          <w:iCs w:val="false"/>
          <w:color w:val="232A1E"/>
        </w:rPr>
        <w:t xml:space="preserve">8. Risques mis à jour et kill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00"/>
      </w:tblGrid>
      <w:tr>
        <w:trPr>
          <w:tblHeader/>
        </w:trPr>
        <w:tc>
          <w:tcPr>
            <w:tcW w:type="dxa" w:w="29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Risque</w:t>
            </w:r>
          </w:p>
        </w:tc>
        <w:tc>
          <w:tcPr>
            <w:tcW w:type="dxa" w:w="23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Évolution vs v1.1</w:t>
            </w:r>
          </w:p>
        </w:tc>
        <w:tc>
          <w:tcPr>
            <w:tcW w:type="dxa" w:w="3800"/>
            <w:shd w:fill="232A1E" w:val="clear"/>
            <w:tcMar>
              <w:top w:type="dxa" w:w="45"/>
              <w:left w:type="dxa" w:w="85"/>
              <w:bottom w:type="dxa" w:w="45"/>
              <w:right w:type="dxa" w:w="85"/>
            </w:tcMar>
          </w:tcPr>
          <w:p>
            <w:pPr>
              <w:spacing w:after="0" w:line="236"/>
            </w:pPr>
            <w:r>
              <w:rPr>
                <w:b/>
                <w:bCs/>
                <w:i w:val="false"/>
                <w:iCs w:val="false"/>
                <w:color w:val="FFFFFF"/>
                <w:sz w:val="17"/>
                <w:szCs w:val="17"/>
              </w:rPr>
              <w:t xml:space="preserve">Parade</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Signal de test trompeur (faux-vert, suites hors CI)</w:t>
            </w:r>
          </w:p>
        </w:tc>
        <w:tc>
          <w:tcPr>
            <w:tcW w:type="dxa" w:w="2300"/>
            <w:tcMar>
              <w:top w:type="dxa" w:w="45"/>
              <w:left w:type="dxa" w:w="85"/>
              <w:bottom w:type="dxa" w:w="45"/>
              <w:right w:type="dxa" w:w="85"/>
            </w:tcMar>
          </w:tcPr>
          <w:p>
            <w:pPr>
              <w:spacing w:after="0" w:line="236"/>
            </w:pPr>
            <w:r>
              <w:rPr>
                <w:b/>
                <w:bCs/>
                <w:i w:val="false"/>
                <w:iCs w:val="false"/>
                <w:sz w:val="17"/>
                <w:szCs w:val="17"/>
              </w:rPr>
              <w:t xml:space="preserve">Nouveau — n°1</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Lot L1 avant tout ; interdiction de merger un lot si une surface est hors CI</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Survente technique (« event sourcing », écran à confiance fabriquée)</w:t>
            </w:r>
          </w:p>
        </w:tc>
        <w:tc>
          <w:tcPr>
            <w:tcW w:type="dxa" w:w="2300"/>
            <w:tcMar>
              <w:top w:type="dxa" w:w="45"/>
              <w:left w:type="dxa" w:w="85"/>
              <w:bottom w:type="dxa" w:w="45"/>
              <w:right w:type="dxa" w:w="85"/>
            </w:tcMar>
          </w:tcPr>
          <w:p>
            <w:pPr>
              <w:spacing w:after="0" w:line="236"/>
            </w:pPr>
            <w:r>
              <w:rPr>
                <w:b/>
                <w:bCs/>
                <w:i w:val="false"/>
                <w:iCs w:val="false"/>
                <w:sz w:val="17"/>
                <w:szCs w:val="17"/>
              </w:rPr>
              <w:t xml:space="preserve">Nouveau</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Interdits de langage §3 ; L6 branche le front sur le vrai moteur avant toute démo prospect</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Gap PEP C4 (registre réglementaire aveugle aux hits)</w:t>
            </w:r>
          </w:p>
        </w:tc>
        <w:tc>
          <w:tcPr>
            <w:tcW w:type="dxa" w:w="2300"/>
            <w:tcMar>
              <w:top w:type="dxa" w:w="45"/>
              <w:left w:type="dxa" w:w="85"/>
              <w:bottom w:type="dxa" w:w="45"/>
              <w:right w:type="dxa" w:w="85"/>
            </w:tcMar>
          </w:tcPr>
          <w:p>
            <w:pPr>
              <w:spacing w:after="0" w:line="236"/>
            </w:pPr>
            <w:r>
              <w:rPr>
                <w:b w:val="false"/>
                <w:bCs w:val="false"/>
                <w:i w:val="false"/>
                <w:iCs w:val="false"/>
                <w:sz w:val="17"/>
                <w:szCs w:val="17"/>
              </w:rPr>
              <w:t xml:space="preserve">Précisé et confirmé</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Lot L4 prioritaire sur toute démo compliance ; ADR-PEP-001 fait contrat</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Charge solo</w:t>
            </w:r>
          </w:p>
        </w:tc>
        <w:tc>
          <w:tcPr>
            <w:tcW w:type="dxa" w:w="2300"/>
            <w:tcMar>
              <w:top w:type="dxa" w:w="45"/>
              <w:left w:type="dxa" w:w="85"/>
              <w:bottom w:type="dxa" w:w="45"/>
              <w:right w:type="dxa" w:w="85"/>
            </w:tcMar>
          </w:tcPr>
          <w:p>
            <w:pPr>
              <w:spacing w:after="0" w:line="236"/>
            </w:pPr>
            <w:r>
              <w:rPr>
                <w:b w:val="false"/>
                <w:bCs w:val="false"/>
                <w:i w:val="false"/>
                <w:iCs w:val="false"/>
                <w:sz w:val="17"/>
                <w:szCs w:val="17"/>
              </w:rPr>
              <w:t xml:space="preserve">Réduite (52–92 j·h vs 45–65 semaines)</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Les gates par lot remplacent le séquencement long ; jalon démontrable ≤ 4 semaines maintenu</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Aucune validation marché</w:t>
            </w:r>
          </w:p>
        </w:tc>
        <w:tc>
          <w:tcPr>
            <w:tcW w:type="dxa" w:w="2300"/>
            <w:tcMar>
              <w:top w:type="dxa" w:w="45"/>
              <w:left w:type="dxa" w:w="85"/>
              <w:bottom w:type="dxa" w:w="45"/>
              <w:right w:type="dxa" w:w="85"/>
            </w:tcMar>
          </w:tcPr>
          <w:p>
            <w:pPr>
              <w:spacing w:after="0" w:line="236"/>
            </w:pPr>
            <w:r>
              <w:rPr>
                <w:b w:val="false"/>
                <w:bCs w:val="false"/>
                <w:i w:val="false"/>
                <w:iCs w:val="false"/>
                <w:sz w:val="17"/>
                <w:szCs w:val="17"/>
              </w:rPr>
              <w:t xml:space="preserve">Inchangé — s'aggrave avec le temps</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PV-4 (pricing) et prospection design partners démarrent en parallèle de L1, pas après</w:t>
            </w:r>
          </w:p>
        </w:tc>
      </w:tr>
      <w:tr>
        <w:trPr>
          <w:tblHeader w:val="false"/>
        </w:trPr>
        <w:tc>
          <w:tcPr>
            <w:tcW w:type="dxa" w:w="2900"/>
            <w:tcMar>
              <w:top w:type="dxa" w:w="45"/>
              <w:left w:type="dxa" w:w="85"/>
              <w:bottom w:type="dxa" w:w="45"/>
              <w:right w:type="dxa" w:w="85"/>
            </w:tcMar>
          </w:tcPr>
          <w:p>
            <w:pPr>
              <w:spacing w:after="0" w:line="236"/>
            </w:pPr>
            <w:r>
              <w:rPr>
                <w:b w:val="false"/>
                <w:bCs w:val="false"/>
                <w:i w:val="false"/>
                <w:iCs w:val="false"/>
                <w:sz w:val="17"/>
                <w:szCs w:val="17"/>
              </w:rPr>
              <w:t xml:space="preserve">IP / non-concurrence Specitec</w:t>
            </w:r>
          </w:p>
        </w:tc>
        <w:tc>
          <w:tcPr>
            <w:tcW w:type="dxa" w:w="2300"/>
            <w:tcMar>
              <w:top w:type="dxa" w:w="45"/>
              <w:left w:type="dxa" w:w="85"/>
              <w:bottom w:type="dxa" w:w="45"/>
              <w:right w:type="dxa" w:w="85"/>
            </w:tcMar>
          </w:tcPr>
          <w:p>
            <w:pPr>
              <w:spacing w:after="0" w:line="236"/>
            </w:pPr>
            <w:r>
              <w:rPr>
                <w:b w:val="false"/>
                <w:bCs w:val="false"/>
                <w:i w:val="false"/>
                <w:iCs w:val="false"/>
                <w:sz w:val="17"/>
                <w:szCs w:val="17"/>
              </w:rPr>
              <w:t xml:space="preserve">Inchangé — toujours ouvert</w:t>
            </w:r>
          </w:p>
        </w:tc>
        <w:tc>
          <w:tcPr>
            <w:tcW w:type="dxa" w:w="3800"/>
            <w:tcMar>
              <w:top w:type="dxa" w:w="45"/>
              <w:left w:type="dxa" w:w="85"/>
              <w:bottom w:type="dxa" w:w="45"/>
              <w:right w:type="dxa" w:w="85"/>
            </w:tcMar>
          </w:tcPr>
          <w:p>
            <w:pPr>
              <w:spacing w:after="0" w:line="236"/>
            </w:pPr>
            <w:r>
              <w:rPr>
                <w:b w:val="false"/>
                <w:bCs w:val="false"/>
                <w:i w:val="false"/>
                <w:iCs w:val="false"/>
                <w:sz w:val="17"/>
                <w:szCs w:val="17"/>
              </w:rPr>
              <w:t xml:space="preserve">À régler avant toute signature ; kill criterion inchangé</w:t>
            </w:r>
          </w:p>
        </w:tc>
      </w:tr>
    </w:tbl>
    <w:p>
      <w:pPr>
        <w:spacing w:after="100" w:line="262"/>
        <w:jc w:val="both"/>
      </w:pPr>
      <w:r>
        <w:rPr>
          <w:b/>
          <w:bCs/>
          <w:i w:val="false"/>
          <w:iCs w:val="false"/>
        </w:rPr>
        <w:t xml:space="preserve">Kill criteria</w:t>
      </w:r>
      <w:r>
        <w:rPr>
          <w:b w:val="false"/>
          <w:bCs w:val="false"/>
          <w:i w:val="false"/>
          <w:iCs w:val="false"/>
        </w:rPr>
        <w:t xml:space="preserve"> (inchangés de la v1.1, réaffirmés) : zéro design partner à M6 malgré pivot canal → suspendre les extensions, réévaluer le positionnement ; premier client churné ou tuning ingérable → geler les ventes ; charge delivery &gt; 50 % sur un tenant → industrialiser avant tout nouveau client.</w:t>
      </w:r>
    </w:p>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O-Live — Spécification produit v2 post-audit — Confidentiel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A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232A1E"/>
      <w:sz w:val="31"/>
      <w:szCs w:val="31"/>
    </w:rPr>
  </w:style>
  <w:style w:type="paragraph" w:styleId="Heading2">
    <w:name w:val="Heading 2"/>
    <w:basedOn w:val="Normal"/>
    <w:next w:val="Normal"/>
    <w:qFormat/>
    <w:rPr>
      <w:rFonts w:ascii="Georgia" w:cs="Georgia" w:eastAsia="Georgia" w:hAnsi="Georgia"/>
      <w:b/>
      <w:bCs/>
      <w:color w:val="5C6B3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2026-08-06T21:15:47.640Z</dcterms:created>
  <dcterms:modified xsi:type="dcterms:W3CDTF">2026-08-06T21:15:47.655Z</dcterms:modified>
</cp:coreProperties>
</file>

<file path=docProps/custom.xml><?xml version="1.0" encoding="utf-8"?>
<Properties xmlns="http://schemas.openxmlformats.org/officeDocument/2006/custom-properties" xmlns:vt="http://schemas.openxmlformats.org/officeDocument/2006/docPropsVTypes"/>
</file>