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4.10 — 20 juillet 2026 · Intègre les ratifications du 15.07 (R89→R103), du 19.07 (R104→R132) et du 20.07 (R133→R147, dont le Coffre — stockage gouverné Exoscale, résidence suisse, adaptateur de production livré). La GED est vraie de bout en bout : ingestion → preuve → coffre → destruction certifiée. Catalogue : 223 IDs de scénarios · 244 tests de corpus verts (arbre réel). Aucune règle proposée : R1→R147 toutes ratifiées. Remplace la v4.0 du 14.07.2026.</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