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Ali Jabbary</w:t>
      </w:r>
    </w:p>
    <w:p>
      <w:r>
        <w:rPr/>
        <w:t xml:space="preserve">Ali Jabbary is [[FILL: position and highest degree, e.g. "a PhD candidate"]] in the Department of Mechanical Engineering, Urmia University, Urmia, Iran. Research interests span computational fluid dynamics, scientific machine learning and deep learning, with a focus on how learned flow surrogates should be evaluated against the simulations they replace. Earlier work applied computational fluid dynamics and machine learning to proton-exchange-membrane fuel cells. ORCID: 0000-0003-0573-6909.</w:t>
      </w:r>
    </w:p>
    <w:p>
      <w:r>
        <w:rPr>
          <w:b/>
        </w:rPr>
        <w:t xml:space="preserve">Kasra Ghanavati</w:t>
      </w:r>
    </w:p>
    <w:p>
      <w:r>
        <w:rPr/>
        <w:t xml:space="preserve">Kasra Ghanavati is [[FILL: position and highest degree]] in the School of Computing and Mathematical Sciences, University of Greenwich, London, United Kingdom. [[FILL: research interests, one or two sentences]] ORCID: 0009-0009-0888-3307.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GB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