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Highlights</w:t>
      </w:r>
    </w:p>
    <w:p>
      <w:r>
        <w:rPr/>
        <w:t xml:space="preserve">• The near-wall barrier to parameter interpolation is a coordinate artifact</w:t>
      </w:r>
    </w:p>
    <w:p>
      <w:r>
        <w:rPr/>
        <w:t xml:space="preserve">• Wall-following coordinates take that bound from 25x to 0.0044x, on 200/200 cases</w:t>
      </w:r>
    </w:p>
    <w:p>
      <w:r>
        <w:rPr/>
        <w:t xml:space="preserve">• The AirfRANS field ranking flips with the cell weighting: 8.4x to 0.44x on pressure</w:t>
      </w:r>
    </w:p>
    <w:p>
      <w:r>
        <w:rPr/>
        <w:t xml:space="preserve">• 64% of scored AirfRANS nodes sit inside 0.05 chord, 1.2% of the raster's area</w:t>
      </w:r>
    </w:p>
    <w:p>
      <w:r>
        <w:rPr/>
        <w:t xml:space="preserve">• No wall-normal frame exists on 5% of near-wall nodes, at leading and trailing edges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GB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