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84.png" ContentType="image/png"/>
  <Override PartName="/word/media/rId87.png" ContentType="image/png"/>
  <Override PartName="/word/media/rId108.png" ContentType="image/png"/>
  <Override PartName="/word/media/rId90.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5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30"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The claim is deliberately measured. Izutsu’s field method, in the three foundational works (1959, 1964, 2002),</w:t>
      </w:r>
      <w:r>
        <w:rPr>
          <w:rStyle w:val="FootnoteReference"/>
        </w:rPr>
        <w:footnoteReference w:id="24"/>
      </w:r>
      <w:r>
        <w:t xml:space="preserve"> </w:t>
      </w:r>
      <w:r>
        <w:t xml:space="preserve">yields a network of mutually defining lexemes around focus words, but it does</w:t>
      </w:r>
      <w:r>
        <w:t xml:space="preserve"> </w:t>
      </w:r>
      <w:r>
        <w:rPr>
          <w:i/>
          <w:iCs/>
        </w:rPr>
        <w:t xml:space="preserve">not</w:t>
      </w:r>
      <w:r>
        <w:t xml:space="preserve"> </w:t>
      </w:r>
      <w:r>
        <w:t xml:space="preserve">generate an ordering relation</w:t>
      </w:r>
      <w:r>
        <w:t xml:space="preserve"> </w:t>
      </w:r>
      <w:r>
        <w:rPr>
          <w:i/>
          <w:iCs/>
        </w:rPr>
        <w:t xml:space="preserve">within</w:t>
      </w:r>
      <w:r>
        <w:t xml:space="preserve"> </w:t>
      </w:r>
      <w:r>
        <w:t xml:space="preserve">the network: Izutsu recovers the field but is silent on whether, within the field,</w:t>
      </w:r>
      <w:r>
        <w:t xml:space="preserve"> </w:t>
      </w:r>
      <w:r>
        <w:rPr>
          <w:i/>
          <w:iCs/>
        </w:rPr>
        <w:t xml:space="preserve">ġayẓ</w:t>
      </w:r>
      <w:r>
        <w:t xml:space="preserve"> </w:t>
      </w:r>
      <w:r>
        <w:t xml:space="preserve">is</w:t>
      </w:r>
      <w:r>
        <w:t xml:space="preserve"> </w:t>
      </w:r>
      <w:r>
        <w:t xml:space="preserve">“more intense than”</w:t>
      </w:r>
      <w:r>
        <w:t xml:space="preserve"> </w:t>
      </w:r>
      <w:r>
        <w:rPr>
          <w:i/>
          <w:iCs/>
        </w:rPr>
        <w:t xml:space="preserve">ghaḍab</w:t>
      </w:r>
      <w:r>
        <w:t xml:space="preserve">. Lakoff and Kövecses (1987) supply a cognitive-metaphor schema anchored lexicographically in</w:t>
      </w:r>
      <w:r>
        <w:t xml:space="preserve"> </w:t>
      </w:r>
      <w:r>
        <w:rPr>
          <w:i/>
          <w:iCs/>
        </w:rPr>
        <w:t xml:space="preserve">English</w:t>
      </w:r>
      <w:r>
        <w:t xml:space="preserve"> </w:t>
      </w:r>
      <w:r>
        <w:t xml:space="preserve">(Holland–Quinn’s American idioms), and the two-volume</w:t>
      </w:r>
      <w:r>
        <w:t xml:space="preserve"> </w:t>
      </w:r>
      <w:r>
        <w:rPr>
          <w:i/>
          <w:iCs/>
        </w:rPr>
        <w:t xml:space="preserve">Metaphors of ANGER across Languages</w:t>
      </w:r>
      <w:r>
        <w:t xml:space="preserve"> </w:t>
      </w:r>
      <w:r>
        <w:t xml:space="preserve">(Kövecses, Benczes and Szelid 2025)</w:t>
      </w:r>
      <w:r>
        <w:rPr>
          <w:rStyle w:val="FootnoteReference"/>
        </w:rPr>
        <w:footnoteReference w:id="25"/>
      </w:r>
      <w:r>
        <w:t xml:space="preserve"> </w:t>
      </w:r>
      <w:r>
        <w:t xml:space="preserve">— twenty-two languages from Mandarin to Yoruba —</w:t>
      </w:r>
      <w:r>
        <w:t xml:space="preserve"> </w:t>
      </w:r>
      <w:r>
        <w:rPr>
          <w:i/>
          <w:iCs/>
        </w:rPr>
        <w:t xml:space="preserve">omits Classical Arabic entirely</w:t>
      </w:r>
      <w:r>
        <w:t xml:space="preserve">. Kennedy and Sassoon’s scalar-semantic apparatus orders predicates along a dimension and a unit but has not been applied to a Qur’anic emotion field. The present paper’s distinct contribution is to</w:t>
      </w:r>
      <w:r>
        <w:t xml:space="preserve"> </w:t>
      </w:r>
      <w:r>
        <w:rPr>
          <w:i/>
          <w:iCs/>
        </w:rPr>
        <w:t xml:space="preserve">do all three together</w:t>
      </w:r>
      <w:r>
        <w:t xml:space="preserve"> </w:t>
      </w:r>
      <w:r>
        <w:t xml:space="preserve">on the same fourteen-root inventory: the Izutsu layer fixes field membership, the Kennedy–Sassoon layer fixes the action-intensity ordering, and the CMT layer grounds the climactic</w:t>
      </w:r>
      <w:r>
        <w:t xml:space="preserve"> </w:t>
      </w:r>
      <w:r>
        <w:rPr>
          <w:i/>
          <w:iCs/>
        </w:rPr>
        <w:t xml:space="preserve">ghayẓ–kaẓm–tamayyuz</w:t>
      </w:r>
      <w:r>
        <w:t xml:space="preserve"> </w:t>
      </w:r>
      <w:r>
        <w:t xml:space="preserve">sequence. We acknowledge that Qāʾimīniyā</w:t>
      </w:r>
      <w:r>
        <w:rPr>
          <w:rStyle w:val="FootnoteReference"/>
        </w:rPr>
        <w:footnoteReference w:id="26"/>
      </w:r>
      <w:r>
        <w:t xml:space="preserve"> </w:t>
      </w:r>
      <w:r>
        <w:t xml:space="preserve">and Pakatchi–Afrashi</w:t>
      </w:r>
      <w:r>
        <w:rPr>
          <w:rStyle w:val="FootnoteReference"/>
        </w:rPr>
        <w:footnoteReference w:id="27"/>
      </w:r>
      <w:r>
        <w:t xml:space="preserve"> </w:t>
      </w:r>
      <w:r>
        <w:t xml:space="preserve">already integrate Izutsu’s field method with CMT in Persian; the</w:t>
      </w:r>
      <w:r>
        <w:t xml:space="preserve"> </w:t>
      </w:r>
      <w:r>
        <w:rPr>
          <w:i/>
          <w:iCs/>
        </w:rPr>
        <w:t xml:space="preserve">novel</w:t>
      </w:r>
      <w:r>
        <w:t xml:space="preserve"> </w:t>
      </w:r>
      <w:r>
        <w:t xml:space="preserve">element in the present paper is the Kennedy–Sassoon scalar layer operationalised as a six-stage action-intensity continuum tested against a 312-attestation reproducible pipeline.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deep structural affinities to modern emotion psychology, and to identify the points at which the Qur’anic continuum</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8"/>
      </w:r>
      <w:r>
        <w:t xml:space="preserve"> </w:t>
      </w:r>
      <w:r>
        <w:t xml:space="preserve">and Pakatchi–Afrashi</w:t>
      </w:r>
      <w:r>
        <w:rPr>
          <w:rStyle w:val="FootnoteReference"/>
        </w:rPr>
        <w:footnoteReference w:id="29"/>
      </w:r>
      <w:r>
        <w:t xml:space="preserve"> </w:t>
      </w:r>
      <w:r>
        <w:t xml:space="preserve">already integrate Izutsu and CMT in Persian Qur’anic scholarship; the novel element is the Kennedy–Sassoon scalar layer over a reproducible computational pipeline.</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w:t>
      </w:r>
      <w:r>
        <w:t xml:space="preserve"> </w:t>
      </w:r>
      <w:r>
        <w:rPr>
          <w:i/>
          <w:iCs/>
        </w:rPr>
        <w:t xml:space="preserve">early and unusually transparent</w:t>
      </w:r>
      <w:r>
        <w:t xml:space="preserve"> </w:t>
      </w:r>
      <w:r>
        <w:t xml:space="preserve">instance of</w:t>
      </w:r>
      <w:r>
        <w:t xml:space="preserve"> </w:t>
      </w:r>
      <w:r>
        <w:t xml:space="preserve">“container collapse”</w:t>
      </w:r>
      <w:r>
        <w:t xml:space="preserve">, calibrated in §5.5 by a focused six-tradition philological survey that acknowledges Job 32:19 (</w:t>
      </w:r>
      <w:r>
        <w:rPr>
          <w:i/>
          <w:iCs/>
        </w:rPr>
        <w:t xml:space="preserve">bāqaʿ</w:t>
      </w:r>
      <w:r>
        <w:t xml:space="preserve">) as the one clear Northwest-Semitic precedent for vessel-rupture imagery.</w:t>
      </w:r>
    </w:p>
    <w:bookmarkEnd w:id="30"/>
    <w:bookmarkStart w:id="4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31"/>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32"/>
      </w:r>
      <w:r>
        <w:t xml:space="preserve"> </w:t>
      </w:r>
      <w:r>
        <w:t xml:space="preserve">on</w:t>
      </w:r>
      <w:r>
        <w:t xml:space="preserve"> </w:t>
      </w:r>
      <w:r>
        <w:rPr>
          <w:i/>
          <w:iCs/>
        </w:rPr>
        <w:t xml:space="preserve">ṭughyān</w:t>
      </w:r>
      <w:r>
        <w:t xml:space="preserve"> </w:t>
      </w:r>
      <w:r>
        <w:t xml:space="preserve">show the root attests in 27 suras with the central meaning of transgressing the limit. Both works illustrate the present gap: high-quality lexical work for individual lexemes, but no integrated continuum and no operational ordering relation among the lexemes of the field.</w:t>
      </w:r>
      <w:r>
        <w:t xml:space="preserve"> </w:t>
      </w:r>
      <w:r>
        <w:rPr>
          <w:b/>
          <w:bCs/>
        </w:rPr>
        <w:t xml:space="preserve">Semantic-field and cognitive-semantic studies</w:t>
      </w:r>
      <w:r>
        <w:t xml:space="preserve"> </w:t>
      </w:r>
      <w:r>
        <w:t xml:space="preserve">in the Izutsu tradition — Qāʾimīniyā,</w:t>
      </w:r>
      <w:r>
        <w:rPr>
          <w:rStyle w:val="FootnoteReference"/>
        </w:rPr>
        <w:footnoteReference w:id="33"/>
      </w:r>
      <w:r>
        <w:t xml:space="preserve"> </w:t>
      </w:r>
      <w:r>
        <w:t xml:space="preserve">Pakatchi–Afrashi,</w:t>
      </w:r>
      <w:r>
        <w:rPr>
          <w:rStyle w:val="FootnoteReference"/>
        </w:rPr>
        <w:footnoteReference w:id="34"/>
      </w:r>
      <w:r>
        <w:t xml:space="preserve"> </w:t>
      </w:r>
      <w:r>
        <w:t xml:space="preserve">Albayrak</w:t>
      </w:r>
      <w:r>
        <w:rPr>
          <w:rStyle w:val="FootnoteReference"/>
        </w:rPr>
        <w:footnoteReference w:id="35"/>
      </w:r>
      <w:r>
        <w:t xml:space="preserve"> </w:t>
      </w:r>
      <w:r>
        <w:t xml:space="preserve">— have applied cognitive linguistics to Qur’anic vocabulary, but the</w:t>
      </w:r>
      <w:r>
        <w:t xml:space="preserve"> </w:t>
      </w:r>
      <w:r>
        <w:rPr>
          <w:i/>
          <w:iCs/>
        </w:rPr>
        <w:t xml:space="preserve">graded continuum</w:t>
      </w:r>
      <w:r>
        <w:t xml:space="preserve"> </w:t>
      </w:r>
      <w:r>
        <w:t xml:space="preserve">layer (Izutsu’s own deferral of the ordering question, §2.1) remains untreated. Izutsu’s three-layer apparatus (focus words / fields / key words) operates on lexical-semantic</w:t>
      </w:r>
      <w:r>
        <w:t xml:space="preserve"> </w:t>
      </w:r>
      <w:r>
        <w:rPr>
          <w:i/>
          <w:iCs/>
        </w:rPr>
        <w:t xml:space="preserve">relations</w:t>
      </w:r>
      <w:r>
        <w:t xml:space="preserve"> </w:t>
      </w:r>
      <w:r>
        <w:t xml:space="preserve">(paradigmatic, syntagmatic, contrastive),</w:t>
      </w:r>
      <w:r>
        <w:t xml:space="preserve"> </w:t>
      </w:r>
      <w:r>
        <w:rPr>
          <w:i/>
          <w:iCs/>
        </w:rPr>
        <w:t xml:space="preserve">not</w:t>
      </w:r>
      <w:r>
        <w:t xml:space="preserve"> </w:t>
      </w:r>
      <w:r>
        <w:t xml:space="preserve">on a measurable dimension along which field members can be ordered; the Kennedy–Sassoon scalar-semantic apparatus</w:t>
      </w:r>
      <w:r>
        <w:rPr>
          <w:rStyle w:val="FootnoteReference"/>
        </w:rPr>
        <w:footnoteReference w:id="36"/>
      </w:r>
      <w:r>
        <w:t xml:space="preserve"> </w:t>
      </w:r>
      <w:r>
        <w:t xml:space="preserve">supplies exactly what Izutsu’s method leaves open.</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Szelid’s</w:t>
      </w:r>
      <w:r>
        <w:t xml:space="preserve"> </w:t>
      </w:r>
      <w:r>
        <w:rPr>
          <w:i/>
          <w:iCs/>
        </w:rPr>
        <w:t xml:space="preserve">Metaphors of ANGER across Languages</w:t>
      </w:r>
      <w:r>
        <w:t xml:space="preserve">,</w:t>
      </w:r>
      <w:r>
        <w:rPr>
          <w:rStyle w:val="FootnoteReference"/>
        </w:rPr>
        <w:footnoteReference w:id="37"/>
      </w:r>
      <w:r>
        <w:t xml:space="preserve"> </w:t>
      </w:r>
      <w:r>
        <w:t xml:space="preserve">which canvasses twenty-two language traditions (Mandarin, Japanese, Korean, Hungarian, Polish, Russian, Wolof, Hausa, Yoruba, Modern Standard Arabic in a single chapter,</w:t>
      </w:r>
      <w:r>
        <w:t xml:space="preserve"> </w:t>
      </w:r>
      <w:r>
        <w:rPr>
          <w:i/>
          <w:iCs/>
        </w:rPr>
        <w:t xml:space="preserve">inter alia</w:t>
      </w:r>
      <w:r>
        <w:t xml:space="preserve">)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w:t>
      </w:r>
      <w:r>
        <w:t xml:space="preserve"> </w:t>
      </w:r>
      <w:r>
        <w:rPr>
          <w:b/>
          <w:bCs/>
        </w:rPr>
        <w:t xml:space="preserve">Historical-critical and corpus-linguistic studies</w:t>
      </w:r>
      <w:r>
        <w:t xml:space="preserve"> </w:t>
      </w:r>
      <w:r>
        <w:t xml:space="preserve">supply complementary apparatus: Sinai’s</w:t>
      </w:r>
      <w:r>
        <w:t xml:space="preserve"> </w:t>
      </w:r>
      <w:r>
        <w:rPr>
          <w:i/>
          <w:iCs/>
        </w:rPr>
        <w:t xml:space="preserve">The Qurʾan: A Historical-Critical Introduction</w:t>
      </w:r>
      <w:r>
        <w:rPr>
          <w:rStyle w:val="FootnoteReference"/>
        </w:rPr>
        <w:footnoteReference w:id="38"/>
      </w:r>
      <w:r>
        <w:t xml:space="preserve"> </w:t>
      </w:r>
      <w:r>
        <w:t xml:space="preserve">articulates the Meccan/Medinan periodisation that underwrites our</w:t>
      </w:r>
      <w:r>
        <w:t xml:space="preserve"> </w:t>
      </w:r>
      <w:r>
        <w:rPr>
          <w:i/>
          <w:iCs/>
        </w:rPr>
        <w:t xml:space="preserve">sakhaṭ</w:t>
      </w:r>
      <w:r>
        <w:t xml:space="preserve"> </w:t>
      </w:r>
      <w:r>
        <w:t xml:space="preserve">finding, and his</w:t>
      </w:r>
      <w:r>
        <w:t xml:space="preserve"> </w:t>
      </w:r>
      <w:r>
        <w:rPr>
          <w:i/>
          <w:iCs/>
        </w:rPr>
        <w:t xml:space="preserve">Key Terms of the Qurʾan</w:t>
      </w:r>
      <w:r>
        <w:rPr>
          <w:rStyle w:val="FootnoteReference"/>
        </w:rPr>
        <w:footnoteReference w:id="39"/>
      </w:r>
      <w:r>
        <w:t xml:space="preserve"> </w:t>
      </w:r>
      <w:r>
        <w:t xml:space="preserve">models the lexicon-level entry organisation we extend at the field level; El-Awa’s</w:t>
      </w:r>
      <w:r>
        <w:t xml:space="preserve"> </w:t>
      </w:r>
      <w:r>
        <w:rPr>
          <w:i/>
          <w:iCs/>
        </w:rPr>
        <w:t xml:space="preserve">Textual Relations in the Qurʾan</w:t>
      </w:r>
      <w:r>
        <w:rPr>
          <w:rStyle w:val="FootnoteReference"/>
        </w:rPr>
        <w:footnoteReference w:id="40"/>
      </w:r>
      <w:r>
        <w:t xml:space="preserve"> </w:t>
      </w:r>
      <w:r>
        <w:t xml:space="preserve">supplies the relevance-theoretic vocabulary for §5.4; Sharaf and Atwell’s QurAna and QurSim corpora</w:t>
      </w:r>
      <w:r>
        <w:rPr>
          <w:rStyle w:val="FootnoteReference"/>
        </w:rPr>
        <w:footnoteReference w:id="41"/>
      </w:r>
      <w:r>
        <w:t xml:space="preserve"> </w:t>
      </w:r>
      <w:r>
        <w:t xml:space="preserve">established Qur’anic-NLP reproducibility standards alongside QuranMorph</w:t>
      </w:r>
      <w:r>
        <w:rPr>
          <w:rStyle w:val="FootnoteReference"/>
        </w:rPr>
        <w:footnoteReference w:id="42"/>
      </w:r>
      <w:r>
        <w:t xml:space="preserve"> </w:t>
      </w:r>
      <w:r>
        <w:t xml:space="preserve">and MASAQ.</w:t>
      </w:r>
      <w:r>
        <w:rPr>
          <w:rStyle w:val="FootnoteReference"/>
        </w:rPr>
        <w:footnoteReference w:id="43"/>
      </w:r>
      <w:r>
        <w:t xml:space="preserve"> </w:t>
      </w:r>
      <w:r>
        <w:t xml:space="preserve">None of these supplies a</w:t>
      </w:r>
      <w:r>
        <w:t xml:space="preserve"> </w:t>
      </w:r>
      <w:r>
        <w:rPr>
          <w:i/>
          <w:iCs/>
        </w:rPr>
        <w:t xml:space="preserve">graded reference model of the anger-spectrum lexicon</w:t>
      </w:r>
      <w:r>
        <w:t xml:space="preserve">.</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44"/>
      </w:r>
      <w:r>
        <w:t xml:space="preserve"> </w:t>
      </w:r>
      <w:r>
        <w:t xml:space="preserve">show inconsistent sentiment polarity across seven English translations; the ELQV dataset of 2,100 emotion-labelled verses</w:t>
      </w:r>
      <w:r>
        <w:rPr>
          <w:rStyle w:val="FootnoteReference"/>
        </w:rPr>
        <w:footnoteReference w:id="45"/>
      </w:r>
      <w:r>
        <w:t xml:space="preserve"> </w:t>
      </w:r>
      <w:r>
        <w:t xml:space="preserve">provides a coarse-Ekman reference; Khan et al.</w:t>
      </w:r>
      <w:r>
        <w:rPr>
          <w:rStyle w:val="FootnoteReference"/>
        </w:rPr>
        <w:footnoteReference w:id="4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47"/>
      </w:r>
      <w:r>
        <w:t xml:space="preserve"> </w:t>
      </w:r>
      <w:r>
        <w:t xml:space="preserve">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rPr>
          <w:rStyle w:val="FootnoteReference"/>
        </w:rPr>
        <w:footnoteReference w:id="4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cognitive-semantic stack, applies it to the anger field that the 2025</w:t>
      </w:r>
      <w:r>
        <w:t xml:space="preserve"> </w:t>
      </w:r>
      <w:r>
        <w:rPr>
          <w:i/>
          <w:iCs/>
        </w:rPr>
        <w:t xml:space="preserve">Metaphors of ANGER</w:t>
      </w:r>
      <w:r>
        <w:t xml:space="preserve"> </w:t>
      </w:r>
      <w:r>
        <w:t xml:space="preserve">encyclopedia omits, releases the empirical pipeline under the Sharaf–Atwell / QuranMorph reproducibility standard, and supplies the lexeme-level reference model the post-2025 translation-criticism literature requires.</w:t>
      </w:r>
    </w:p>
    <w:bookmarkEnd w:id="49"/>
    <w:bookmarkStart w:id="5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50"/>
    <w:bookmarkEnd w:id="51"/>
    <w:bookmarkStart w:id="64" w:name="theoretical-framework"/>
    <w:p>
      <w:pPr>
        <w:pStyle w:val="Heading2"/>
      </w:pPr>
      <w:r>
        <w:t xml:space="preserve">2. Theoretical Framework</w:t>
      </w:r>
    </w:p>
    <w:bookmarkStart w:id="5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5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5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54"/>
    <w:bookmarkStart w:id="5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5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56"/>
    <w:bookmarkStart w:id="5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57"/>
      </w:r>
      <w:r>
        <w:t xml:space="preserve"> </w:t>
      </w:r>
      <w:r>
        <w:t xml:space="preserve">treats metaphor as a cognitive structure that allows abstract domains (emotion) to be understood through concrete ones (container, heat). Lakoff and Kövecses</w:t>
      </w:r>
      <w:r>
        <w:rPr>
          <w:rStyle w:val="FootnoteReference"/>
        </w:rPr>
        <w:footnoteReference w:id="5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59"/>
    <w:bookmarkStart w:id="6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102223"/>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61" name="Picture"/>
            <a:graphic>
              <a:graphicData uri="http://schemas.openxmlformats.org/drawingml/2006/picture">
                <pic:pic>
                  <pic:nvPicPr>
                    <pic:cNvPr descr="fig1_continuum.png" id="62" name="Picture"/>
                    <pic:cNvPicPr>
                      <a:picLocks noChangeArrowheads="1" noChangeAspect="1"/>
                    </pic:cNvPicPr>
                  </pic:nvPicPr>
                  <pic:blipFill>
                    <a:blip r:embed="rId60"/>
                    <a:stretch>
                      <a:fillRect/>
                    </a:stretch>
                  </pic:blipFill>
                  <pic:spPr bwMode="auto">
                    <a:xfrm>
                      <a:off x="0" y="0"/>
                      <a:ext cx="5334000" cy="2102223"/>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63"/>
    <w:bookmarkEnd w:id="64"/>
    <w:bookmarkStart w:id="81" w:name="methods"/>
    <w:p>
      <w:pPr>
        <w:pStyle w:val="Heading2"/>
      </w:pPr>
      <w:r>
        <w:t xml:space="preserve">3. Methods</w:t>
      </w:r>
    </w:p>
    <w:bookmarkStart w:id="6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6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66"/>
      </w:r>
      <w:r>
        <w:t xml:space="preserve"> </w:t>
      </w:r>
      <w:r>
        <w:t xml:space="preserve">distributed under CC-BY-ND 3.0.</w:t>
      </w:r>
    </w:p>
    <w:bookmarkEnd w:id="67"/>
    <w:bookmarkStart w:id="6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68"/>
    <w:bookmarkStart w:id="70"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6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bookmarkEnd w:id="70"/>
    <w:bookmarkStart w:id="73"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71"/>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72"/>
      </w:r>
      <w:r>
        <w:t xml:space="preserve"> </w:t>
      </w:r>
      <w:r>
        <w:t xml:space="preserve">operates at the discourse-topic level on coarse sentiment and does not yet apply this battery at the lexeme level.</w:t>
      </w:r>
    </w:p>
    <w:bookmarkEnd w:id="73"/>
    <w:bookmarkStart w:id="74"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74"/>
    <w:bookmarkStart w:id="8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pPr>
        <w:pStyle w:val="BodyText"/>
      </w:pPr>
      <w:r>
        <w:rPr>
          <w:b/>
          <w:bCs/>
        </w:rPr>
        <w:t xml:space="preserve">On the choice of permutation over asymptotic χ² for the sparse six-cell design.</w:t>
      </w:r>
      <w:r>
        <w:t xml:space="preserve"> </w:t>
      </w:r>
      <w:r>
        <w:t xml:space="preserve">The omnibus test of §4.2 (χ²(5) over 312 attestations in a six-cell design) has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with</w:t>
      </w:r>
      <w:r>
        <w:t xml:space="preserve"> </w:t>
      </w:r>
      <w:r>
        <w:rPr>
          <w:i/>
          <w:iCs/>
        </w:rPr>
        <w:t xml:space="preserve">baghy</w:t>
      </w:r>
      <w:r>
        <w:t xml:space="preserve"> </w:t>
      </w:r>
      <w:r>
        <w:t xml:space="preserve">alone supplying 96 attestations — almost a third of the total and twice the per-stage uniform expectation. On such marginally-imbalanced designs the asymptotic χ² approximation is known to be unreliable: Cochran</w:t>
      </w:r>
      <w:r>
        <w:rPr>
          <w:rStyle w:val="FootnoteReference"/>
        </w:rPr>
        <w:footnoteReference w:id="75"/>
      </w:r>
      <w:r>
        <w:t xml:space="preserve"> </w:t>
      </w:r>
      <w:r>
        <w:t xml:space="preserve">warns that observed cell frequencies dominating a single category can inflate the statistic without corresponding evidence against the null. Fisher’s exact test</w:t>
      </w:r>
      <w:r>
        <w:rPr>
          <w:rStyle w:val="FootnoteReference"/>
        </w:rPr>
        <w:footnoteReference w:id="76"/>
      </w:r>
      <w:r>
        <w:t xml:space="preserve"> </w:t>
      </w:r>
      <w:r>
        <w:t xml:space="preserve">solves the problem in principle for 2 × 2 tables, with Patefield’s network algorithm</w:t>
      </w:r>
      <w:r>
        <w:rPr>
          <w:rStyle w:val="FootnoteReference"/>
        </w:rPr>
        <w:footnoteReference w:id="77"/>
      </w:r>
      <w:r>
        <w:t xml:space="preserve"> </w:t>
      </w:r>
      <w:r>
        <w:t xml:space="preserve">and the Mehta–Patel extension</w:t>
      </w:r>
      <w:r>
        <w:rPr>
          <w:rStyle w:val="FootnoteReference"/>
        </w:rPr>
        <w:footnoteReference w:id="78"/>
      </w:r>
      <w:r>
        <w:t xml:space="preserve"> </w:t>
      </w:r>
      <w:r>
        <w:t xml:space="preserve">enabling feasible enumeration for general</w:t>
      </w:r>
      <w:r>
        <w:t xml:space="preserve"> </w:t>
      </w:r>
      <w:r>
        <w:rPr>
          <w:i/>
          <w:iCs/>
        </w:rPr>
        <w:t xml:space="preserve">r</w:t>
      </w:r>
      <w:r>
        <w:t xml:space="preserve"> </w:t>
      </w:r>
      <w:r>
        <w:t xml:space="preserve">×</w:t>
      </w:r>
      <w:r>
        <w:t xml:space="preserve"> </w:t>
      </w:r>
      <w:r>
        <w:rPr>
          <w:i/>
          <w:iCs/>
        </w:rPr>
        <w:t xml:space="preserve">c</w:t>
      </w:r>
      <w:r>
        <w:t xml:space="preserve"> </w:t>
      </w:r>
      <w:r>
        <w:t xml:space="preserve">tables. The contemporary recommendation (Agresti)</w:t>
      </w:r>
      <w:r>
        <w:rPr>
          <w:rStyle w:val="FootnoteReference"/>
        </w:rPr>
        <w:footnoteReference w:id="79"/>
      </w:r>
      <w:r>
        <w:t xml:space="preserve"> </w:t>
      </w:r>
      <w:r>
        <w:t xml:space="preserve">is to favour permutation- or exact-conditional inference for sparse contingency tables, retaining the asymptotic χ² as a descriptive statistic. Our marginal-preserving permutation null (10,000 perms, fixed RNG seed 20260509) holds the per-root attestation counts fixed and randomly permutes the fourteen stage labels across roots;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w:t>
      </w:r>
    </w:p>
    <w:p>
      <w:r>
        <w:pict>
          <v:rect style="width:0;height:1.5pt" o:hralign="center" o:hrstd="t" o:hr="t"/>
        </w:pict>
      </w:r>
    </w:p>
    <w:bookmarkEnd w:id="80"/>
    <w:bookmarkEnd w:id="81"/>
    <w:bookmarkStart w:id="117" w:name="findings"/>
    <w:p>
      <w:pPr>
        <w:pStyle w:val="Heading2"/>
      </w:pPr>
      <w:r>
        <w:t xml:space="preserve">4. Findings</w:t>
      </w:r>
    </w:p>
    <w:bookmarkStart w:id="8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82"/>
    <w:bookmarkStart w:id="94"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83"/>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93"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w:t>
      </w:r>
    </w:p>
    <w:p>
      <w:pPr>
        <w:pStyle w:val="BodyText"/>
      </w:pPr>
      <w:r>
        <w:t xml:space="preserve">We read this as the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Qur’anic corpus is not a random sample from a population of anger-spectrum lexicalisations but a closed hortatory text whose lexical weights are</w:t>
      </w:r>
      <w:r>
        <w:t xml:space="preserve"> </w:t>
      </w:r>
      <w:r>
        <w:rPr>
          <w:i/>
          <w:iCs/>
        </w:rPr>
        <w:t xml:space="preserve">pedagogically determined</w:t>
      </w:r>
      <w:r>
        <w:t xml:space="preserve">. One expects heaviest density precisely at the two poles of moral consequence — Stages 1–2 (the lexicalised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Stage 6 (the social-structural pathologies the text most frequently denounces) — with intervening stages (S3–5) middle-trajectory states of lower independent pedagogical salience.</w:t>
      </w:r>
    </w:p>
    <w:p>
      <w:pPr>
        <w:pStyle w:val="BodyText"/>
      </w:pPr>
      <w:r>
        <w:t xml:space="preserve">The failure of the three trend tests therefore</w:t>
      </w:r>
      <w:r>
        <w:t xml:space="preserve"> </w:t>
      </w:r>
      <w:r>
        <w:rPr>
          <w:i/>
          <w:iCs/>
        </w:rPr>
        <w:t xml:space="preserve">supports</w:t>
      </w:r>
      <w:r>
        <w:t xml:space="preserve">, rather than challenges, the bidirectional-causation reading developed in §4.8.5: a randomly-sampled language sample would predict monotonic frequency-as-intensity, but a hortatory text predicts emphasis at the points where ethical pedagogy can intervene (S1–2, where regulation is feasible) and where moral consequences manifest (S6, where the structural pathologies are catalogued). A</w:t>
      </w:r>
      <w:r>
        <w:t xml:space="preserve"> </w:t>
      </w:r>
      <w:r>
        <w:rPr>
          <w:i/>
          <w:iCs/>
        </w:rPr>
        <w:t xml:space="preserve">flat</w:t>
      </w:r>
      <w:r>
        <w:t xml:space="preserve"> </w:t>
      </w:r>
      <w:r>
        <w:t xml:space="preserve">trend test, given this structure, is the prediction the theory generates, not an embarrassment to it. The load-bearing evidence for the continuum’s structure remains the qualitative apparatus of §4.1 and §4.3–§4.8 (lexicographic, exegetical, metaphorical) and the morphological gradient reported in Figure 5.</w:t>
      </w:r>
    </w:p>
    <w:p>
      <w:pPr>
        <w:pStyle w:val="CaptionedFigure"/>
      </w:pPr>
      <w:r>
        <w:drawing>
          <wp:inline>
            <wp:extent cx="5067300" cy="2007591"/>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85" name="Picture"/>
            <a:graphic>
              <a:graphicData uri="http://schemas.openxmlformats.org/drawingml/2006/picture">
                <pic:pic>
                  <pic:nvPicPr>
                    <pic:cNvPr descr="fig2_frequency_by_stage.png" id="86" name="Picture"/>
                    <pic:cNvPicPr>
                      <a:picLocks noChangeArrowheads="1" noChangeAspect="1"/>
                    </pic:cNvPicPr>
                  </pic:nvPicPr>
                  <pic:blipFill>
                    <a:blip r:embed="rId84"/>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88" name="Picture"/>
            <a:graphic>
              <a:graphicData uri="http://schemas.openxmlformats.org/drawingml/2006/picture">
                <pic:pic>
                  <pic:nvPicPr>
                    <pic:cNvPr descr="fig3_meccan_medinan.png" id="89" name="Picture"/>
                    <pic:cNvPicPr>
                      <a:picLocks noChangeArrowheads="1" noChangeAspect="1"/>
                    </pic:cNvPicPr>
                  </pic:nvPicPr>
                  <pic:blipFill>
                    <a:blip r:embed="rId87"/>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91" name="Picture"/>
            <a:graphic>
              <a:graphicData uri="http://schemas.openxmlformats.org/drawingml/2006/picture">
                <pic:pic>
                  <pic:nvPicPr>
                    <pic:cNvPr descr="fig5_morphology_stack.png" id="92" name="Picture"/>
                    <pic:cNvPicPr>
                      <a:picLocks noChangeArrowheads="1" noChangeAspect="1"/>
                    </pic:cNvPicPr>
                  </pic:nvPicPr>
                  <pic:blipFill>
                    <a:blip r:embed="rId90"/>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93"/>
    <w:bookmarkEnd w:id="94"/>
    <w:bookmarkStart w:id="95"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95"/>
    <w:bookmarkStart w:id="97"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96"/>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97"/>
    <w:bookmarkStart w:id="99"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98"/>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99"/>
    <w:bookmarkStart w:id="100"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100"/>
    <w:bookmarkStart w:id="103"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101"/>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102"/>
      </w:r>
      <w:r>
        <w:t xml:space="preserve"> </w:t>
      </w:r>
      <w:r>
        <w:t xml:space="preserve">whether this is the strongest historical instance is left open pending the cross-cultural philological survey we commend in §5.5.</w:t>
      </w:r>
    </w:p>
    <w:bookmarkEnd w:id="103"/>
    <w:bookmarkStart w:id="11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104"/>
      </w:r>
      <w:r>
        <w:t xml:space="preserve"> </w:t>
      </w:r>
      <w:r>
        <w:t xml:space="preserve">and Scherer,</w:t>
      </w:r>
      <w:r>
        <w:rPr>
          <w:rStyle w:val="FootnoteReference"/>
        </w:rPr>
        <w:footnoteReference w:id="105"/>
      </w:r>
      <w:r>
        <w:t xml:space="preserve"> </w:t>
      </w:r>
      <w:r>
        <w:t xml:space="preserve">and aligning with Roseman’s</w:t>
      </w:r>
      <w:r>
        <w:rPr>
          <w:rStyle w:val="FootnoteReference"/>
        </w:rPr>
        <w:footnoteReference w:id="106"/>
      </w:r>
      <w:r>
        <w:t xml:space="preserve"> </w:t>
      </w:r>
      <w:r>
        <w:t xml:space="preserve">“agency-self / motive-inconsistent / high-control”</w:t>
      </w:r>
      <w:r>
        <w:t xml:space="preserve"> </w:t>
      </w:r>
      <w:r>
        <w:t xml:space="preserve">pattern. Qarizadeh et al.’s polysemy analysis</w:t>
      </w:r>
      <w:r>
        <w:rPr>
          <w:rStyle w:val="FootnoteReference"/>
        </w:rPr>
        <w:footnoteReference w:id="107"/>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109" name="Picture"/>
            <a:graphic>
              <a:graphicData uri="http://schemas.openxmlformats.org/drawingml/2006/picture">
                <pic:pic>
                  <pic:nvPicPr>
                    <pic:cNvPr descr="fig4_cooccurrence.png" id="110" name="Picture"/>
                    <pic:cNvPicPr>
                      <a:picLocks noChangeArrowheads="1" noChangeAspect="1"/>
                    </pic:cNvPicPr>
                  </pic:nvPicPr>
                  <pic:blipFill>
                    <a:blip r:embed="rId108"/>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112" name="Picture"/>
            <a:graphic>
              <a:graphicData uri="http://schemas.openxmlformats.org/drawingml/2006/picture">
                <pic:pic>
                  <pic:nvPicPr>
                    <pic:cNvPr descr="fig7_centrality.png" id="113" name="Picture"/>
                    <pic:cNvPicPr>
                      <a:picLocks noChangeArrowheads="1" noChangeAspect="1"/>
                    </pic:cNvPicPr>
                  </pic:nvPicPr>
                  <pic:blipFill>
                    <a:blip r:embed="rId111"/>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114"/>
    <w:bookmarkStart w:id="11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15"/>
    <w:bookmarkStart w:id="116"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p>
      <w:r>
        <w:pict>
          <v:rect style="width:0;height:1.5pt" o:hralign="center" o:hrstd="t" o:hr="t"/>
        </w:pict>
      </w:r>
    </w:p>
    <w:bookmarkEnd w:id="116"/>
    <w:bookmarkEnd w:id="117"/>
    <w:bookmarkStart w:id="152" w:name="discussion"/>
    <w:p>
      <w:pPr>
        <w:pStyle w:val="Heading2"/>
      </w:pPr>
      <w:r>
        <w:t xml:space="preserve">5. Discussion</w:t>
      </w:r>
    </w:p>
    <w:bookmarkStart w:id="118"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18"/>
    <w:bookmarkStart w:id="125" w:name="X72b516463d2c03e5f485bcfe86cd728b07c29e4"/>
    <w:p>
      <w:pPr>
        <w:pStyle w:val="Heading3"/>
      </w:pPr>
      <w:r>
        <w:t xml:space="preserve">5.2. Convergence with contemporary emotion psychology</w:t>
      </w:r>
    </w:p>
    <w:p>
      <w:pPr>
        <w:pStyle w:val="FirstParagraph"/>
      </w:pPr>
      <w:r>
        <w:t xml:space="preserve">The Qur’anic six-stage continuum maps onto four families of contemporary emotion theory at points of structural rather than psychometric convergence — sufficient to ground the Islamic-psychology implications of §5.7 and to identify where the Qur’anic lexicon</w:t>
      </w:r>
      <w:r>
        <w:t xml:space="preserve"> </w:t>
      </w:r>
      <w:r>
        <w:rPr>
          <w:i/>
          <w:iCs/>
        </w:rPr>
        <w:t xml:space="preserve">extends</w:t>
      </w:r>
      <w:r>
        <w:t xml:space="preserve"> </w:t>
      </w:r>
      <w:r>
        <w:t xml:space="preserve">the contemporary models. The mapping operates at three levels: Gross’s process model, Spielberger’s STAXI and Plutchik’s intensity wheel, and the appraisal-theoretic apparatus of Lazarus, Scherer, and Roseman.</w:t>
      </w:r>
    </w:p>
    <w:p>
      <w:pPr>
        <w:pStyle w:val="BodyText"/>
      </w:pPr>
      <w:r>
        <w:rPr>
          <w:b/>
          <w:bCs/>
        </w:rPr>
        <w:t xml:space="preserve">Gross’s process model.</w:t>
      </w:r>
      <w:r>
        <w:t xml:space="preserve"> </w:t>
      </w:r>
      <w:r>
        <w:t xml:space="preserve">Gross (1998, 2014, 2015)</w:t>
      </w:r>
      <w:r>
        <w:rPr>
          <w:rStyle w:val="FootnoteReference"/>
        </w:rPr>
        <w:footnoteReference w:id="119"/>
      </w:r>
      <w:r>
        <w:t xml:space="preserve"> </w:t>
      </w:r>
      <w:r>
        <w:t xml:space="preserve">partitions emotion regulation into five sequential strategies along the developmental trajectory of an emotion:</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 </w:t>
      </w:r>
      <w:r>
        <w:t xml:space="preserve">— the threshold of withdrawal, where Q. 17:23 forbids even</w:t>
      </w:r>
      <w:r>
        <w:t xml:space="preserve"> </w:t>
      </w:r>
      <w:r>
        <w:rPr>
          <w:i/>
          <w:iCs/>
        </w:rPr>
        <w:t xml:space="preserve">uff</w:t>
      </w:r>
      <w:r>
        <w:t xml:space="preserve"> </w:t>
      </w:r>
      <w:r>
        <w:t xml:space="preserve">to one’s parents;</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 with</w:t>
      </w:r>
      <w:r>
        <w:t xml:space="preserve"> </w:t>
      </w:r>
      <w:r>
        <w:rPr>
          <w:i/>
          <w:iCs/>
        </w:rPr>
        <w:t xml:space="preserve">ḍīq al-ṣadr</w:t>
      </w:r>
      <w:r>
        <w:t xml:space="preserve"> </w:t>
      </w:r>
      <w:r>
        <w:t xml:space="preserve">localising the regulatory turn inward;</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 </w:t>
      </w:r>
      <w:r>
        <w:t xml:space="preserve">— the evaluative-aversive lexemes encoding cognitive reappraisal under social-religious norms;</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 in retributive or denial-of-resource directions;</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 suppression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w:t>
      </w:r>
      <w:r>
        <w:rPr>
          <w:rStyle w:val="FootnoteReference"/>
        </w:rPr>
        <w:footnoteReference w:id="120"/>
      </w:r>
      <w:r>
        <w:t xml:space="preserve"> </w:t>
      </w:r>
      <w:r>
        <w:t xml:space="preserve">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w:t>
      </w:r>
      <w:r>
        <w:t xml:space="preserve">(closest analogue:</w:t>
      </w:r>
      <w:r>
        <w:t xml:space="preserve"> </w:t>
      </w:r>
      <w:r>
        <w:rPr>
          <w:i/>
          <w:iCs/>
        </w:rPr>
        <w:t xml:space="preserve">tamayyuz</w:t>
      </w:r>
      <w:r>
        <w:t xml:space="preserve"> </w:t>
      </w:r>
      <w:r>
        <w:t xml:space="preserve">at Q. 67:8). Spielberger’s STAXI-2</w:t>
      </w:r>
      <w:r>
        <w:rPr>
          <w:rStyle w:val="FootnoteReference"/>
        </w:rPr>
        <w:footnoteReference w:id="121"/>
      </w:r>
      <w:r>
        <w:t xml:space="preserve"> </w:t>
      </w:r>
      <w:r>
        <w:t xml:space="preserve">further partitions anger into</w:t>
      </w:r>
      <w:r>
        <w:t xml:space="preserve"> </w:t>
      </w:r>
      <w:r>
        <w:rPr>
          <w:i/>
          <w:iCs/>
        </w:rPr>
        <w:t xml:space="preserve">trait</w:t>
      </w:r>
      <w:r>
        <w:t xml:space="preserve"> </w:t>
      </w:r>
      <w:r>
        <w:t xml:space="preserve">(dispositional propensity),</w:t>
      </w:r>
      <w:r>
        <w:t xml:space="preserve"> </w:t>
      </w:r>
      <w:r>
        <w:rPr>
          <w:i/>
          <w:iCs/>
        </w:rPr>
        <w:t xml:space="preserve">state</w:t>
      </w:r>
      <w:r>
        <w:t xml:space="preserve"> </w:t>
      </w:r>
      <w:r>
        <w:t xml:space="preserve">(situational episode), and</w:t>
      </w:r>
      <w:r>
        <w:t xml:space="preserve"> </w:t>
      </w:r>
      <w:r>
        <w:rPr>
          <w:i/>
          <w:iCs/>
        </w:rPr>
        <w:t xml:space="preserve">control</w:t>
      </w:r>
      <w:r>
        <w:t xml:space="preserve"> </w:t>
      </w:r>
      <w:r>
        <w:t xml:space="preserve">(subdivided into</w:t>
      </w:r>
      <w:r>
        <w:t xml:space="preserve"> </w:t>
      </w:r>
      <w:r>
        <w:rPr>
          <w:i/>
          <w:iCs/>
        </w:rPr>
        <w:t xml:space="preserve">anger-in</w:t>
      </w:r>
      <w:r>
        <w:t xml:space="preserve">,</w:t>
      </w:r>
      <w:r>
        <w:t xml:space="preserve"> </w:t>
      </w:r>
      <w:r>
        <w:rPr>
          <w:i/>
          <w:iCs/>
        </w:rPr>
        <w:t xml:space="preserve">anger-out</w:t>
      </w:r>
      <w:r>
        <w:t xml:space="preserve">,</w:t>
      </w:r>
      <w:r>
        <w:t xml:space="preserve"> </w:t>
      </w:r>
      <w:r>
        <w:rPr>
          <w:i/>
          <w:iCs/>
        </w:rPr>
        <w:t xml:space="preserve">anger-control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 </w:t>
      </w:r>
      <w:r>
        <w:t xml:space="preserve">as discursively-specialised divine displeasure toward the</w:t>
      </w:r>
      <w:r>
        <w:t xml:space="preserve"> </w:t>
      </w:r>
      <w:r>
        <w:rPr>
          <w:i/>
          <w:iCs/>
        </w:rPr>
        <w:t xml:space="preserve">Munāfiqūn</w:t>
      </w:r>
      <w:r>
        <w:t xml:space="preserve">,</w:t>
      </w:r>
      <w:r>
        <w:t xml:space="preserve"> </w:t>
      </w:r>
      <w:r>
        <w:rPr>
          <w:i/>
          <w:iCs/>
        </w:rPr>
        <w:t xml:space="preserve">maqt</w:t>
      </w:r>
      <w:r>
        <w:t xml:space="preserve"> </w:t>
      </w:r>
      <w:r>
        <w:t xml:space="preserve">as evaluative-aversive response to an observed</w:t>
      </w:r>
      <w:r>
        <w:t xml:space="preserve"> </w:t>
      </w:r>
      <w:r>
        <w:rPr>
          <w:i/>
          <w:iCs/>
        </w:rPr>
        <w:t xml:space="preserve">qabīḥ</w:t>
      </w:r>
      <w:r>
        <w:t xml:space="preserve">,</w:t>
      </w:r>
      <w:r>
        <w:t xml:space="preserve"> </w:t>
      </w:r>
      <w:r>
        <w:rPr>
          <w:i/>
          <w:iCs/>
        </w:rPr>
        <w:t xml:space="preserve">ghaḍab</w:t>
      </w:r>
      <w:r>
        <w:t xml:space="preserve"> </w:t>
      </w:r>
      <w:r>
        <w:t xml:space="preserve">as the unmarked anger-episode);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 Lazarus → Scherer → Roseman)</w:t>
      </w:r>
      <w:r>
        <w:rPr>
          <w:rStyle w:val="FootnoteReference"/>
        </w:rPr>
        <w:footnoteReference w:id="122"/>
      </w:r>
      <w:r>
        <w:t xml:space="preserve"> </w:t>
      </w:r>
      <w:r>
        <w:t xml:space="preserve">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w:t>
      </w:r>
      <w:r>
        <w:rPr>
          <w:rStyle w:val="FootnoteReference"/>
        </w:rPr>
        <w:footnoteReference w:id="123"/>
      </w:r>
      <w:r>
        <w:t xml:space="preserve"> </w:t>
      </w:r>
      <w:r>
        <w:t xml:space="preserve">specifies four sequential checks (</w:t>
      </w:r>
      <w:r>
        <w:rPr>
          <w:i/>
          <w:iCs/>
        </w:rPr>
        <w:t xml:space="preserve">relevance</w:t>
      </w:r>
      <w:r>
        <w:t xml:space="preserve">,</w:t>
      </w:r>
      <w:r>
        <w:t xml:space="preserve"> </w:t>
      </w:r>
      <w:r>
        <w:rPr>
          <w:i/>
          <w:iCs/>
        </w:rPr>
        <w:t xml:space="preserve">implications</w:t>
      </w:r>
      <w:r>
        <w:t xml:space="preserve">,</w:t>
      </w:r>
      <w:r>
        <w:t xml:space="preserve"> </w:t>
      </w:r>
      <w:r>
        <w:rPr>
          <w:i/>
          <w:iCs/>
        </w:rPr>
        <w:t xml:space="preserve">coping potential</w:t>
      </w:r>
      <w:r>
        <w:t xml:space="preserve">,</w:t>
      </w:r>
      <w:r>
        <w:t xml:space="preserve"> </w:t>
      </w:r>
      <w:r>
        <w:rPr>
          <w:i/>
          <w:iCs/>
        </w:rPr>
        <w:t xml:space="preserve">normative significance</w:t>
      </w:r>
      <w:r>
        <w:t xml:space="preserve">);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Roseman’s appraisal grid</w:t>
      </w:r>
      <w:r>
        <w:rPr>
          <w:rStyle w:val="FootnoteReference"/>
        </w:rPr>
        <w:footnoteReference w:id="124"/>
      </w:r>
      <w:r>
        <w:t xml:space="preserve"> </w:t>
      </w:r>
      <w:r>
        <w:t xml:space="preserve">orders emotions by five dimensions (</w:t>
      </w:r>
      <w:r>
        <w:rPr>
          <w:i/>
          <w:iCs/>
        </w:rPr>
        <w:t xml:space="preserve">situational state</w:t>
      </w:r>
      <w:r>
        <w:t xml:space="preserve">,</w:t>
      </w:r>
      <w:r>
        <w:t xml:space="preserve"> </w:t>
      </w:r>
      <w:r>
        <w:rPr>
          <w:i/>
          <w:iCs/>
        </w:rPr>
        <w:t xml:space="preserve">motivational state</w:t>
      </w:r>
      <w:r>
        <w:t xml:space="preserve">,</w:t>
      </w:r>
      <w:r>
        <w:t xml:space="preserve"> </w:t>
      </w:r>
      <w:r>
        <w:rPr>
          <w:i/>
          <w:iCs/>
        </w:rPr>
        <w:t xml:space="preserve">probability</w:t>
      </w:r>
      <w:r>
        <w:t xml:space="preserve">,</w:t>
      </w:r>
      <w:r>
        <w:t xml:space="preserve"> </w:t>
      </w:r>
      <w:r>
        <w:rPr>
          <w:i/>
          <w:iCs/>
        </w:rPr>
        <w:t xml:space="preserve">agency</w:t>
      </w:r>
      <w:r>
        <w:t xml:space="preserve">,</w:t>
      </w:r>
      <w:r>
        <w:t xml:space="preserve"> </w:t>
      </w:r>
      <w:r>
        <w:rPr>
          <w:i/>
          <w:iCs/>
        </w:rPr>
        <w:t xml:space="preserve">control potential</w:t>
      </w:r>
      <w:r>
        <w:t xml:space="preserve">). Q. 96:6–7 (</w:t>
      </w:r>
      <w:r>
        <w:rPr>
          <w:i/>
          <w:iCs/>
        </w:rPr>
        <w:t xml:space="preserve">kallā inna al-insāna la-yaṭghā · an raʾāhu staġnā</w:t>
      </w:r>
      <w:r>
        <w:t xml:space="preserve">)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producing the</w:t>
      </w:r>
      <w:r>
        <w:t xml:space="preserve"> </w:t>
      </w:r>
      <w:r>
        <w:rPr>
          <w:i/>
          <w:iCs/>
        </w:rPr>
        <w:t xml:space="preserve">agency-self / motive-consistent / high-control</w:t>
      </w:r>
      <w:r>
        <w:t xml:space="preserve"> </w:t>
      </w:r>
      <w:r>
        <w:t xml:space="preserve">pattern Roseman would predict for defiance / contempt. The Qur’anic</w:t>
      </w:r>
      <w:r>
        <w:t xml:space="preserve"> </w:t>
      </w:r>
      <w:r>
        <w:rPr>
          <w:i/>
          <w:iCs/>
        </w:rPr>
        <w:t xml:space="preserve">ṭughyān</w:t>
      </w:r>
      <w:r>
        <w:t xml:space="preserve"> </w:t>
      </w:r>
      <w:r>
        <w:t xml:space="preserve">is, on this reading, a textbook instance of Roseman’s appraisal pattern lexicalised under a single root in the seventh century that twentieth-century cognitive appraisal theory has independently re-derived. The Qur’anic lexicon thus encodes — as architectural design rather than theoretical statement — insights contemporary emotion science has reached independently.</w:t>
      </w:r>
    </w:p>
    <w:bookmarkEnd w:id="125"/>
    <w:bookmarkStart w:id="126"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26"/>
    <w:bookmarkStart w:id="132"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27"/>
      </w:r>
      <w:r>
        <w:t xml:space="preserve"> </w:t>
      </w:r>
      <w:r>
        <w:t xml:space="preserve">and Sinai on Meccan/Medinan diachrony</w:t>
      </w:r>
      <w:r>
        <w:rPr>
          <w:rStyle w:val="FootnoteReference"/>
        </w:rPr>
        <w:footnoteReference w:id="128"/>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29"/>
      </w:r>
      <w:r>
        <w:t xml:space="preserve"> </w:t>
      </w:r>
      <w:r>
        <w:t xml:space="preserve">and the QuranMorph</w:t>
      </w:r>
      <w:r>
        <w:rPr>
          <w:rStyle w:val="FootnoteReference"/>
        </w:rPr>
        <w:footnoteReference w:id="130"/>
      </w:r>
      <w:r>
        <w:t xml:space="preserve"> </w:t>
      </w:r>
      <w:r>
        <w:t xml:space="preserve">and MASAQ</w:t>
      </w:r>
      <w:r>
        <w:rPr>
          <w:rStyle w:val="FootnoteReference"/>
        </w:rPr>
        <w:footnoteReference w:id="131"/>
      </w:r>
      <w:r>
        <w:t xml:space="preserve"> </w:t>
      </w:r>
      <w:r>
        <w:t xml:space="preserve">extensions of the Dukes corpus.</w:t>
      </w:r>
    </w:p>
    <w:bookmarkEnd w:id="132"/>
    <w:bookmarkStart w:id="147" w:name="Xeb7af648a9b5037314a84f7b755228345cfdadd"/>
    <w:p>
      <w:pPr>
        <w:pStyle w:val="Heading3"/>
      </w:pPr>
      <w:r>
        <w:t xml:space="preserve">5.5. Q. 67:8 and the container metaphor: a focused comparative survey</w:t>
      </w:r>
    </w:p>
    <w:p>
      <w:pPr>
        <w:pStyle w:val="FirstParagraph"/>
      </w:pPr>
      <w:r>
        <w:t xml:space="preserve">Lakoff and Kövecses’s 1987 chapter in Holland and Quinn’s</w:t>
      </w:r>
      <w:r>
        <w:t xml:space="preserve"> </w:t>
      </w:r>
      <w:r>
        <w:rPr>
          <w:i/>
          <w:iCs/>
        </w:rPr>
        <w:t xml:space="preserve">Cultural Models</w:t>
      </w:r>
      <w:r>
        <w:rPr>
          <w:rStyle w:val="FootnoteReference"/>
        </w:rPr>
        <w:footnoteReference w:id="133"/>
      </w:r>
      <w:r>
        <w:t xml:space="preserve"> </w:t>
      </w:r>
      <w:r>
        <w:t xml:space="preserve">reconstructed the conceptual model underlying American-English anger metaphors as a</w:t>
      </w:r>
      <w:r>
        <w:t xml:space="preserve"> </w:t>
      </w:r>
      <w:r>
        <w:rPr>
          <w:i/>
          <w:iCs/>
        </w:rPr>
        <w:t xml:space="preserve">four-step trajectory</w:t>
      </w:r>
      <w:r>
        <w:t xml:space="preserve"> </w:t>
      </w:r>
      <w:r>
        <w:t xml:space="preserve">on the PRESSURIZED CONTAINER schema: (i) anger is a hot fluid in a container (pp. 197-198;</w:t>
      </w:r>
      <w:r>
        <w:t xml:space="preserve"> </w:t>
      </w:r>
      <w:r>
        <w:rPr>
          <w:i/>
          <w:iCs/>
        </w:rPr>
        <w:t xml:space="preserve">filled with anger</w:t>
      </w:r>
      <w:r>
        <w:t xml:space="preserve">,</w:t>
      </w:r>
      <w:r>
        <w:t xml:space="preserve"> </w:t>
      </w:r>
      <w:r>
        <w:rPr>
          <w:i/>
          <w:iCs/>
        </w:rPr>
        <w:t xml:space="preserve">contain her rage</w:t>
      </w:r>
      <w:r>
        <w:t xml:space="preserve">); (ii) intensity raises the pressure (pp. 198-200;</w:t>
      </w:r>
      <w:r>
        <w:t xml:space="preserve"> </w:t>
      </w:r>
      <w:r>
        <w:rPr>
          <w:i/>
          <w:iCs/>
        </w:rPr>
        <w:t xml:space="preserve">bursting with anger</w:t>
      </w:r>
      <w:r>
        <w:t xml:space="preserve">,</w:t>
      </w:r>
      <w:r>
        <w:t xml:space="preserve"> </w:t>
      </w:r>
      <w:r>
        <w:rPr>
          <w:i/>
          <w:iCs/>
        </w:rPr>
        <w:t xml:space="preserve">about to explode</w:t>
      </w:r>
      <w:r>
        <w:t xml:space="preserve">); (iii) containment attempts (pp. 200-202;</w:t>
      </w:r>
      <w:r>
        <w:t xml:space="preserve"> </w:t>
      </w:r>
      <w:r>
        <w:rPr>
          <w:i/>
          <w:iCs/>
        </w:rPr>
        <w:t xml:space="preserve">keep it in</w:t>
      </w:r>
      <w:r>
        <w:t xml:space="preserve">,</w:t>
      </w:r>
      <w:r>
        <w:t xml:space="preserve"> </w:t>
      </w:r>
      <w:r>
        <w:rPr>
          <w:i/>
          <w:iCs/>
        </w:rPr>
        <w:t xml:space="preserve">bottle it up</w:t>
      </w:r>
      <w:r>
        <w:t xml:space="preserve">); (iv) container failure (pp. 202-205;</w:t>
      </w:r>
      <w:r>
        <w:t xml:space="preserve"> </w:t>
      </w:r>
      <w:r>
        <w:rPr>
          <w:i/>
          <w:iCs/>
        </w:rPr>
        <w:t xml:space="preserve">exploded</w:t>
      </w:r>
      <w:r>
        <w:t xml:space="preserve">,</w:t>
      </w:r>
      <w:r>
        <w:t xml:space="preserve"> </w:t>
      </w:r>
      <w:r>
        <w:rPr>
          <w:i/>
          <w:iCs/>
        </w:rPr>
        <w:t xml:space="preserve">blew his top</w:t>
      </w:r>
      <w:r>
        <w:t xml:space="preserve">,</w:t>
      </w:r>
      <w:r>
        <w:t xml:space="preserve"> </w:t>
      </w:r>
      <w:r>
        <w:rPr>
          <w:i/>
          <w:iCs/>
        </w:rPr>
        <w:t xml:space="preserve">flipped his lid</w:t>
      </w:r>
      <w:r>
        <w:t xml:space="preserve">) — in which the English exemplars lexicalise the failure-mode as the</w:t>
      </w:r>
      <w:r>
        <w:t xml:space="preserve"> </w:t>
      </w:r>
      <w:r>
        <w:rPr>
          <w:i/>
          <w:iCs/>
        </w:rPr>
        <w:t xml:space="preserve">exit of contents</w:t>
      </w:r>
      <w:r>
        <w:t xml:space="preserve"> </w:t>
      </w:r>
      <w:r>
        <w:t xml:space="preserve">with the container preserved or only metonymically displaced.</w:t>
      </w:r>
    </w:p>
    <w:p>
      <w:pPr>
        <w:pStyle w:val="BodyText"/>
      </w:pPr>
      <w:r>
        <w:t xml:space="preserve">The Qur’anic</w:t>
      </w:r>
      <w:r>
        <w:t xml:space="preserve"> </w:t>
      </w:r>
      <w:r>
        <w:rPr>
          <w:i/>
          <w:iCs/>
        </w:rPr>
        <w:t xml:space="preserve">ghayẓ–kaẓm–tamayyuz</w:t>
      </w:r>
      <w:r>
        <w:t xml:space="preserve"> </w:t>
      </w:r>
      <w:r>
        <w:t xml:space="preserve">triad walks through these four steps with a precision the English exemplars do not match at step (iv). At step (i), the four authoritative lexica gloss</w:t>
      </w:r>
      <w:r>
        <w:t xml:space="preserve"> </w:t>
      </w:r>
      <w:r>
        <w:rPr>
          <w:i/>
          <w:iCs/>
        </w:rPr>
        <w:t xml:space="preserve">ghayẓ</w:t>
      </w:r>
      <w:r>
        <w:t xml:space="preserve"> </w:t>
      </w:r>
      <w:r>
        <w:t xml:space="preserve">as compressed contained anger (al-Rāghib:</w:t>
      </w:r>
      <w:r>
        <w:t xml:space="preserve"> </w:t>
      </w:r>
      <w:r>
        <w:rPr>
          <w:i/>
          <w:iCs/>
        </w:rPr>
        <w:t xml:space="preserve">ashadd al-ġaḍab</w:t>
      </w:r>
      <w:r>
        <w:t xml:space="preserve">; al-Mostafawī:</w:t>
      </w:r>
      <w:r>
        <w:t xml:space="preserve"> </w:t>
      </w:r>
      <w:r>
        <w:rPr>
          <w:i/>
          <w:iCs/>
        </w:rPr>
        <w:t xml:space="preserve">takāthuf al-iḍṭirāb al-shadīd al-mukbūt</w:t>
      </w:r>
      <w:r>
        <w:t xml:space="preserve">). At step (ii), the syntagm</w:t>
      </w:r>
      <w:r>
        <w:t xml:space="preserve"> </w:t>
      </w:r>
      <w:r>
        <w:rPr>
          <w:i/>
          <w:iCs/>
        </w:rPr>
        <w:t xml:space="preserve">imtilāʾ al-nafs bi-l-ġayẓ</w:t>
      </w:r>
      <w:r>
        <w:t xml:space="preserve"> </w:t>
      </w:r>
      <w:r>
        <w:t xml:space="preserve">encodes the rising-pressure step morphologically. At step (iii),</w:t>
      </w:r>
      <w:r>
        <w:t xml:space="preserve"> </w:t>
      </w:r>
      <w:r>
        <w:rPr>
          <w:i/>
          <w:iCs/>
        </w:rPr>
        <w:t xml:space="preserve">kaẓm</w:t>
      </w:r>
      <w:r>
        <w:t xml:space="preserve"> </w:t>
      </w:r>
      <w:r>
        <w:t xml:space="preserve">(Q. 3:134</w:t>
      </w:r>
      <w:r>
        <w:t xml:space="preserve"> </w:t>
      </w:r>
      <w:r>
        <w:rPr>
          <w:i/>
          <w:iCs/>
        </w:rPr>
        <w:t xml:space="preserve">al-kāẓimīn al-ġayẓ</w:t>
      </w:r>
      <w:r>
        <w:t xml:space="preserve">) — etymologically the tying-off of a waterskin — names the agent-internal suppression operation in a single lexical operation, where Lakoff and Kövecses (p. 201) require</w:t>
      </w:r>
      <w:r>
        <w:t xml:space="preserve"> </w:t>
      </w:r>
      <w:r>
        <w:rPr>
          <w:i/>
          <w:iCs/>
        </w:rPr>
        <w:t xml:space="preserve">the lid</w:t>
      </w:r>
      <w:r>
        <w:t xml:space="preserve">,</w:t>
      </w:r>
      <w:r>
        <w:t xml:space="preserve"> </w:t>
      </w:r>
      <w:r>
        <w:rPr>
          <w:i/>
          <w:iCs/>
        </w:rPr>
        <w:t xml:space="preserve">the cork</w:t>
      </w:r>
      <w:r>
        <w:t xml:space="preserve">,</w:t>
      </w:r>
      <w:r>
        <w:t xml:space="preserve"> </w:t>
      </w:r>
      <w:r>
        <w:rPr>
          <w:i/>
          <w:iCs/>
        </w:rPr>
        <w:t xml:space="preserve">the cap</w:t>
      </w:r>
      <w:r>
        <w:t xml:space="preserve">,</w:t>
      </w:r>
      <w:r>
        <w:t xml:space="preserve"> </w:t>
      </w:r>
      <w:r>
        <w:rPr>
          <w:i/>
          <w:iCs/>
        </w:rPr>
        <w:t xml:space="preserve">the bottle stopper</w:t>
      </w:r>
      <w:r>
        <w:t xml:space="preserve"> </w:t>
      </w:r>
      <w:r>
        <w:t xml:space="preserve">as four separate metaphors. At step (iv), the divergence is decisive: Q. 67:8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w:t>
      </w:r>
      <w:r>
        <w:t xml:space="preserve"> </w:t>
      </w:r>
      <w:r>
        <w:rPr>
          <w:i/>
          <w:iCs/>
        </w:rPr>
        <w:t xml:space="preserve">tamayyaza</w:t>
      </w:r>
      <w:r>
        <w:t xml:space="preserve"> </w:t>
      </w:r>
      <w:r>
        <w:t xml:space="preserve">deriving from</w:t>
      </w:r>
      <w:r>
        <w:t xml:space="preserve"> </w:t>
      </w:r>
      <w:r>
        <w:rPr>
          <w:i/>
          <w:iCs/>
        </w:rPr>
        <w:t xml:space="preserve">m-y-z</w:t>
      </w:r>
      <w:r>
        <w:t xml:space="preserve"> </w:t>
      </w:r>
      <w:r>
        <w:t xml:space="preserve">“to part, to sever”</w:t>
      </w:r>
      <w:r>
        <w:t xml:space="preserve"> </w:t>
      </w:r>
      <w:r>
        <w:t xml:space="preserve">(Lisān s.v.) — figuring the fire-vessel of Jahannam</w:t>
      </w:r>
      <w:r>
        <w:t xml:space="preserve"> </w:t>
      </w:r>
      <w:r>
        <w:rPr>
          <w:i/>
          <w:iCs/>
        </w:rPr>
        <w:t xml:space="preserve">bursting apart structurally</w:t>
      </w:r>
      <w:r>
        <w:t xml:space="preserve"> </w:t>
      </w:r>
      <w:r>
        <w:t xml:space="preserve">from the rage of its contents, not the exit of contents from an intact vessel. The English-language step (iv) holds the container constant and reports the trajectory of contents; the Qur’anic step (iv) holds the rage constant and reports the trajectory of</w:t>
      </w:r>
      <w:r>
        <w:t xml:space="preserve"> </w:t>
      </w:r>
      <w:r>
        <w:rPr>
          <w:i/>
          <w:iCs/>
        </w:rPr>
        <w:t xml:space="preserve">the container</w:t>
      </w:r>
      <w:r>
        <w:t xml:space="preserve">.</w:t>
      </w:r>
    </w:p>
    <w:p>
      <w:pPr>
        <w:pStyle w:val="BodyText"/>
      </w:pPr>
      <w:r>
        <w:t xml:space="preserve">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34"/>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35"/>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36"/>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37"/>
      </w:r>
      <w:r>
        <w:t xml:space="preserve"> </w:t>
      </w:r>
      <w:r>
        <w:t xml:space="preserve">Cairns</w:t>
      </w:r>
      <w:r>
        <w:rPr>
          <w:rStyle w:val="FootnoteReference"/>
        </w:rPr>
        <w:footnoteReference w:id="138"/>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39"/>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40"/>
      </w:r>
      <w:r>
        <w:t xml:space="preserve"> </w:t>
      </w:r>
      <w:r>
        <w:t xml:space="preserve">and Kövecses, Benczes and Szelid</w:t>
      </w:r>
      <w:r>
        <w:rPr>
          <w:rStyle w:val="FootnoteReference"/>
        </w:rPr>
        <w:footnoteReference w:id="141"/>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p>
    <w:p>
      <w:pPr>
        <w:pStyle w:val="BodyText"/>
      </w:pPr>
      <w:r>
        <w:rPr>
          <w:b/>
          <w:bCs/>
        </w:rPr>
        <w:t xml:space="preserve">On Kövecses, Benczes, and Szelid (2025).</w:t>
      </w:r>
      <w:r>
        <w:t xml:space="preserve"> </w:t>
      </w:r>
      <w:r>
        <w:t xml:space="preserve">The two-volume</w:t>
      </w:r>
      <w:r>
        <w:t xml:space="preserve"> </w:t>
      </w:r>
      <w:r>
        <w:rPr>
          <w:i/>
          <w:iCs/>
        </w:rPr>
        <w:t xml:space="preserve">Metaphors of ANGER across Languages: Universality and Variation</w:t>
      </w:r>
      <w:r>
        <w:rPr>
          <w:rStyle w:val="FootnoteReference"/>
        </w:rPr>
        <w:footnoteReference w:id="142"/>
      </w:r>
      <w:r>
        <w:t xml:space="preserve"> </w:t>
      </w:r>
      <w:r>
        <w:t xml:space="preserve">is the most ambitious cross-cultural survey of anger-metaphor since Lakoff and Kövecses (1987) and supplies the proper benchmark for any new claim of cross-cultural variation in container metaphors. The encyclopedia spans twenty-two languages across volumes 1 and 2, with extended treatments of Mandarin Chinese, Japanese, Korean, Hungarian, Polish, Russian, Spanish, German, Wolof, Hausa, Yoruba, and Modern Standard Arabic (the last covered in a single chapter on present-day MSA expressions), but it</w:t>
      </w:r>
      <w:r>
        <w:t xml:space="preserve"> </w:t>
      </w:r>
      <w:r>
        <w:rPr>
          <w:i/>
          <w:iCs/>
        </w:rPr>
        <w:t xml:space="preserve">does not include a dedicated treatment of Classical Arabic or of Qur’anic anger imagery</w:t>
      </w:r>
      <w:r>
        <w:t xml:space="preserve">. The Qur’anic</w:t>
      </w:r>
      <w:r>
        <w:t xml:space="preserve"> </w:t>
      </w:r>
      <w:r>
        <w:rPr>
          <w:i/>
          <w:iCs/>
        </w:rPr>
        <w:t xml:space="preserve">ghayẓ–kaẓm–tamayyuz</w:t>
      </w:r>
      <w:r>
        <w:t xml:space="preserve"> </w:t>
      </w:r>
      <w:r>
        <w:t xml:space="preserve">triad, and Q. 67:8 in particular, appear nowhere in the two volumes. The encyclopedia’s editorial framing (Kövecses’s introduction to vol. 1) explicitly invites comparative work in traditions not represented; the present analysis can be read as a direct response to that invitation, supplying the Classical-Arabic and Qur’anic data that the 2025 encyclopedia leaves un-canvassed and contributing one new datum — Q. 67:8 — to the cross-cultural inventory of step-(iv) container-failure lexicalisations.</w:t>
      </w:r>
    </w:p>
    <w:p>
      <w:pPr>
        <w:pStyle w:val="BodyText"/>
      </w:pPr>
      <w:r>
        <w:rPr>
          <w:b/>
          <w:bCs/>
        </w:rPr>
        <w:t xml:space="preserve">Net assessment.</w:t>
      </w:r>
      <w:r>
        <w:t xml:space="preserve"> </w:t>
      </w:r>
      <w:r>
        <w:t xml:space="preserve">Five of the six traditions surveyed here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present discussion remains a</w:t>
      </w:r>
      <w:r>
        <w:t xml:space="preserve"> </w:t>
      </w:r>
      <w:r>
        <w:rPr>
          <w:i/>
          <w:iCs/>
        </w:rPr>
        <w:t xml:space="preserve">comparative</w:t>
      </w:r>
      <w:r>
        <w:t xml:space="preserve"> </w:t>
      </w:r>
      <w:r>
        <w:t xml:space="preserve">claim, not a strong universality claim: we do not assert that step-(iv) container-failure lexicalisation is universally available, only that the Qur’anic</w:t>
      </w:r>
      <w:r>
        <w:t xml:space="preserve"> </w:t>
      </w:r>
      <w:r>
        <w:rPr>
          <w:i/>
          <w:iCs/>
        </w:rPr>
        <w:t xml:space="preserve">tamayyuz</w:t>
      </w:r>
      <w:r>
        <w:t xml:space="preserve"> </w:t>
      </w:r>
      <w:r>
        <w:t xml:space="preserve">and the Hebrew</w:t>
      </w:r>
      <w:r>
        <w:t xml:space="preserve"> </w:t>
      </w:r>
      <w:r>
        <w:rPr>
          <w:i/>
          <w:iCs/>
        </w:rPr>
        <w:t xml:space="preserve">bāqaʿ</w:t>
      </w:r>
      <w:r>
        <w:t xml:space="preserve"> </w:t>
      </w:r>
      <w:r>
        <w:t xml:space="preserve">both instantiate it transparently at the lexical level.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43"/>
      </w:r>
      <w:r>
        <w:t xml:space="preserve"> </w:t>
      </w:r>
      <w:r>
        <w:t xml:space="preserve">and they extend the empirical base to seventh-century Arabic in a register that the 2025</w:t>
      </w:r>
      <w:r>
        <w:t xml:space="preserve"> </w:t>
      </w:r>
      <w:r>
        <w:rPr>
          <w:i/>
          <w:iCs/>
        </w:rPr>
        <w:t xml:space="preserve">Metaphors of ANGER</w:t>
      </w:r>
      <w:r>
        <w:t xml:space="preserve"> </w:t>
      </w:r>
      <w:r>
        <w:t xml:space="preserve">encyclopedia, conspicuously omitting Classical Arabic, leaves un-canvassed.</w:t>
      </w:r>
    </w:p>
    <w:p>
      <w:pPr>
        <w:pStyle w:val="CaptionedFigure"/>
      </w:pPr>
      <w:r>
        <w:drawing>
          <wp:inline>
            <wp:extent cx="5334000" cy="2698376"/>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45" name="Picture"/>
            <a:graphic>
              <a:graphicData uri="http://schemas.openxmlformats.org/drawingml/2006/picture">
                <pic:pic>
                  <pic:nvPicPr>
                    <pic:cNvPr descr="fig6_metaphor_diagram.png" id="146" name="Picture"/>
                    <pic:cNvPicPr>
                      <a:picLocks noChangeArrowheads="1" noChangeAspect="1"/>
                    </pic:cNvPicPr>
                  </pic:nvPicPr>
                  <pic:blipFill>
                    <a:blip r:embed="rId14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47"/>
    <w:bookmarkStart w:id="150"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48"/>
      </w:r>
      <w:r>
        <w:t xml:space="preserve"> </w:t>
      </w:r>
      <w:r>
        <w:t xml:space="preserve">on sentiment preservation across seven English translations and the ELQV emotion-labelled dataset of 2,100 Qur’anic verses</w:t>
      </w:r>
      <w:r>
        <w:rPr>
          <w:rStyle w:val="FootnoteReference"/>
        </w:rPr>
        <w:footnoteReference w:id="149"/>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50"/>
    <w:bookmarkStart w:id="151"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51"/>
    <w:bookmarkEnd w:id="152"/>
    <w:bookmarkStart w:id="161" w:name="conclusion"/>
    <w:p>
      <w:pPr>
        <w:pStyle w:val="Heading2"/>
      </w:pPr>
      <w:r>
        <w:t xml:space="preserve">6. Conclusion</w:t>
      </w:r>
    </w:p>
    <w:bookmarkStart w:id="155"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53"/>
      </w:r>
      <w:r>
        <w:t xml:space="preserve"> </w:t>
      </w:r>
      <w:r>
        <w:t xml:space="preserve">and Pakatchi</w:t>
      </w:r>
      <w:r>
        <w:rPr>
          <w:rStyle w:val="FootnoteReference"/>
        </w:rPr>
        <w:footnoteReference w:id="154"/>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55"/>
    <w:bookmarkStart w:id="156" w:name="answers-to-the-research-questions"/>
    <w:p>
      <w:pPr>
        <w:pStyle w:val="Heading3"/>
      </w:pPr>
      <w:r>
        <w:t xml:space="preserve">6.2. Answers to the research questions</w:t>
      </w:r>
    </w:p>
    <w:p>
      <w:pPr>
        <w:pStyle w:val="FirstParagraph"/>
      </w:pPr>
      <w:r>
        <w:rPr>
          <w:b/>
          <w:bCs/>
        </w:rPr>
        <w:t xml:space="preserve">RQ1 (internal structure of the field and principal nodes).</w:t>
      </w:r>
      <w:r>
        <w:t xml:space="preserve"> </w:t>
      </w:r>
      <w:r>
        <w:t xml:space="preserve">The Qur’anic anger-spectrum field is a fourteen-node lexical network organised around two structural roles. The bridge node is</w:t>
      </w:r>
      <w:r>
        <w:t xml:space="preserve"> </w:t>
      </w:r>
      <w:r>
        <w:rPr>
          <w:i/>
          <w:iCs/>
        </w:rPr>
        <w:t xml:space="preserve">baghy</w:t>
      </w:r>
      <w:r>
        <w:t xml:space="preserve">, with the highest point-estimate closeness centrality (0.55) and the heaviest cross-field connectivity to the umbrella moral-evaluation terms (16 aya-level co-occurrences with</w:t>
      </w:r>
      <w:r>
        <w:t xml:space="preserve"> </w:t>
      </w:r>
      <w:r>
        <w:rPr>
          <w:i/>
          <w:iCs/>
        </w:rPr>
        <w:t xml:space="preserve">ẓulm</w:t>
      </w:r>
      <w:r>
        <w:t xml:space="preserve">/</w:t>
      </w:r>
      <w:r>
        <w:rPr>
          <w:i/>
          <w:iCs/>
        </w:rPr>
        <w:t xml:space="preserve">jrm</w:t>
      </w:r>
      <w:r>
        <w:t xml:space="preserve">/</w:t>
      </w:r>
      <w:r>
        <w:rPr>
          <w:i/>
          <w:iCs/>
        </w:rPr>
        <w:t xml:space="preserve">fsq</w:t>
      </w:r>
      <w:r>
        <w:t xml:space="preserve">/</w:t>
      </w:r>
      <w:r>
        <w:rPr>
          <w:i/>
          <w:iCs/>
        </w:rPr>
        <w:t xml:space="preserve">ʿadāwah</w:t>
      </w:r>
      <w:r>
        <w:t xml:space="preserve">/</w:t>
      </w:r>
      <w:r>
        <w:rPr>
          <w:i/>
          <w:iCs/>
        </w:rPr>
        <w:t xml:space="preserve">shanaʾān</w:t>
      </w:r>
      <w:r>
        <w:t xml:space="preserve"> </w:t>
      </w:r>
      <w:r>
        <w:t xml:space="preserve">— ~53% of the total cross-field ties for the fourteen spectrum roots). Stage-internal hubs are</w:t>
      </w:r>
      <w:r>
        <w:t xml:space="preserve"> </w:t>
      </w:r>
      <w:r>
        <w:rPr>
          <w:i/>
          <w:iCs/>
        </w:rPr>
        <w:t xml:space="preserve">ḥuzn</w:t>
      </w:r>
      <w:r>
        <w:t xml:space="preserve"> </w:t>
      </w:r>
      <w:r>
        <w:t xml:space="preserve">(Stage 2, 42 attestations, 88% verbal) and</w:t>
      </w:r>
      <w:r>
        <w:t xml:space="preserve"> </w:t>
      </w:r>
      <w:r>
        <w:rPr>
          <w:i/>
          <w:iCs/>
        </w:rPr>
        <w:t xml:space="preserve">ghaḍab</w:t>
      </w:r>
      <w:r>
        <w:t xml:space="preserve"> </w:t>
      </w:r>
      <w:r>
        <w:t xml:space="preserve">(Stage 4, 24 attestations, 67% nominal), with the</w:t>
      </w:r>
      <w:r>
        <w:t xml:space="preserve"> </w:t>
      </w:r>
      <w:r>
        <w:rPr>
          <w:i/>
          <w:iCs/>
        </w:rPr>
        <w:t xml:space="preserve">ḥzn–ḍyq</w:t>
      </w:r>
      <w:r>
        <w:t xml:space="preserve"> </w:t>
      </w:r>
      <w:r>
        <w:t xml:space="preserve">edge (weight 3) the strongest single tie in the network. Several peripheral nodes —</w:t>
      </w:r>
      <w:r>
        <w:t xml:space="preserve">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w:t>
      </w:r>
      <w:r>
        <w:t xml:space="preserve">— exhibit marked distributional asymmetries that we interpret as instances of discursive-contextual specialisation (§5.4).</w:t>
      </w:r>
    </w:p>
    <w:p>
      <w:pPr>
        <w:pStyle w:val="BodyText"/>
      </w:pPr>
      <w:r>
        <w:rPr>
          <w:b/>
          <w:bCs/>
        </w:rPr>
        <w:t xml:space="preserve">RQ2 (continuum ordering and theoretical legitimation).</w:t>
      </w:r>
      <w:r>
        <w:t xml:space="preserve"> </w:t>
      </w:r>
      <w:r>
        <w:t xml:space="preserve">The fourteen lexemes order on a six-stage continuum — pre-anger displeasure, inner pressure and contraction, evaluative aversion, active anger, compressed/explosive rage, behavioural outcomes (with bidirectional-causation caveat) — organised by the composite dimension of</w:t>
      </w:r>
      <w:r>
        <w:t xml:space="preserve"> </w:t>
      </w:r>
      <w:r>
        <w:rPr>
          <w:i/>
          <w:iCs/>
        </w:rPr>
        <w:t xml:space="preserve">intensity of action</w:t>
      </w:r>
      <w:r>
        <w:t xml:space="preserve">: locus (inner → outer), experiential intensity (low → high), and scope of consequence (individual → structural). The ordering is licensed by the trifold theoretical synthesis of §2: Izutsu’s semantic-field method fixes the field boundary, the Kennedy–Sassoon scalar-semantic apparatus supplies the dimension and the ordering relation, and Lakoff–Kövecses CMT grounds the climactic</w:t>
      </w:r>
      <w:r>
        <w:t xml:space="preserve"> </w:t>
      </w:r>
      <w:r>
        <w:rPr>
          <w:i/>
          <w:iCs/>
        </w:rPr>
        <w:t xml:space="preserve">ghayẓ–kaẓm–tamayyuz</w:t>
      </w:r>
      <w:r>
        <w:t xml:space="preserve"> </w:t>
      </w:r>
      <w:r>
        <w:t xml:space="preserve">sequence in the PRESSURIZED CONTAINER schema. The lexicographic evidence of Table 1 shows the ordering is not the construction of the present analysis but is internally encoded in the four authoritative lexica themselves, which gloss each root with progressively more externalised and structural meanings as one ascends from</w:t>
      </w:r>
      <w:r>
        <w:t xml:space="preserve"> </w:t>
      </w:r>
      <w:r>
        <w:rPr>
          <w:i/>
          <w:iCs/>
        </w:rPr>
        <w:t xml:space="preserve">uff</w:t>
      </w:r>
      <w:r>
        <w:t xml:space="preserve"> </w:t>
      </w:r>
      <w:r>
        <w:t xml:space="preserve">to</w:t>
      </w:r>
      <w:r>
        <w:t xml:space="preserve"> </w:t>
      </w:r>
      <w:r>
        <w:rPr>
          <w:i/>
          <w:iCs/>
        </w:rPr>
        <w:t xml:space="preserve">ʿutuww</w:t>
      </w:r>
      <w:r>
        <w:t xml:space="preserve">.</w:t>
      </w:r>
    </w:p>
    <w:p>
      <w:pPr>
        <w:pStyle w:val="BodyText"/>
      </w:pPr>
      <w:r>
        <w:rPr>
          <w:b/>
          <w:bCs/>
        </w:rPr>
        <w:t xml:space="preserve">RQ3 (corpus-distributional corroboration).</w:t>
      </w:r>
      <w:r>
        <w:t xml:space="preserve"> </w:t>
      </w:r>
      <w:r>
        <w:t xml:space="preserve">The empirical distribution is</w:t>
      </w:r>
      <w:r>
        <w:t xml:space="preserve"> </w:t>
      </w:r>
      <w:r>
        <w:rPr>
          <w:i/>
          <w:iCs/>
        </w:rPr>
        <w:t xml:space="preserve">consistent with</w:t>
      </w:r>
      <w:r>
        <w:t xml:space="preserve"> </w:t>
      </w:r>
      <w:r>
        <w:t xml:space="preserve">— though not by itself confirmatory of — the continuum. The asymptotic χ²(5) = 227.15 (Cohen’s</w:t>
      </w:r>
      <w:r>
        <w:t xml:space="preserve"> </w:t>
      </w:r>
      <w:r>
        <w:rPr>
          <w:i/>
          <w:iCs/>
        </w:rPr>
        <w:t xml:space="preserve">w</w:t>
      </w:r>
      <w:r>
        <w:t xml:space="preserve"> </w:t>
      </w:r>
      <w:r>
        <w:t xml:space="preserve">= 0.85) is large but the marginal-preserving permutation null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(§3.6); the substantive case rests on the qualitative evidence of §4.1 and §4.3–§4.8. The Stages 1–5 vs Stage 6 comparison</w:t>
      </w:r>
      <w:r>
        <w:t xml:space="preserve"> </w:t>
      </w:r>
      <w:r>
        <w:rPr>
          <w:i/>
          <w:iCs/>
        </w:rPr>
        <w:t xml:space="preserve">fails to reject</w:t>
      </w:r>
      <w:r>
        <w:t xml:space="preserve"> </w:t>
      </w:r>
      <w:r>
        <w:t xml:space="preserve">equal split (χ²(1) = 1.55), which we read as</w:t>
      </w:r>
      <w:r>
        <w:t xml:space="preserve"> </w:t>
      </w:r>
      <w:r>
        <w:rPr>
          <w:i/>
          <w:iCs/>
        </w:rPr>
        <w:t xml:space="preserve">consistent with</w:t>
      </w:r>
      <w:r>
        <w:t xml:space="preserve"> </w:t>
      </w:r>
      <w:r>
        <w:t xml:space="preserve">the bidirectional-causation reading of §4.8.5, the substantive support coming from the κ = 0.79-validated tafsir-coding audit (A = 26%, S = 49%, A+S = 25%; A-only re-analysis χ²(1) = 81.4,</w:t>
      </w:r>
      <w:r>
        <w:t xml:space="preserve"> </w:t>
      </w:r>
      <w:r>
        <w:rPr>
          <w:i/>
          <w:iCs/>
        </w:rPr>
        <w:t xml:space="preserve">p</w:t>
      </w:r>
      <w:r>
        <w:t xml:space="preserve"> </w:t>
      </w:r>
      <w:r>
        <w:t xml:space="preserve">&lt; 0.001). Of the four per-root distributional patterns, only the exclusively-Medinan</w:t>
      </w:r>
      <w:r>
        <w:t xml:space="preserve"> </w:t>
      </w:r>
      <w:r>
        <w:rPr>
          <w:i/>
          <w:iCs/>
        </w:rPr>
        <w:t xml:space="preserve">sakhaṭ</w:t>
      </w:r>
      <w:r>
        <w:t xml:space="preserve"> </w:t>
      </w:r>
      <w:r>
        <w:t xml:space="preserve">survives Holm-Bonferroni correction (raw</w:t>
      </w:r>
      <w:r>
        <w:t xml:space="preserve"> </w:t>
      </w:r>
      <w:r>
        <w:rPr>
          <w:i/>
          <w:iCs/>
        </w:rPr>
        <w:t xml:space="preserve">p</w:t>
      </w:r>
      <w:r>
        <w:t xml:space="preserve"> </w:t>
      </w:r>
      <w:r>
        <w:t xml:space="preserve">= 0.005, adj.</w:t>
      </w:r>
      <w:r>
        <w:t xml:space="preserve"> </w:t>
      </w:r>
      <w:r>
        <w:rPr>
          <w:i/>
          <w:iCs/>
        </w:rPr>
        <w:t xml:space="preserve">p</w:t>
      </w:r>
      <w:r>
        <w:t xml:space="preserve"> </w:t>
      </w:r>
      <w:r>
        <w:t xml:space="preserve">= 0.05, borderline); the morphological gradient (verbal S1–2 → nominal S6) and the bridging centrality profile at</w:t>
      </w:r>
      <w:r>
        <w:t xml:space="preserve"> </w:t>
      </w:r>
      <w:r>
        <w:rPr>
          <w:i/>
          <w:iCs/>
        </w:rPr>
        <w:t xml:space="preserve">baghy</w:t>
      </w:r>
      <w:r>
        <w:t xml:space="preserve"> </w:t>
      </w:r>
      <w:r>
        <w:t xml:space="preserve">(bootstrap-respecting) supply convergent corpus-internal evidence.</w:t>
      </w:r>
    </w:p>
    <w:p>
      <w:pPr>
        <w:pStyle w:val="BodyText"/>
      </w:pPr>
      <w:r>
        <w:rPr>
          <w:b/>
          <w:bCs/>
        </w:rPr>
        <w:t xml:space="preserve">RQ4 (structural homology with contemporary emotion psychology).</w:t>
      </w:r>
      <w:r>
        <w:t xml:space="preserve"> </w:t>
      </w:r>
      <w:r>
        <w:t xml:space="preserve">The Qur’anic continuum is structurally homologous with four families of contemporary emotion theory developed in §5.2: with Gross’s five-strategy process model of emotion regulation in Stages 1–5, with Plutchik’s three-level intensity wheel and Spielberger’s STAXI trait/state/control architecture in the lexical surface of the spectrum, and with the Lazarus–Scherer–Roseman appraisal apparatus in Q. 96:6–7 (where</w:t>
      </w:r>
      <w:r>
        <w:t xml:space="preserve"> </w:t>
      </w:r>
      <w:r>
        <w:rPr>
          <w:i/>
          <w:iCs/>
        </w:rPr>
        <w:t xml:space="preserve">ṭughyān</w:t>
      </w:r>
      <w:r>
        <w:t xml:space="preserve"> </w:t>
      </w:r>
      <w:r>
        <w:t xml:space="preserve">is conditioned on the appraisal of</w:t>
      </w:r>
      <w:r>
        <w:t xml:space="preserve"> </w:t>
      </w:r>
      <w:r>
        <w:rPr>
          <w:i/>
          <w:iCs/>
        </w:rPr>
        <w:t xml:space="preserve">istighnāʾ</w:t>
      </w:r>
      <w:r>
        <w:t xml:space="preserve"> </w:t>
      </w:r>
      <w:r>
        <w:t xml:space="preserve">in a textbook agency-self / motive-consistent / high-control pattern). The continuum extends beyond all four frameworks at Stage 6, where the structural-moral pathologies of</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lexicalise the moral-anthropological consequences of unmanaged emotion in a register process- and trait/state-models do not contain. The integration is qualified by the bidirectional-causation caveat of §4.8.5: Stage-6 lexemes stand in a</w:t>
      </w:r>
      <w:r>
        <w:t xml:space="preserve"> </w:t>
      </w:r>
      <w:r>
        <w:rPr>
          <w:i/>
          <w:iCs/>
        </w:rPr>
        <w:t xml:space="preserve">bidirectional</w:t>
      </w:r>
      <w:r>
        <w:t xml:space="preserve"> </w:t>
      </w:r>
      <w:r>
        <w:t xml:space="preserve">causal relation with the anger spectrum, not a deterministic downstream one.</w:t>
      </w:r>
    </w:p>
    <w:p>
      <w:pPr>
        <w:pStyle w:val="BodyText"/>
      </w:pPr>
      <w:r>
        <w:rPr>
          <w:b/>
          <w:bCs/>
        </w:rPr>
        <w:t xml:space="preserve">RQ5 (practical implications for translation and Islamic psychology).</w:t>
      </w:r>
      <w:r>
        <w:t xml:space="preserve"> </w:t>
      </w:r>
      <w:r>
        <w:rPr>
          <w:i/>
          <w:iCs/>
        </w:rPr>
        <w:t xml:space="preserve">Conditional</w:t>
      </w:r>
      <w:r>
        <w:t xml:space="preserve"> </w:t>
      </w:r>
      <w:r>
        <w:t xml:space="preserve">practical implications follow at two levels. For Qur’anic translation, the analysis supplies candidate distinct-equivalent renderings for the fourteen lexemes (§5.6) and position-marking conventions that,</w:t>
      </w:r>
      <w:r>
        <w:t xml:space="preserve"> </w:t>
      </w:r>
      <w:r>
        <w:rPr>
          <w:i/>
          <w:iCs/>
        </w:rPr>
        <w:t xml:space="preserve">if confirmed</w:t>
      </w:r>
      <w:r>
        <w:t xml:space="preserve"> </w:t>
      </w:r>
      <w:r>
        <w:t xml:space="preserve">by the stratified follow-up evaluation we commend (~30 verses sampled across the six stages with multi-rater coding against the spectrum reference model and the ELQV labels), would address the systematic levelling pattern catalogued by Gaanoun and Alsuhaibani (2025). For Islamic psychology (§5.7), three applications follow: (i) early-stage</w:t>
      </w:r>
      <w:r>
        <w:t xml:space="preserve"> </w:t>
      </w:r>
      <w:r>
        <w:rPr>
          <w:i/>
          <w:iCs/>
        </w:rPr>
        <w:t xml:space="preserve">prevention</w:t>
      </w:r>
      <w:r>
        <w:t xml:space="preserve"> </w:t>
      </w:r>
      <w:r>
        <w:t xml:space="preserve">via Stages 1–2 vocabulary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supporting CBT-style affective-dysregulation interception in a culturally-grounded register; (ii)</w:t>
      </w:r>
      <w:r>
        <w:t xml:space="preserve"> </w:t>
      </w:r>
      <w:r>
        <w:rPr>
          <w:i/>
          <w:iCs/>
        </w:rPr>
        <w:t xml:space="preserve">crisis intervention</w:t>
      </w:r>
      <w:r>
        <w:t xml:space="preserve"> </w:t>
      </w:r>
      <w:r>
        <w:t xml:space="preserve">via</w:t>
      </w:r>
      <w:r>
        <w:t xml:space="preserve"> </w:t>
      </w:r>
      <w:r>
        <w:rPr>
          <w:i/>
          <w:iCs/>
        </w:rPr>
        <w:t xml:space="preserve">kaẓm</w:t>
      </w:r>
      <w:r>
        <w:t xml:space="preserve"> </w:t>
      </w:r>
      <w:r>
        <w:t xml:space="preserve">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construct with the addition of explicit moral commendation; (iii) post-failure</w:t>
      </w:r>
      <w:r>
        <w:t xml:space="preserve"> </w:t>
      </w:r>
      <w:r>
        <w:rPr>
          <w:i/>
          <w:iCs/>
        </w:rPr>
        <w:t xml:space="preserve">rehabilitation</w:t>
      </w:r>
      <w:r>
        <w:t xml:space="preserve"> </w:t>
      </w:r>
      <w:r>
        <w:t xml:space="preserve">via the</w:t>
      </w:r>
      <w:r>
        <w:t xml:space="preserve"> </w:t>
      </w:r>
      <w:r>
        <w:rPr>
          <w:i/>
          <w:iCs/>
        </w:rPr>
        <w:t xml:space="preserve">tawba</w:t>
      </w:r>
      <w:r>
        <w:t xml:space="preserve"> </w:t>
      </w:r>
      <w:r>
        <w:t xml:space="preserve">framework. All practical implications are framed as hypotheses for empirical follow-up, not as settled prescriptions.</w:t>
      </w:r>
    </w:p>
    <w:bookmarkEnd w:id="156"/>
    <w:bookmarkStart w:id="159" w:name="limitations-and-future-work"/>
    <w:p>
      <w:pPr>
        <w:pStyle w:val="Heading3"/>
      </w:pPr>
      <w:r>
        <w:t xml:space="preserve">6.3. Limitations and future work</w:t>
      </w:r>
    </w:p>
    <w:p>
      <w:pPr>
        <w:pStyle w:val="FirstParagraph"/>
      </w:pPr>
      <w:r>
        <w:t xml:space="preserve">The analysis is bounded by five limitations, each pointing to a constructive next step we frame as a Phase II research agenda for the present dataset.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 which stage clusters surface in prophetic-narrative versus legal-prescriptive versus polemical-eschatological passages — is left for future work, in dialogue with El-Awa’s relevance-theoretic framework</w:t>
      </w:r>
      <w:r>
        <w:rPr>
          <w:rStyle w:val="FootnoteReference"/>
        </w:rPr>
        <w:footnoteReference w:id="157"/>
      </w:r>
      <w:r>
        <w:t xml:space="preserve"> </w:t>
      </w:r>
      <w:r>
        <w:t xml:space="preserve">and Sinai’s Meccan/Medinan periodisation.</w:t>
      </w:r>
      <w:r>
        <w:rPr>
          <w:rStyle w:val="FootnoteReference"/>
        </w:rPr>
        <w:footnoteReference w:id="158"/>
      </w:r>
      <w:r>
        <w:t xml:space="preserve"> </w:t>
      </w:r>
      <w:r>
        <w:t xml:space="preserve">(ii)</w:t>
      </w:r>
      <w:r>
        <w:t xml:space="preserve"> </w:t>
      </w:r>
      <w:r>
        <w:rPr>
          <w:b/>
          <w:bCs/>
        </w:rPr>
        <w:t xml:space="preserve">Tafsir engagement.</w:t>
      </w:r>
      <w:r>
        <w:t xml:space="preserve"> </w:t>
      </w:r>
      <w:r>
        <w:t xml:space="preserve">A</w:t>
      </w:r>
      <w:r>
        <w:t xml:space="preserve"> </w:t>
      </w:r>
      <w:r>
        <w:rPr>
          <w:i/>
          <w:iCs/>
        </w:rPr>
        <w:t xml:space="preserve">tafsir-archive deep-dive</w:t>
      </w:r>
      <w:r>
        <w:t xml:space="preserve"> </w:t>
      </w:r>
      <w:r>
        <w:t xml:space="preserve">— systematic indexing of the fourteen-root inventory against the full classical/medieval/Sufi/modernist tradition (al-Qushayrī, the Akbarī school via</w:t>
      </w:r>
      <w:r>
        <w:t xml:space="preserve"> </w:t>
      </w:r>
      <w:r>
        <w:rPr>
          <w:i/>
          <w:iCs/>
        </w:rPr>
        <w:t xml:space="preserve">Tafsīr al-Qāshānī</w:t>
      </w:r>
      <w:r>
        <w:t xml:space="preserve"> </w:t>
      </w:r>
      <w:r>
        <w:t xml:space="preserve">and Sulamī’s</w:t>
      </w:r>
      <w:r>
        <w:t xml:space="preserve"> </w:t>
      </w:r>
      <w:r>
        <w:rPr>
          <w:i/>
          <w:iCs/>
        </w:rPr>
        <w:t xml:space="preserve">Ḥaqāʾiq</w:t>
      </w:r>
      <w:r>
        <w:t xml:space="preserve">, the Twelver tradition via al-ʿAyyāshī and al-Qummī, the Mu’tazilī tradition via Abū Muslim al-Iṣfahānī, the modernist tradition beyond the citations already made), with κ-validated multi-coder reading on contested verses — would supply deeper exegetical grounding and an empirical map of how the bidirectional-causation reading of Stage 6 is distributed across the tradition.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within which the continuum could be re-stated in the categories of classical Arabic rhetoric. (iv)</w:t>
      </w:r>
      <w:r>
        <w:t xml:space="preserve"> </w:t>
      </w:r>
      <w:r>
        <w:rPr>
          <w:b/>
          <w:bCs/>
        </w:rPr>
        <w:t xml:space="preserve">Ḥadīth integration.</w:t>
      </w:r>
      <w:r>
        <w:t xml:space="preserve"> </w:t>
      </w:r>
      <w:r>
        <w:t xml:space="preserve">A parallel concordance over Ṣaḥīḥ al-Bukhārī, Ṣaḥīḥ Muslim, and al-Kāfī would supply convergent evidence on the</w:t>
      </w:r>
      <w:r>
        <w:t xml:space="preserve"> </w:t>
      </w:r>
      <w:r>
        <w:rPr>
          <w:i/>
          <w:iCs/>
        </w:rPr>
        <w:t xml:space="preserve">kaẓm</w:t>
      </w:r>
      <w:r>
        <w:t xml:space="preserve"> </w:t>
      </w:r>
      <w:r>
        <w:t xml:space="preserve">construct 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with stage-marking protocols validated against the STAXI and Difficulties in Emotion Regulation Scale.</w:t>
      </w:r>
    </w:p>
    <w:p>
      <w:pPr>
        <w:pStyle w:val="BodyText"/>
      </w:pPr>
      <w:r>
        <w:t xml:space="preserve">Four NLP analyses are queued as Phase II follow-ups, each addressing a specific evidential limitation. (a)</w:t>
      </w:r>
      <w:r>
        <w:t xml:space="preserve"> </w:t>
      </w:r>
      <w:r>
        <w:rPr>
          <w:b/>
          <w:bCs/>
        </w:rPr>
        <w:t xml:space="preserve">AraBERT / CAMeLBERT contextual-embedding validation</w:t>
      </w:r>
      <w:r>
        <w:t xml:space="preserve"> </w:t>
      </w:r>
      <w:r>
        <w:t xml:space="preserve">— applied to the 312 attestations and clustered unsupervised (k-means / HDBSCAN), would supply an independent test of stage-recoverability: if the six manually-assigned stages emerge as separable clusters, the architecture is corroborated by a method whose stage-assignment has no human input. (b)</w:t>
      </w:r>
      <w:r>
        <w:t xml:space="preserve"> </w:t>
      </w:r>
      <w:r>
        <w:rPr>
          <w:b/>
          <w:bCs/>
        </w:rPr>
        <w:t xml:space="preserve">Cross-translation semantic-drift quantification</w:t>
      </w:r>
      <w:r>
        <w:t xml:space="preserve"> </w:t>
      </w:r>
      <w:r>
        <w:t xml:space="preserve">— a multilingual embedding model applied to the 312 attestations across 5–10 EN/FA translations would quantify the levelling effect catalogued in §4.10 and Gaanoun and Alsuhaibani (2025), supplying per-root, per-translation drift estimates against the Arabic source. (c)</w:t>
      </w:r>
      <w:r>
        <w:t xml:space="preserve"> </w:t>
      </w:r>
      <w:r>
        <w:rPr>
          <w:b/>
          <w:bCs/>
        </w:rPr>
        <w:t xml:space="preserve">Diachronic / chronological-order test</w:t>
      </w:r>
      <w:r>
        <w:t xml:space="preserve"> </w:t>
      </w:r>
      <w:r>
        <w:t xml:space="preserve">— re-coding the 312 attestations by Nöldeke or Bell chronologies (rather than binary Meccan/Medinan) and testing for stage-shift would discriminate competing models of the spectrum’s emergence. (d)</w:t>
      </w:r>
      <w:r>
        <w:t xml:space="preserve"> </w:t>
      </w:r>
      <w:r>
        <w:rPr>
          <w:b/>
          <w:bCs/>
        </w:rPr>
        <w:t xml:space="preserve">PMI-weighted collocation network</w:t>
      </w:r>
      <w:r>
        <w:t xml:space="preserve"> </w:t>
      </w:r>
      <w:r>
        <w:t xml:space="preserve">— replacing the raw aya-level co-occurrence counts of §4.8 with positive pointwise mutual information would yield a network corrected for marginal-frequency artefacts, generating a more conservative test of the</w:t>
      </w:r>
      <w:r>
        <w:t xml:space="preserve"> </w:t>
      </w:r>
      <w:r>
        <w:rPr>
          <w:i/>
          <w:iCs/>
        </w:rPr>
        <w:t xml:space="preserve">baghy</w:t>
      </w:r>
      <w:r>
        <w:t xml:space="preserve">-as-bridge claim. Each is feasible in a Colab notebook environment over the existing pipeline. The methodological commitment shaping the analysis remains: distributional, statistical, and computational evidence is a</w:t>
      </w:r>
      <w:r>
        <w:t xml:space="preserve"> </w:t>
      </w:r>
      <w:r>
        <w:rPr>
          <w:i/>
          <w:iCs/>
        </w:rPr>
        <w:t xml:space="preserve">complement to</w:t>
      </w:r>
      <w:r>
        <w:t xml:space="preserve"> </w:t>
      </w:r>
      <w:r>
        <w:t xml:space="preserve">— not a replacement for — the classical philological and exegetical tradition, and the load-bearing claims rest on the convergence of the two registers.</w:t>
      </w:r>
    </w:p>
    <w:bookmarkEnd w:id="159"/>
    <w:bookmarkStart w:id="160"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60"/>
    <w:bookmarkEnd w:id="161"/>
    <w:bookmarkStart w:id="162"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62"/>
    <w:bookmarkStart w:id="1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63"/>
    <w:bookmarkStart w:id="164" w:name="competing-interests"/>
    <w:p>
      <w:pPr>
        <w:pStyle w:val="Heading2"/>
      </w:pPr>
      <w:r>
        <w:t xml:space="preserve">Competing interests</w:t>
      </w:r>
    </w:p>
    <w:p>
      <w:pPr>
        <w:pStyle w:val="FirstParagraph"/>
      </w:pPr>
      <w:r>
        <w:t xml:space="preserve">The authors declare no competing financial or non-financial interests.</w:t>
      </w:r>
    </w:p>
    <w:bookmarkEnd w:id="164"/>
    <w:bookmarkStart w:id="165"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65"/>
    <w:bookmarkStart w:id="166"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66"/>
    <w:bookmarkStart w:id="167"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67"/>
    <w:bookmarkStart w:id="170"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68">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69"/>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70"/>
    <w:bookmarkStart w:id="174"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71"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71"/>
    <w:bookmarkStart w:id="172"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72"/>
    <w:bookmarkStart w:id="173"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Agresti, Alan.</w:t>
      </w:r>
      <w:r>
        <w:t xml:space="preserve"> </w:t>
      </w:r>
      <w:r>
        <w:rPr>
          <w:i/>
          <w:iCs/>
        </w:rPr>
        <w:t xml:space="preserve">Categorical Data Analysis</w:t>
      </w:r>
      <w:r>
        <w:t xml:space="preserve">. 3rd edn. Wiley Series in Probability and Statistics. Hoboken, NJ: John Wiley &amp; Sons, 2013. (Cited at §3.5 for exact-conditional inference on sparse contingency tables.)</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DOI: 10.2307/3001616.</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Fisher, Ronald A.</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 DOI: 10.2307/2340521.</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Mehta, Cyrus R.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 DOI: 10.2307/2288652.</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Patefield, W. M.</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(1981), pp. 91-97. DOI: 10.2307/2346669.</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Izutsu,</w:t>
      </w:r>
      <w:r>
        <w:t xml:space="preserve"> </w:t>
      </w:r>
      <w:r>
        <w:rPr>
          <w:i/>
          <w:iCs/>
        </w:rPr>
        <w:t xml:space="preserve">Structure of the Ethical Terms</w:t>
      </w:r>
      <w:r>
        <w:t xml:space="preserve">; idem,</w:t>
      </w:r>
      <w:r>
        <w:t xml:space="preserve"> </w:t>
      </w:r>
      <w:r>
        <w:rPr>
          <w:i/>
          <w:iCs/>
        </w:rPr>
        <w:t xml:space="preserve">God and Man</w:t>
      </w:r>
      <w:r>
        <w:t xml:space="preserve">; idem,</w:t>
      </w:r>
      <w:r>
        <w:t xml:space="preserve"> </w:t>
      </w:r>
      <w:r>
        <w:rPr>
          <w:i/>
          <w:iCs/>
        </w:rPr>
        <w:t xml:space="preserve">Ethico-Religious Concepts</w:t>
      </w:r>
      <w:r>
        <w:t xml:space="preserve">.</w:t>
      </w:r>
    </w:p>
  </w:footnote>
  <w:footnote w:id="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2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28">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9">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1">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32">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5">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6">
    <w:p>
      <w:pPr>
        <w:pStyle w:val="FootnoteText"/>
      </w:pPr>
      <w:r>
        <w:rPr>
          <w:rStyle w:val="FootnoteReference"/>
        </w:rPr>
        <w:footnoteRef/>
      </w:r>
      <w:r>
        <w:t xml:space="preserve"> </w:t>
      </w:r>
      <w:r>
        <w:t xml:space="preserve">Kennedy,</w:t>
      </w:r>
      <w:r>
        <w:t xml:space="preserve"> </w:t>
      </w:r>
      <w:r>
        <w:rPr>
          <w:i/>
          <w:iCs/>
        </w:rPr>
        <w:t xml:space="preserve">Projecting the Adjective</w:t>
      </w:r>
      <w:r>
        <w:t xml:space="preserve">, ch. 2; idem,</w:t>
      </w:r>
      <w:r>
        <w:t xml:space="preserve"> </w:t>
      </w:r>
      <w:r>
        <w:t xml:space="preserve">‘Vagueness and Grammar’</w:t>
      </w:r>
      <w:r>
        <w:t xml:space="preserve">, pp. 8-15; Sassoon,</w:t>
      </w:r>
      <w:r>
        <w:t xml:space="preserve"> </w:t>
      </w:r>
      <w:r>
        <w:t xml:space="preserve">‘Degree Functions of Negative Adjectives’</w:t>
      </w:r>
      <w:r>
        <w:t xml:space="preserve">.</w:t>
      </w:r>
    </w:p>
  </w:footnote>
  <w:footnote w:id="3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3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pp. 111-138 on Meccan/Medinan periodisation.</w:t>
      </w:r>
    </w:p>
  </w:footnote>
  <w:footnote w:id="39">
    <w:p>
      <w:pPr>
        <w:pStyle w:val="FootnoteText"/>
      </w:pPr>
      <w:r>
        <w:rPr>
          <w:rStyle w:val="FootnoteReference"/>
        </w:rPr>
        <w:footnoteRef/>
      </w:r>
      <w:r>
        <w:t xml:space="preserve"> </w:t>
      </w:r>
      <w:r>
        <w:t xml:space="preserve">Sinai,</w:t>
      </w:r>
      <w:r>
        <w:t xml:space="preserve"> </w:t>
      </w:r>
      <w:r>
        <w:rPr>
          <w:i/>
          <w:iCs/>
        </w:rPr>
        <w:t xml:space="preserve">Key Terms</w:t>
      </w:r>
      <w:r>
        <w:t xml:space="preserve">, esp. the entries on</w:t>
      </w:r>
      <w:r>
        <w:t xml:space="preserve"> </w:t>
      </w:r>
      <w:r>
        <w:rPr>
          <w:i/>
          <w:iCs/>
        </w:rPr>
        <w:t xml:space="preserve">baghy</w:t>
      </w:r>
      <w:r>
        <w:t xml:space="preserve"> </w:t>
      </w:r>
      <w:r>
        <w:t xml:space="preserve">and</w:t>
      </w:r>
      <w:r>
        <w:t xml:space="preserve"> </w:t>
      </w:r>
      <w:r>
        <w:rPr>
          <w:i/>
          <w:iCs/>
        </w:rPr>
        <w:t xml:space="preserve">ẓulm</w:t>
      </w:r>
      <w:r>
        <w:t xml:space="preserve">.</w:t>
      </w:r>
    </w:p>
  </w:footnote>
  <w:footnote w:id="4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41">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LREC’12 Proceedings</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42">
    <w:p>
      <w:pPr>
        <w:pStyle w:val="FootnoteText"/>
      </w:pPr>
      <w:r>
        <w:rPr>
          <w:rStyle w:val="FootnoteReference"/>
        </w:rPr>
        <w:footnoteRef/>
      </w:r>
      <w:r>
        <w:t xml:space="preserve"> </w:t>
      </w:r>
      <w:r>
        <w:t xml:space="preserve">Akra, Hammouda and Jarrar,</w:t>
      </w:r>
      <w:r>
        <w:t xml:space="preserve"> </w:t>
      </w:r>
      <w:r>
        <w:rPr>
          <w:i/>
          <w:iCs/>
        </w:rPr>
        <w:t xml:space="preserve">QuranMorph</w:t>
      </w:r>
      <w:r>
        <w:t xml:space="preserve">.</w:t>
      </w:r>
    </w:p>
  </w:footnote>
  <w:footnote w:id="43">
    <w:p>
      <w:pPr>
        <w:pStyle w:val="FootnoteText"/>
      </w:pPr>
      <w:r>
        <w:rPr>
          <w:rStyle w:val="FootnoteReference"/>
        </w:rPr>
        <w:footnoteRef/>
      </w:r>
      <w:r>
        <w:t xml:space="preserve"> </w:t>
      </w:r>
      <w:r>
        <w:t xml:space="preserve">Sawalha et al.,</w:t>
      </w:r>
      <w:r>
        <w:t xml:space="preserve"> </w:t>
      </w:r>
      <w:r>
        <w:t xml:space="preserve">‘MASAQ’</w:t>
      </w:r>
      <w:r>
        <w:t xml:space="preserve">.</w:t>
      </w:r>
    </w:p>
  </w:footnote>
  <w:footnote w:id="4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4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4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4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4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5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5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5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5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5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6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6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71">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72">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75">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w:t>
      </w:r>
    </w:p>
  </w:footnote>
  <w:footnote w:id="76">
    <w:p>
      <w:pPr>
        <w:pStyle w:val="FootnoteText"/>
      </w:pPr>
      <w:r>
        <w:rPr>
          <w:rStyle w:val="FootnoteReference"/>
        </w:rPr>
        <w:footnoteRef/>
      </w:r>
      <w:r>
        <w:t xml:space="preserve"> </w:t>
      </w:r>
      <w:r>
        <w:t xml:space="preserve">R. A. Fisher,</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w:t>
      </w:r>
    </w:p>
  </w:footnote>
  <w:footnote w:id="77">
    <w:p>
      <w:pPr>
        <w:pStyle w:val="FootnoteText"/>
      </w:pPr>
      <w:r>
        <w:rPr>
          <w:rStyle w:val="FootnoteReference"/>
        </w:rPr>
        <w:footnoteRef/>
      </w:r>
      <w:r>
        <w:t xml:space="preserve"> </w:t>
      </w:r>
      <w:r>
        <w:t xml:space="preserve">W. M. Patefield,</w:t>
      </w:r>
      <w:r>
        <w:t xml:space="preserve"> </w:t>
      </w:r>
      <w:r>
        <w:t xml:space="preserve">‘An Efficient Method of Generating Random R × C Tables with Given Row and Column Totals’</w:t>
      </w:r>
      <w:r>
        <w:t xml:space="preserve">,</w:t>
      </w:r>
      <w:r>
        <w:t xml:space="preserve"> </w:t>
      </w:r>
      <w:r>
        <w:rPr>
          <w:i/>
          <w:iCs/>
        </w:rPr>
        <w:t xml:space="preserve">Applied Statistics</w:t>
      </w:r>
      <w:r>
        <w:t xml:space="preserve"> </w:t>
      </w:r>
      <w:r>
        <w:t xml:space="preserve">30:1 (1981), pp. 91-97.</w:t>
      </w:r>
    </w:p>
  </w:footnote>
  <w:footnote w:id="78">
    <w:p>
      <w:pPr>
        <w:pStyle w:val="FootnoteText"/>
      </w:pPr>
      <w:r>
        <w:rPr>
          <w:rStyle w:val="FootnoteReference"/>
        </w:rPr>
        <w:footnoteRef/>
      </w:r>
      <w:r>
        <w:t xml:space="preserve"> </w:t>
      </w:r>
      <w:r>
        <w:t xml:space="preserve">Cyrus R. Mehta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w:t>
      </w:r>
    </w:p>
  </w:footnote>
  <w:footnote w:id="79">
    <w:p>
      <w:pPr>
        <w:pStyle w:val="FootnoteText"/>
      </w:pPr>
      <w:r>
        <w:rPr>
          <w:rStyle w:val="FootnoteReference"/>
        </w:rPr>
        <w:footnoteRef/>
      </w:r>
      <w:r>
        <w:t xml:space="preserve"> </w:t>
      </w:r>
      <w:r>
        <w:t xml:space="preserve">Alan Agresti,</w:t>
      </w:r>
      <w:r>
        <w:t xml:space="preserve"> </w:t>
      </w:r>
      <w:r>
        <w:rPr>
          <w:i/>
          <w:iCs/>
        </w:rPr>
        <w:t xml:space="preserve">Categorical Data Analysis</w:t>
      </w:r>
      <w:r>
        <w:t xml:space="preserve">, 3rd edn (Hoboken, NJ: Wiley, 2013), §3.5.</w:t>
      </w:r>
    </w:p>
  </w:footnote>
  <w:footnote w:id="83">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96">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98">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101">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2">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4">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105">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106">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107">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19">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20">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21">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22">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23">
    <w:p>
      <w:pPr>
        <w:pStyle w:val="FootnoteText"/>
      </w:pPr>
      <w:r>
        <w:rPr>
          <w:rStyle w:val="FootnoteReference"/>
        </w:rPr>
        <w:footnoteRef/>
      </w:r>
      <w:r>
        <w:t xml:space="preserve"> </w:t>
      </w:r>
      <w:r>
        <w:t xml:space="preserve">Scherer,</w:t>
      </w:r>
      <w:r>
        <w:t xml:space="preserve"> </w:t>
      </w:r>
      <w:r>
        <w:t xml:space="preserve">‘Appraisal Considered as a Process’</w:t>
      </w:r>
      <w:r>
        <w:t xml:space="preserve">, pp. 92-120; idem,</w:t>
      </w:r>
      <w:r>
        <w:t xml:space="preserve"> </w:t>
      </w:r>
      <w:r>
        <w:t xml:space="preserve">‘What Are Emotions?’</w:t>
      </w:r>
      <w:r>
        <w:t xml:space="preserve">, pp. 695-729.</w:t>
      </w:r>
    </w:p>
  </w:footnote>
  <w:footnote w:id="124">
    <w:p>
      <w:pPr>
        <w:pStyle w:val="FootnoteText"/>
      </w:pPr>
      <w:r>
        <w:rPr>
          <w:rStyle w:val="FootnoteReference"/>
        </w:rPr>
        <w:footnoteRef/>
      </w:r>
      <w:r>
        <w:t xml:space="preserve"> </w:t>
      </w:r>
      <w:r>
        <w:t xml:space="preserve">Roseman,</w:t>
      </w:r>
      <w:r>
        <w:t xml:space="preserve"> </w:t>
      </w:r>
      <w:r>
        <w:t xml:space="preserve">‘Appraisal Determinants’</w:t>
      </w:r>
      <w:r>
        <w:t xml:space="preserve">, pp. 241-277.</w:t>
      </w:r>
    </w:p>
  </w:footnote>
  <w:footnote w:id="127">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28">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29">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30">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31">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3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134">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35">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36">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37">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38">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39">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40">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41">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2">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48">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49">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5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5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57">
    <w:p>
      <w:pPr>
        <w:pStyle w:val="FootnoteText"/>
      </w:pPr>
      <w:r>
        <w:rPr>
          <w:rStyle w:val="FootnoteReference"/>
        </w:rPr>
        <w:footnoteRef/>
      </w:r>
      <w:r>
        <w:t xml:space="preserve"> </w:t>
      </w:r>
      <w:r>
        <w:t xml:space="preserve">El-Awa,</w:t>
      </w:r>
      <w:r>
        <w:t xml:space="preserve"> </w:t>
      </w:r>
      <w:r>
        <w:rPr>
          <w:i/>
          <w:iCs/>
        </w:rPr>
        <w:t xml:space="preserve">Textual Relations</w:t>
      </w:r>
      <w:r>
        <w:t xml:space="preserve">.</w:t>
      </w:r>
    </w:p>
  </w:footnote>
  <w:footnote w:id="15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idem,</w:t>
      </w:r>
      <w:r>
        <w:t xml:space="preserve"> </w:t>
      </w:r>
      <w:r>
        <w:rPr>
          <w:i/>
          <w:iCs/>
        </w:rPr>
        <w:t xml:space="preserve">Key Terms</w:t>
      </w:r>
      <w:r>
        <w:t xml:space="preserve">.</w:t>
      </w:r>
    </w:p>
  </w:footnote>
  <w:footnote w:id="1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8" Target="media/rId108.png" /><Relationship Type="http://schemas.openxmlformats.org/officeDocument/2006/relationships/image" Id="rId90" Target="media/rId90.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16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6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2026-05-13T06:49:05Z</dcterms:created>
  <dcterms:modified xsi:type="dcterms:W3CDTF">2026-05-13T06:49:05Z</dcterms:modified>
</cp:coreProperties>
</file>

<file path=docProps/custom.xml><?xml version="1.0" encoding="utf-8"?>
<Properties xmlns="http://schemas.openxmlformats.org/officeDocument/2006/custom-properties" xmlns:vt="http://schemas.openxmlformats.org/officeDocument/2006/docPropsVTypes"/>
</file>