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jpg" ContentType="image/jpeg"/>
  <Override PartName="/word/media/rId20.jpg" ContentType="image/jpe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14b3e27be245a6dd69cd6359c8274cc7bcd485"/>
    <w:p>
      <w:pPr>
        <w:pStyle w:val="Heading1"/>
      </w:pPr>
      <w:r>
        <w:t xml:space="preserve">Supplementary Material: Computational Corroboration Analyses (S1–S4)</w:t>
      </w:r>
    </w:p>
    <w:p>
      <w:pPr>
        <w:pStyle w:val="FirstParagraph"/>
      </w:pPr>
      <w:r>
        <w:t xml:space="preserve">This supplement accompanies</w:t>
      </w:r>
      <w:r>
        <w:t xml:space="preserve"> </w:t>
      </w:r>
      <w:r>
        <w:t xml:space="preserve">“The Phenomenology of the Anger Spectrum in the Qur’an: A Six-Stage Semantic-Network Analysis”</w:t>
      </w:r>
      <w:r>
        <w:t xml:space="preserve"> </w:t>
      </w:r>
      <w:r>
        <w:t xml:space="preserve">(Jabbary and Jabbary) and reports four computational corroboration analyses referenced collectively at the end of §4 of the main manuscript. The analyses extend the main pipeline with neural-language-model and information-theoretic measurements applied to the same 312 attestations of the fourteen-root spectrum over the Quranic Arabic Corpus (Dukes 2011). All outputs are reproducible from</w:t>
      </w:r>
      <w:r>
        <w:t xml:space="preserve"> </w:t>
      </w:r>
      <w:r>
        <w:rPr>
          <w:rStyle w:val="VerbatimChar"/>
        </w:rPr>
        <w:t xml:space="preserve">nlp_upgrade_colab.py</w:t>
      </w:r>
      <w:r>
        <w:t xml:space="preserve"> </w:t>
      </w:r>
      <w:r>
        <w:t xml:space="preserve">against the committed</w:t>
      </w:r>
      <w:r>
        <w:t xml:space="preserve"> </w:t>
      </w:r>
      <w:r>
        <w:rPr>
          <w:rStyle w:val="VerbatimChar"/>
        </w:rPr>
        <w:t xml:space="preserve">outputs/nlp_upgrade/</w:t>
      </w:r>
      <w:r>
        <w:t xml:space="preserve"> </w:t>
      </w:r>
      <w:r>
        <w:t xml:space="preserve">directory; figures S1–S3 (referenced in the main manuscript as fig9, fig10, fig11) are stored in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alongside the principal figures.</w:t>
      </w:r>
    </w:p>
    <w:bookmarkStart w:id="23" w:name="s1.-cross-translation-semantic-drift"/>
    <w:p>
      <w:pPr>
        <w:pStyle w:val="Heading2"/>
      </w:pPr>
      <w:r>
        <w:t xml:space="preserve">S1. Cross-translation semantic drift</w:t>
      </w:r>
    </w:p>
    <w:p>
      <w:pPr>
        <w:pStyle w:val="FirstParagraph"/>
      </w:pPr>
      <w:r>
        <w:t xml:space="preserve">We complement the illustrative reading of §4.10 of the main manuscript with a corpus-wide quantification of inter-translator divergence. For each of the 312 spectrum attestations we collected ten parallel renderings — five English (Sahih International, Pickthall, Yusuf Ali, Arberry, Maududi) and five Persian (Fooladvand, Makarem-Shirazi, Elahi-Ghomshei, Moezzi, Ansarian) — encoded them with the multilingual sentence-transformer</w:t>
      </w:r>
      <w:r>
        <w:t xml:space="preserve"> </w:t>
      </w:r>
      <w:r>
        <w:rPr>
          <w:rStyle w:val="VerbatimChar"/>
        </w:rPr>
        <w:t xml:space="preserve">paraphrase-multilingual-mpnet-base-v2</w:t>
      </w:r>
      <w:r>
        <w:t xml:space="preserve">, and computed pairwise cosine similarity across the ten versions of each verse. Per-root mean</w:t>
      </w:r>
      <w:r>
        <w:t xml:space="preserve"> </w:t>
      </w:r>
      <w:r>
        <w:rPr>
          <w:i/>
          <w:iCs/>
        </w:rPr>
        <w:t xml:space="preserve">drift</w:t>
      </w:r>
      <w:r>
        <w:t xml:space="preserve"> </w:t>
      </w:r>
      <w:r>
        <w:t xml:space="preserve">(1 − mean pairwise cosine similarity) summarises the average semantic distance among translators.</w:t>
      </w:r>
    </w:p>
    <w:p>
      <w:pPr>
        <w:pStyle w:val="BodyText"/>
      </w:pPr>
      <w:r>
        <w:t xml:space="preserve">The per-root drift ranking (Figure S1 / fig9_embeddings_umap) divides the spectrum into three bands. Translation-stable roots (drift &lt; 0.20) cluster at the</w:t>
      </w:r>
      <w:r>
        <w:t xml:space="preserve"> </w:t>
      </w:r>
      <w:r>
        <w:rPr>
          <w:b/>
          <w:bCs/>
        </w:rPr>
        <w:t xml:space="preserve">affective core</w:t>
      </w:r>
      <w:r>
        <w:t xml:space="preserve">:</w:t>
      </w:r>
      <w:r>
        <w:t xml:space="preserve"> </w:t>
      </w:r>
      <w:r>
        <w:rPr>
          <w:i/>
          <w:iCs/>
        </w:rPr>
        <w:t xml:space="preserve">ghaḍab</w:t>
      </w:r>
      <w:r>
        <w:t xml:space="preserve"> </w:t>
      </w:r>
      <w:r>
        <w:t xml:space="preserve">(0.172),</w:t>
      </w:r>
      <w:r>
        <w:t xml:space="preserve"> </w:t>
      </w:r>
      <w:r>
        <w:rPr>
          <w:i/>
          <w:iCs/>
        </w:rPr>
        <w:t xml:space="preserve">naqm</w:t>
      </w:r>
      <w:r>
        <w:t xml:space="preserve"> </w:t>
      </w:r>
      <w:r>
        <w:t xml:space="preserve">(0.185),</w:t>
      </w:r>
      <w:r>
        <w:t xml:space="preserve"> </w:t>
      </w:r>
      <w:r>
        <w:rPr>
          <w:i/>
          <w:iCs/>
        </w:rPr>
        <w:t xml:space="preserve">ḥuzn</w:t>
      </w:r>
      <w:r>
        <w:t xml:space="preserve"> </w:t>
      </w:r>
      <w:r>
        <w:t xml:space="preserve">(0.190),</w:t>
      </w:r>
      <w:r>
        <w:t xml:space="preserve"> </w:t>
      </w:r>
      <w:r>
        <w:rPr>
          <w:i/>
          <w:iCs/>
        </w:rPr>
        <w:t xml:space="preserve">baghy</w:t>
      </w:r>
      <w:r>
        <w:t xml:space="preserve"> </w:t>
      </w:r>
      <w:r>
        <w:t xml:space="preserve">(0.191),</w:t>
      </w:r>
      <w:r>
        <w:t xml:space="preserve"> </w:t>
      </w:r>
      <w:r>
        <w:rPr>
          <w:i/>
          <w:iCs/>
        </w:rPr>
        <w:t xml:space="preserve">uff</w:t>
      </w:r>
      <w:r>
        <w:t xml:space="preserve"> </w:t>
      </w:r>
      <w:r>
        <w:t xml:space="preserve">(0.194). These are the lexemes for which translators most reliably converge. Translation-volatile roots (drift &gt; 0.22) include the</w:t>
      </w:r>
      <w:r>
        <w:t xml:space="preserve"> </w:t>
      </w:r>
      <w:r>
        <w:rPr>
          <w:b/>
          <w:bCs/>
        </w:rPr>
        <w:t xml:space="preserve">evaluative-aversion cluster</w:t>
      </w:r>
      <w:r>
        <w:t xml:space="preserve"> </w:t>
      </w:r>
      <w:r>
        <w:t xml:space="preserve">(</w:t>
      </w:r>
      <w:r>
        <w:rPr>
          <w:i/>
          <w:iCs/>
        </w:rPr>
        <w:t xml:space="preserve">sakhaṭ</w:t>
      </w:r>
      <w:r>
        <w:t xml:space="preserve"> </w:t>
      </w:r>
      <w:r>
        <w:t xml:space="preserve">0.228,</w:t>
      </w:r>
      <w:r>
        <w:t xml:space="preserve"> </w:t>
      </w:r>
      <w:r>
        <w:rPr>
          <w:i/>
          <w:iCs/>
        </w:rPr>
        <w:t xml:space="preserve">maqt</w:t>
      </w:r>
      <w:r>
        <w:t xml:space="preserve"> </w:t>
      </w:r>
      <w:r>
        <w:t xml:space="preserve">0.223),</w:t>
      </w:r>
      <w:r>
        <w:t xml:space="preserve"> </w:t>
      </w:r>
      <w:r>
        <w:rPr>
          <w:b/>
          <w:bCs/>
        </w:rPr>
        <w:t xml:space="preserve">inner-pressure</w:t>
      </w:r>
      <w:r>
        <w:t xml:space="preserve"> </w:t>
      </w:r>
      <w:r>
        <w:t xml:space="preserve">(</w:t>
      </w:r>
      <w:r>
        <w:rPr>
          <w:i/>
          <w:iCs/>
        </w:rPr>
        <w:t xml:space="preserve">ḍyq</w:t>
      </w:r>
      <w:r>
        <w:t xml:space="preserve"> </w:t>
      </w:r>
      <w:r>
        <w:t xml:space="preserve">0.218),</w:t>
      </w:r>
      <w:r>
        <w:t xml:space="preserve"> </w:t>
      </w:r>
      <w:r>
        <w:rPr>
          <w:b/>
          <w:bCs/>
        </w:rPr>
        <w:t xml:space="preserve">compressed rage</w:t>
      </w:r>
      <w:r>
        <w:t xml:space="preserve"> </w:t>
      </w:r>
      <w:r>
        <w:t xml:space="preserve">(</w:t>
      </w:r>
      <w:r>
        <w:rPr>
          <w:i/>
          <w:iCs/>
        </w:rPr>
        <w:t xml:space="preserve">ghayẓ</w:t>
      </w:r>
      <w:r>
        <w:t xml:space="preserve"> </w:t>
      </w:r>
      <w:r>
        <w:t xml:space="preserve">0.214), and the Stage-6 structural-defiance pair (</w:t>
      </w:r>
      <w:r>
        <w:rPr>
          <w:i/>
          <w:iCs/>
        </w:rPr>
        <w:t xml:space="preserve">ṭughyān</w:t>
      </w:r>
      <w:r>
        <w:t xml:space="preserve"> </w:t>
      </w:r>
      <w:r>
        <w:t xml:space="preserve">0.234). The hapax</w:t>
      </w:r>
      <w:r>
        <w:t xml:space="preserve"> </w:t>
      </w:r>
      <w:r>
        <w:rPr>
          <w:i/>
          <w:iCs/>
        </w:rPr>
        <w:t xml:space="preserve">ḥard</w:t>
      </w:r>
      <w:r>
        <w:t xml:space="preserve"> </w:t>
      </w:r>
      <w:r>
        <w:t xml:space="preserve">(drift 0.40, n = 1) is an outlier carrying no inferential weight. The marginal cases lie around 0.20:</w:t>
      </w:r>
      <w:r>
        <w:t xml:space="preserve"> </w:t>
      </w:r>
      <w:r>
        <w:rPr>
          <w:i/>
          <w:iCs/>
        </w:rPr>
        <w:t xml:space="preserve">ʿutuww</w:t>
      </w:r>
      <w:r>
        <w:t xml:space="preserve"> </w:t>
      </w:r>
      <w:r>
        <w:t xml:space="preserve">(0.206),</w:t>
      </w:r>
      <w:r>
        <w:t xml:space="preserve"> </w:t>
      </w:r>
      <w:r>
        <w:rPr>
          <w:i/>
          <w:iCs/>
        </w:rPr>
        <w:t xml:space="preserve">karh</w:t>
      </w:r>
      <w:r>
        <w:t xml:space="preserve"> </w:t>
      </w:r>
      <w:r>
        <w:t xml:space="preserve">(0.204).</w:t>
      </w:r>
    </w:p>
    <w:p>
      <w:pPr>
        <w:pStyle w:val="CaptionedFigure"/>
      </w:pPr>
      <w:r>
        <w:drawing>
          <wp:inline>
            <wp:extent cx="4800600" cy="2388189"/>
            <wp:effectExtent b="0" l="0" r="0" t="0"/>
            <wp:docPr descr="Cross-translation semantic drift per spectrum root, computed via multilingual MPNet over 5 EN + 5 FA translations of each attestation host-verse. Drift is 1 − mean pairwise cosine similarity, so higher = more translator disagreement. Three bands visible: affective-core lexemes (ghaḍab, naqm, ḥuzn, baghy, uff) cluster below 0.20; the evaluative-aversion (sakhaṭ, maqt) and Stage-2/5 pressure-containment lexemes (ḍyq, ghayẓ) cluster above 0.22; ṭughyān tops the non-hapax distribution at 0.234. The hapax ḥard (Q. 68:25, n = 1) is shown for completeness but carries no statistical weight. Error bars are per-root standard deviations across the 10 translations. Minimum-n threshold for inferential interpretation is n ≥ 10." title="" id="21" name="Picture"/>
            <a:graphic>
              <a:graphicData uri="http://schemas.openxmlformats.org/drawingml/2006/picture">
                <pic:pic>
                  <pic:nvPicPr>
                    <pic:cNvPr descr="fig11_translation_drift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8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Cross-translation semantic drift per spectrum root, computed via multilingual MPNet over 5 EN + 5 FA translations of each attestation host-verse. Drift is 1 − mean pairwise cosine similarity, so higher = more translator disagreement. Three bands visible: affective-core lexemes (</w:t>
      </w:r>
      <w:r>
        <w:rPr>
          <w:i/>
          <w:iCs/>
        </w:rPr>
        <w:t xml:space="preserve">ghaḍab</w:t>
      </w:r>
      <w:r>
        <w:t xml:space="preserve">,</w:t>
      </w:r>
      <w:r>
        <w:t xml:space="preserve"> </w:t>
      </w:r>
      <w:r>
        <w:rPr>
          <w:i/>
          <w:iCs/>
        </w:rPr>
        <w:t xml:space="preserve">naqm</w:t>
      </w:r>
      <w:r>
        <w:t xml:space="preserve">,</w:t>
      </w:r>
      <w:r>
        <w:t xml:space="preserve"> </w:t>
      </w:r>
      <w:r>
        <w:rPr>
          <w:i/>
          <w:iCs/>
        </w:rPr>
        <w:t xml:space="preserve">ḥuzn</w:t>
      </w:r>
      <w:r>
        <w:t xml:space="preserve">,</w:t>
      </w:r>
      <w:r>
        <w:t xml:space="preserve"> </w:t>
      </w:r>
      <w:r>
        <w:rPr>
          <w:i/>
          <w:iCs/>
        </w:rPr>
        <w:t xml:space="preserve">baghy</w:t>
      </w:r>
      <w:r>
        <w:t xml:space="preserve">,</w:t>
      </w:r>
      <w:r>
        <w:t xml:space="preserve"> </w:t>
      </w:r>
      <w:r>
        <w:rPr>
          <w:i/>
          <w:iCs/>
        </w:rPr>
        <w:t xml:space="preserve">uff</w:t>
      </w:r>
      <w:r>
        <w:t xml:space="preserve">) cluster below 0.20; the evaluative-aversion (</w:t>
      </w:r>
      <w:r>
        <w:rPr>
          <w:i/>
          <w:iCs/>
        </w:rPr>
        <w:t xml:space="preserve">sakhaṭ</w:t>
      </w:r>
      <w:r>
        <w:t xml:space="preserve">,</w:t>
      </w:r>
      <w:r>
        <w:t xml:space="preserve"> </w:t>
      </w:r>
      <w:r>
        <w:rPr>
          <w:i/>
          <w:iCs/>
        </w:rPr>
        <w:t xml:space="preserve">maqt</w:t>
      </w:r>
      <w:r>
        <w:t xml:space="preserve">) and Stage-2/5 pressure-containment lexemes (</w:t>
      </w:r>
      <w:r>
        <w:rPr>
          <w:i/>
          <w:iCs/>
        </w:rPr>
        <w:t xml:space="preserve">ḍyq</w:t>
      </w:r>
      <w:r>
        <w:t xml:space="preserve">,</w:t>
      </w:r>
      <w:r>
        <w:t xml:space="preserve"> </w:t>
      </w:r>
      <w:r>
        <w:rPr>
          <w:i/>
          <w:iCs/>
        </w:rPr>
        <w:t xml:space="preserve">ghayẓ</w:t>
      </w:r>
      <w:r>
        <w:t xml:space="preserve">) cluster above 0.22;</w:t>
      </w:r>
      <w:r>
        <w:t xml:space="preserve"> </w:t>
      </w:r>
      <w:r>
        <w:rPr>
          <w:i/>
          <w:iCs/>
        </w:rPr>
        <w:t xml:space="preserve">ṭughyān</w:t>
      </w:r>
      <w:r>
        <w:t xml:space="preserve"> </w:t>
      </w:r>
      <w:r>
        <w:t xml:space="preserve">tops the non-hapax distribution at 0.234. The hapax</w:t>
      </w:r>
      <w:r>
        <w:t xml:space="preserve"> </w:t>
      </w:r>
      <w:r>
        <w:rPr>
          <w:i/>
          <w:iCs/>
        </w:rPr>
        <w:t xml:space="preserve">ḥard</w:t>
      </w:r>
      <w:r>
        <w:t xml:space="preserve"> </w:t>
      </w:r>
      <w:r>
        <w:t xml:space="preserve">(Q. 68:25, n = 1) is shown for completeness but carries no statistical weight. Error bars are per-root standard deviations across the 10 translations. Minimum-</w:t>
      </w:r>
      <w:r>
        <w:rPr>
          <w:i/>
          <w:iCs/>
        </w:rPr>
        <w:t xml:space="preserve">n</w:t>
      </w:r>
      <w:r>
        <w:t xml:space="preserve"> </w:t>
      </w:r>
      <w:r>
        <w:t xml:space="preserve">threshold for inferential interpretation is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≥ 10.</w:t>
      </w:r>
    </w:p>
    <w:p>
      <w:pPr>
        <w:pStyle w:val="BodyText"/>
      </w:pPr>
      <w:r>
        <w:t xml:space="preserve">Interpretively, the drift gradient</w:t>
      </w:r>
      <w:r>
        <w:t xml:space="preserve"> </w:t>
      </w:r>
      <w:r>
        <w:rPr>
          <w:i/>
          <w:iCs/>
        </w:rPr>
        <w:t xml:space="preserve">converges with the spectrum theory</w:t>
      </w:r>
      <w:r>
        <w:t xml:space="preserve"> </w:t>
      </w:r>
      <w:r>
        <w:t xml:space="preserve">on the very claim §4.10 of the main manuscript advances qualitatively. Translators handle</w:t>
      </w:r>
      <w:r>
        <w:t xml:space="preserve"> </w:t>
      </w:r>
      <w:r>
        <w:rPr>
          <w:i/>
          <w:iCs/>
        </w:rPr>
        <w:t xml:space="preserve">ghaḍab</w:t>
      </w:r>
      <w:r>
        <w:t xml:space="preserve"> </w:t>
      </w:r>
      <w:r>
        <w:t xml:space="preserve">— the canonical anger word with broad equivalents in Indo-European emotion lexica — uniformly. They diverge on the Arabic-specific, theologically-charged terms:</w:t>
      </w:r>
      <w:r>
        <w:t xml:space="preserve"> </w:t>
      </w:r>
      <w:r>
        <w:rPr>
          <w:i/>
          <w:iCs/>
        </w:rPr>
        <w:t xml:space="preserve">sakhaṭ</w:t>
      </w:r>
      <w:r>
        <w:t xml:space="preserve"> </w:t>
      </w:r>
      <w:r>
        <w:t xml:space="preserve">(durable divine displeasure, exclusively Medinan),</w:t>
      </w:r>
      <w:r>
        <w:t xml:space="preserve"> </w:t>
      </w:r>
      <w:r>
        <w:rPr>
          <w:i/>
          <w:iCs/>
        </w:rPr>
        <w:t xml:space="preserve">maqt</w:t>
      </w:r>
      <w:r>
        <w:t xml:space="preserve"> </w:t>
      </w:r>
      <w:r>
        <w:t xml:space="preserve">(evaluative aversion),</w:t>
      </w:r>
      <w:r>
        <w:t xml:space="preserve"> </w:t>
      </w:r>
      <w:r>
        <w:rPr>
          <w:i/>
          <w:iCs/>
        </w:rPr>
        <w:t xml:space="preserve">ghayẓ</w:t>
      </w:r>
      <w:r>
        <w:t xml:space="preserve"> </w:t>
      </w:r>
      <w:r>
        <w:t xml:space="preserve">(compressed contained rage),</w:t>
      </w:r>
      <w:r>
        <w:t xml:space="preserve"> </w:t>
      </w:r>
      <w:r>
        <w:rPr>
          <w:i/>
          <w:iCs/>
        </w:rPr>
        <w:t xml:space="preserve">ṭughyān</w:t>
      </w:r>
      <w:r>
        <w:t xml:space="preserve"> </w:t>
      </w:r>
      <w:r>
        <w:t xml:space="preserve">(structural transgression). These are the lexemes whose</w:t>
      </w:r>
      <w:r>
        <w:t xml:space="preserve"> </w:t>
      </w:r>
      <w:r>
        <w:rPr>
          <w:i/>
          <w:iCs/>
        </w:rPr>
        <w:t xml:space="preserve">containment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evaluative</w:t>
      </w:r>
      <w:r>
        <w:t xml:space="preserve"> </w:t>
      </w:r>
      <w:r>
        <w:t xml:space="preserve">dimensions §§4.4–4.5 argued are not lexicalised in standard English equivalents, and the multilingual-MPNet drift score independently flags them as the loci of greatest translator disagreement. The corpus-wide pattern thus supplies quantitative ratification for the illustrative §4.10 observations, raising them above suggestion to weak empirical claim.</w:t>
      </w:r>
    </w:p>
    <w:bookmarkEnd w:id="23"/>
    <w:bookmarkStart w:id="27" w:name="Xe2ae0d7efd33a059be8b83dec07fca4b994feec"/>
    <w:p>
      <w:pPr>
        <w:pStyle w:val="Heading2"/>
      </w:pPr>
      <w:r>
        <w:t xml:space="preserve">S2. Contextual-embedding clustering of the six-stage taxonomy</w:t>
      </w:r>
    </w:p>
    <w:p>
      <w:pPr>
        <w:pStyle w:val="FirstParagraph"/>
      </w:pPr>
      <w:r>
        <w:t xml:space="preserve">A second computational extension asks whether the six-stage spectrum is recoverable from</w:t>
      </w:r>
      <w:r>
        <w:t xml:space="preserve"> </w:t>
      </w:r>
      <w:r>
        <w:rPr>
          <w:i/>
          <w:iCs/>
        </w:rPr>
        <w:t xml:space="preserve">language-model statistics alone</w:t>
      </w:r>
      <w:r>
        <w:t xml:space="preserve"> </w:t>
      </w:r>
      <w:r>
        <w:t xml:space="preserve">— i.e., from CAMeLBERT-CA (Classical-Arabic) contextual embeddings of each attestation’s host verse, without any access to the manual stage labels. For each of the 312 attestations we extracted the root-aligned token’s mean-pooled hidden state from</w:t>
      </w:r>
      <w:r>
        <w:t xml:space="preserve"> </w:t>
      </w:r>
      <w:r>
        <w:rPr>
          <w:rStyle w:val="VerbatimChar"/>
        </w:rPr>
        <w:t xml:space="preserve">CAMeL-Lab/bert-base-arabic-camelbert-ca</w:t>
      </w:r>
      <w:r>
        <w:t xml:space="preserve">, projected the 768-dim embeddings to 2D via UMAP (n_neighbors = 15, min_dist = 0.1, cosine metric, seed 42), and computed silhouette score, k-means(k=6) adjusted Rand index, and normalised mutual information against the manual stage labels.</w:t>
      </w:r>
    </w:p>
    <w:p>
      <w:pPr>
        <w:pStyle w:val="BodyText"/>
      </w:pPr>
      <w:r>
        <w:t xml:space="preserve">The result is a</w:t>
      </w:r>
      <w:r>
        <w:t xml:space="preserve"> </w:t>
      </w:r>
      <w:r>
        <w:rPr>
          <w:i/>
          <w:iCs/>
        </w:rPr>
        <w:t xml:space="preserve">clear null</w:t>
      </w:r>
      <w:r>
        <w:t xml:space="preserve">: silhouette = −0.082, k-means ARI = 0.059, NMI = 0.077 (Figure S2 / fig9_embeddings_umap). Cluster-vs-stage cross-tabulation shows no diagonal concentration: the largest stage (Stage 6, n = 145) is distributed across all six k-means clusters in approximate proportion to cluster size. The CAMeLBERT-CA embedding space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cluster the attestations — visible tight clumps in the UMAP — but those clumps track</w:t>
      </w:r>
      <w:r>
        <w:t xml:space="preserve"> </w:t>
      </w:r>
      <w:r>
        <w:rPr>
          <w:b/>
          <w:bCs/>
        </w:rPr>
        <w:t xml:space="preserve">root identity</w:t>
      </w:r>
      <w:r>
        <w:t xml:space="preserve">, not stage membership.</w:t>
      </w:r>
    </w:p>
    <w:p>
      <w:pPr>
        <w:pStyle w:val="BodyText"/>
      </w:pPr>
      <w:r>
        <w:rPr>
          <w:b/>
          <w:bCs/>
        </w:rPr>
        <w:t xml:space="preserve">Root-vs-stage control.</w:t>
      </w:r>
      <w:r>
        <w:t xml:space="preserve"> </w:t>
      </w:r>
      <w:r>
        <w:t xml:space="preserve">As a methodological control we computed the same silhouette score against the fourteen-way</w:t>
      </w:r>
      <w:r>
        <w:t xml:space="preserve"> </w:t>
      </w:r>
      <w:r>
        <w:rPr>
          <w:i/>
          <w:iCs/>
        </w:rPr>
        <w:t xml:space="preserve">root-membership</w:t>
      </w:r>
      <w:r>
        <w:t xml:space="preserve"> </w:t>
      </w:r>
      <w:r>
        <w:t xml:space="preserve">labelling on the identical embedding matrix; distance-based clustering by 14-way root membership also yields silhouette ≈ −0.04, similar in magnitude to the stage-label result. This is consistent with the CAMeLBERT-CA distributional features being predominantly</w:t>
      </w:r>
      <w:r>
        <w:t xml:space="preserve"> </w:t>
      </w:r>
      <w:r>
        <w:rPr>
          <w:i/>
          <w:iCs/>
        </w:rPr>
        <w:t xml:space="preserve">context-driven</w:t>
      </w:r>
      <w:r>
        <w:t xml:space="preserve"> </w:t>
      </w:r>
      <w:r>
        <w:t xml:space="preserve">— the embeddings track the shared narrative environments (Pharaonic cycle, prophetic remonstrance, community-discipline pericope) rather than either root identity or stage membership at the granularity required for unsupervised partitioning. The control confirms that the stage-label null is not a unique failure of the six-stage labelling but a general feature of the embedding space at this corpus size.</w:t>
      </w:r>
    </w:p>
    <w:p>
      <w:pPr>
        <w:pStyle w:val="CaptionedFigure"/>
      </w:pPr>
      <w:r>
        <w:drawing>
          <wp:inline>
            <wp:extent cx="4533900" cy="3619788"/>
            <wp:effectExtent b="0" l="0" r="0" t="0"/>
            <wp:docPr descr="CAMeLBERT-CA contextual embeddings (768-dim) of the 312 spectrum attestations, projected to 2D via UMAP and coloured by manual stage. Tight clumps visible throughout, but their colour is approximately uniform within each clump — the embeddings cluster by root identity, not by stage. Silhouette score against the six-stage labelling is −0.082 (near-zero), k-means ARI = 0.059, NMI = 0.077." title="" id="25" name="Picture"/>
            <a:graphic>
              <a:graphicData uri="http://schemas.openxmlformats.org/drawingml/2006/picture">
                <pic:pic>
                  <pic:nvPicPr>
                    <pic:cNvPr descr="fig9_embeddings_umap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619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CAMeLBERT-CA contextual embeddings (768-dim) of the 312 spectrum attestations, projected to 2D via UMAP and coloured by manual stage. Tight clumps visible throughout, but their colour is approximately uniform within each clump — the embeddings cluster by root identity, not by stage. Silhouette score against the six-stage labelling is −0.082 (near-zero), k-means ARI = 0.059, NMI = 0.077.</w:t>
      </w:r>
    </w:p>
    <w:p>
      <w:pPr>
        <w:pStyle w:val="BodyText"/>
      </w:pPr>
      <w:r>
        <w:t xml:space="preserve">This null is theoretically welcome rather than damaging to the spectrum thesis. Three readings are consistent with the embedding result. (a)</w:t>
      </w:r>
      <w:r>
        <w:t xml:space="preserve"> </w:t>
      </w:r>
      <w:r>
        <w:rPr>
          <w:b/>
          <w:bCs/>
        </w:rPr>
        <w:t xml:space="preserve">CAMeLBERT-CA captures lexical co-occurrence, not phenomenological intensity.</w:t>
      </w:r>
      <w:r>
        <w:t xml:space="preserve"> </w:t>
      </w:r>
      <w:r>
        <w:t xml:space="preserve">Tokens of</w:t>
      </w:r>
      <w:r>
        <w:t xml:space="preserve"> </w:t>
      </w:r>
      <w:r>
        <w:rPr>
          <w:i/>
          <w:iCs/>
        </w:rPr>
        <w:t xml:space="preserve">baghy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ṭughyān</w:t>
      </w:r>
      <w:r>
        <w:t xml:space="preserve"> </w:t>
      </w:r>
      <w:r>
        <w:t xml:space="preserve">share narrative contexts (the Pharaonic cycle, the rebellion of communities) regardless of whether a given attestation realises the anger-derived (A) or structurally-derived (S) reading; the model groups them by surface neighbourhood. (b)</w:t>
      </w:r>
      <w:r>
        <w:t xml:space="preserve"> </w:t>
      </w:r>
      <w:r>
        <w:rPr>
          <w:b/>
          <w:bCs/>
        </w:rPr>
        <w:t xml:space="preserve">The six stages are an analytical-exegetical construct above the level of distributional similarity.</w:t>
      </w:r>
      <w:r>
        <w:t xml:space="preserve"> </w:t>
      </w:r>
      <w:r>
        <w:t xml:space="preserve">Their derivation rests on classical-lexicographic content (Maqāyīs, Mufradāt, Lisān, Taḥqīq), conceptual-metaphor mapping, and exegetical convergence across the four primary commentaries — not on what a transformer sees in the surrounding 30 tokens. (c)</w:t>
      </w:r>
      <w:r>
        <w:t xml:space="preserve"> </w:t>
      </w:r>
      <w:r>
        <w:rPr>
          <w:b/>
          <w:bCs/>
        </w:rPr>
        <w:t xml:space="preserve">A signal that exists in manual labelling but not in pre-trained embeddings is informative</w:t>
      </w:r>
      <w:r>
        <w:t xml:space="preserve">: it shows the spectrum is not merely a re-description of token distribution. If CAMeLBERT-CA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recovered the six-stage structure unsupervised, one might worry the spectrum was tautologous; that it does not is evidence the spectrum adds analytical structure beyond the language model’s view. We acknowledge the converse interpretation — that the spectrum is not robustly recoverable from distributional statistics, which raises the bar for any strong scalar-semantics claim — and treat the empirical case for the spectrum as resting on the qualitative apparatus rather than on the embedding result.</w:t>
      </w:r>
    </w:p>
    <w:bookmarkEnd w:id="27"/>
    <w:bookmarkStart w:id="31" w:name="s3.-pmi-weighted-co-occurrence-network"/>
    <w:p>
      <w:pPr>
        <w:pStyle w:val="Heading2"/>
      </w:pPr>
      <w:r>
        <w:t xml:space="preserve">S3. PMI-weighted co-occurrence network</w:t>
      </w:r>
    </w:p>
    <w:p>
      <w:pPr>
        <w:pStyle w:val="FirstParagraph"/>
      </w:pPr>
      <w:r>
        <w:t xml:space="preserve">A final corroboration weights the aya-level co-occurrence graph of §4.8 of the main manuscript by normalised pointwise mutual information rather than raw shared-ayat counts. PMI controls for marginal frequency: an edge is</w:t>
      </w:r>
      <w:r>
        <w:t xml:space="preserve"> </w:t>
      </w:r>
      <w:r>
        <w:rPr>
          <w:i/>
          <w:iCs/>
        </w:rPr>
        <w:t xml:space="preserve">strong</w:t>
      </w:r>
      <w:r>
        <w:t xml:space="preserve"> </w:t>
      </w:r>
      <w:r>
        <w:t xml:space="preserve">only if two roots co-occur</w:t>
      </w:r>
      <w:r>
        <w:t xml:space="preserve"> </w:t>
      </w:r>
      <w:r>
        <w:rPr>
          <w:b/>
          <w:bCs/>
        </w:rPr>
        <w:t xml:space="preserve">more than chance</w:t>
      </w:r>
      <w:r>
        <w:t xml:space="preserve"> </w:t>
      </w:r>
      <w:r>
        <w:t xml:space="preserve">given their individual frequencies. The per-aya probabilities use the Quran-wide denominator N = 6,236 ayat; npmi</w:t>
      </w:r>
      <w:r>
        <w:t xml:space="preserve"> </w:t>
      </w:r>
      <w:r>
        <w:rPr>
          <w:i/>
          <w:iCs/>
        </w:rPr>
        <w:t xml:space="preserve">rankings</w:t>
      </w:r>
      <w:r>
        <w:t xml:space="preserve"> </w:t>
      </w:r>
      <w:r>
        <w:t xml:space="preserve">are invariant under denominator choice, while absolute values shift. The top positively-weighted edges (Figure S3 / fig10_pmi_network) recover and refine the manual stage groupings.</w:t>
      </w:r>
    </w:p>
    <w:p>
      <w:pPr>
        <w:pStyle w:val="CaptionedFigure"/>
      </w:pPr>
      <w:r>
        <w:drawing>
          <wp:inline>
            <wp:extent cx="4533900" cy="4080280"/>
            <wp:effectExtent b="0" l="0" r="0" t="0"/>
            <wp:docPr descr="PMI-weighted co-occurrence network of the 14 spectrum roots. Edge thickness encodes normalised PMI (npmi ∈ [−1, 1]); only positive-npmi edges are shown. The strongest edge is asaf–ghaḍab (npmi = 0.59), recovering the canonical “ġaḍbāna asifan” Mosaic pairing (Q. 7:150, 20:86) despite low absolute frequency. ḍyq–ḥuzn (0.47) corpus-validates the Stage 2 inner-pressure grouping. krh–sakhaṭ (0.43) joins displeasure to evaluative aversion across Stages 1 → 3. baghy’s prominence in the unweighted graph is corrected after frequency adjustment: its highest-npmi connection is to ghayẓ (0.22) and krh (0.23), not to other Stage-6 roots." title="" id="29" name="Picture"/>
            <a:graphic>
              <a:graphicData uri="http://schemas.openxmlformats.org/drawingml/2006/picture">
                <pic:pic>
                  <pic:nvPicPr>
                    <pic:cNvPr descr="fig10_pmi_network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08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PMI-weighted co-occurrence network of the 14 spectrum roots. Edge thickness encodes normalised PMI (npmi ∈ [−1, 1]); only positive-npmi edges are shown. The strongest edge is</w:t>
      </w:r>
      <w:r>
        <w:t xml:space="preserve"> </w:t>
      </w:r>
      <w:r>
        <w:rPr>
          <w:i/>
          <w:iCs/>
        </w:rPr>
        <w:t xml:space="preserve">asaf</w:t>
      </w:r>
      <w:r>
        <w:t xml:space="preserve">–</w:t>
      </w:r>
      <w:r>
        <w:rPr>
          <w:i/>
          <w:iCs/>
        </w:rPr>
        <w:t xml:space="preserve">ghaḍab</w:t>
      </w:r>
      <w:r>
        <w:t xml:space="preserve"> </w:t>
      </w:r>
      <w:r>
        <w:t xml:space="preserve">(npmi = 0.59), recovering the canonical</w:t>
      </w:r>
      <w:r>
        <w:t xml:space="preserve"> </w:t>
      </w:r>
      <w:r>
        <w:t xml:space="preserve">“ġaḍbāna asifan”</w:t>
      </w:r>
      <w:r>
        <w:t xml:space="preserve"> </w:t>
      </w:r>
      <w:r>
        <w:t xml:space="preserve">Mosaic pairing (Q. 7:150, 20:86) despite low absolute frequency.</w:t>
      </w:r>
      <w:r>
        <w:t xml:space="preserve"> </w:t>
      </w:r>
      <w:r>
        <w:rPr>
          <w:i/>
          <w:iCs/>
        </w:rPr>
        <w:t xml:space="preserve">ḍyq</w:t>
      </w:r>
      <w:r>
        <w:t xml:space="preserve">–</w:t>
      </w:r>
      <w:r>
        <w:rPr>
          <w:i/>
          <w:iCs/>
        </w:rPr>
        <w:t xml:space="preserve">ḥuzn</w:t>
      </w:r>
      <w:r>
        <w:t xml:space="preserve"> </w:t>
      </w:r>
      <w:r>
        <w:t xml:space="preserve">(0.47) corpus-validates the Stage 2 inner-pressure grouping.</w:t>
      </w:r>
      <w:r>
        <w:t xml:space="preserve"> </w:t>
      </w:r>
      <w:r>
        <w:rPr>
          <w:i/>
          <w:iCs/>
        </w:rPr>
        <w:t xml:space="preserve">krh</w:t>
      </w:r>
      <w:r>
        <w:t xml:space="preserve">–</w:t>
      </w:r>
      <w:r>
        <w:rPr>
          <w:i/>
          <w:iCs/>
        </w:rPr>
        <w:t xml:space="preserve">sakhaṭ</w:t>
      </w:r>
      <w:r>
        <w:t xml:space="preserve"> </w:t>
      </w:r>
      <w:r>
        <w:t xml:space="preserve">(0.43) joins displeasure to evaluative aversion across Stages 1 → 3.</w:t>
      </w:r>
      <w:r>
        <w:t xml:space="preserve"> </w:t>
      </w:r>
      <w:r>
        <w:rPr>
          <w:i/>
          <w:iCs/>
        </w:rPr>
        <w:t xml:space="preserve">baghy</w:t>
      </w:r>
      <w:r>
        <w:t xml:space="preserve">’s prominence in the unweighted graph is corrected after frequency adjustment: its highest-npmi connection is to</w:t>
      </w:r>
      <w:r>
        <w:t xml:space="preserve"> </w:t>
      </w:r>
      <w:r>
        <w:rPr>
          <w:i/>
          <w:iCs/>
        </w:rPr>
        <w:t xml:space="preserve">ghayẓ</w:t>
      </w:r>
      <w:r>
        <w:t xml:space="preserve"> </w:t>
      </w:r>
      <w:r>
        <w:t xml:space="preserve">(0.22) and</w:t>
      </w:r>
      <w:r>
        <w:t xml:space="preserve"> </w:t>
      </w:r>
      <w:r>
        <w:rPr>
          <w:i/>
          <w:iCs/>
        </w:rPr>
        <w:t xml:space="preserve">krh</w:t>
      </w:r>
      <w:r>
        <w:t xml:space="preserve"> </w:t>
      </w:r>
      <w:r>
        <w:t xml:space="preserve">(0.23), not to other Stage-6 roots.</w:t>
      </w:r>
    </w:p>
    <w:p>
      <w:pPr>
        <w:pStyle w:val="BodyText"/>
      </w:pPr>
      <w:r>
        <w:t xml:space="preserve">Three findings emerge after PMI correction. First, the</w:t>
      </w:r>
      <w:r>
        <w:t xml:space="preserve"> </w:t>
      </w:r>
      <w:r>
        <w:rPr>
          <w:i/>
          <w:iCs/>
        </w:rPr>
        <w:t xml:space="preserve">asaf–ghaḍab</w:t>
      </w:r>
      <w:r>
        <w:t xml:space="preserve"> </w:t>
      </w:r>
      <w:r>
        <w:t xml:space="preserve">edge (npmi = 0.59) — overlooked in the raw-count network because of</w:t>
      </w:r>
      <w:r>
        <w:t xml:space="preserve"> </w:t>
      </w:r>
      <w:r>
        <w:rPr>
          <w:i/>
          <w:iCs/>
        </w:rPr>
        <w:t xml:space="preserve">asaf</w:t>
      </w:r>
      <w:r>
        <w:t xml:space="preserve">’s low total — emerges as the spectrum’s strongest collocational signal,</w:t>
      </w:r>
      <w:r>
        <w:t xml:space="preserve"> </w:t>
      </w:r>
      <w:r>
        <w:rPr>
          <w:i/>
          <w:iCs/>
        </w:rPr>
        <w:t xml:space="preserve">ratifying</w:t>
      </w:r>
      <w:r>
        <w:t xml:space="preserve"> </w:t>
      </w:r>
      <w:r>
        <w:t xml:space="preserve">the prophetic Moses-affect pairing as a genuine sub-categorial structure within Stage 2. Second, the Stage-2</w:t>
      </w:r>
      <w:r>
        <w:t xml:space="preserve"> </w:t>
      </w:r>
      <w:r>
        <w:rPr>
          <w:i/>
          <w:iCs/>
        </w:rPr>
        <w:t xml:space="preserve">ḍyq–ḥuzn</w:t>
      </w:r>
      <w:r>
        <w:t xml:space="preserve"> </w:t>
      </w:r>
      <w:r>
        <w:t xml:space="preserve">edge (0.47) is the next-strongest in-stage edge, confirming §4.4’s inner-pressure cluster against the frequency-inflated alternatives. Third,</w:t>
      </w:r>
      <w:r>
        <w:t xml:space="preserve"> </w:t>
      </w:r>
      <w:r>
        <w:rPr>
          <w:i/>
          <w:iCs/>
        </w:rPr>
        <w:t xml:space="preserve">baghy</w:t>
      </w:r>
      <w:r>
        <w:t xml:space="preserve">’s outsized centrality in the raw-count network is partly a frequency artefact: with 96 attestations,</w:t>
      </w:r>
      <w:r>
        <w:t xml:space="preserve"> </w:t>
      </w:r>
      <w:r>
        <w:rPr>
          <w:i/>
          <w:iCs/>
        </w:rPr>
        <w:t xml:space="preserve">baghy</w:t>
      </w:r>
      <w:r>
        <w:t xml:space="preserve"> </w:t>
      </w:r>
      <w:r>
        <w:t xml:space="preserve">has many chance overlaps. After PMI correction</w:t>
      </w:r>
      <w:r>
        <w:t xml:space="preserve"> </w:t>
      </w:r>
      <w:r>
        <w:rPr>
          <w:i/>
          <w:iCs/>
        </w:rPr>
        <w:t xml:space="preserve">baghy</w:t>
      </w:r>
      <w:r>
        <w:t xml:space="preserve"> </w:t>
      </w:r>
      <w:r>
        <w:t xml:space="preserve">connects most strongly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Stage 6 — to</w:t>
      </w:r>
      <w:r>
        <w:t xml:space="preserve"> </w:t>
      </w:r>
      <w:r>
        <w:rPr>
          <w:i/>
          <w:iCs/>
        </w:rPr>
        <w:t xml:space="preserve">ghayẓ</w:t>
      </w:r>
      <w:r>
        <w:t xml:space="preserve"> </w:t>
      </w:r>
      <w:r>
        <w:t xml:space="preserve">(0.22) and</w:t>
      </w:r>
      <w:r>
        <w:t xml:space="preserve"> </w:t>
      </w:r>
      <w:r>
        <w:rPr>
          <w:i/>
          <w:iCs/>
        </w:rPr>
        <w:t xml:space="preserve">karh</w:t>
      </w:r>
      <w:r>
        <w:t xml:space="preserve"> </w:t>
      </w:r>
      <w:r>
        <w:t xml:space="preserve">(0.23) — consistent with the bidirectional-causation reading:</w:t>
      </w:r>
      <w:r>
        <w:t xml:space="preserve"> </w:t>
      </w:r>
      <w:r>
        <w:rPr>
          <w:i/>
          <w:iCs/>
        </w:rPr>
        <w:t xml:space="preserve">baghy</w:t>
      </w:r>
      <w:r>
        <w:t xml:space="preserve"> </w:t>
      </w:r>
      <w:r>
        <w:t xml:space="preserve">often appears in contexts of evaluative displeasure (</w:t>
      </w:r>
      <w:r>
        <w:rPr>
          <w:i/>
          <w:iCs/>
        </w:rPr>
        <w:t xml:space="preserve">karh</w:t>
      </w:r>
      <w:r>
        <w:t xml:space="preserve">) and compressed grievance (</w:t>
      </w:r>
      <w:r>
        <w:rPr>
          <w:i/>
          <w:iCs/>
        </w:rPr>
        <w:t xml:space="preserve">ghayẓ</w:t>
      </w:r>
      <w:r>
        <w:t xml:space="preserve">) rather than as the downstream pole of anger escalation.</w:t>
      </w:r>
    </w:p>
    <w:bookmarkEnd w:id="31"/>
    <w:bookmarkStart w:id="32" w:name="X846e8023b275939e3264c6065c7af9efa1fefa7"/>
    <w:p>
      <w:pPr>
        <w:pStyle w:val="Heading2"/>
      </w:pPr>
      <w:r>
        <w:t xml:space="preserve">S4. Diachronic null: stages are not chronological strata</w:t>
      </w:r>
    </w:p>
    <w:p>
      <w:pPr>
        <w:pStyle w:val="FirstParagraph"/>
      </w:pPr>
      <w:r>
        <w:t xml:space="preserve">To test whether the six-stage spectrum encodes a diachronic developmental pattern in revelation order, we map each attestation onto its Nöldekean chronological rank (Sinai 2017, Appendix B; ranks 1–48 early-Meccan, 49–69 mid-Meccan, 70–90 late-Meccan, 91–114 Medinan) and correlate stage with rank. Spearman ρ = −0.157 (95% CI via Fisher’s z: [−0.265, −0.046]; p = 0.006), Kendall τ = −0.117 (p = 0.006): both reach conventional significance but with effect sizes accounting for less than 3% of variance. The shallow negative slope is driven by the concentration of Stage-6 attestations in narrative-rich Medinan suras (especially</w:t>
      </w:r>
      <w:r>
        <w:t xml:space="preserve"> </w:t>
      </w:r>
      <w:r>
        <w:rPr>
          <w:i/>
          <w:iCs/>
        </w:rPr>
        <w:t xml:space="preserve">baghy</w:t>
      </w:r>
      <w:r>
        <w:t xml:space="preserve"> </w:t>
      </w:r>
      <w:r>
        <w:t xml:space="preserve">in sūrat al-Baqara and sūrat al-Māʾida) rather than by any developmental progression of the affective lexicon. Substantively, the test is a</w:t>
      </w:r>
      <w:r>
        <w:t xml:space="preserve"> </w:t>
      </w:r>
      <w:r>
        <w:rPr>
          <w:b/>
          <w:bCs/>
        </w:rPr>
        <w:t xml:space="preserve">null</w:t>
      </w:r>
      <w:r>
        <w:t xml:space="preserve">: the spectrum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chronological progression. The six-stage taxonomy organises the lexicon by intensity, not by revelation time. We acknowledge that the Nöldekean (1860) chronology has been substantially revised in twentieth- and twenty-first-century scholarship — Bell’s 1939 mid-century revision, Neuwirth’s Meccan-suras research programme (Neuwirth 2019), Sinai’s</w:t>
      </w:r>
      <w:r>
        <w:t xml:space="preserve"> </w:t>
      </w:r>
      <w:r>
        <w:rPr>
          <w:i/>
          <w:iCs/>
        </w:rPr>
        <w:t xml:space="preserve">Historical-Critical Introduction</w:t>
      </w:r>
      <w:r>
        <w:t xml:space="preserve"> </w:t>
      </w:r>
      <w:r>
        <w:t xml:space="preserve">(Sinai 2017), and Sadeghi’s textual-stylometric refinements (Sadeghi 2011) all materially alter the ordering at the late-Meccan/early-Medinan boundary in particular. A robustness check that re-runs the correlation against Sinai’s revised periodisation (Appendix B of Sinai 2017) and against Sadeghi’s (2011) stylometric ordering is deferred to the Phase II agenda named in §6.3. The qualitative conclusion — that the six-stage taxonomy is not chronologically nested — is unlikely to reverse under any of the available revised orderings because the slope is shallow on every plausible chronological alignment and the substantive effect remains &lt; 3% of variance.</w:t>
      </w:r>
    </w:p>
    <w:bookmarkEnd w:id="32"/>
    <w:bookmarkStart w:id="33" w:name="reproduction-note"/>
    <w:p>
      <w:pPr>
        <w:pStyle w:val="Heading2"/>
      </w:pPr>
      <w:r>
        <w:t xml:space="preserve">Reproduction note</w:t>
      </w:r>
    </w:p>
    <w:p>
      <w:pPr>
        <w:pStyle w:val="FirstParagraph"/>
      </w:pPr>
      <w:r>
        <w:t xml:space="preserve">The four analyses above are produced by</w:t>
      </w:r>
      <w:r>
        <w:t xml:space="preserve"> </w:t>
      </w:r>
      <w:r>
        <w:rPr>
          <w:rStyle w:val="VerbatimChar"/>
        </w:rPr>
        <w:t xml:space="preserve">nlp_upgrade_colab.py</w:t>
      </w:r>
      <w:r>
        <w:t xml:space="preserve">, which requires a CUDA-enabled GPU for the multilingual-MPNet and CAMeLBERT-CA inference. A Colab notebook (</w:t>
      </w:r>
      <w:r>
        <w:rPr>
          <w:rStyle w:val="VerbatimChar"/>
        </w:rPr>
        <w:t xml:space="preserve">nlp_upgrade_colab.ipynb</w:t>
      </w:r>
      <w:r>
        <w:t xml:space="preserve">) is available in the repository with pinned model snapshots and an expected runtime of ~25 minutes on a T4 GPU. CSV outputs are committed under</w:t>
      </w:r>
      <w:r>
        <w:t xml:space="preserve"> </w:t>
      </w:r>
      <w:r>
        <w:rPr>
          <w:rStyle w:val="VerbatimChar"/>
        </w:rPr>
        <w:t xml:space="preserve">outputs/nlp_upgrade/</w:t>
      </w:r>
      <w:r>
        <w:t xml:space="preserve"> </w:t>
      </w:r>
      <w:r>
        <w:t xml:space="preserve">(translation drift, embeddings, PMI edges, Nöldekean correlation) so that reviewers can inspect the numerical results without re-running the GPU pipeline.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jpg" /><Relationship Type="http://schemas.openxmlformats.org/officeDocument/2006/relationships/image" Id="rId20" Target="media/rId20.jpg" /><Relationship Type="http://schemas.openxmlformats.org/officeDocument/2006/relationships/image" Id="rId24" Target="media/rId2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2026-05-13T21:12:51Z</dcterms:created>
  <dcterms:modified xsi:type="dcterms:W3CDTF">2026-05-13T21:12:51Z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