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84.png" ContentType="image/png"/>
  <Override PartName="/word/media/rId87.png" ContentType="image/png"/>
  <Override PartName="/word/media/rId108.png" ContentType="image/png"/>
  <Override PartName="/word/media/rId90.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2"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We integrate Izutsu’s semantic-field approach, Kennedy–Sassoon scalar semantics, and Lakoff–Kövecses conceptual metaphor theory, validating the continuum against the Quranic Arabic Corpus</w:t>
      </w:r>
      <w:r>
        <w:rPr>
          <w:rStyle w:val="FootnoteReference"/>
        </w:rPr>
        <w:footnoteReference w:id="21"/>
      </w:r>
      <w:r>
        <w:t xml:space="preserve"> </w:t>
      </w:r>
      <w:r>
        <w:t xml:space="preserve">through a reproducible pipeline over 312 attestations. Three findings are reported under uncertainty-aware metrics. First, the asymptotic χ²(5) = 227.15 is large but a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the substantive case resting on qualitative evidence. Second,</w:t>
      </w:r>
      <w:r>
        <w:t xml:space="preserve"> </w:t>
      </w:r>
      <w:r>
        <w:rPr>
          <w:i/>
          <w:iCs/>
        </w:rPr>
        <w:t xml:space="preserve">sakhaṭ</w:t>
      </w:r>
      <w:r>
        <w:t xml:space="preserve"> </w:t>
      </w:r>
      <w:r>
        <w:t xml:space="preserve">attests exclusively in Medinan suras (Holm-adjusted</w:t>
      </w:r>
      <w:r>
        <w:t xml:space="preserve"> </w:t>
      </w:r>
      <w:r>
        <w:rPr>
          <w:i/>
          <w:iCs/>
        </w:rPr>
        <w:t xml:space="preserve">p</w:t>
      </w:r>
      <w:r>
        <w:t xml:space="preserve"> </w:t>
      </w:r>
      <w:r>
        <w:t xml:space="preserve">= 0.05), the sole confirmed instance of</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w:t>
      </w:r>
      <w:r>
        <w:rPr>
          <w:i/>
          <w:iCs/>
        </w:rPr>
        <w:t xml:space="preserve">takādu tamayyazu min al-ġayẓ</w:t>
      </w:r>
      <w:r>
        <w:t xml:space="preserve">) is an unusually transparent instance of</w:t>
      </w:r>
      <w:r>
        <w:t xml:space="preserve"> </w:t>
      </w:r>
      <w:r>
        <w:t xml:space="preserve">“container collapse”</w:t>
      </w:r>
      <w:r>
        <w:t xml:space="preserve">; a κ = 0.79-validated tafsir audit supports a</w:t>
      </w:r>
      <w:r>
        <w:t xml:space="preserve"> </w:t>
      </w:r>
      <w:r>
        <w:rPr>
          <w:i/>
          <w:iCs/>
        </w:rPr>
        <w:t xml:space="preserve">bidirectional-causation</w:t>
      </w:r>
      <w:r>
        <w:t xml:space="preserve"> </w:t>
      </w:r>
      <w:r>
        <w:t xml:space="preserve">reading of Stage 6. Implications follow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emotion regulation, Arabic corpus linguistics, Izutsu, Islamic psychology.</w:t>
      </w:r>
    </w:p>
    <w:p>
      <w:r>
        <w:pict>
          <v:rect style="width:0;height:1.5pt" o:hralign="center" o:hrstd="t" o:hr="t"/>
        </w:pict>
      </w:r>
    </w:p>
    <w:bookmarkEnd w:id="22"/>
    <w:bookmarkStart w:id="51" w:name="introduction"/>
    <w:p>
      <w:pPr>
        <w:pStyle w:val="Heading2"/>
      </w:pPr>
      <w:r>
        <w:t xml:space="preserve">1. Introduction</w:t>
      </w:r>
    </w:p>
    <w:bookmarkStart w:id="23"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structural hypothesis that these fourteen Qur’anic anger-spectrum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original),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it implies that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the divine response). The distance from</w:t>
      </w:r>
      <w:r>
        <w:t xml:space="preserve"> </w:t>
      </w:r>
      <w:r>
        <w:rPr>
          <w:i/>
          <w:iCs/>
        </w:rPr>
        <w:t xml:space="preserve">uff</w:t>
      </w:r>
      <w:r>
        <w:t xml:space="preserve"> </w:t>
      </w:r>
      <w:r>
        <w:t xml:space="preserve">(Q. 17:23) to</w:t>
      </w:r>
      <w:r>
        <w:t xml:space="preserve"> </w:t>
      </w:r>
      <w:r>
        <w:rPr>
          <w:i/>
          <w:iCs/>
        </w:rPr>
        <w:t xml:space="preserve">ʿutuww</w:t>
      </w:r>
      <w:r>
        <w:t xml:space="preserve"> </w:t>
      </w:r>
      <w:r>
        <w:t xml:space="preserve">(Q. 25:21) is graded rather than categorical — the distance walked, absent intervention, by an unmanaged life of irritation.</w:t>
      </w:r>
    </w:p>
    <w:bookmarkEnd w:id="23"/>
    <w:bookmarkStart w:id="30"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The claim is deliberately measured. Izutsu’s field method, in the three foundational works (1959, 1964, 2002),</w:t>
      </w:r>
      <w:r>
        <w:rPr>
          <w:rStyle w:val="FootnoteReference"/>
        </w:rPr>
        <w:footnoteReference w:id="24"/>
      </w:r>
      <w:r>
        <w:t xml:space="preserve"> </w:t>
      </w:r>
      <w:r>
        <w:t xml:space="preserve">yields a network of mutually defining lexemes around focus words, but it does</w:t>
      </w:r>
      <w:r>
        <w:t xml:space="preserve"> </w:t>
      </w:r>
      <w:r>
        <w:rPr>
          <w:i/>
          <w:iCs/>
        </w:rPr>
        <w:t xml:space="preserve">not</w:t>
      </w:r>
      <w:r>
        <w:t xml:space="preserve"> </w:t>
      </w:r>
      <w:r>
        <w:t xml:space="preserve">generate an ordering relation</w:t>
      </w:r>
      <w:r>
        <w:t xml:space="preserve"> </w:t>
      </w:r>
      <w:r>
        <w:rPr>
          <w:i/>
          <w:iCs/>
        </w:rPr>
        <w:t xml:space="preserve">within</w:t>
      </w:r>
      <w:r>
        <w:t xml:space="preserve"> </w:t>
      </w:r>
      <w:r>
        <w:t xml:space="preserve">the network: Izutsu recovers the field but is silent on whether, within the field,</w:t>
      </w:r>
      <w:r>
        <w:t xml:space="preserve"> </w:t>
      </w:r>
      <w:r>
        <w:rPr>
          <w:i/>
          <w:iCs/>
        </w:rPr>
        <w:t xml:space="preserve">ġayẓ</w:t>
      </w:r>
      <w:r>
        <w:t xml:space="preserve"> </w:t>
      </w:r>
      <w:r>
        <w:t xml:space="preserve">is</w:t>
      </w:r>
      <w:r>
        <w:t xml:space="preserve"> </w:t>
      </w:r>
      <w:r>
        <w:t xml:space="preserve">“more intense than”</w:t>
      </w:r>
      <w:r>
        <w:t xml:space="preserve"> </w:t>
      </w:r>
      <w:r>
        <w:rPr>
          <w:i/>
          <w:iCs/>
        </w:rPr>
        <w:t xml:space="preserve">ghaḍab</w:t>
      </w:r>
      <w:r>
        <w:t xml:space="preserve">. Lakoff and Kövecses (1987) supply a cognitive-metaphor schema anchored lexicographically in</w:t>
      </w:r>
      <w:r>
        <w:t xml:space="preserve"> </w:t>
      </w:r>
      <w:r>
        <w:rPr>
          <w:i/>
          <w:iCs/>
        </w:rPr>
        <w:t xml:space="preserve">English</w:t>
      </w:r>
      <w:r>
        <w:t xml:space="preserve"> </w:t>
      </w:r>
      <w:r>
        <w:t xml:space="preserve">(Holland–Quinn’s American idioms), and the two-volume</w:t>
      </w:r>
      <w:r>
        <w:t xml:space="preserve"> </w:t>
      </w:r>
      <w:r>
        <w:rPr>
          <w:i/>
          <w:iCs/>
        </w:rPr>
        <w:t xml:space="preserve">Metaphors of ANGER across Languages</w:t>
      </w:r>
      <w:r>
        <w:t xml:space="preserve"> </w:t>
      </w:r>
      <w:r>
        <w:t xml:space="preserve">(Kövecses, Benczes and Szelid 2025)</w:t>
      </w:r>
      <w:r>
        <w:rPr>
          <w:rStyle w:val="FootnoteReference"/>
        </w:rPr>
        <w:footnoteReference w:id="25"/>
      </w:r>
      <w:r>
        <w:t xml:space="preserve"> </w:t>
      </w:r>
      <w:r>
        <w:t xml:space="preserve">— twenty-two languages from Mandarin to Yoruba —</w:t>
      </w:r>
      <w:r>
        <w:t xml:space="preserve"> </w:t>
      </w:r>
      <w:r>
        <w:rPr>
          <w:i/>
          <w:iCs/>
        </w:rPr>
        <w:t xml:space="preserve">omits Classical Arabic entirely</w:t>
      </w:r>
      <w:r>
        <w:t xml:space="preserve">. Kennedy and Sassoon’s scalar-semantic apparatus orders predicates along a dimension and a unit but has not been applied to a Qur’anic emotion field. The present paper’s distinct contribution is to</w:t>
      </w:r>
      <w:r>
        <w:t xml:space="preserve"> </w:t>
      </w:r>
      <w:r>
        <w:rPr>
          <w:i/>
          <w:iCs/>
        </w:rPr>
        <w:t xml:space="preserve">do all three together</w:t>
      </w:r>
      <w:r>
        <w:t xml:space="preserve"> </w:t>
      </w:r>
      <w:r>
        <w:t xml:space="preserve">on the same fourteen-root inventory: the Izutsu layer fixes field membership, the Kennedy–Sassoon layer fixes the action-intensity ordering, and the CMT layer grounds the climactic</w:t>
      </w:r>
      <w:r>
        <w:t xml:space="preserve"> </w:t>
      </w:r>
      <w:r>
        <w:rPr>
          <w:i/>
          <w:iCs/>
        </w:rPr>
        <w:t xml:space="preserve">ghayẓ–kaẓm–tamayyuz</w:t>
      </w:r>
      <w:r>
        <w:t xml:space="preserve"> </w:t>
      </w:r>
      <w:r>
        <w:t xml:space="preserve">sequence. We acknowledge that Qāʾimīniyā</w:t>
      </w:r>
      <w:r>
        <w:rPr>
          <w:rStyle w:val="FootnoteReference"/>
        </w:rPr>
        <w:footnoteReference w:id="26"/>
      </w:r>
      <w:r>
        <w:t xml:space="preserve"> </w:t>
      </w:r>
      <w:r>
        <w:t xml:space="preserve">and Pakatchi–Afrashi</w:t>
      </w:r>
      <w:r>
        <w:rPr>
          <w:rStyle w:val="FootnoteReference"/>
        </w:rPr>
        <w:footnoteReference w:id="27"/>
      </w:r>
      <w:r>
        <w:t xml:space="preserve"> </w:t>
      </w:r>
      <w:r>
        <w:t xml:space="preserve">already integrate Izutsu’s field method with CMT in Persian; the</w:t>
      </w:r>
      <w:r>
        <w:t xml:space="preserve"> </w:t>
      </w:r>
      <w:r>
        <w:rPr>
          <w:i/>
          <w:iCs/>
        </w:rPr>
        <w:t xml:space="preserve">novel</w:t>
      </w:r>
      <w:r>
        <w:t xml:space="preserve"> </w:t>
      </w:r>
      <w:r>
        <w:t xml:space="preserve">element in the present paper is the Kennedy–Sassoon scalar layer operationalised as a six-stage action-intensity continuum tested against a 312-attestation reproducible pipeline. The second aim is</w:t>
      </w:r>
      <w:r>
        <w:t xml:space="preserve"> </w:t>
      </w:r>
      <w:r>
        <w:rPr>
          <w:b/>
          <w:bCs/>
        </w:rPr>
        <w:t xml:space="preserve">descriptive</w:t>
      </w:r>
      <w:r>
        <w:t xml:space="preserve">: to map every Qur’anic occurrence of the fourteen core roots, render that map publicly verifiable, and extract empirical regularities previous scholarship was not in a position to detect. The third aim is</w:t>
      </w:r>
      <w:r>
        <w:t xml:space="preserve"> </w:t>
      </w:r>
      <w:r>
        <w:rPr>
          <w:b/>
          <w:bCs/>
        </w:rPr>
        <w:t xml:space="preserve">interpretive</w:t>
      </w:r>
      <w:r>
        <w:t xml:space="preserve">: to argue that the continuum constitutes a coherent logic of anger escalation with deep structural affinities to modern emotion psychology, and to identify the points at which the Qur’anic continuum</w:t>
      </w:r>
      <w:r>
        <w:t xml:space="preserve"> </w:t>
      </w:r>
      <w:r>
        <w:rPr>
          <w:i/>
          <w:iCs/>
        </w:rPr>
        <w:t xml:space="preserve">exceeds</w:t>
      </w:r>
      <w:r>
        <w:t xml:space="preserve"> </w:t>
      </w:r>
      <w:r>
        <w:t xml:space="preserve">the contemporary models — most pointedly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p>
      <w:pPr>
        <w:pStyle w:val="BodyText"/>
      </w:pPr>
      <w:r>
        <w:rPr>
          <w:b/>
          <w:bCs/>
        </w:rPr>
        <w:t xml:space="preserve">Originality</w:t>
      </w:r>
      <w:r>
        <w:t xml:space="preserve"> </w:t>
      </w:r>
      <w:r>
        <w:t xml:space="preserve">disaggregated into three contributions with</w:t>
      </w:r>
      <w:r>
        <w:t xml:space="preserve"> </w:t>
      </w:r>
      <w:r>
        <w:t xml:space="preserve">“to our knowledge”</w:t>
      </w:r>
      <w:r>
        <w:t xml:space="preserve"> </w:t>
      </w:r>
      <w:r>
        <w:t xml:space="preserve">qualifications.</w:t>
      </w:r>
      <w:r>
        <w:t xml:space="preserve"> </w:t>
      </w:r>
      <w:r>
        <w:rPr>
          <w:b/>
          <w:bCs/>
        </w:rPr>
        <w:t xml:space="preserve">(i) Methodological synthesis</w:t>
      </w:r>
      <w:r>
        <w:t xml:space="preserve"> </w:t>
      </w:r>
      <w:r>
        <w:t xml:space="preserve">(moderate): the trifold integration of Izutsu’s field method, Kennedy–Sassoon scalar semantics, and Lakoff–Kövecses CMT under a corpus pipeline. We acknowledge Qāʾimīniyā</w:t>
      </w:r>
      <w:r>
        <w:rPr>
          <w:rStyle w:val="FootnoteReference"/>
        </w:rPr>
        <w:footnoteReference w:id="28"/>
      </w:r>
      <w:r>
        <w:t xml:space="preserve"> </w:t>
      </w:r>
      <w:r>
        <w:t xml:space="preserve">and Pakatchi–Afrashi</w:t>
      </w:r>
      <w:r>
        <w:rPr>
          <w:rStyle w:val="FootnoteReference"/>
        </w:rPr>
        <w:footnoteReference w:id="29"/>
      </w:r>
      <w:r>
        <w:t xml:space="preserve"> </w:t>
      </w:r>
      <w:r>
        <w:t xml:space="preserve">already integrate Izutsu and CMT in Persian Qur’anic scholarship; the novel element is the Kennedy–Sassoon scalar layer over a reproducible computational pipeline.</w:t>
      </w:r>
      <w:r>
        <w:t xml:space="preserve"> </w:t>
      </w:r>
      <w:r>
        <w:rPr>
          <w:b/>
          <w:bCs/>
        </w:rPr>
        <w:t xml:space="preserve">(ii) Empirical findings</w:t>
      </w:r>
      <w:r>
        <w:t xml:space="preserve"> </w:t>
      </w:r>
      <w:r>
        <w:t xml:space="preserve">(variable strength): of four distributional patterns, only the exclusively-Medinan</w:t>
      </w:r>
      <w:r>
        <w:t xml:space="preserve"> </w:t>
      </w:r>
      <w:r>
        <w:rPr>
          <w:i/>
          <w:iCs/>
        </w:rPr>
        <w:t xml:space="preserve">sakhaṭ</w:t>
      </w:r>
      <w:r>
        <w:t xml:space="preserve"> </w:t>
      </w:r>
      <w:r>
        <w:t xml:space="preserve">(raw</w:t>
      </w:r>
      <w:r>
        <w:t xml:space="preserve"> </w:t>
      </w:r>
      <w:r>
        <w:rPr>
          <w:i/>
          <w:iCs/>
        </w:rPr>
        <w:t xml:space="preserve">p</w:t>
      </w:r>
      <w:r>
        <w:t xml:space="preserve"> </w:t>
      </w:r>
      <w:r>
        <w:t xml:space="preserve">= 0.005;</w:t>
      </w:r>
      <w:r>
        <w:t xml:space="preserve"> </w:t>
      </w:r>
      <w:r>
        <w:rPr>
          <w:b/>
          <w:bCs/>
        </w:rPr>
        <w:t xml:space="preserve">Holm-Bonferroni adj.</w:t>
      </w:r>
      <w:r>
        <w:rPr>
          <w:b/>
          <w:bCs/>
        </w:rPr>
        <w:t xml:space="preserve"> </w:t>
      </w:r>
      <w:r>
        <w:rPr>
          <w:b/>
          <w:bCs/>
          <w:i/>
          <w:iCs/>
        </w:rPr>
        <w:t xml:space="preserve">p</w:t>
      </w:r>
      <w:r>
        <w:rPr>
          <w:b/>
          <w:bCs/>
        </w:rPr>
        <w:t xml:space="preserve"> </w:t>
      </w:r>
      <w:r>
        <w:rPr>
          <w:b/>
          <w:bCs/>
        </w:rPr>
        <w:t xml:space="preserve">= 0.05</w:t>
      </w:r>
      <w:r>
        <w:t xml:space="preserve">) survives FDR — borderline rather than emphatic.</w:t>
      </w:r>
      <w:r>
        <w:t xml:space="preserve"> </w:t>
      </w:r>
      <w:r>
        <w:rPr>
          <w:i/>
          <w:iCs/>
        </w:rPr>
        <w:t xml:space="preserve">Asaf</w:t>
      </w:r>
      <w:r>
        <w:t xml:space="preserve"> </w:t>
      </w:r>
      <w:r>
        <w:t xml:space="preserve">(5/0),</w:t>
      </w:r>
      <w:r>
        <w:t xml:space="preserve"> </w:t>
      </w:r>
      <w:r>
        <w:rPr>
          <w:i/>
          <w:iCs/>
        </w:rPr>
        <w:t xml:space="preserve">naqm</w:t>
      </w:r>
      <w:r>
        <w:t xml:space="preserve"> </w:t>
      </w:r>
      <w:r>
        <w:t xml:space="preserve">(12/5),</w:t>
      </w:r>
      <w:r>
        <w:t xml:space="preserve"> </w:t>
      </w:r>
      <w:r>
        <w:rPr>
          <w:i/>
          <w:iCs/>
        </w:rPr>
        <w:t xml:space="preserve">ʿutuww</w:t>
      </w:r>
      <w:r>
        <w:t xml:space="preserve"> </w:t>
      </w:r>
      <w:r>
        <w:t xml:space="preserve">(9/1) tilts do not survive correction and are reported as contextual observations.</w:t>
      </w:r>
      <w:r>
        <w:t xml:space="preserve"> </w:t>
      </w:r>
      <w:r>
        <w:rPr>
          <w:b/>
          <w:bCs/>
        </w:rPr>
        <w:t xml:space="preserve">(iii) Interpretive contribution</w:t>
      </w:r>
      <w:r>
        <w:t xml:space="preserve"> </w:t>
      </w:r>
      <w:r>
        <w:t xml:space="preserve">(most substantive):</w:t>
      </w:r>
      <w:r>
        <w:t xml:space="preserve"> </w:t>
      </w:r>
      <w:r>
        <w:rPr>
          <w:i/>
          <w:iCs/>
        </w:rPr>
        <w:t xml:space="preserve">bidirectional-causation reading of Stage 6</w:t>
      </w:r>
      <w:r>
        <w:t xml:space="preserve"> </w:t>
      </w:r>
      <w:r>
        <w:t xml:space="preserve">via κ = 0.79-validated tafsir-coding (A = 26%, S = 49%, A+S = 25%); A-only re-analysis χ²(1) = 81.4,</w:t>
      </w:r>
      <w:r>
        <w:t xml:space="preserve"> </w:t>
      </w:r>
      <w:r>
        <w:rPr>
          <w:i/>
          <w:iCs/>
        </w:rPr>
        <w:t xml:space="preserve">p</w:t>
      </w:r>
      <w:r>
        <w:t xml:space="preserve"> </w:t>
      </w:r>
      <w:r>
        <w:t xml:space="preserve">&lt; 0.001 with phenomenological core dominating anger-derived outcomes ~4.4×. This reconciles a puzzling distributional finding with the structurally-driven character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in classical exegesis. To these add</w:t>
      </w:r>
      <w:r>
        <w:t xml:space="preserve"> </w:t>
      </w:r>
      <w:r>
        <w:rPr>
          <w:b/>
          <w:bCs/>
        </w:rPr>
        <w:t xml:space="preserve">(iv)</w:t>
      </w:r>
      <w:r>
        <w:t xml:space="preserve"> </w:t>
      </w:r>
      <w:r>
        <w:t xml:space="preserve">a fully reproducible MIT-licensed pipeline (SHA-256 pinning, permutation/bootstrap, 50/50 manual validation) and</w:t>
      </w:r>
      <w:r>
        <w:t xml:space="preserve"> </w:t>
      </w:r>
      <w:r>
        <w:rPr>
          <w:b/>
          <w:bCs/>
        </w:rPr>
        <w:t xml:space="preserve">(v)</w:t>
      </w:r>
      <w:r>
        <w:t xml:space="preserve"> </w:t>
      </w:r>
      <w:r>
        <w:t xml:space="preserve">the comparative observation that Q. 67:8 is an</w:t>
      </w:r>
      <w:r>
        <w:t xml:space="preserve"> </w:t>
      </w:r>
      <w:r>
        <w:rPr>
          <w:i/>
          <w:iCs/>
        </w:rPr>
        <w:t xml:space="preserve">early and unusually transparent</w:t>
      </w:r>
      <w:r>
        <w:t xml:space="preserve"> </w:t>
      </w:r>
      <w:r>
        <w:t xml:space="preserve">instance of</w:t>
      </w:r>
      <w:r>
        <w:t xml:space="preserve"> </w:t>
      </w:r>
      <w:r>
        <w:t xml:space="preserve">“container collapse”</w:t>
      </w:r>
      <w:r>
        <w:t xml:space="preserve">, calibrated in §5.5 by a focused six-tradition philological survey that acknowledges Job 32:19 (</w:t>
      </w:r>
      <w:r>
        <w:rPr>
          <w:i/>
          <w:iCs/>
        </w:rPr>
        <w:t xml:space="preserve">bāqaʿ</w:t>
      </w:r>
      <w:r>
        <w:t xml:space="preserve">) as the one clear Northwest-Semitic precedent for vessel-rupture imagery.</w:t>
      </w:r>
    </w:p>
    <w:bookmarkEnd w:id="30"/>
    <w:bookmarkStart w:id="49"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motivating this paper.</w:t>
      </w:r>
      <w:r>
        <w:t xml:space="preserve"> </w:t>
      </w:r>
      <w:r>
        <w:rPr>
          <w:b/>
          <w:bCs/>
        </w:rPr>
        <w:t xml:space="preserve">Single-word lexical studies</w:t>
      </w:r>
      <w:r>
        <w:t xml:space="preserve">: the most directly relevant Persian-language precedent — Narimani, Iqbali and Chari</w:t>
      </w:r>
      <w:r>
        <w:rPr>
          <w:rStyle w:val="FootnoteReference"/>
        </w:rPr>
        <w:footnoteReference w:id="31"/>
      </w:r>
      <w:r>
        <w:t xml:space="preserve"> </w:t>
      </w:r>
      <w:r>
        <w:t xml:space="preserve">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 tafsir 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exclusive to unbelievers/hypocrites in human-attribution contexts; we confirm and extend their findings with corpus-distributional evidence and the</w:t>
      </w:r>
      <w:r>
        <w:t xml:space="preserve"> </w:t>
      </w:r>
      <w:r>
        <w:rPr>
          <w:i/>
          <w:iCs/>
        </w:rPr>
        <w:t xml:space="preserve">kaẓm</w:t>
      </w:r>
      <w:r>
        <w:t xml:space="preserve"> </w:t>
      </w:r>
      <w:r>
        <w:t xml:space="preserve">analysis. Qarizadeh et al.</w:t>
      </w:r>
      <w:r>
        <w:rPr>
          <w:rStyle w:val="FootnoteReference"/>
        </w:rPr>
        <w:footnoteReference w:id="32"/>
      </w:r>
      <w:r>
        <w:t xml:space="preserve"> </w:t>
      </w:r>
      <w:r>
        <w:t xml:space="preserve">on</w:t>
      </w:r>
      <w:r>
        <w:t xml:space="preserve"> </w:t>
      </w:r>
      <w:r>
        <w:rPr>
          <w:i/>
          <w:iCs/>
        </w:rPr>
        <w:t xml:space="preserve">ṭughyān</w:t>
      </w:r>
      <w:r>
        <w:t xml:space="preserve"> </w:t>
      </w:r>
      <w:r>
        <w:t xml:space="preserve">show the root attests in 27 suras with the central meaning of transgressing the limit. Both works illustrate the present gap: high-quality lexical work for individual lexemes, but no integrated continuum and no operational ordering relation among the lexemes of the field.</w:t>
      </w:r>
      <w:r>
        <w:t xml:space="preserve"> </w:t>
      </w:r>
      <w:r>
        <w:rPr>
          <w:b/>
          <w:bCs/>
        </w:rPr>
        <w:t xml:space="preserve">Semantic-field and cognitive-semantic studies</w:t>
      </w:r>
      <w:r>
        <w:t xml:space="preserve"> </w:t>
      </w:r>
      <w:r>
        <w:t xml:space="preserve">in the Izutsu tradition — Qāʾimīniyā,</w:t>
      </w:r>
      <w:r>
        <w:rPr>
          <w:rStyle w:val="FootnoteReference"/>
        </w:rPr>
        <w:footnoteReference w:id="33"/>
      </w:r>
      <w:r>
        <w:t xml:space="preserve"> </w:t>
      </w:r>
      <w:r>
        <w:t xml:space="preserve">Pakatchi–Afrashi,</w:t>
      </w:r>
      <w:r>
        <w:rPr>
          <w:rStyle w:val="FootnoteReference"/>
        </w:rPr>
        <w:footnoteReference w:id="34"/>
      </w:r>
      <w:r>
        <w:t xml:space="preserve"> </w:t>
      </w:r>
      <w:r>
        <w:t xml:space="preserve">Albayrak</w:t>
      </w:r>
      <w:r>
        <w:rPr>
          <w:rStyle w:val="FootnoteReference"/>
        </w:rPr>
        <w:footnoteReference w:id="35"/>
      </w:r>
      <w:r>
        <w:t xml:space="preserve"> </w:t>
      </w:r>
      <w:r>
        <w:t xml:space="preserve">— have applied cognitive linguistics to Qur’anic vocabulary, but the</w:t>
      </w:r>
      <w:r>
        <w:t xml:space="preserve"> </w:t>
      </w:r>
      <w:r>
        <w:rPr>
          <w:i/>
          <w:iCs/>
        </w:rPr>
        <w:t xml:space="preserve">graded continuum</w:t>
      </w:r>
      <w:r>
        <w:t xml:space="preserve"> </w:t>
      </w:r>
      <w:r>
        <w:t xml:space="preserve">layer (Izutsu’s own deferral of the ordering question, §2.1) remains untreated. Izutsu’s three-layer apparatus (focus words / fields / key words) operates on lexical-semantic</w:t>
      </w:r>
      <w:r>
        <w:t xml:space="preserve"> </w:t>
      </w:r>
      <w:r>
        <w:rPr>
          <w:i/>
          <w:iCs/>
        </w:rPr>
        <w:t xml:space="preserve">relations</w:t>
      </w:r>
      <w:r>
        <w:t xml:space="preserve"> </w:t>
      </w:r>
      <w:r>
        <w:t xml:space="preserve">(paradigmatic, syntagmatic, contrastive),</w:t>
      </w:r>
      <w:r>
        <w:t xml:space="preserve"> </w:t>
      </w:r>
      <w:r>
        <w:rPr>
          <w:i/>
          <w:iCs/>
        </w:rPr>
        <w:t xml:space="preserve">not</w:t>
      </w:r>
      <w:r>
        <w:t xml:space="preserve"> </w:t>
      </w:r>
      <w:r>
        <w:t xml:space="preserve">on a measurable dimension along which field members can be ordered; the Kennedy–Sassoon scalar-semantic apparatus</w:t>
      </w:r>
      <w:r>
        <w:rPr>
          <w:rStyle w:val="FootnoteReference"/>
        </w:rPr>
        <w:footnoteReference w:id="36"/>
      </w:r>
      <w:r>
        <w:t xml:space="preserve"> </w:t>
      </w:r>
      <w:r>
        <w:t xml:space="preserve">supplies exactly what Izutsu’s method leaves open.</w:t>
      </w:r>
      <w:r>
        <w:t xml:space="preserve"> </w:t>
      </w:r>
      <w:r>
        <w:rPr>
          <w:b/>
          <w:bCs/>
        </w:rPr>
        <w:t xml:space="preserve">Ethics-of-anger studies</w:t>
      </w:r>
      <w:r>
        <w:t xml:space="preserve"> </w:t>
      </w:r>
      <w:r>
        <w:t xml:space="preserve">in the</w:t>
      </w:r>
      <w:r>
        <w:t xml:space="preserve"> </w:t>
      </w:r>
      <w:r>
        <w:rPr>
          <w:i/>
          <w:iCs/>
        </w:rPr>
        <w:t xml:space="preserve">kaẓm al-ghayẓ</w:t>
      </w:r>
      <w:r>
        <w:t xml:space="preserve"> </w:t>
      </w:r>
      <w:r>
        <w:t xml:space="preserve">tradition are normatively rich and linguistically thin.</w:t>
      </w:r>
      <w:r>
        <w:t xml:space="preserve"> </w:t>
      </w:r>
      <w:r>
        <w:rPr>
          <w:b/>
          <w:bCs/>
        </w:rPr>
        <w:t xml:space="preserve">The cross-linguistic CMT literature</w:t>
      </w:r>
      <w:r>
        <w:t xml:space="preserve"> </w:t>
      </w:r>
      <w:r>
        <w:t xml:space="preserve">has been decisively updated by Kövecses, Benczes and Szelid’s</w:t>
      </w:r>
      <w:r>
        <w:t xml:space="preserve"> </w:t>
      </w:r>
      <w:r>
        <w:rPr>
          <w:i/>
          <w:iCs/>
        </w:rPr>
        <w:t xml:space="preserve">Metaphors of ANGER across Languages</w:t>
      </w:r>
      <w:r>
        <w:t xml:space="preserve">,</w:t>
      </w:r>
      <w:r>
        <w:rPr>
          <w:rStyle w:val="FootnoteReference"/>
        </w:rPr>
        <w:footnoteReference w:id="37"/>
      </w:r>
      <w:r>
        <w:t xml:space="preserve"> </w:t>
      </w:r>
      <w:r>
        <w:t xml:space="preserve">which canvasses twenty-two language traditions (Mandarin, Japanese, Korean, Hungarian, Polish, Russian, Wolof, Hausa, Yoruba, Modern Standard Arabic in a single chapter,</w:t>
      </w:r>
      <w:r>
        <w:t xml:space="preserve"> </w:t>
      </w:r>
      <w:r>
        <w:rPr>
          <w:i/>
          <w:iCs/>
        </w:rPr>
        <w:t xml:space="preserve">inter alia</w:t>
      </w:r>
      <w:r>
        <w:t xml:space="preserve">) —</w:t>
      </w:r>
      <w:r>
        <w:t xml:space="preserve"> </w:t>
      </w:r>
      <w:r>
        <w:rPr>
          <w:i/>
          <w:iCs/>
        </w:rPr>
        <w:t xml:space="preserve">Classical Arabic is not separately treated</w:t>
      </w:r>
      <w:r>
        <w:t xml:space="preserve">, and the Qur’anic</w:t>
      </w:r>
      <w:r>
        <w:t xml:space="preserve"> </w:t>
      </w:r>
      <w:r>
        <w:rPr>
          <w:i/>
          <w:iCs/>
        </w:rPr>
        <w:t xml:space="preserve">ghayẓ–kaẓm–tamayyuz</w:t>
      </w:r>
      <w:r>
        <w:t xml:space="preserve"> </w:t>
      </w:r>
      <w:r>
        <w:t xml:space="preserve">triad is absent from the encyclopedia.</w:t>
      </w:r>
      <w:r>
        <w:t xml:space="preserve"> </w:t>
      </w:r>
      <w:r>
        <w:rPr>
          <w:b/>
          <w:bCs/>
        </w:rPr>
        <w:t xml:space="preserve">Historical-critical and corpus-linguistic studies</w:t>
      </w:r>
      <w:r>
        <w:t xml:space="preserve"> </w:t>
      </w:r>
      <w:r>
        <w:t xml:space="preserve">supply complementary apparatus: Sinai’s</w:t>
      </w:r>
      <w:r>
        <w:t xml:space="preserve"> </w:t>
      </w:r>
      <w:r>
        <w:rPr>
          <w:i/>
          <w:iCs/>
        </w:rPr>
        <w:t xml:space="preserve">The Qurʾan: A Historical-Critical Introduction</w:t>
      </w:r>
      <w:r>
        <w:rPr>
          <w:rStyle w:val="FootnoteReference"/>
        </w:rPr>
        <w:footnoteReference w:id="38"/>
      </w:r>
      <w:r>
        <w:t xml:space="preserve"> </w:t>
      </w:r>
      <w:r>
        <w:t xml:space="preserve">articulates the Meccan/Medinan periodisation that underwrites our</w:t>
      </w:r>
      <w:r>
        <w:t xml:space="preserve"> </w:t>
      </w:r>
      <w:r>
        <w:rPr>
          <w:i/>
          <w:iCs/>
        </w:rPr>
        <w:t xml:space="preserve">sakhaṭ</w:t>
      </w:r>
      <w:r>
        <w:t xml:space="preserve"> </w:t>
      </w:r>
      <w:r>
        <w:t xml:space="preserve">finding, and his</w:t>
      </w:r>
      <w:r>
        <w:t xml:space="preserve"> </w:t>
      </w:r>
      <w:r>
        <w:rPr>
          <w:i/>
          <w:iCs/>
        </w:rPr>
        <w:t xml:space="preserve">Key Terms of the Qurʾan</w:t>
      </w:r>
      <w:r>
        <w:rPr>
          <w:rStyle w:val="FootnoteReference"/>
        </w:rPr>
        <w:footnoteReference w:id="39"/>
      </w:r>
      <w:r>
        <w:t xml:space="preserve"> </w:t>
      </w:r>
      <w:r>
        <w:t xml:space="preserve">models the lexicon-level entry organisation we extend at the field level; El-Awa’s</w:t>
      </w:r>
      <w:r>
        <w:t xml:space="preserve"> </w:t>
      </w:r>
      <w:r>
        <w:rPr>
          <w:i/>
          <w:iCs/>
        </w:rPr>
        <w:t xml:space="preserve">Textual Relations in the Qurʾan</w:t>
      </w:r>
      <w:r>
        <w:rPr>
          <w:rStyle w:val="FootnoteReference"/>
        </w:rPr>
        <w:footnoteReference w:id="40"/>
      </w:r>
      <w:r>
        <w:t xml:space="preserve"> </w:t>
      </w:r>
      <w:r>
        <w:t xml:space="preserve">supplies the relevance-theoretic vocabulary for §5.4; Sharaf and Atwell’s QurAna and QurSim corpora</w:t>
      </w:r>
      <w:r>
        <w:rPr>
          <w:rStyle w:val="FootnoteReference"/>
        </w:rPr>
        <w:footnoteReference w:id="41"/>
      </w:r>
      <w:r>
        <w:t xml:space="preserve"> </w:t>
      </w:r>
      <w:r>
        <w:t xml:space="preserve">established Qur’anic-NLP reproducibility standards alongside QuranMorph</w:t>
      </w:r>
      <w:r>
        <w:rPr>
          <w:rStyle w:val="FootnoteReference"/>
        </w:rPr>
        <w:footnoteReference w:id="42"/>
      </w:r>
      <w:r>
        <w:t xml:space="preserve"> </w:t>
      </w:r>
      <w:r>
        <w:t xml:space="preserve">and MASAQ.</w:t>
      </w:r>
      <w:r>
        <w:rPr>
          <w:rStyle w:val="FootnoteReference"/>
        </w:rPr>
        <w:footnoteReference w:id="43"/>
      </w:r>
      <w:r>
        <w:t xml:space="preserve"> </w:t>
      </w:r>
      <w:r>
        <w:t xml:space="preserve">None of these supplies a</w:t>
      </w:r>
      <w:r>
        <w:t xml:space="preserve"> </w:t>
      </w:r>
      <w:r>
        <w:rPr>
          <w:i/>
          <w:iCs/>
        </w:rPr>
        <w:t xml:space="preserve">graded reference model of the anger-spectrum lexicon</w:t>
      </w:r>
      <w:r>
        <w:t xml:space="preserve">.</w:t>
      </w:r>
      <w:r>
        <w:t xml:space="preserve"> </w:t>
      </w:r>
      <w:r>
        <w:rPr>
          <w:b/>
          <w:bCs/>
        </w:rPr>
        <w:t xml:space="preserve">Translation-criticism studies</w:t>
      </w:r>
      <w:r>
        <w:t xml:space="preserve"> </w:t>
      </w:r>
      <w:r>
        <w:t xml:space="preserve">are quantitative at scale in 2025: Gaanoun and Alsuhaibani</w:t>
      </w:r>
      <w:r>
        <w:rPr>
          <w:rStyle w:val="FootnoteReference"/>
        </w:rPr>
        <w:footnoteReference w:id="44"/>
      </w:r>
      <w:r>
        <w:t xml:space="preserve"> </w:t>
      </w:r>
      <w:r>
        <w:t xml:space="preserve">show inconsistent sentiment polarity across seven English translations; the ELQV dataset of 2,100 emotion-labelled verses</w:t>
      </w:r>
      <w:r>
        <w:rPr>
          <w:rStyle w:val="FootnoteReference"/>
        </w:rPr>
        <w:footnoteReference w:id="45"/>
      </w:r>
      <w:r>
        <w:t xml:space="preserve"> </w:t>
      </w:r>
      <w:r>
        <w:t xml:space="preserve">provides a coarse-Ekman reference; Khan et al.</w:t>
      </w:r>
      <w:r>
        <w:rPr>
          <w:rStyle w:val="FootnoteReference"/>
        </w:rPr>
        <w:footnoteReference w:id="46"/>
      </w:r>
      <w:r>
        <w:t xml:space="preserve"> </w:t>
      </w:r>
      <w:r>
        <w:t xml:space="preserve">survey the field; a 2025</w:t>
      </w:r>
      <w:r>
        <w:t xml:space="preserve"> </w:t>
      </w:r>
      <w:r>
        <w:rPr>
          <w:i/>
          <w:iCs/>
        </w:rPr>
        <w:t xml:space="preserve">Cogent Arts &amp; Humanities</w:t>
      </w:r>
      <w:r>
        <w:t xml:space="preserve"> </w:t>
      </w:r>
      <w:r>
        <w:t xml:space="preserve">paper catalogues flattening risks.</w:t>
      </w:r>
      <w:r>
        <w:rPr>
          <w:rStyle w:val="FootnoteReference"/>
        </w:rPr>
        <w:footnoteReference w:id="47"/>
      </w:r>
      <w:r>
        <w:t xml:space="preserve"> </w:t>
      </w:r>
      <w:r>
        <w:t xml:space="preserve">None supplies a graded</w:t>
      </w:r>
      <w:r>
        <w:t xml:space="preserve"> </w:t>
      </w:r>
      <w:r>
        <w:rPr>
          <w:i/>
          <w:iCs/>
        </w:rPr>
        <w:t xml:space="preserve">lexeme-level</w:t>
      </w:r>
      <w:r>
        <w:t xml:space="preserve"> </w:t>
      </w:r>
      <w:r>
        <w:t xml:space="preserve">reference model against which translation-levelling could be benchmarked.</w:t>
      </w:r>
      <w:r>
        <w:t xml:space="preserve"> </w:t>
      </w:r>
      <w:r>
        <w:rPr>
          <w:b/>
          <w:bCs/>
        </w:rPr>
        <w:t xml:space="preserve">Islamic psychology</w:t>
      </w:r>
      <w:r>
        <w:rPr>
          <w:rStyle w:val="FootnoteReference"/>
        </w:rPr>
        <w:footnoteReference w:id="48"/>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occupies the unfilled intersection of all five lines: it adds the Kennedy–Sassoon scalar layer to the Izutsu / CMT cognitive-semantic stack, applies it to the anger field that the 2025</w:t>
      </w:r>
      <w:r>
        <w:t xml:space="preserve"> </w:t>
      </w:r>
      <w:r>
        <w:rPr>
          <w:i/>
          <w:iCs/>
        </w:rPr>
        <w:t xml:space="preserve">Metaphors of ANGER</w:t>
      </w:r>
      <w:r>
        <w:t xml:space="preserve"> </w:t>
      </w:r>
      <w:r>
        <w:t xml:space="preserve">encyclopedia omits, releases the empirical pipeline under the Sharaf–Atwell / QuranMorph reproducibility standard, and supplies the lexeme-level reference model the post-2025 translation-criticism literature requires.</w:t>
      </w:r>
    </w:p>
    <w:bookmarkEnd w:id="49"/>
    <w:bookmarkStart w:id="50"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(ʾff, krh, ḍyq, ḥzn, ʾsf, nqm, sxṭ, mqt, ġḍb, ḥrd, ġyẓ, bġy, ṭġy, ʿtw)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50"/>
    <w:bookmarkEnd w:id="51"/>
    <w:bookmarkStart w:id="64" w:name="theoretical-framework"/>
    <w:p>
      <w:pPr>
        <w:pStyle w:val="Heading2"/>
      </w:pPr>
      <w:r>
        <w:t xml:space="preserve">2. Theoretical Framework</w:t>
      </w:r>
    </w:p>
    <w:bookmarkStart w:id="54"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w:t>
      </w:r>
      <w:r>
        <w:t xml:space="preserve"> </w:t>
      </w:r>
      <w:r>
        <w:rPr>
          <w:i/>
          <w:iCs/>
        </w:rPr>
        <w:t xml:space="preserve">God and Man in the Koran</w:t>
      </w:r>
      <w:r>
        <w:t xml:space="preserve">, and</w:t>
      </w:r>
      <w:r>
        <w:t xml:space="preserve"> </w:t>
      </w:r>
      <w:r>
        <w:rPr>
          <w:i/>
          <w:iCs/>
        </w:rPr>
        <w:t xml:space="preserve">Ethico-Religious Concepts in the Qurʾān</w:t>
      </w:r>
      <w:r>
        <w:rPr>
          <w:rStyle w:val="FootnoteReference"/>
        </w:rPr>
        <w:footnoteReference w:id="52"/>
      </w:r>
      <w:r>
        <w:t xml:space="preserve">—introduced a methodological revolution to Qur’anic studies. Drawing on the structuralist linguistics of the Trier–Weisgerber tradition and on East Asian philosophy of language, Izutsu argued that the central terms of the Qur’an—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Qur’anic semantic work, both in English (Saleh, Rippin) and Persian.</w:t>
      </w:r>
      <w:r>
        <w:rPr>
          <w:rStyle w:val="FootnoteReference"/>
        </w:rPr>
        <w:footnoteReference w:id="53"/>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54"/>
    <w:bookmarkStart w:id="56"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rPr>
          <w:rStyle w:val="FootnoteReference"/>
        </w:rPr>
        <w:footnoteReference w:id="55"/>
      </w:r>
      <w:r>
        <w:t xml:space="preserve"> </w:t>
      </w:r>
      <w:r>
        <w:t xml:space="preserve">supplies the missing apparatus. A graded predicate maps to a scale characterised by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signalling their scalar structure.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w:t>
      </w:r>
    </w:p>
    <w:bookmarkEnd w:id="56"/>
    <w:bookmarkStart w:id="59" w:name="X6483b6c1b26b4cc97c995157bd2ece1428cab5a"/>
    <w:p>
      <w:pPr>
        <w:pStyle w:val="Heading3"/>
      </w:pPr>
      <w:r>
        <w:t xml:space="preserve">2.3. Conceptual metaphor theory and the container schema</w:t>
      </w:r>
    </w:p>
    <w:p>
      <w:pPr>
        <w:pStyle w:val="FirstParagraph"/>
      </w:pPr>
      <w:r>
        <w:t xml:space="preserve">Conceptual metaphor theory</w:t>
      </w:r>
      <w:r>
        <w:rPr>
          <w:rStyle w:val="FootnoteReference"/>
        </w:rPr>
        <w:footnoteReference w:id="57"/>
      </w:r>
      <w:r>
        <w:t xml:space="preserve"> </w:t>
      </w:r>
      <w:r>
        <w:t xml:space="preserve">treats metaphor as a cognitive structure that allows abstract domains (emotion) to be understood through concrete ones (container, heat). Lakoff and Kövecses</w:t>
      </w:r>
      <w:r>
        <w:rPr>
          <w:rStyle w:val="FootnoteReference"/>
        </w:rPr>
        <w:footnoteReference w:id="58"/>
      </w:r>
      <w:r>
        <w:t xml:space="preserve"> </w:t>
      </w:r>
      <w:r>
        <w:t xml:space="preserve">established that English anger is organised around ANGER IS THE HEAT OF A FLUID IN A PRESSURIZED CONTAINER, accommodating a four-step trajectory: fluid in container → intensifying pressure → containment attempts → container collapse. Our central observation is that the Qur’anic triplet</w:t>
      </w:r>
      <w:r>
        <w:t xml:space="preserve"> </w:t>
      </w:r>
      <w:r>
        <w:rPr>
          <w:i/>
          <w:iCs/>
        </w:rPr>
        <w:t xml:space="preserve">ghayẓ–kaẓm–tamayyuz</w:t>
      </w:r>
      <w:r>
        <w:t xml:space="preserve"> </w:t>
      </w:r>
      <w:r>
        <w:t xml:space="preserve">operationalises this exact structure thirteen centuries early.</w:t>
      </w:r>
      <w:r>
        <w:t xml:space="preserve"> </w:t>
      </w:r>
      <w:r>
        <w:rPr>
          <w:i/>
          <w:iCs/>
        </w:rPr>
        <w:t xml:space="preserve">Ghayẓ</w:t>
      </w:r>
      <w:r>
        <w:t xml:space="preserve"> </w:t>
      </w:r>
      <w:r>
        <w:t xml:space="preserve">is glossed by all four authoritative lexica as</w:t>
      </w:r>
      <w:r>
        <w:t xml:space="preserve"> </w:t>
      </w:r>
      <w:r>
        <w:t xml:space="preserve">“compressed contained anger”</w:t>
      </w:r>
      <w:r>
        <w:t xml:space="preserve"> </w:t>
      </w:r>
      <w:r>
        <w:t xml:space="preserve">— fluid in sealed vessel.</w:t>
      </w:r>
      <w:r>
        <w:t xml:space="preserve"> </w:t>
      </w:r>
      <w:r>
        <w:rPr>
          <w:i/>
          <w:iCs/>
        </w:rPr>
        <w:t xml:space="preserve">Kaẓm</w:t>
      </w:r>
      <w:r>
        <w:t xml:space="preserve">, etymologically tying off a waterskin, is the agent-internal regulation that maintains containment (Q. 3:134</w:t>
      </w:r>
      <w:r>
        <w:t xml:space="preserve"> </w:t>
      </w:r>
      <w:r>
        <w:rPr>
          <w:i/>
          <w:iCs/>
        </w:rPr>
        <w:t xml:space="preserve">al-kāẓimīn al-ghayẓ</w:t>
      </w:r>
      <w:r>
        <w:t xml:space="preserve">).</w:t>
      </w:r>
      <w:r>
        <w:t xml:space="preserve"> </w:t>
      </w:r>
      <w:r>
        <w:rPr>
          <w:i/>
          <w:iCs/>
        </w:rPr>
        <w:t xml:space="preserve">Tamayyuz</w:t>
      </w:r>
      <w:r>
        <w:t xml:space="preserve"> </w:t>
      </w:r>
      <w:r>
        <w:t xml:space="preserve">(Q. 67:8) depicts the failure mode: the container itself bursts apart. The Qur’anic verb derives from</w:t>
      </w:r>
      <w:r>
        <w:t xml:space="preserve"> </w:t>
      </w:r>
      <w:r>
        <w:rPr>
          <w:i/>
          <w:iCs/>
        </w:rPr>
        <w:t xml:space="preserve">m-y-z</w:t>
      </w:r>
      <w:r>
        <w:t xml:space="preserve"> </w:t>
      </w:r>
      <w:r>
        <w:t xml:space="preserve">(to part, sever) and figures the disintegration of the</w:t>
      </w:r>
      <w:r>
        <w:t xml:space="preserve"> </w:t>
      </w:r>
      <w:r>
        <w:rPr>
          <w:i/>
          <w:iCs/>
        </w:rPr>
        <w:t xml:space="preserve">vessel</w:t>
      </w:r>
      <w:r>
        <w:t xml:space="preserve">, not (as in English</w:t>
      </w:r>
      <w:r>
        <w:t xml:space="preserve">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the</w:t>
      </w:r>
      <w:r>
        <w:t xml:space="preserve"> </w:t>
      </w:r>
      <w:r>
        <w:rPr>
          <w:i/>
          <w:iCs/>
        </w:rPr>
        <w:t xml:space="preserve">exit</w:t>
      </w:r>
      <w:r>
        <w:t xml:space="preserve"> </w:t>
      </w:r>
      <w:r>
        <w:t xml:space="preserve">of contents — an unusually transparent instantiation of the failure-mode schema.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59"/>
    <w:bookmarkStart w:id="63" w:name="the-integrated-framework"/>
    <w:p>
      <w:pPr>
        <w:pStyle w:val="Heading3"/>
      </w:pPr>
      <w:r>
        <w:t xml:space="preserve">2.4. The integrated framework</w:t>
      </w:r>
    </w:p>
    <w:p>
      <w:pPr>
        <w:pStyle w:val="FirstParagraph"/>
      </w:pPr>
      <w:r>
        <w:t xml:space="preserve">The three layers operate complementarily: Izutsu identifies field boundaries; Kennedy-Sassoon scalar semantics order members along the action-intensity dimension; CMT explains the cognitive basis of the pressurisation-collapse metaphor organising Stage 5. Each supplies what the others lack — without Izutsu, no motivation for field-coordination; without scalar semantics, no apparatus for ordering; without CMT, no cognitive grounding for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102223"/>
            <wp:effectExtent b="0" l="0" r="0" t="0"/>
            <wp:docPr descr="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145) ≈ S1–5 (n=167); the χ²(1) = 1.55 near-balance is theoretically consistent with the bidirectional reading." title="" id="61" name="Picture"/>
            <a:graphic>
              <a:graphicData uri="http://schemas.openxmlformats.org/drawingml/2006/picture">
                <pic:pic>
                  <pic:nvPicPr>
                    <pic:cNvPr descr="fig1_continuum.png" id="62" name="Picture"/>
                    <pic:cNvPicPr>
                      <a:picLocks noChangeArrowheads="1" noChangeAspect="1"/>
                    </pic:cNvPicPr>
                  </pic:nvPicPr>
                  <pic:blipFill>
                    <a:blip r:embed="rId60"/>
                    <a:stretch>
                      <a:fillRect/>
                    </a:stretch>
                  </pic:blipFill>
                  <pic:spPr bwMode="auto">
                    <a:xfrm>
                      <a:off x="0" y="0"/>
                      <a:ext cx="5334000" cy="2102223"/>
                    </a:xfrm>
                    <a:prstGeom prst="rect">
                      <a:avLst/>
                    </a:prstGeom>
                    <a:noFill/>
                    <a:ln w="9525">
                      <a:noFill/>
                      <a:headEnd/>
                      <a:tailEnd/>
                    </a:ln>
                  </pic:spPr>
                </pic:pic>
              </a:graphicData>
            </a:graphic>
          </wp:inline>
        </w:drawing>
      </w:r>
    </w:p>
    <w:p>
      <w:pPr>
        <w:pStyle w:val="ImageCaption"/>
      </w:pP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(n=145) ≈ S1–5 (n=167); the χ²(1) = 1.55 near-balance is theoretically consistent with the bidirectional reading.</w:t>
      </w:r>
    </w:p>
    <w:bookmarkEnd w:id="63"/>
    <w:bookmarkEnd w:id="64"/>
    <w:bookmarkStart w:id="81" w:name="methods"/>
    <w:p>
      <w:pPr>
        <w:pStyle w:val="Heading2"/>
      </w:pPr>
      <w:r>
        <w:t xml:space="preserve">3. Methods</w:t>
      </w:r>
    </w:p>
    <w:bookmarkStart w:id="6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w:t>
      </w:r>
      <w:r>
        <w:rPr>
          <w:rStyle w:val="FootnoteReference"/>
        </w:rPr>
        <w:footnoteReference w:id="65"/>
      </w:r>
      <w:r>
        <w:t xml:space="preserve"> </w:t>
      </w:r>
      <w:r>
        <w:t xml:space="preserve">The QAC provides a morphologically tagged record for each of the 128,219 segmentable units in the Qur’anic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w:t>
      </w:r>
      <w:r>
        <w:rPr>
          <w:rStyle w:val="FootnoteReference"/>
        </w:rPr>
        <w:footnoteReference w:id="66"/>
      </w:r>
      <w:r>
        <w:t xml:space="preserve"> </w:t>
      </w:r>
      <w:r>
        <w:t xml:space="preserve">distributed under CC-BY-ND 3.0.</w:t>
      </w:r>
    </w:p>
    <w:bookmarkEnd w:id="67"/>
    <w:bookmarkStart w:id="68" w:name="selection-of-target-roots"/>
    <w:p>
      <w:pPr>
        <w:pStyle w:val="Heading3"/>
      </w:pPr>
      <w:r>
        <w:t xml:space="preserve">3.2. Selection of target roots</w:t>
      </w:r>
    </w:p>
    <w:p>
      <w:pPr>
        <w:pStyle w:val="FirstParagraph"/>
      </w:pPr>
      <w:r>
        <w:t xml:space="preserve">The fourteen core roots were selected by three concurrent criteria, applied transparently and reported here so that the inventory is not vulnerable to the charge of post-hoc selection: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Q. 68:25) when supported by an explicit gloss in at least three of the four lexica plus consistent treatment in the four canonical tafsirs 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(post-Qur’anic, ḥadīth-only);</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n=315 functions as a meta-category) or because they belong to adjacent normative-ethics fields.</w:t>
      </w:r>
    </w:p>
    <w:bookmarkEnd w:id="68"/>
    <w:bookmarkStart w:id="70"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of the repository in four commands (</w:t>
      </w:r>
      <w:r>
        <w:rPr>
          <w:rStyle w:val="VerbatimChar"/>
        </w:rPr>
        <w:t xml:space="preserve">pip install</w:t>
      </w:r>
      <w:r>
        <w:t xml:space="preserve">,</w:t>
      </w:r>
      <w:r>
        <w:t xml:space="preserve"> </w:t>
      </w:r>
      <w:r>
        <w:rPr>
          <w:rStyle w:val="VerbatimChar"/>
        </w:rPr>
        <w:t xml:space="preserve">extract_concordance.py</w:t>
      </w:r>
      <w:r>
        <w:t xml:space="preserve">,</w:t>
      </w:r>
      <w:r>
        <w:t xml:space="preserve"> </w:t>
      </w:r>
      <w:r>
        <w:rPr>
          <w:rStyle w:val="VerbatimChar"/>
        </w:rPr>
        <w:t xml:space="preserve">advanced_metrics.py</w:t>
      </w:r>
      <w:r>
        <w:t xml:space="preserve">,</w:t>
      </w:r>
      <w:r>
        <w:t xml:space="preserve"> </w:t>
      </w:r>
      <w:r>
        <w:rPr>
          <w:rStyle w:val="VerbatimChar"/>
        </w:rPr>
        <w:t xml:space="preserve">visualize_*.py</w:t>
      </w:r>
      <w:r>
        <w:t xml:space="preserve">).</w:t>
      </w:r>
    </w:p>
    <w:p>
      <w:pPr>
        <w:pStyle w:val="BodyText"/>
      </w:pPr>
      <w:r>
        <w:rPr>
          <w:b/>
          <w:bCs/>
        </w:rPr>
        <w:t xml:space="preserve">Reproducibility audit (summary).</w:t>
      </w:r>
      <w:r>
        <w:t xml:space="preserve"> </w:t>
      </w:r>
      <w:r>
        <w:t xml:space="preserve">QAC v0.4</w:t>
      </w:r>
      <w:r>
        <w:rPr>
          <w:rStyle w:val="FootnoteReference"/>
        </w:rPr>
        <w:footnoteReference w:id="69"/>
      </w:r>
      <w:r>
        <w:t xml:space="preserve"> </w:t>
      </w:r>
      <w:r>
        <w:t xml:space="preserve">is pinned by SHA-256 in the repository; minimum-version dependencies are listed in</w:t>
      </w:r>
      <w:r>
        <w:t xml:space="preserve"> </w:t>
      </w:r>
      <w:r>
        <w:rPr>
          <w:rStyle w:val="VerbatimChar"/>
        </w:rPr>
        <w:t xml:space="preserve">requirements.txt</w:t>
      </w:r>
      <w:r>
        <w:t xml:space="preserve">; outputs are released under MIT (code) and CC-BY 4.0 (manuscripts/figures); the 14 headline exemplar verses and a stratified 50-segment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bookmarkEnd w:id="70"/>
    <w:bookmarkStart w:id="73"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perms, deterministic seed) for the omnibus; (b) three monotonic-trend tests (Spearman ρ, Mann-Kendall, Cochran-Armitage-style OLS slope); (c) two-sided exact binomials with the corpus-derived 0.74 Meccan-ayat baseline, Holm-Bonferroni step-down adjusted over the family of fourteen per-root tests, and a granular sensitivity table at baselines 0.70–0.78; (d) morphological breakdown by POS; (e) aya-level co-occurrence network</w:t>
      </w:r>
      <w:r>
        <w:rPr>
          <w:rStyle w:val="FootnoteReference"/>
        </w:rPr>
        <w:footnoteReference w:id="71"/>
      </w:r>
      <w:r>
        <w:t xml:space="preserve"> </w:t>
      </w:r>
      <w:r>
        <w:t xml:space="preserve">with weighted degree, betweenness, closeness, and eigenvector centrality, accompanied by non-parametric bootstrap 95% percentile CIs (1,000 ayat-resamples with replacement). The combined uncertainty-aware reporting is, to our knowledge, the most rigorous yet applied to Qur’anic computational-corpus studies; the wider 2025 cross-scripture NLP literature</w:t>
      </w:r>
      <w:r>
        <w:rPr>
          <w:rStyle w:val="FootnoteReference"/>
        </w:rPr>
        <w:footnoteReference w:id="72"/>
      </w:r>
      <w:r>
        <w:t xml:space="preserve"> </w:t>
      </w:r>
      <w:r>
        <w:t xml:space="preserve">operates at the discourse-topic level on coarse sentiment and does not yet apply this battery at the lexeme level.</w:t>
      </w:r>
    </w:p>
    <w:bookmarkEnd w:id="73"/>
    <w:bookmarkStart w:id="74" w:name="qualitative-analyses"/>
    <w:p>
      <w:pPr>
        <w:pStyle w:val="Heading3"/>
      </w:pPr>
      <w:r>
        <w:t xml:space="preserve">3.5. Qualitative analyses</w:t>
      </w:r>
    </w:p>
    <w:p>
      <w:pPr>
        <w:pStyle w:val="FirstParagraph"/>
      </w:pPr>
      <w:r>
        <w:t xml:space="preserve">Qualitative complements: (a) comparative etymology across the four authoritative lexica (Maqāyīs, Mufradāt, Lisān, Taḥqīq);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Sufi-tradition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Where the broader set diverges from the primary four on key claims (whether</w:t>
      </w:r>
      <w:r>
        <w:t xml:space="preserve"> </w:t>
      </w:r>
      <w:r>
        <w:rPr>
          <w:i/>
          <w:iCs/>
        </w:rPr>
        <w:t xml:space="preserve">ghayẓ</w:t>
      </w:r>
      <w:r>
        <w:t xml:space="preserve"> </w:t>
      </w:r>
      <w:r>
        <w:t xml:space="preserve">is exclusively predicated of unbelievers; whether</w:t>
      </w:r>
      <w:r>
        <w:t xml:space="preserve"> </w:t>
      </w:r>
      <w:r>
        <w:rPr>
          <w:i/>
          <w:iCs/>
        </w:rPr>
        <w:t xml:space="preserve">sakhaṭ</w:t>
      </w:r>
      <w:r>
        <w:t xml:space="preserve"> </w:t>
      </w:r>
      <w:r>
        <w:t xml:space="preserve">is exclusively directed at the</w:t>
      </w:r>
      <w:r>
        <w:t xml:space="preserve"> </w:t>
      </w:r>
      <w:r>
        <w:rPr>
          <w:i/>
          <w:iCs/>
        </w:rPr>
        <w:t xml:space="preserve">Munāfiqūn</w:t>
      </w:r>
      <w:r>
        <w:t xml:space="preserve">; whether</w:t>
      </w:r>
      <w:r>
        <w:t xml:space="preserve"> </w:t>
      </w:r>
      <w:r>
        <w:rPr>
          <w:i/>
          <w:iCs/>
        </w:rPr>
        <w:t xml:space="preserve">naqm</w:t>
      </w:r>
      <w:r>
        <w:t xml:space="preserve"> </w:t>
      </w:r>
      <w:r>
        <w:t xml:space="preserve">admits a non-retributive sense), divergences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framed throughout as illustrative rather than systematic.</w:t>
      </w:r>
    </w:p>
    <w:bookmarkEnd w:id="74"/>
    <w:bookmarkStart w:id="80"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1"/>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pPr>
        <w:pStyle w:val="BodyText"/>
      </w:pPr>
      <w:r>
        <w:rPr>
          <w:b/>
          <w:bCs/>
        </w:rPr>
        <w:t xml:space="preserve">On the choice of permutation over asymptotic χ² for the sparse six-cell design.</w:t>
      </w:r>
      <w:r>
        <w:t xml:space="preserve"> </w:t>
      </w:r>
      <w:r>
        <w:t xml:space="preserve">The omnibus test of §4.2 (χ²(5) over 312 attestations in a six-cell design) has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with</w:t>
      </w:r>
      <w:r>
        <w:t xml:space="preserve"> </w:t>
      </w:r>
      <w:r>
        <w:rPr>
          <w:i/>
          <w:iCs/>
        </w:rPr>
        <w:t xml:space="preserve">baghy</w:t>
      </w:r>
      <w:r>
        <w:t xml:space="preserve"> </w:t>
      </w:r>
      <w:r>
        <w:t xml:space="preserve">alone supplying 96 attestations — almost a third of the total and twice the per-stage uniform expectation. On such marginally-imbalanced designs the asymptotic χ² approximation is known to be unreliable: Cochran</w:t>
      </w:r>
      <w:r>
        <w:rPr>
          <w:rStyle w:val="FootnoteReference"/>
        </w:rPr>
        <w:footnoteReference w:id="75"/>
      </w:r>
      <w:r>
        <w:t xml:space="preserve"> </w:t>
      </w:r>
      <w:r>
        <w:t xml:space="preserve">warns that observed cell frequencies dominating a single category can inflate the statistic without corresponding evidence against the null. Fisher’s exact test</w:t>
      </w:r>
      <w:r>
        <w:rPr>
          <w:rStyle w:val="FootnoteReference"/>
        </w:rPr>
        <w:footnoteReference w:id="76"/>
      </w:r>
      <w:r>
        <w:t xml:space="preserve"> </w:t>
      </w:r>
      <w:r>
        <w:t xml:space="preserve">solves the problem in principle for 2 × 2 tables, with Patefield’s network algorithm</w:t>
      </w:r>
      <w:r>
        <w:rPr>
          <w:rStyle w:val="FootnoteReference"/>
        </w:rPr>
        <w:footnoteReference w:id="77"/>
      </w:r>
      <w:r>
        <w:t xml:space="preserve"> </w:t>
      </w:r>
      <w:r>
        <w:t xml:space="preserve">and the Mehta–Patel extension</w:t>
      </w:r>
      <w:r>
        <w:rPr>
          <w:rStyle w:val="FootnoteReference"/>
        </w:rPr>
        <w:footnoteReference w:id="78"/>
      </w:r>
      <w:r>
        <w:t xml:space="preserve"> </w:t>
      </w:r>
      <w:r>
        <w:t xml:space="preserve">enabling feasible enumeration for general</w:t>
      </w:r>
      <w:r>
        <w:t xml:space="preserve"> </w:t>
      </w:r>
      <w:r>
        <w:rPr>
          <w:i/>
          <w:iCs/>
        </w:rPr>
        <w:t xml:space="preserve">r</w:t>
      </w:r>
      <w:r>
        <w:t xml:space="preserve"> </w:t>
      </w:r>
      <w:r>
        <w:t xml:space="preserve">×</w:t>
      </w:r>
      <w:r>
        <w:t xml:space="preserve"> </w:t>
      </w:r>
      <w:r>
        <w:rPr>
          <w:i/>
          <w:iCs/>
        </w:rPr>
        <w:t xml:space="preserve">c</w:t>
      </w:r>
      <w:r>
        <w:t xml:space="preserve"> </w:t>
      </w:r>
      <w:r>
        <w:t xml:space="preserve">tables. The contemporary recommendation (Agresti)</w:t>
      </w:r>
      <w:r>
        <w:rPr>
          <w:rStyle w:val="FootnoteReference"/>
        </w:rPr>
        <w:footnoteReference w:id="79"/>
      </w:r>
      <w:r>
        <w:t xml:space="preserve"> </w:t>
      </w:r>
      <w:r>
        <w:t xml:space="preserve">is to favour permutation- or exact-conditional inference for sparse contingency tables, retaining the asymptotic χ² as a descriptive statistic. Our marginal-preserving permutation null (10,000 perms, fixed RNG seed 20260509) holds the per-root attestation counts fixed and randomly permutes the fourteen stage labels across roots; the empirical</w:t>
      </w:r>
      <w:r>
        <w:t xml:space="preserve"> </w:t>
      </w:r>
      <w:r>
        <w:rPr>
          <w:i/>
          <w:iCs/>
        </w:rPr>
        <w:t xml:space="preserve">p</w:t>
      </w:r>
      <w:r>
        <w:t xml:space="preserve">-value is the fraction of permuted χ² values meeting or exceeding the observed 227.15. This is the natural extension of Fisher-exact reasoning to a many-cell design where exact enumeration of the conditional reference set is intractable.</w:t>
      </w:r>
    </w:p>
    <w:p>
      <w:r>
        <w:pict>
          <v:rect style="width:0;height:1.5pt" o:hralign="center" o:hrstd="t" o:hr="t"/>
        </w:pict>
      </w:r>
    </w:p>
    <w:bookmarkEnd w:id="80"/>
    <w:bookmarkEnd w:id="81"/>
    <w:bookmarkStart w:id="117" w:name="findings"/>
    <w:p>
      <w:pPr>
        <w:pStyle w:val="Heading2"/>
      </w:pPr>
      <w:r>
        <w:t xml:space="preserve">4. Findings</w:t>
      </w:r>
    </w:p>
    <w:bookmarkStart w:id="82"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“kalimatu taḍajjurin”</w:t>
            </w:r>
            <w:r>
              <w:t xml:space="preserve"> </w:t>
            </w:r>
            <w:r>
              <w:t xml:space="preserve">(a word of vexation); the wretched of fingernail-detritus etymologically;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 the lexicon couples affect and intent</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82"/>
    <w:bookmarkStart w:id="94"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four discursively-specialised roots (</w:t>
      </w:r>
      <w:r>
        <w:rPr>
          <w:i/>
          <w:iCs/>
        </w:rPr>
        <w:t xml:space="preserve">sakhaṭ</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discussed below. Figure 4 reports the morphological breakdown by part of speech, instantiating a verbal-to-nominal gradient across the spectrum that we develop in §4.6.1 below.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0.005); see baseline-sensitivity analysis in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asymptotic chi-squared test against the null of uniform six-stage distribution rejects (χ²(5) = 227.15,</w:t>
      </w:r>
      <w:r>
        <w:t xml:space="preserve"> </w:t>
      </w:r>
      <w:r>
        <w:rPr>
          <w:i/>
          <w:iCs/>
        </w:rPr>
        <w:t xml:space="preserve">p</w:t>
      </w:r>
      <w:r>
        <w:t xml:space="preserve"> </w:t>
      </w:r>
      <w:r>
        <w:t xml:space="preserve">&lt; 0.001), with effect sizes Cramér’s</w:t>
      </w:r>
      <w:r>
        <w:t xml:space="preserve"> </w:t>
      </w:r>
      <w:r>
        <w:rPr>
          <w:i/>
          <w:iCs/>
        </w:rPr>
        <w:t xml:space="preserve">V</w:t>
      </w:r>
      <w:r>
        <w:t xml:space="preserve"> </w:t>
      </w:r>
      <w:r>
        <w:t xml:space="preserve">= 0.38 and Cohen’s</w:t>
      </w:r>
      <w:r>
        <w:t xml:space="preserve"> </w:t>
      </w:r>
      <w:r>
        <w:rPr>
          <w:i/>
          <w:iCs/>
        </w:rPr>
        <w:t xml:space="preserve">w</w:t>
      </w:r>
      <w:r>
        <w:t xml:space="preserve"> </w:t>
      </w:r>
      <w:r>
        <w:t xml:space="preserve">= 0.85 (large effect by Cohen’s conventions). However, an asymptotic χ² on a six-cell distribution with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is not above suspicion: the chi-squared approximation requires expected counts ≥ 5 in every cell (which is met) but is</w:t>
      </w:r>
      <w:r>
        <w:t xml:space="preserve"> </w:t>
      </w:r>
      <w:r>
        <w:rPr>
          <w:i/>
          <w:iCs/>
        </w:rPr>
        <w:t xml:space="preserve">known</w:t>
      </w:r>
      <w:r>
        <w:t xml:space="preserve"> </w:t>
      </w:r>
      <w:r>
        <w:t xml:space="preserve">to be conservative under marginal imbalance.</w:t>
      </w:r>
      <w:r>
        <w:rPr>
          <w:rStyle w:val="FootnoteReference"/>
        </w:rPr>
        <w:footnoteReference w:id="83"/>
      </w:r>
      <w:r>
        <w:t xml:space="preserve"> </w:t>
      </w:r>
      <w:r>
        <w:t xml:space="preserve">We therefore complement the asymptotic test with a</w:t>
      </w:r>
      <w:r>
        <w:t xml:space="preserve"> </w:t>
      </w:r>
      <w:r>
        <w:rPr>
          <w:b/>
          <w:bCs/>
        </w:rPr>
        <w:t xml:space="preserve">marginal-preserving permutation null</w:t>
      </w:r>
      <w:r>
        <w:t xml:space="preserve">: the per-root attestation counts are held fixed and the fourteen stage labels are randomly permuted across roots (10,000 permutations, fixed RNG seed 20260509), yielding the empirical</w:t>
      </w:r>
      <w:r>
        <w:t xml:space="preserve"> </w:t>
      </w:r>
      <w:r>
        <w:rPr>
          <w:i/>
          <w:iCs/>
        </w:rPr>
        <w:t xml:space="preserve">p</w:t>
      </w:r>
      <w:r>
        <w:t xml:space="preserve">-value as the fraction of permuted χ² values that meet or exceed the observed 227.15. The result is</w:t>
      </w:r>
      <w:r>
        <w:t xml:space="preserve"> </w:t>
      </w:r>
      <w:r>
        <w:rPr>
          <w:i/>
          <w:iCs/>
        </w:rPr>
        <w:t xml:space="preserve">p</w:t>
      </w:r>
      <w:r>
        <w:t xml:space="preserve"> </w:t>
      </w:r>
      <w:r>
        <w:t xml:space="preserve">= 0.24 — i.e. under random stage relabelling of the fourteen roots, a χ² statistic this extreme is not unusual, because much of the omnibus’s mass derives from the fact that</w:t>
      </w:r>
      <w:r>
        <w:t xml:space="preserve"> </w:t>
      </w:r>
      <w:r>
        <w:rPr>
          <w:i/>
          <w:iCs/>
        </w:rPr>
        <w:t xml:space="preserve">baghy</w:t>
      </w:r>
      <w:r>
        <w:t xml:space="preserve"> </w:t>
      </w:r>
      <w:r>
        <w:t xml:space="preserve">alone contributes 96 attestations (versus a uniform expectation of ~52 per stage) and would inflate any single-stage cell into which it fell. We read this honestly: the asymptotic significance over-states the strength of evidence for non-uniformity on this sparse, marginally-imbalanced design, and the substantive case for the six-stage architecture rests on the qualitative lexicographic, exegetical, and metaphorical evidence developed in §4.1 and §4.3–§4.8 rather than on the omnibus</w:t>
      </w:r>
      <w:r>
        <w:t xml:space="preserve"> </w:t>
      </w:r>
      <w:r>
        <w:rPr>
          <w:i/>
          <w:iCs/>
        </w:rPr>
        <w:t xml:space="preserve">p</w:t>
      </w:r>
      <w:r>
        <w:t xml:space="preserve">-value alone. We retain the asymptotic χ² as a descriptive statistic with appropriate effect-size reporting, but treat it as</w:t>
      </w:r>
      <w:r>
        <w:t xml:space="preserve"> </w:t>
      </w:r>
      <w:r>
        <w:rPr>
          <w:i/>
          <w:iCs/>
        </w:rPr>
        <w:t xml:space="preserve">consistent with</w:t>
      </w:r>
      <w:r>
        <w:t xml:space="preserve"> </w:t>
      </w:r>
      <w:r>
        <w:t xml:space="preserve">— not as</w:t>
      </w:r>
      <w:r>
        <w:t xml:space="preserve"> </w:t>
      </w:r>
      <w:r>
        <w:rPr>
          <w:i/>
          <w:iCs/>
        </w:rPr>
        <w:t xml:space="preserve">positive evidence for</w:t>
      </w:r>
      <w:r>
        <w:t xml:space="preserve"> </w:t>
      </w:r>
      <w:r>
        <w:t xml:space="preserve">— H1. A discriminating test of monotonicity, distinct from the omnibus, is reported in §4.2.1 below. A complementary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 trivial effect). Because failure to reject a null is</w:t>
      </w:r>
      <w:r>
        <w:t xml:space="preserve"> </w:t>
      </w:r>
      <w:r>
        <w:rPr>
          <w:i/>
          <w:iCs/>
        </w:rPr>
        <w:t xml:space="preserve">absence of evidence of a difference</w:t>
      </w:r>
      <w:r>
        <w:t xml:space="preserve"> </w:t>
      </w:r>
      <w:r>
        <w:t xml:space="preserve">and not evidence of equality, we report this result not as positive corroboration of H2 but as a finding</w:t>
      </w:r>
      <w:r>
        <w:t xml:space="preserve"> </w:t>
      </w:r>
      <w:r>
        <w:rPr>
          <w:i/>
          <w:iCs/>
        </w:rPr>
        <w:t xml:space="preserve">consistent with</w:t>
      </w:r>
      <w:r>
        <w:t xml:space="preserve"> </w:t>
      </w:r>
      <w:r>
        <w:t xml:space="preserve">the reading developed in §4.8.5 and §5.3: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test is, with these sample sizes, underpowered to discriminate between competing models of the Stage 1–5 ↔ Stage 6 relation; the substantive interpretation rests on the qualitative tafsir-grounded analysis of §4.8.5, not on the statistical near-balance.</w:t>
      </w:r>
    </w:p>
    <w:bookmarkStart w:id="93"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 rank-correlation</w:t>
      </w:r>
      <w:r>
        <w:t xml:space="preserve"> </w:t>
      </w:r>
      <w:r>
        <w:t xml:space="preserve">between stage index (1–6) and per-stage attestation count is ρ = –0.09 with two-sided asymptotic</w:t>
      </w:r>
      <w:r>
        <w:t xml:space="preserve"> </w:t>
      </w:r>
      <w:r>
        <w:rPr>
          <w:i/>
          <w:iCs/>
        </w:rPr>
        <w:t xml:space="preserve">p</w:t>
      </w:r>
      <w:r>
        <w:t xml:space="preserve"> </w:t>
      </w:r>
      <w:r>
        <w:t xml:space="preserve">= 0.85 — the count rises from S1 (44) to S2 (60), drops through S3–S5 (27, 25, 11), then jumps to S6 (145), producing a non-monotonic profile that the rank-correlation correctly identifies. (ii)</w:t>
      </w:r>
      <w:r>
        <w:t xml:space="preserve"> </w:t>
      </w:r>
      <w:r>
        <w:rPr>
          <w:b/>
          <w:bCs/>
        </w:rPr>
        <w:t xml:space="preserve">Mann-Kendall</w:t>
      </w:r>
      <w:r>
        <w:t xml:space="preserve"> </w:t>
      </w:r>
      <w:r>
        <w:t xml:space="preserve">(small-sample-robust) 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of count on stage rank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tests fail to reject the no-trend null.</w:t>
      </w:r>
    </w:p>
    <w:p>
      <w:pPr>
        <w:pStyle w:val="BodyText"/>
      </w:pPr>
      <w:r>
        <w:t xml:space="preserve">We read this as the substantively interpretable result: the action-intensity continuum is an ordering of</w:t>
      </w:r>
      <w:r>
        <w:t xml:space="preserve"> </w:t>
      </w:r>
      <w:r>
        <w:rPr>
          <w:i/>
          <w:iCs/>
        </w:rPr>
        <w:t xml:space="preserve">semantic intensity</w:t>
      </w:r>
      <w:r>
        <w:t xml:space="preserve">, not of</w:t>
      </w:r>
      <w:r>
        <w:t xml:space="preserve"> </w:t>
      </w:r>
      <w:r>
        <w:rPr>
          <w:i/>
          <w:iCs/>
        </w:rPr>
        <w:t xml:space="preserve">attestation frequency</w:t>
      </w:r>
      <w:r>
        <w:t xml:space="preserve">. The Qur’anic corpus is not a random sample from a population of anger-spectrum lexicalisations but a closed hortatory text whose lexical weights are</w:t>
      </w:r>
      <w:r>
        <w:t xml:space="preserve"> </w:t>
      </w:r>
      <w:r>
        <w:rPr>
          <w:i/>
          <w:iCs/>
        </w:rPr>
        <w:t xml:space="preserve">pedagogically determined</w:t>
      </w:r>
      <w:r>
        <w:t xml:space="preserve">. One expects heaviest density precisely at the two poles of moral consequence — Stages 1–2 (the lexicalised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and Stage 6 (the social-structural pathologies the text most frequently denounces) — with intervening stages (S3–5) middle-trajectory states of lower independent pedagogical salience.</w:t>
      </w:r>
    </w:p>
    <w:p>
      <w:pPr>
        <w:pStyle w:val="BodyText"/>
      </w:pPr>
      <w:r>
        <w:t xml:space="preserve">The failure of the three trend tests therefore</w:t>
      </w:r>
      <w:r>
        <w:t xml:space="preserve"> </w:t>
      </w:r>
      <w:r>
        <w:rPr>
          <w:i/>
          <w:iCs/>
        </w:rPr>
        <w:t xml:space="preserve">supports</w:t>
      </w:r>
      <w:r>
        <w:t xml:space="preserve">, rather than challenges, the bidirectional-causation reading developed in §4.8.5: a randomly-sampled language sample would predict monotonic frequency-as-intensity, but a hortatory text predicts emphasis at the points where ethical pedagogy can intervene (S1–2, where regulation is feasible) and where moral consequences manifest (S6, where the structural pathologies are catalogued). A</w:t>
      </w:r>
      <w:r>
        <w:t xml:space="preserve"> </w:t>
      </w:r>
      <w:r>
        <w:rPr>
          <w:i/>
          <w:iCs/>
        </w:rPr>
        <w:t xml:space="preserve">flat</w:t>
      </w:r>
      <w:r>
        <w:t xml:space="preserve"> </w:t>
      </w:r>
      <w:r>
        <w:t xml:space="preserve">trend test, given this structure, is the prediction the theory generates, not an embarrassment to it. The load-bearing evidence for the continuum’s structure remains the qualitative apparatus of §4.1 and §4.3–§4.8 (lexicographic, exegetical, metaphorical) and the morphological gradient reported in Figure 5.</w:t>
      </w:r>
    </w:p>
    <w:p>
      <w:pPr>
        <w:pStyle w:val="CaptionedFigure"/>
      </w:pPr>
      <w:r>
        <w:drawing>
          <wp:inline>
            <wp:extent cx="5067300" cy="2007591"/>
            <wp:effectExtent b="0" l="0" r="0" t="0"/>
            <wp:docPr descr="Per-root and per-stage frequency of the 312 core spectrum attestations. Left: per-root frequency, bar colour encoding stage. Stage 6 internal asymmetry (bġy 96 vs ʿtw 10) reflects the lexical division between distributed-aggression and obstinate-defiance (§4.8). Right: stage totals S1=44, S2=60, S3=27, S4=25, S5=11, S6=145. χ²(5) = 227.15 (asymptotic p &lt; 0.001), but permutation null p = 0.24 — see §4.2. Phenomenological core (S1–5 = 167) vs Stage 6 (145): χ²(1) = 1.55, fails to reject — consistent with the bidirectional-causation reading of §4.8.5." title="" id="85" name="Picture"/>
            <a:graphic>
              <a:graphicData uri="http://schemas.openxmlformats.org/drawingml/2006/picture">
                <pic:pic>
                  <pic:nvPicPr>
                    <pic:cNvPr descr="fig2_frequency_by_stage.png" id="86" name="Picture"/>
                    <pic:cNvPicPr>
                      <a:picLocks noChangeArrowheads="1" noChangeAspect="1"/>
                    </pic:cNvPicPr>
                  </pic:nvPicPr>
                  <pic:blipFill>
                    <a:blip r:embed="rId84"/>
                    <a:stretch>
                      <a:fillRect/>
                    </a:stretch>
                  </pic:blipFill>
                  <pic:spPr bwMode="auto">
                    <a:xfrm>
                      <a:off x="0" y="0"/>
                      <a:ext cx="5067300" cy="2007591"/>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w:t>
      </w:r>
      <w:r>
        <w:t xml:space="preserve">: per-root frequency, bar colour encoding stage. Stage 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S1=44, S2=60, S3=27, S4=25, S5=11, S6=145.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2168053"/>
            <wp:effectExtent b="0" l="0" r="0" t="0"/>
            <wp:docPr descr="Stacked Meccan/Medinan distribution for the fourteen core roots. Sakhaṭ (S3) exclusively Medinan (0/4; raw p = 0.005, Holm-adj. 0.05) — the only root surviving FDR. Asaf (5/0 Meccan), naqm (12/5 Meccan), ʿutuww (9/1 Meccan) tilts contextual but not FDR-significant. Ḥard hapax (Q. 68:25, Meccan). The patterns instantiate discursive-contextual specialisation (§5.4)." title="" id="88" name="Picture"/>
            <a:graphic>
              <a:graphicData uri="http://schemas.openxmlformats.org/drawingml/2006/picture">
                <pic:pic>
                  <pic:nvPicPr>
                    <pic:cNvPr descr="fig3_meccan_medinan.png" id="89" name="Picture"/>
                    <pic:cNvPicPr>
                      <a:picLocks noChangeArrowheads="1" noChangeAspect="1"/>
                    </pic:cNvPicPr>
                  </pic:nvPicPr>
                  <pic:blipFill>
                    <a:blip r:embed="rId87"/>
                    <a:stretch>
                      <a:fillRect/>
                    </a:stretch>
                  </pic:blipFill>
                  <pic:spPr bwMode="auto">
                    <a:xfrm>
                      <a:off x="0" y="0"/>
                      <a:ext cx="5067300" cy="2168053"/>
                    </a:xfrm>
                    <a:prstGeom prst="rect">
                      <a:avLst/>
                    </a:prstGeom>
                    <a:noFill/>
                    <a:ln w="9525">
                      <a:noFill/>
                      <a:headEnd/>
                      <a:tailEnd/>
                    </a:ln>
                  </pic:spPr>
                </pic:pic>
              </a:graphicData>
            </a:graphic>
          </wp:inline>
        </w:drawing>
      </w:r>
    </w:p>
    <w:p>
      <w:pPr>
        <w:pStyle w:val="ImageCaption"/>
      </w:pPr>
      <w:r>
        <w:t xml:space="preserve">Stacked Meccan/Medinan distribution for the fourteen core roots.</w:t>
      </w:r>
      <w:r>
        <w:t xml:space="preserve"> </w:t>
      </w:r>
      <w:r>
        <w:rPr>
          <w:i/>
          <w:iCs/>
        </w:rPr>
        <w:t xml:space="preserve">Sakhaṭ</w:t>
      </w:r>
      <w:r>
        <w:t xml:space="preserve"> </w:t>
      </w:r>
      <w:r>
        <w:t xml:space="preserve">(S3) exclusively Medinan (0/4; raw</w:t>
      </w:r>
      <w:r>
        <w:t xml:space="preserve"> </w:t>
      </w:r>
      <w:r>
        <w:rPr>
          <w:i/>
          <w:iCs/>
        </w:rPr>
        <w:t xml:space="preserve">p</w:t>
      </w:r>
      <w:r>
        <w:t xml:space="preserve"> </w:t>
      </w:r>
      <w:r>
        <w:t xml:space="preserve">= 0.005, Holm-adj. 0.05) — the only root surviving FDR.</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contextual but not FDR-significant.</w:t>
      </w:r>
      <w:r>
        <w:t xml:space="preserve"> </w:t>
      </w:r>
      <w:r>
        <w:rPr>
          <w:i/>
          <w:iCs/>
        </w:rPr>
        <w:t xml:space="preserve">Ḥard</w:t>
      </w:r>
      <w:r>
        <w:t xml:space="preserve"> </w:t>
      </w:r>
      <w:r>
        <w:t xml:space="preserve">hapax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521797"/>
            <wp:effectExtent b="0" l="0" r="0" t="0"/>
            <wp:docPr descr="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91" name="Picture"/>
            <a:graphic>
              <a:graphicData uri="http://schemas.openxmlformats.org/drawingml/2006/picture">
                <pic:pic>
                  <pic:nvPicPr>
                    <pic:cNvPr descr="fig5_morphology_stack.png" id="92" name="Picture"/>
                    <pic:cNvPicPr>
                      <a:picLocks noChangeArrowheads="1" noChangeAspect="1"/>
                    </pic:cNvPicPr>
                  </pic:nvPicPr>
                  <pic:blipFill>
                    <a:blip r:embed="rId90"/>
                    <a:stretch>
                      <a:fillRect/>
                    </a:stretch>
                  </pic:blipFill>
                  <pic:spPr bwMode="auto">
                    <a:xfrm>
                      <a:off x="0" y="0"/>
                      <a:ext cx="5067300" cy="2521797"/>
                    </a:xfrm>
                    <a:prstGeom prst="rect">
                      <a:avLst/>
                    </a:prstGeom>
                    <a:noFill/>
                    <a:ln w="9525">
                      <a:noFill/>
                      <a:headEnd/>
                      <a:tailEnd/>
                    </a:ln>
                  </pic:spPr>
                </pic:pic>
              </a:graphicData>
            </a:graphic>
          </wp:inline>
        </w:drawing>
      </w:r>
    </w:p>
    <w:p>
      <w:pPr>
        <w:pStyle w:val="ImageCaption"/>
      </w:pP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93"/>
    <w:bookmarkEnd w:id="94"/>
    <w:bookmarkStart w:id="95"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Q. 21:67 places it in Abraham’s mouth confronting idol-worshippers (prophetic remonstrance);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0.005, Holm-adj. 0.05).</w:t>
      </w:r>
      <w:r>
        <w:t xml:space="preserve"> </w:t>
      </w:r>
      <w:r>
        <w:rPr>
          <w:i/>
          <w:iCs/>
        </w:rPr>
        <w:t xml:space="preserve">Karh</w:t>
      </w:r>
      <w:r>
        <w:t xml:space="preserve"> </w:t>
      </w:r>
      <w:r>
        <w:t xml:space="preserve">exhibits a</w:t>
      </w:r>
      <w:r>
        <w:t xml:space="preserve"> </w:t>
      </w:r>
      <w:r>
        <w:rPr>
          <w:i/>
          <w:iCs/>
        </w:rPr>
        <w:t xml:space="preserve">twofold structure</w:t>
      </w:r>
      <w:r>
        <w:t xml:space="preserve">:</w:t>
      </w:r>
    </w:p>
    <w:p>
      <w:pPr>
        <w:pStyle w:val="Compact"/>
        <w:numPr>
          <w:ilvl w:val="0"/>
          <w:numId w:val="1002"/>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Q. 2:216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(Q. 2:256</w:t>
      </w:r>
      <w:r>
        <w:t xml:space="preserve"> </w:t>
      </w:r>
      <w:r>
        <w:rPr>
          <w:i/>
          <w:iCs/>
        </w:rPr>
        <w:t xml:space="preserve">lā ikrāha fī al-dīn</w:t>
      </w:r>
      <w:r>
        <w:t xml:space="preserve">; Q. 16:106;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w:t>
      </w:r>
      <w:r>
        <w:t xml:space="preserve"> </w:t>
      </w:r>
      <w:r>
        <w:rPr>
          <w:i/>
          <w:iCs/>
        </w:rPr>
        <w:t xml:space="preserve">ikrāh</w:t>
      </w:r>
      <w:r>
        <w:t xml:space="preserve"> </w:t>
      </w:r>
      <w:r>
        <w:t xml:space="preserve">is a structural cognate worth noting because it shares the root and instantiates a Stage-6-like behavioural extension of distaste.</w:t>
      </w:r>
    </w:p>
    <w:bookmarkEnd w:id="95"/>
    <w:bookmarkStart w:id="97"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Q. 15:97 frames it as the prophetic response to social rejection — an inner, bodily-localised pressure that does not translate into outward aggression.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Kövecses’s EMOTION IS A LANDSCAPE schema.</w:t>
      </w:r>
      <w:r>
        <w:rPr>
          <w:rStyle w:val="FootnoteReference"/>
        </w:rPr>
        <w:footnoteReference w:id="96"/>
      </w:r>
      <w:r>
        <w:t xml:space="preserve"> </w:t>
      </w:r>
      <w:r>
        <w:t xml:space="preserve">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 al-Ṭabāṭabāʾī (</w:t>
      </w:r>
      <w:r>
        <w:rPr>
          <w:i/>
          <w:iCs/>
        </w:rPr>
        <w:t xml:space="preserve">al-Mīzān</w:t>
      </w:r>
      <w:r>
        <w:t xml:space="preserve"> </w:t>
      </w:r>
      <w:r>
        <w:t xml:space="preserve">1:146) calls this foundational for</w:t>
      </w:r>
      <w:r>
        <w:t xml:space="preserve"> </w:t>
      </w:r>
      <w:r>
        <w:rPr>
          <w:i/>
          <w:iCs/>
        </w:rPr>
        <w:t xml:space="preserve">ʿilm al-nafs al-Qur’anī</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but the valence is more transversal than a single stage label admits.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Ibn Fāris and al-Rāghib gloss as the conjunction of grief and anger (</w:t>
      </w:r>
      <w:r>
        <w:rPr>
          <w:i/>
          <w:iCs/>
        </w:rPr>
        <w:t xml:space="preserve">al-jamʿ bayna al-ḥuzn wa-l-ġaḍab</w:t>
      </w:r>
      <w:r>
        <w:t xml:space="preserve">) —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Across all five attestations,</w:t>
      </w:r>
      <w:r>
        <w:t xml:space="preserve"> </w:t>
      </w:r>
      <w:r>
        <w:rPr>
          <w:i/>
          <w:iCs/>
        </w:rPr>
        <w:t xml:space="preserve">asaf</w:t>
      </w:r>
      <w:r>
        <w:t xml:space="preserve"> </w:t>
      </w:r>
      <w:r>
        <w:t xml:space="preserve">occurs in narrative passages depicting prior prophets’ encounter with rejection and in the</w:t>
      </w:r>
      <w:r>
        <w:t xml:space="preserve"> </w:t>
      </w:r>
      <w:r>
        <w:rPr>
          <w:i/>
          <w:iCs/>
        </w:rPr>
        <w:t xml:space="preserve">ghaḍbān asifan</w:t>
      </w:r>
      <w:r>
        <w:t xml:space="preserve"> </w:t>
      </w:r>
      <w:r>
        <w:t xml:space="preserve">compound applied to Moses (§4.4.3.1).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w:t>
      </w:r>
      <w:r>
        <w:t xml:space="preserve">(e.g. against the</w:t>
      </w:r>
      <w:r>
        <w:t xml:space="preserve"> </w:t>
      </w:r>
      <w:r>
        <w:rPr>
          <w:i/>
          <w:iCs/>
        </w:rPr>
        <w:t xml:space="preserve">ḥadīth</w:t>
      </w:r>
      <w:r>
        <w:t xml:space="preserve"> </w:t>
      </w:r>
      <w:r>
        <w:t xml:space="preserve">corpus),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Q. 7:150 /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 The lexicon’s pairing in a single nominal predication encodes moral-productivity-of-prophetic-anger as a structural property, not as ad-hoc apologetics.</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This empirical density provides independent verification of the Stage-2 grouping.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97"/>
    <w:bookmarkStart w:id="99"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Qur’anic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distribution—zero Meccan attestations among four total—has a two-sided exact binomial p-value of</w:t>
      </w:r>
      <w:r>
        <w:t xml:space="preserve"> </w:t>
      </w:r>
      <w:r>
        <w:rPr>
          <w:b/>
          <w:bCs/>
        </w:rPr>
        <w:t xml:space="preserve">0.005</w:t>
      </w:r>
      <w:r>
        <w:t xml:space="preserve"> </w:t>
      </w:r>
      <w:r>
        <w:t xml:space="preserve">against the corpus-derived baseline of 0.74 Meccan probability, statistically significant at α = 0.05.</w:t>
      </w:r>
    </w:p>
    <w:p>
      <w:pPr>
        <w:pStyle w:val="BodyText"/>
      </w:pPr>
      <w:r>
        <w:rPr>
          <w:b/>
          <w:bCs/>
          <w:i/>
          <w:iCs/>
        </w:rPr>
        <w:t xml:space="preserve">Baseline derivation, made explicit.</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computed as</w:t>
      </w:r>
      <w:r>
        <w:t xml:space="preserve"> </w:t>
      </w:r>
      <w:r>
        <w:rPr>
          <w:rStyle w:val="VerbatimChar"/>
        </w:rPr>
        <w:t xml:space="preserve">meccan_ayat ÷ total_ayat</w:t>
      </w:r>
      <w:r>
        <w:t xml:space="preserve"> </w:t>
      </w:r>
      <w:r>
        <w:t xml:space="preserve">weighted by</w:t>
      </w:r>
      <w:r>
        <w:t xml:space="preserve"> </w:t>
      </w:r>
      <w:r>
        <w:rPr>
          <w:rStyle w:val="VerbatimChar"/>
        </w:rPr>
        <w:t xml:space="preserve">total_verses</w:t>
      </w:r>
      <w:r>
        <w:t xml:space="preserve"> </w:t>
      </w:r>
      <w:r>
        <w:t xml:space="preserve">per sura. We use the ayat-weighted rate rather than the sura-count rate (~0.69) because an attestation drawn at uniform random from the corpus hits an aya, not a sura; the longer Medinan suras inflate the Medinan share at the aya level. The implementation is in</w:t>
      </w:r>
      <w:r>
        <w:t xml:space="preserve"> </w:t>
      </w:r>
      <w:r>
        <w:rPr>
          <w:rStyle w:val="VerbatimChar"/>
        </w:rPr>
        <w:t xml:space="preserve">analysis/advanced_metrics.py</w:t>
      </w:r>
      <w:r>
        <w:t xml:space="preserve"> </w:t>
      </w:r>
      <w:r>
        <w:t xml:space="preserve">(</w:t>
      </w:r>
      <w:r>
        <w:rPr>
          <w:rStyle w:val="VerbatimChar"/>
        </w:rPr>
        <w:t xml:space="preserve">_compute_meccan_baseline</w:t>
      </w:r>
      <w:r>
        <w:t xml:space="preserve">).</w:t>
      </w:r>
    </w:p>
    <w:p>
      <w:pPr>
        <w:pStyle w:val="BodyText"/>
      </w:pPr>
      <w:r>
        <w:rPr>
          <w:b/>
          <w:bCs/>
          <w:i/>
          <w:iCs/>
        </w:rPr>
        <w:t xml:space="preserve">Granular baseline sensitivity.</w:t>
      </w:r>
      <w:r>
        <w:t xml:space="preserve"> </w:t>
      </w:r>
      <w:r>
        <w:t xml:space="preserve">With n = 4, the inference is mildly sensitive to the baseline. We report the two-sided exact binomial p-value across the conventional range at fine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 p (k=0,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14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 (raw 0.005) — borderline rather than emphatic.</w:t>
      </w:r>
      <w:r>
        <w:t xml:space="preserve"> </w:t>
      </w:r>
      <w:r>
        <w:rPr>
          <w:i/>
          <w:iCs/>
        </w:rPr>
        <w:t xml:space="preserve">Asaf</w:t>
      </w:r>
      <w:r>
        <w:t xml:space="preserve"> </w:t>
      </w:r>
      <w:r>
        <w:t xml:space="preserve">(5/0; raw 0.34, adj. 1.00),</w:t>
      </w:r>
      <w:r>
        <w:t xml:space="preserve"> </w:t>
      </w:r>
      <w:r>
        <w:rPr>
          <w:i/>
          <w:iCs/>
        </w:rPr>
        <w:t xml:space="preserve">ʿutuww</w:t>
      </w:r>
      <w:r>
        <w:t xml:space="preserve"> </w:t>
      </w:r>
      <w:r>
        <w:t xml:space="preserve">(9/1; raw 0.47, adj. 1.00), and</w:t>
      </w:r>
      <w:r>
        <w:t xml:space="preserve"> </w:t>
      </w:r>
      <w:r>
        <w:rPr>
          <w:i/>
          <w:iCs/>
        </w:rPr>
        <w:t xml:space="preserve">karh</w:t>
      </w:r>
      <w:r>
        <w:t xml:space="preserve"> </w:t>
      </w:r>
      <w:r>
        <w:t xml:space="preserve">(raw 0.005, adj. 0.05 — tied) tilts do not survive correction. With</w:t>
      </w:r>
      <w:r>
        <w:t xml:space="preserve"> </w:t>
      </w:r>
      <w:r>
        <w:rPr>
          <w:i/>
          <w:iCs/>
        </w:rPr>
        <w:t xml:space="preserve">n</w:t>
      </w:r>
      <w:r>
        <w:t xml:space="preserve"> </w:t>
      </w:r>
      <w:r>
        <w:t xml:space="preserve">= 4 the test is underpowered; the substantive claim rests on the convergence of distributional evidence with the contextual-tafsir reading. 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 Q. 47:28 (</w:t>
      </w:r>
      <w:r>
        <w:rPr>
          <w:i/>
          <w:iCs/>
        </w:rPr>
        <w:t xml:space="preserve">ittabaʿū mā askhaṭa Allāh wa-karihū riḍwānahu</w:t>
      </w:r>
      <w:r>
        <w:t xml:space="preserve">) is canonical. Following Narimani, Iqbali and Chari,</w:t>
      </w:r>
      <w:r>
        <w:rPr>
          <w:rStyle w:val="FootnoteReference"/>
        </w:rPr>
        <w:footnoteReference w:id="98"/>
      </w:r>
      <w:r>
        <w:t xml:space="preserve"> </w:t>
      </w:r>
      <w:r>
        <w:t xml:space="preserve">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zāhir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Two contrasts with</w:t>
      </w:r>
      <w:r>
        <w:t xml:space="preserve"> </w:t>
      </w:r>
      <w:r>
        <w:rPr>
          <w:i/>
          <w:iCs/>
        </w:rPr>
        <w:t xml:space="preserve">ghaḍab</w:t>
      </w:r>
      <w:r>
        <w:t xml:space="preserve">: causation (purely evaluative vs. injury/frustration-triggered); action profile (rejection-distance vs. approach-aggression). Canonical exemplars — Q. 40:10 (</w:t>
      </w:r>
      <w:r>
        <w:rPr>
          <w:i/>
          <w:iCs/>
        </w:rPr>
        <w:t xml:space="preserve">maqt al-nafs</w:t>
      </w:r>
      <w:r>
        <w:t xml:space="preserve"> </w:t>
      </w:r>
      <w:r>
        <w:t xml:space="preserve">doubled), Q. 4:22 (institutional moral aversion in forbidden marriages), Q. 35:39 (rising divine</w:t>
      </w:r>
      <w:r>
        <w:t xml:space="preserve"> </w:t>
      </w:r>
      <w:r>
        <w:rPr>
          <w:i/>
          <w:iCs/>
        </w:rPr>
        <w:t xml:space="preserve">maqt</w:t>
      </w:r>
      <w:r>
        <w:t xml:space="preserve"> </w:t>
      </w:r>
      <w:r>
        <w:t xml:space="preserve">against disbelievers),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99"/>
    <w:bookmarkStart w:id="100"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(Q. 48:6), prophets, and believers. Morphologically nominal (16 n / 6 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ontological standing rather than a transient affect. Al-Fakhr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 with notable edges to</w:t>
      </w:r>
      <w:r>
        <w:t xml:space="preserve"> </w:t>
      </w:r>
      <w:r>
        <w:rPr>
          <w:i/>
          <w:iCs/>
        </w:rPr>
        <w:t xml:space="preserve">ġyẓ</w:t>
      </w:r>
      <w:r>
        <w:t xml:space="preserve"> </w:t>
      </w:r>
      <w:r>
        <w:t xml:space="preserve">(upward transition to S5),</w:t>
      </w:r>
      <w:r>
        <w:t xml:space="preserve"> </w:t>
      </w:r>
      <w:r>
        <w:rPr>
          <w:i/>
          <w:iCs/>
        </w:rPr>
        <w:t xml:space="preserve">ḥzn</w:t>
      </w:r>
      <w:r>
        <w:t xml:space="preserve"> </w:t>
      </w:r>
      <w:r>
        <w:t xml:space="preserve">(downward S2 link), and</w:t>
      </w:r>
      <w:r>
        <w:t xml:space="preserve"> </w:t>
      </w:r>
      <w:r>
        <w:rPr>
          <w:i/>
          <w:iCs/>
        </w:rPr>
        <w:t xml:space="preserve">bġy</w:t>
      </w:r>
      <w:r>
        <w:t xml:space="preserve"> </w:t>
      </w:r>
      <w:r>
        <w:t xml:space="preserve">(S6 link).</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w:t>
      </w:r>
      <w:r>
        <w:t xml:space="preserve"> </w:t>
      </w:r>
      <w:r>
        <w:rPr>
          <w:i/>
          <w:iCs/>
        </w:rPr>
        <w:t xml:space="preserve">Ghaḍab</w:t>
      </w:r>
      <w:r>
        <w:t xml:space="preserve"> </w:t>
      </w:r>
      <w:r>
        <w:t xml:space="preserve">mobilises the motor agent outward;</w:t>
      </w:r>
      <w:r>
        <w:t xml:space="preserve"> </w:t>
      </w:r>
      <w:r>
        <w:rPr>
          <w:i/>
          <w:iCs/>
        </w:rPr>
        <w:t xml:space="preserve">ḥard</w:t>
      </w:r>
      <w:r>
        <w:t xml:space="preserve"> </w:t>
      </w:r>
      <w:r>
        <w:t xml:space="preserve">mobilises toward deliberate, miserly withholding — anger that strips the world of what it is owed. The narrative consequence is the destruction of the garden by night-storm: divine retribution against the</w:t>
      </w:r>
      <w:r>
        <w:t xml:space="preserve"> </w:t>
      </w:r>
      <w:r>
        <w:rPr>
          <w:i/>
          <w:iCs/>
        </w:rPr>
        <w:t xml:space="preserve">ḥard</w:t>
      </w:r>
      <w:r>
        <w:t xml:space="preserve">-driven plan to deny. A single attestation thus serves as linguistic anchor for an entire moral-psychological category.</w:t>
      </w:r>
    </w:p>
    <w:bookmarkEnd w:id="100"/>
    <w:bookmarkStart w:id="103"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Read through Lakoff and Kövecses,</w:t>
      </w:r>
      <w:r>
        <w:rPr>
          <w:rStyle w:val="FootnoteReference"/>
        </w:rPr>
        <w:footnoteReference w:id="101"/>
      </w:r>
      <w:r>
        <w:t xml:space="preserve"> </w:t>
      </w:r>
      <w:r>
        <w:t xml:space="preserve">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seal (Figure 7). The Medinan tilt (8/3) tracks the discursive context: inner anger management becomes a salient pedagogical concern in the formative Medinan community 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Q. 67:8 —</w:t>
      </w:r>
      <w:r>
        <w:t xml:space="preserve"> </w:t>
      </w:r>
      <w:r>
        <w:rPr>
          <w:i/>
          <w:iCs/>
        </w:rPr>
        <w:t xml:space="preserve">takādu tamayyazu min al-ġayẓ</w:t>
      </w:r>
      <w:r>
        <w:t xml:space="preserve"> </w:t>
      </w:r>
      <w:r>
        <w:t xml:space="preserve">(</w:t>
      </w:r>
      <w:r>
        <w:t xml:space="preserve">“[the fire] is on the verge of bursting apart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to part, sever)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r>
        <w:rPr>
          <w:rStyle w:val="FootnoteReference"/>
        </w:rPr>
        <w:footnoteReference w:id="102"/>
      </w:r>
      <w:r>
        <w:t xml:space="preserve"> </w:t>
      </w:r>
      <w:r>
        <w:t xml:space="preserve">whether this is the strongest historical instance is left open pending the cross-cultural philological survey we commend in §5.5.</w:t>
      </w:r>
    </w:p>
    <w:bookmarkEnd w:id="103"/>
    <w:bookmarkStart w:id="114"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16 aya-level co-occurrences with</w:t>
      </w:r>
      <w:r>
        <w:t xml:space="preserve"> </w:t>
      </w:r>
      <w:r>
        <w:rPr>
          <w:i/>
          <w:iCs/>
        </w:rPr>
        <w:t xml:space="preserve">ẓlm/jrm/fsq/ʿdw/šnʾ</w:t>
      </w:r>
      <w:r>
        <w:t xml:space="preserve"> </w:t>
      </w:r>
      <w:r>
        <w:t xml:space="preserve">combined (8 with</w:t>
      </w:r>
      <w:r>
        <w:t xml:space="preserve"> </w:t>
      </w:r>
      <w:r>
        <w:rPr>
          <w:i/>
          <w:iCs/>
        </w:rPr>
        <w:t xml:space="preserve">ʿdw</w:t>
      </w:r>
      <w:r>
        <w:t xml:space="preserve">, 4 with</w:t>
      </w:r>
      <w:r>
        <w:t xml:space="preserve"> </w:t>
      </w:r>
      <w:r>
        <w:rPr>
          <w:i/>
          <w:iCs/>
        </w:rPr>
        <w:t xml:space="preserve">ẓlm</w:t>
      </w:r>
      <w:r>
        <w:t xml:space="preserve">),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Q. 96:6–7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w:t>
      </w:r>
      <w:r>
        <w:rPr>
          <w:rStyle w:val="FootnoteReference"/>
        </w:rPr>
        <w:footnoteReference w:id="104"/>
      </w:r>
      <w:r>
        <w:t xml:space="preserve"> </w:t>
      </w:r>
      <w:r>
        <w:t xml:space="preserve">and Scherer,</w:t>
      </w:r>
      <w:r>
        <w:rPr>
          <w:rStyle w:val="FootnoteReference"/>
        </w:rPr>
        <w:footnoteReference w:id="105"/>
      </w:r>
      <w:r>
        <w:t xml:space="preserve"> </w:t>
      </w:r>
      <w:r>
        <w:t xml:space="preserve">and aligning with Roseman’s</w:t>
      </w:r>
      <w:r>
        <w:rPr>
          <w:rStyle w:val="FootnoteReference"/>
        </w:rPr>
        <w:footnoteReference w:id="106"/>
      </w:r>
      <w:r>
        <w:t xml:space="preserve"> </w:t>
      </w:r>
      <w:r>
        <w:t xml:space="preserve">“agency-self / motive-inconsistent / high-control”</w:t>
      </w:r>
      <w:r>
        <w:t xml:space="preserve"> </w:t>
      </w:r>
      <w:r>
        <w:t xml:space="preserve">pattern. Qarizadeh et al.’s polysemy analysis</w:t>
      </w:r>
      <w:r>
        <w:rPr>
          <w:rStyle w:val="FootnoteReference"/>
        </w:rPr>
        <w:footnoteReference w:id="107"/>
      </w:r>
      <w:r>
        <w:t xml:space="preserve"> </w:t>
      </w:r>
      <w:r>
        <w:t xml:space="preserve">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Strong Meccan distribution (9/1; raw</w:t>
      </w:r>
      <w:r>
        <w:t xml:space="preserve"> </w:t>
      </w:r>
      <w:r>
        <w:rPr>
          <w:i/>
          <w:iCs/>
        </w:rPr>
        <w:t xml:space="preserve">p</w:t>
      </w:r>
      <w:r>
        <w:t xml:space="preserve"> </w:t>
      </w:r>
      <w:r>
        <w:t xml:space="preserve">= 0.06; Holm-adjusted</w:t>
      </w:r>
      <w:r>
        <w:t xml:space="preserve"> </w:t>
      </w:r>
      <w:r>
        <w:rPr>
          <w:i/>
          <w:iCs/>
        </w:rPr>
        <w:t xml:space="preserve">p</w:t>
      </w:r>
      <w:r>
        <w:t xml:space="preserve"> </w:t>
      </w:r>
      <w:r>
        <w:t xml:space="preserve">= 1.00) is consistent with its rhetorical function as terminal designation for Nūḥ-, ʿĀd-, Thamūd-, and Pharaonic-people narratives, but does not survive FDR correction.</w:t>
      </w:r>
    </w:p>
    <w:p>
      <w:pPr>
        <w:pStyle w:val="BodyText"/>
      </w:pPr>
      <w:r>
        <w:rPr>
          <w:b/>
          <w:bCs/>
        </w:rPr>
        <w:t xml:space="preserve">4.8.5. Bidirectional causation and a tafsir-grounded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Q. 6:21);</w:t>
      </w:r>
      <w:r>
        <w:t xml:space="preserve"> </w:t>
      </w:r>
      <w:r>
        <w:rPr>
          <w:i/>
          <w:iCs/>
        </w:rPr>
        <w:t xml:space="preserve">ṭughyān</w:t>
      </w:r>
      <w:r>
        <w:t xml:space="preserve"> </w:t>
      </w:r>
      <w:r>
        <w:t xml:space="preserve">— paradigmatically Pharaonic (Q. 79:17) — is rooted in structural arrogance, with Q. 26:55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w:t>
      </w:r>
      <w:r>
        <w:t xml:space="preserve"> </w:t>
      </w:r>
      <w:r>
        <w:rPr>
          <w:b/>
          <w:bCs/>
        </w:rPr>
        <w:t xml:space="preserve">A</w:t>
      </w:r>
      <w:r>
        <w:t xml:space="preserve"> </w:t>
      </w:r>
      <w:r>
        <w:t xml:space="preserve">(anger-derived),</w:t>
      </w:r>
      <w:r>
        <w:t xml:space="preserve"> </w:t>
      </w:r>
      <w:r>
        <w:rPr>
          <w:b/>
          <w:bCs/>
        </w:rPr>
        <w:t xml:space="preserve">S</w:t>
      </w:r>
      <w:r>
        <w:t xml:space="preserve"> </w:t>
      </w:r>
      <w:r>
        <w:t xml:space="preserve">(structurally derived: greed/</w:t>
      </w:r>
      <w:r>
        <w:rPr>
          <w:i/>
          <w:iCs/>
        </w:rPr>
        <w:t xml:space="preserve">istikbār</w:t>
      </w:r>
      <w:r>
        <w:t xml:space="preserve">/</w:t>
      </w:r>
      <w:r>
        <w:rPr>
          <w:i/>
          <w:iCs/>
        </w:rPr>
        <w:t xml:space="preserve">ʿulw</w:t>
      </w:r>
      <w:r>
        <w:t xml:space="preserve"> </w:t>
      </w:r>
      <w:r>
        <w:t xml:space="preserve">without explicit anger antecedent), or</w:t>
      </w:r>
      <w:r>
        <w:t xml:space="preserve"> </w:t>
      </w:r>
      <w:r>
        <w:rPr>
          <w:b/>
          <w:bCs/>
        </w:rPr>
        <w:t xml:space="preserve">A+S</w:t>
      </w:r>
      <w:r>
        <w:t xml:space="preserve"> </w:t>
      </w:r>
      <w:r>
        <w:t xml:space="preserve">(joint). Coding by the corresponding author with second-coder verification on a 20% subsample (κ = 0.79;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4502"/>
            <wp:effectExtent b="0" l="0" r="0" t="0"/>
            <wp:docPr descr="Aya-level co-occurrence network of the fourteen core roots; edges weighted by shared-ayat count. Strongest edge ḥzn–ḍyq (weight 3) corpus-validates the Stage-2 grouping (Q. 11:12, Q. 6:33). Baghy anchors the right cluster with edges to the moral-evaluation lexicon (ẓlm/jrm/fsq). Transitive structure (no direct S1→S6 edges; mediation through S2–S5) is consistent with both the action-intensity gradient and the bidirectional Stage-6 reading (§4.8.5)." title="" id="109" name="Picture"/>
            <a:graphic>
              <a:graphicData uri="http://schemas.openxmlformats.org/drawingml/2006/picture">
                <pic:pic>
                  <pic:nvPicPr>
                    <pic:cNvPr descr="fig4_cooccurrence.png" id="110" name="Picture"/>
                    <pic:cNvPicPr>
                      <a:picLocks noChangeArrowheads="1" noChangeAspect="1"/>
                    </pic:cNvPicPr>
                  </pic:nvPicPr>
                  <pic:blipFill>
                    <a:blip r:embed="rId108"/>
                    <a:stretch>
                      <a:fillRect/>
                    </a:stretch>
                  </pic:blipFill>
                  <pic:spPr bwMode="auto">
                    <a:xfrm>
                      <a:off x="0" y="0"/>
                      <a:ext cx="5067300" cy="4314502"/>
                    </a:xfrm>
                    <a:prstGeom prst="rect">
                      <a:avLst/>
                    </a:prstGeom>
                    <a:noFill/>
                    <a:ln w="9525">
                      <a:noFill/>
                      <a:headEnd/>
                      <a:tailEnd/>
                    </a:ln>
                  </pic:spPr>
                </pic:pic>
              </a:graphicData>
            </a:graphic>
          </wp:inline>
        </w:drawing>
      </w:r>
    </w:p>
    <w:p>
      <w:pPr>
        <w:pStyle w:val="ImageCaption"/>
      </w:pP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(Q. 11:12,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2003525"/>
            <wp:effectExtent b="0" l="0" r="0" t="0"/>
            <wp:docPr descr="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315 ẓulm, 66 jurm, 54 fisq, 106 ʿadāwah). Wide CIs reflect the small graph; bridging-role claim consistent with point estimates, qualified by bootstrap (§4.8.2). Ḍyq and ḥzn (S2) high-closeness despite low frequency — inner-pressure cluster structurally central. Layered reading: S2 affective core, S6 structural bridge, S3–5 mediation." title="" id="112" name="Picture"/>
            <a:graphic>
              <a:graphicData uri="http://schemas.openxmlformats.org/drawingml/2006/picture">
                <pic:pic>
                  <pic:nvPicPr>
                    <pic:cNvPr descr="fig7_centrality.png" id="113" name="Picture"/>
                    <pic:cNvPicPr>
                      <a:picLocks noChangeArrowheads="1" noChangeAspect="1"/>
                    </pic:cNvPicPr>
                  </pic:nvPicPr>
                  <pic:blipFill>
                    <a:blip r:embed="rId111"/>
                    <a:stretch>
                      <a:fillRect/>
                    </a:stretch>
                  </pic:blipFill>
                  <pic:spPr bwMode="auto">
                    <a:xfrm>
                      <a:off x="0" y="0"/>
                      <a:ext cx="5067300" cy="2003525"/>
                    </a:xfrm>
                    <a:prstGeom prst="rect">
                      <a:avLst/>
                    </a:prstGeom>
                    <a:noFill/>
                    <a:ln w="9525">
                      <a:noFill/>
                      <a:headEnd/>
                      <a:tailEnd/>
                    </a:ln>
                  </pic:spPr>
                </pic:pic>
              </a:graphicData>
            </a:graphic>
          </wp:inline>
        </w:drawing>
      </w:r>
    </w:p>
    <w:p>
      <w:pPr>
        <w:pStyle w:val="ImageCaption"/>
      </w:pP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(315</w:t>
      </w:r>
      <w:r>
        <w:t xml:space="preserve"> </w:t>
      </w:r>
      <w:r>
        <w:rPr>
          <w:i/>
          <w:iCs/>
        </w:rPr>
        <w:t xml:space="preserve">ẓulm</w:t>
      </w:r>
      <w:r>
        <w:t xml:space="preserve">, 66</w:t>
      </w:r>
      <w:r>
        <w:t xml:space="preserve"> </w:t>
      </w:r>
      <w:r>
        <w:rPr>
          <w:i/>
          <w:iCs/>
        </w:rPr>
        <w:t xml:space="preserve">jurm</w:t>
      </w:r>
      <w:r>
        <w:t xml:space="preserve">, 54</w:t>
      </w:r>
      <w:r>
        <w:t xml:space="preserve"> </w:t>
      </w:r>
      <w:r>
        <w:rPr>
          <w:i/>
          <w:iCs/>
        </w:rPr>
        <w:t xml:space="preserve">fisq</w:t>
      </w:r>
      <w:r>
        <w:t xml:space="preserve">, 106</w:t>
      </w:r>
      <w:r>
        <w:t xml:space="preserve"> </w:t>
      </w:r>
      <w:r>
        <w:rPr>
          <w:i/>
          <w:iCs/>
        </w:rPr>
        <w:t xml:space="preserve">ʿadāwah</w:t>
      </w:r>
      <w:r>
        <w:t xml:space="preserve">).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 Layered reading: S2 affective core, S6 structural bridge, S3–5 mediation.</w:t>
      </w:r>
    </w:p>
    <w:bookmarkEnd w:id="114"/>
    <w:bookmarkStart w:id="115"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115"/>
    <w:bookmarkStart w:id="116"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 the recommendations there are conditional on a follow-up evaluation that we commend to future work.</w:t>
      </w:r>
    </w:p>
    <w:p>
      <w:pPr>
        <w:pStyle w:val="BodyText"/>
      </w:pPr>
      <w:r>
        <w:rPr>
          <w:b/>
          <w:bCs/>
        </w:rPr>
        <w:t xml:space="preserve">Table 6. Translation of four canonical verses across five English translations</w:t>
      </w:r>
      <w:r>
        <w:t xml:space="preserve"> </w:t>
      </w:r>
      <w:r>
        <w:t xml:space="preserve">(illustrative sample; n =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emerge from this small sample.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 we register them as motivating the systematic translation evaluation we commend in §6.3.</w:t>
      </w:r>
    </w:p>
    <w:p>
      <w:r>
        <w:pict>
          <v:rect style="width:0;height:1.5pt" o:hralign="center" o:hrstd="t" o:hr="t"/>
        </w:pict>
      </w:r>
    </w:p>
    <w:bookmarkEnd w:id="116"/>
    <w:bookmarkEnd w:id="117"/>
    <w:bookmarkStart w:id="152" w:name="discussion"/>
    <w:p>
      <w:pPr>
        <w:pStyle w:val="Heading2"/>
      </w:pPr>
      <w:r>
        <w:t xml:space="preserve">5. Discussion</w:t>
      </w:r>
    </w:p>
    <w:bookmarkStart w:id="118"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118"/>
    <w:bookmarkStart w:id="125" w:name="X72b516463d2c03e5f485bcfe86cd728b07c29e4"/>
    <w:p>
      <w:pPr>
        <w:pStyle w:val="Heading3"/>
      </w:pPr>
      <w:r>
        <w:t xml:space="preserve">5.2. Convergence with contemporary emotion psychology</w:t>
      </w:r>
    </w:p>
    <w:p>
      <w:pPr>
        <w:pStyle w:val="FirstParagraph"/>
      </w:pPr>
      <w:r>
        <w:t xml:space="preserve">The Qur’anic six-stage continuum maps onto four families of contemporary emotion theory at points of structural rather than psychometric convergence — sufficient to ground the Islamic-psychology implications of §5.7 and to identify where the Qur’anic lexicon</w:t>
      </w:r>
      <w:r>
        <w:t xml:space="preserve"> </w:t>
      </w:r>
      <w:r>
        <w:rPr>
          <w:i/>
          <w:iCs/>
        </w:rPr>
        <w:t xml:space="preserve">extends</w:t>
      </w:r>
      <w:r>
        <w:t xml:space="preserve"> </w:t>
      </w:r>
      <w:r>
        <w:t xml:space="preserve">the contemporary models. The mapping operates at three levels: Gross’s process model, Spielberger’s STAXI and Plutchik’s intensity wheel, and the appraisal-theoretic apparatus of Lazarus, Scherer, and Roseman.</w:t>
      </w:r>
    </w:p>
    <w:p>
      <w:pPr>
        <w:pStyle w:val="BodyText"/>
      </w:pPr>
      <w:r>
        <w:rPr>
          <w:b/>
          <w:bCs/>
        </w:rPr>
        <w:t xml:space="preserve">Gross’s process model.</w:t>
      </w:r>
      <w:r>
        <w:t xml:space="preserve"> </w:t>
      </w:r>
      <w:r>
        <w:t xml:space="preserve">Gross (1998, 2014, 2015)</w:t>
      </w:r>
      <w:r>
        <w:rPr>
          <w:rStyle w:val="FootnoteReference"/>
        </w:rPr>
        <w:footnoteReference w:id="119"/>
      </w:r>
      <w:r>
        <w:t xml:space="preserve"> </w:t>
      </w:r>
      <w:r>
        <w:t xml:space="preserve">partitions emotion regulation into five sequential strategies along the developmental trajectory of an emotion:</w:t>
      </w:r>
      <w:r>
        <w:t xml:space="preserve">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 and</w:t>
      </w:r>
      <w:r>
        <w:t xml:space="preserve"> </w:t>
      </w:r>
      <w:r>
        <w:rPr>
          <w:i/>
          <w:iCs/>
        </w:rPr>
        <w:t xml:space="preserve">response modulation</w:t>
      </w:r>
      <w:r>
        <w:t xml:space="preserve">. The Qur’anic continuum partitions the trajectory more finely on the affective side:</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w:t>
      </w:r>
      <w:r>
        <w:t xml:space="preserve"> </w:t>
      </w:r>
      <w:r>
        <w:rPr>
          <w:i/>
          <w:iCs/>
        </w:rPr>
        <w:t xml:space="preserve">situation selection</w:t>
      </w:r>
      <w:r>
        <w:t xml:space="preserve"> </w:t>
      </w:r>
      <w:r>
        <w:t xml:space="preserve">— the threshold of withdrawal, where Q. 17:23 forbids even</w:t>
      </w:r>
      <w:r>
        <w:t xml:space="preserve"> </w:t>
      </w:r>
      <w:r>
        <w:rPr>
          <w:i/>
          <w:iCs/>
        </w:rPr>
        <w:t xml:space="preserve">uff</w:t>
      </w:r>
      <w:r>
        <w:t xml:space="preserve"> </w:t>
      </w:r>
      <w:r>
        <w:t xml:space="preserve">to one’s parents;</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 </w:t>
      </w:r>
      <w:r>
        <w:rPr>
          <w:i/>
          <w:iCs/>
        </w:rPr>
        <w:t xml:space="preserve">situation modification</w:t>
      </w:r>
      <w:r>
        <w:t xml:space="preserve">, with</w:t>
      </w:r>
      <w:r>
        <w:t xml:space="preserve"> </w:t>
      </w:r>
      <w:r>
        <w:rPr>
          <w:i/>
          <w:iCs/>
        </w:rPr>
        <w:t xml:space="preserve">ḍīq al-ṣadr</w:t>
      </w:r>
      <w:r>
        <w:t xml:space="preserve"> </w:t>
      </w:r>
      <w:r>
        <w:t xml:space="preserve">localising the regulatory turn inward;</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 </w:t>
      </w:r>
      <w:r>
        <w:rPr>
          <w:i/>
          <w:iCs/>
        </w:rPr>
        <w:t xml:space="preserve">attentional deployment</w:t>
      </w:r>
      <w:r>
        <w:t xml:space="preserve"> </w:t>
      </w:r>
      <w:r>
        <w:t xml:space="preserve">and</w:t>
      </w:r>
      <w:r>
        <w:t xml:space="preserve"> </w:t>
      </w:r>
      <w:r>
        <w:rPr>
          <w:i/>
          <w:iCs/>
        </w:rPr>
        <w:t xml:space="preserve">cognitive change</w:t>
      </w:r>
      <w:r>
        <w:t xml:space="preserve"> </w:t>
      </w:r>
      <w:r>
        <w:t xml:space="preserve">— the evaluative-aversive lexemes encoding cognitive reappraisal under social-religious norms;</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w:t>
      </w:r>
      <w:r>
        <w:t xml:space="preserve"> </w:t>
      </w:r>
      <w:r>
        <w:rPr>
          <w:i/>
          <w:iCs/>
        </w:rPr>
        <w:t xml:space="preserve">response selection</w:t>
      </w:r>
      <w:r>
        <w:t xml:space="preserve">, the kinetic-motor enactment in retributive or denial-of-resource directions;</w:t>
      </w:r>
      <w:r>
        <w:t xml:space="preserve"> </w:t>
      </w:r>
      <w:r>
        <w:rPr>
          <w:b/>
          <w:bCs/>
        </w:rPr>
        <w:t xml:space="preserve">S5</w:t>
      </w:r>
      <w:r>
        <w:t xml:space="preserve"> </w:t>
      </w:r>
      <w:r>
        <w:t xml:space="preserve">(</w:t>
      </w:r>
      <w:r>
        <w:rPr>
          <w:i/>
          <w:iCs/>
        </w:rPr>
        <w:t xml:space="preserve">ghayẓ</w:t>
      </w:r>
      <w:r>
        <w:t xml:space="preserve">/</w:t>
      </w:r>
      <w:r>
        <w:rPr>
          <w:i/>
          <w:iCs/>
        </w:rPr>
        <w:t xml:space="preserve">kaẓm</w:t>
      </w:r>
      <w:r>
        <w:t xml:space="preserve">;</w:t>
      </w:r>
      <w:r>
        <w:t xml:space="preserve"> </w:t>
      </w:r>
      <w:r>
        <w:rPr>
          <w:i/>
          <w:iCs/>
        </w:rPr>
        <w:t xml:space="preserve">tamayyuz</w:t>
      </w:r>
      <w:r>
        <w:t xml:space="preserve">) ↔</w:t>
      </w:r>
      <w:r>
        <w:t xml:space="preserve"> </w:t>
      </w:r>
      <w:r>
        <w:rPr>
          <w:i/>
          <w:iCs/>
        </w:rPr>
        <w:t xml:space="preserve">response modulation</w:t>
      </w:r>
      <w:r>
        <w:t xml:space="preserve">, with</w:t>
      </w:r>
      <w:r>
        <w:t xml:space="preserve"> </w:t>
      </w:r>
      <w:r>
        <w:rPr>
          <w:i/>
          <w:iCs/>
        </w:rPr>
        <w:t xml:space="preserve">kaẓm</w:t>
      </w:r>
      <w:r>
        <w:t xml:space="preserve"> </w:t>
      </w:r>
      <w:r>
        <w:t xml:space="preserve">operationalising agent-internal suppression and</w:t>
      </w:r>
      <w:r>
        <w:t xml:space="preserve"> </w:t>
      </w:r>
      <w:r>
        <w:rPr>
          <w:i/>
          <w:iCs/>
        </w:rPr>
        <w:t xml:space="preserve">tamayyuz</w:t>
      </w:r>
      <w:r>
        <w:t xml:space="preserve"> </w:t>
      </w:r>
      <w:r>
        <w:t xml:space="preserve">(Q. 67:8) its container-collapse failure mode.</w:t>
      </w:r>
      <w:r>
        <w:t xml:space="preserve"> </w:t>
      </w:r>
      <w:r>
        <w:rPr>
          <w:b/>
          <w:bCs/>
        </w:rPr>
        <w:t xml:space="preserve">S6</w:t>
      </w:r>
      <w:r>
        <w:t xml:space="preserve"> </w:t>
      </w:r>
      <w:r>
        <w:t xml:space="preserve">(</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lies beyond Gross’s frame: process-model regulation concerns the</w:t>
      </w:r>
      <w:r>
        <w:t xml:space="preserve"> </w:t>
      </w:r>
      <w:r>
        <w:rPr>
          <w:i/>
          <w:iCs/>
        </w:rPr>
        <w:t xml:space="preserve">emotional episode</w:t>
      </w:r>
      <w:r>
        <w:t xml:space="preserve">, but Stage 6 lexicalises</w:t>
      </w:r>
      <w:r>
        <w:t xml:space="preserve"> </w:t>
      </w:r>
      <w:r>
        <w:rPr>
          <w:i/>
          <w:iCs/>
        </w:rPr>
        <w:t xml:space="preserve">structural-moral pathologies of personhood</w:t>
      </w:r>
      <w:r>
        <w:t xml:space="preserve"> </w:t>
      </w:r>
      <w:r>
        <w:t xml:space="preserve">outliving any single episode — with the §4.8.5 caveat that Stage 6 has bidirectional causation with the spectrum.</w:t>
      </w:r>
    </w:p>
    <w:p>
      <w:pPr>
        <w:pStyle w:val="BodyText"/>
      </w:pPr>
      <w:r>
        <w:rPr>
          <w:b/>
          <w:bCs/>
        </w:rPr>
        <w:t xml:space="preserve">Plutchik’s intensity wheel; Spielberger’s STAXI architecture.</w:t>
      </w:r>
      <w:r>
        <w:t xml:space="preserve"> </w:t>
      </w:r>
      <w:r>
        <w:t xml:space="preserve">Plutchik</w:t>
      </w:r>
      <w:r>
        <w:rPr>
          <w:rStyle w:val="FootnoteReference"/>
        </w:rPr>
        <w:footnoteReference w:id="120"/>
      </w:r>
      <w:r>
        <w:t xml:space="preserve"> </w:t>
      </w:r>
      <w:r>
        <w:t xml:space="preserve">organises anger on a three-level escalation (</w:t>
      </w:r>
      <w:r>
        <w:rPr>
          <w:i/>
          <w:iCs/>
        </w:rPr>
        <w:t xml:space="preserve">annoyance → anger → rage</w:t>
      </w:r>
      <w:r>
        <w:t xml:space="preserve">); the Qur’anic continuum</w:t>
      </w:r>
      <w:r>
        <w:t xml:space="preserve"> </w:t>
      </w:r>
      <w:r>
        <w:rPr>
          <w:i/>
          <w:iCs/>
        </w:rPr>
        <w:t xml:space="preserve">refines</w:t>
      </w:r>
      <w:r>
        <w:t xml:space="preserve"> </w:t>
      </w:r>
      <w:r>
        <w:t xml:space="preserve">this by partitioning</w:t>
      </w:r>
      <w:r>
        <w:t xml:space="preserve"> </w:t>
      </w:r>
      <w:r>
        <w:rPr>
          <w:i/>
          <w:iCs/>
        </w:rPr>
        <w:t xml:space="preserve">annoyance</w:t>
      </w:r>
      <w:r>
        <w:t xml:space="preserve"> </w:t>
      </w:r>
      <w:r>
        <w:t xml:space="preserve">into vocal irritation (</w:t>
      </w:r>
      <w:r>
        <w:rPr>
          <w:i/>
          <w:iCs/>
        </w:rPr>
        <w:t xml:space="preserve">uff</w:t>
      </w:r>
      <w:r>
        <w:t xml:space="preserve">, S1), inner aversion (</w:t>
      </w:r>
      <w:r>
        <w:rPr>
          <w:i/>
          <w:iCs/>
        </w:rPr>
        <w:t xml:space="preserve">karāha</w:t>
      </w:r>
      <w:r>
        <w:t xml:space="preserve">, S1), and inner pressure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S2) — three Qur’anic stages where Plutchik has one label — and by inserting the</w:t>
      </w:r>
      <w:r>
        <w:t xml:space="preserve"> </w:t>
      </w:r>
      <w:r>
        <w:rPr>
          <w:i/>
          <w:iCs/>
        </w:rPr>
        <w:t xml:space="preserve">compressed-rage</w:t>
      </w:r>
      <w:r>
        <w:t xml:space="preserve"> </w:t>
      </w:r>
      <w:r>
        <w:t xml:space="preserve">register (</w:t>
      </w:r>
      <w:r>
        <w:rPr>
          <w:i/>
          <w:iCs/>
        </w:rPr>
        <w:t xml:space="preserve">ghayẓ</w:t>
      </w:r>
      <w:r>
        <w:t xml:space="preserve">, S5) between</w:t>
      </w:r>
      <w:r>
        <w:t xml:space="preserve"> </w:t>
      </w:r>
      <w:r>
        <w:rPr>
          <w:i/>
          <w:iCs/>
        </w:rPr>
        <w:t xml:space="preserve">anger</w:t>
      </w:r>
      <w:r>
        <w:t xml:space="preserve"> </w:t>
      </w:r>
      <w:r>
        <w:t xml:space="preserve">(≈ S4</w:t>
      </w:r>
      <w:r>
        <w:t xml:space="preserve"> </w:t>
      </w:r>
      <w:r>
        <w:rPr>
          <w:i/>
          <w:iCs/>
        </w:rPr>
        <w:t xml:space="preserve">ghaḍab</w:t>
      </w:r>
      <w:r>
        <w:t xml:space="preserve">) and the unmarked terminal</w:t>
      </w:r>
      <w:r>
        <w:t xml:space="preserve"> </w:t>
      </w:r>
      <w:r>
        <w:rPr>
          <w:i/>
          <w:iCs/>
        </w:rPr>
        <w:t xml:space="preserve">rage</w:t>
      </w:r>
      <w:r>
        <w:t xml:space="preserve"> </w:t>
      </w:r>
      <w:r>
        <w:t xml:space="preserve">(closest analogue:</w:t>
      </w:r>
      <w:r>
        <w:t xml:space="preserve"> </w:t>
      </w:r>
      <w:r>
        <w:rPr>
          <w:i/>
          <w:iCs/>
        </w:rPr>
        <w:t xml:space="preserve">tamayyuz</w:t>
      </w:r>
      <w:r>
        <w:t xml:space="preserve"> </w:t>
      </w:r>
      <w:r>
        <w:t xml:space="preserve">at Q. 67:8). Spielberger’s STAXI-2</w:t>
      </w:r>
      <w:r>
        <w:rPr>
          <w:rStyle w:val="FootnoteReference"/>
        </w:rPr>
        <w:footnoteReference w:id="121"/>
      </w:r>
      <w:r>
        <w:t xml:space="preserve"> </w:t>
      </w:r>
      <w:r>
        <w:t xml:space="preserve">further partitions anger into</w:t>
      </w:r>
      <w:r>
        <w:t xml:space="preserve"> </w:t>
      </w:r>
      <w:r>
        <w:rPr>
          <w:i/>
          <w:iCs/>
        </w:rPr>
        <w:t xml:space="preserve">trait</w:t>
      </w:r>
      <w:r>
        <w:t xml:space="preserve"> </w:t>
      </w:r>
      <w:r>
        <w:t xml:space="preserve">(dispositional propensity),</w:t>
      </w:r>
      <w:r>
        <w:t xml:space="preserve"> </w:t>
      </w:r>
      <w:r>
        <w:rPr>
          <w:i/>
          <w:iCs/>
        </w:rPr>
        <w:t xml:space="preserve">state</w:t>
      </w:r>
      <w:r>
        <w:t xml:space="preserve"> </w:t>
      </w:r>
      <w:r>
        <w:t xml:space="preserve">(situational episode), and</w:t>
      </w:r>
      <w:r>
        <w:t xml:space="preserve"> </w:t>
      </w:r>
      <w:r>
        <w:rPr>
          <w:i/>
          <w:iCs/>
        </w:rPr>
        <w:t xml:space="preserve">control</w:t>
      </w:r>
      <w:r>
        <w:t xml:space="preserve"> </w:t>
      </w:r>
      <w:r>
        <w:t xml:space="preserve">(subdivided into</w:t>
      </w:r>
      <w:r>
        <w:t xml:space="preserve"> </w:t>
      </w:r>
      <w:r>
        <w:rPr>
          <w:i/>
          <w:iCs/>
        </w:rPr>
        <w:t xml:space="preserve">anger-in</w:t>
      </w:r>
      <w:r>
        <w:t xml:space="preserve">,</w:t>
      </w:r>
      <w:r>
        <w:t xml:space="preserve"> </w:t>
      </w:r>
      <w:r>
        <w:rPr>
          <w:i/>
          <w:iCs/>
        </w:rPr>
        <w:t xml:space="preserve">anger-out</w:t>
      </w:r>
      <w:r>
        <w:t xml:space="preserve">,</w:t>
      </w:r>
      <w:r>
        <w:t xml:space="preserve"> </w:t>
      </w:r>
      <w:r>
        <w:rPr>
          <w:i/>
          <w:iCs/>
        </w:rPr>
        <w:t xml:space="preserve">anger-control</w:t>
      </w:r>
      <w:r>
        <w:t xml:space="preserve">). The Qur’anic lexicon realises this trichotomy at the lexical surface: trait-like sustained states (</w:t>
      </w:r>
      <w:r>
        <w:rPr>
          <w:i/>
          <w:iCs/>
        </w:rPr>
        <w:t xml:space="preserve">ḥuzn</w:t>
      </w:r>
      <w:r>
        <w:t xml:space="preserve"> </w:t>
      </w:r>
      <w:r>
        <w:t xml:space="preserve">at 88% verbal registering recurrent affective episodes,</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 </w:t>
      </w:r>
      <w:r>
        <w:t xml:space="preserve">as discursively-specialised divine displeasure toward the</w:t>
      </w:r>
      <w:r>
        <w:t xml:space="preserve"> </w:t>
      </w:r>
      <w:r>
        <w:rPr>
          <w:i/>
          <w:iCs/>
        </w:rPr>
        <w:t xml:space="preserve">Munāfiqūn</w:t>
      </w:r>
      <w:r>
        <w:t xml:space="preserve">,</w:t>
      </w:r>
      <w:r>
        <w:t xml:space="preserve"> </w:t>
      </w:r>
      <w:r>
        <w:rPr>
          <w:i/>
          <w:iCs/>
        </w:rPr>
        <w:t xml:space="preserve">maqt</w:t>
      </w:r>
      <w:r>
        <w:t xml:space="preserve"> </w:t>
      </w:r>
      <w:r>
        <w:t xml:space="preserve">as evaluative-aversive response to an observed</w:t>
      </w:r>
      <w:r>
        <w:t xml:space="preserve"> </w:t>
      </w:r>
      <w:r>
        <w:rPr>
          <w:i/>
          <w:iCs/>
        </w:rPr>
        <w:t xml:space="preserve">qabīḥ</w:t>
      </w:r>
      <w:r>
        <w:t xml:space="preserve">,</w:t>
      </w:r>
      <w:r>
        <w:t xml:space="preserve"> </w:t>
      </w:r>
      <w:r>
        <w:rPr>
          <w:i/>
          <w:iCs/>
        </w:rPr>
        <w:t xml:space="preserve">ghaḍab</w:t>
      </w:r>
      <w:r>
        <w:t xml:space="preserve"> </w:t>
      </w:r>
      <w:r>
        <w:t xml:space="preserve">as the unmarked anger-episode); and</w:t>
      </w:r>
      <w:r>
        <w:t xml:space="preserve"> </w:t>
      </w:r>
      <w:r>
        <w:rPr>
          <w:i/>
          <w:iCs/>
        </w:rPr>
        <w:t xml:space="preserve">kaẓm</w:t>
      </w:r>
      <w:r>
        <w:t xml:space="preserve"> </w:t>
      </w:r>
      <w:r>
        <w:t xml:space="preserve">(Q. 3:134) 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 suppression construct with the addition of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 Lazarus → Scherer → Roseman)</w:t>
      </w:r>
      <w:r>
        <w:rPr>
          <w:rStyle w:val="FootnoteReference"/>
        </w:rPr>
        <w:footnoteReference w:id="122"/>
      </w:r>
      <w:r>
        <w:t xml:space="preserve"> </w:t>
      </w:r>
      <w:r>
        <w:t xml:space="preserve">holds that emotional response is determined not by stimulus alone but by cognitive</w:t>
      </w:r>
      <w:r>
        <w:t xml:space="preserve"> </w:t>
      </w:r>
      <w:r>
        <w:rPr>
          <w:i/>
          <w:iCs/>
        </w:rPr>
        <w:t xml:space="preserve">appraisal</w:t>
      </w:r>
      <w:r>
        <w:t xml:space="preserve"> </w:t>
      </w:r>
      <w:r>
        <w:t xml:space="preserve">along a defined set of dimensions. Scherer’s component-process model</w:t>
      </w:r>
      <w:r>
        <w:rPr>
          <w:rStyle w:val="FootnoteReference"/>
        </w:rPr>
        <w:footnoteReference w:id="123"/>
      </w:r>
      <w:r>
        <w:t xml:space="preserve"> </w:t>
      </w:r>
      <w:r>
        <w:t xml:space="preserve">specifies four sequential checks (</w:t>
      </w:r>
      <w:r>
        <w:rPr>
          <w:i/>
          <w:iCs/>
        </w:rPr>
        <w:t xml:space="preserve">relevance</w:t>
      </w:r>
      <w:r>
        <w:t xml:space="preserve">,</w:t>
      </w:r>
      <w:r>
        <w:t xml:space="preserve"> </w:t>
      </w:r>
      <w:r>
        <w:rPr>
          <w:i/>
          <w:iCs/>
        </w:rPr>
        <w:t xml:space="preserve">implications</w:t>
      </w:r>
      <w:r>
        <w:t xml:space="preserve">,</w:t>
      </w:r>
      <w:r>
        <w:t xml:space="preserve"> </w:t>
      </w:r>
      <w:r>
        <w:rPr>
          <w:i/>
          <w:iCs/>
        </w:rPr>
        <w:t xml:space="preserve">coping potential</w:t>
      </w:r>
      <w:r>
        <w:t xml:space="preserve">,</w:t>
      </w:r>
      <w:r>
        <w:t xml:space="preserve"> </w:t>
      </w:r>
      <w:r>
        <w:rPr>
          <w:i/>
          <w:iCs/>
        </w:rPr>
        <w:t xml:space="preserve">normative significance</w:t>
      </w:r>
      <w:r>
        <w:t xml:space="preserve">); the Qur’anic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Roseman’s appraisal grid</w:t>
      </w:r>
      <w:r>
        <w:rPr>
          <w:rStyle w:val="FootnoteReference"/>
        </w:rPr>
        <w:footnoteReference w:id="124"/>
      </w:r>
      <w:r>
        <w:t xml:space="preserve"> </w:t>
      </w:r>
      <w:r>
        <w:t xml:space="preserve">orders emotions by five dimensions (</w:t>
      </w:r>
      <w:r>
        <w:rPr>
          <w:i/>
          <w:iCs/>
        </w:rPr>
        <w:t xml:space="preserve">situational state</w:t>
      </w:r>
      <w:r>
        <w:t xml:space="preserve">,</w:t>
      </w:r>
      <w:r>
        <w:t xml:space="preserve"> </w:t>
      </w:r>
      <w:r>
        <w:rPr>
          <w:i/>
          <w:iCs/>
        </w:rPr>
        <w:t xml:space="preserve">motivational state</w:t>
      </w:r>
      <w:r>
        <w:t xml:space="preserve">,</w:t>
      </w:r>
      <w:r>
        <w:t xml:space="preserve"> </w:t>
      </w:r>
      <w:r>
        <w:rPr>
          <w:i/>
          <w:iCs/>
        </w:rPr>
        <w:t xml:space="preserve">probability</w:t>
      </w:r>
      <w:r>
        <w:t xml:space="preserve">,</w:t>
      </w:r>
      <w:r>
        <w:t xml:space="preserve"> </w:t>
      </w:r>
      <w:r>
        <w:rPr>
          <w:i/>
          <w:iCs/>
        </w:rPr>
        <w:t xml:space="preserve">agency</w:t>
      </w:r>
      <w:r>
        <w:t xml:space="preserve">,</w:t>
      </w:r>
      <w:r>
        <w:t xml:space="preserve"> </w:t>
      </w:r>
      <w:r>
        <w:rPr>
          <w:i/>
          <w:iCs/>
        </w:rPr>
        <w:t xml:space="preserve">control potential</w:t>
      </w:r>
      <w:r>
        <w:t xml:space="preserve">). Q. 96:6–7 (</w:t>
      </w:r>
      <w:r>
        <w:rPr>
          <w:i/>
          <w:iCs/>
        </w:rPr>
        <w:t xml:space="preserve">kallā inna al-insāna la-yaṭghā · an raʾāhu staġnā</w:t>
      </w:r>
      <w:r>
        <w:t xml:space="preserve">)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producing the</w:t>
      </w:r>
      <w:r>
        <w:t xml:space="preserve"> </w:t>
      </w:r>
      <w:r>
        <w:rPr>
          <w:i/>
          <w:iCs/>
        </w:rPr>
        <w:t xml:space="preserve">agency-self / motive-consistent / high-control</w:t>
      </w:r>
      <w:r>
        <w:t xml:space="preserve"> </w:t>
      </w:r>
      <w:r>
        <w:t xml:space="preserve">pattern Roseman would predict for defiance / contempt. The Qur’anic</w:t>
      </w:r>
      <w:r>
        <w:t xml:space="preserve"> </w:t>
      </w:r>
      <w:r>
        <w:rPr>
          <w:i/>
          <w:iCs/>
        </w:rPr>
        <w:t xml:space="preserve">ṭughyān</w:t>
      </w:r>
      <w:r>
        <w:t xml:space="preserve"> </w:t>
      </w:r>
      <w:r>
        <w:t xml:space="preserve">is, on this reading, a textbook instance of Roseman’s appraisal pattern lexicalised under a single root in the seventh century that twentieth-century cognitive appraisal theory has independently re-derived. The Qur’anic lexicon thus encodes — as architectural design rather than theoretical statement — insights contemporary emotion science has reached independently.</w:t>
      </w:r>
    </w:p>
    <w:bookmarkEnd w:id="125"/>
    <w:bookmarkStart w:id="126"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corpus-distributional balance with Stage 6, exactly as one would expect if (i) the phenomenological side is richer than the prior analysis allowed, and (ii) Stage-6 lexemes are not exclusively anger-derived but stand in bidirectional causal relation to anger. The methodological lesson: corpus-distributional analyses of religious texts are maps of</w:t>
      </w:r>
      <w:r>
        <w:t xml:space="preserve"> </w:t>
      </w:r>
      <w:r>
        <w:rPr>
          <w:i/>
          <w:iCs/>
        </w:rPr>
        <w:t xml:space="preserve">discursive emphasis</w:t>
      </w:r>
      <w:r>
        <w:t xml:space="preserve">, fundamentally entangled with category-membership and category-causation decisions; the 10/4 → 14/6 shift changed both the empirical pattern and its interpretation.</w:t>
      </w:r>
    </w:p>
    <w:bookmarkEnd w:id="126"/>
    <w:bookmarkStart w:id="132" w:name="discursive-contextual-specialisation"/>
    <w:p>
      <w:pPr>
        <w:pStyle w:val="Heading3"/>
      </w:pPr>
      <w:r>
        <w:t xml:space="preserve">5.4. Discursive-contextual specialisation</w:t>
      </w:r>
    </w:p>
    <w:p>
      <w:pPr>
        <w:pStyle w:val="FirstParagraph"/>
      </w:pPr>
      <w:r>
        <w:t xml:space="preserve">The FDR-surviving Medinan exclusivity of</w:t>
      </w:r>
      <w:r>
        <w:t xml:space="preserve"> </w:t>
      </w:r>
      <w:r>
        <w:rPr>
          <w:i/>
          <w:iCs/>
        </w:rPr>
        <w:t xml:space="preserve">sakhaṭ</w:t>
      </w:r>
      <w:r>
        <w:t xml:space="preserve">,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the Medinan tilt of</w:t>
      </w:r>
      <w:r>
        <w:t xml:space="preserve"> </w:t>
      </w:r>
      <w:r>
        <w:rPr>
          <w:i/>
          <w:iCs/>
        </w:rPr>
        <w:t xml:space="preserve">karh</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on textual relations</w:t>
      </w:r>
      <w:r>
        <w:rPr>
          <w:rStyle w:val="FootnoteReference"/>
        </w:rPr>
        <w:footnoteReference w:id="127"/>
      </w:r>
      <w:r>
        <w:t xml:space="preserve"> </w:t>
      </w:r>
      <w:r>
        <w:t xml:space="preserve">and Sinai on Meccan/Medinan diachrony</w:t>
      </w:r>
      <w:r>
        <w:rPr>
          <w:rStyle w:val="FootnoteReference"/>
        </w:rPr>
        <w:footnoteReference w:id="128"/>
      </w:r>
      <w:r>
        <w:t xml:space="preserve"> </w:t>
      </w:r>
      <w:r>
        <w:t xml:space="preserve">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w:t>
      </w:r>
      <w:r>
        <w:rPr>
          <w:rStyle w:val="FootnoteReference"/>
        </w:rPr>
        <w:footnoteReference w:id="129"/>
      </w:r>
      <w:r>
        <w:t xml:space="preserve"> </w:t>
      </w:r>
      <w:r>
        <w:t xml:space="preserve">and the QuranMorph</w:t>
      </w:r>
      <w:r>
        <w:rPr>
          <w:rStyle w:val="FootnoteReference"/>
        </w:rPr>
        <w:footnoteReference w:id="130"/>
      </w:r>
      <w:r>
        <w:t xml:space="preserve"> </w:t>
      </w:r>
      <w:r>
        <w:t xml:space="preserve">and MASAQ</w:t>
      </w:r>
      <w:r>
        <w:rPr>
          <w:rStyle w:val="FootnoteReference"/>
        </w:rPr>
        <w:footnoteReference w:id="131"/>
      </w:r>
      <w:r>
        <w:t xml:space="preserve"> </w:t>
      </w:r>
      <w:r>
        <w:t xml:space="preserve">extensions of the Dukes corpus.</w:t>
      </w:r>
    </w:p>
    <w:bookmarkEnd w:id="132"/>
    <w:bookmarkStart w:id="147" w:name="Xeb7af648a9b5037314a84f7b755228345cfdadd"/>
    <w:p>
      <w:pPr>
        <w:pStyle w:val="Heading3"/>
      </w:pPr>
      <w:r>
        <w:t xml:space="preserve">5.5. Q. 67:8 and the container metaphor: a focused comparative survey</w:t>
      </w:r>
    </w:p>
    <w:p>
      <w:pPr>
        <w:pStyle w:val="FirstParagraph"/>
      </w:pPr>
      <w:r>
        <w:t xml:space="preserve">Lakoff and Kövecses’s 1987 chapter in Holland and Quinn’s</w:t>
      </w:r>
      <w:r>
        <w:t xml:space="preserve"> </w:t>
      </w:r>
      <w:r>
        <w:rPr>
          <w:i/>
          <w:iCs/>
        </w:rPr>
        <w:t xml:space="preserve">Cultural Models</w:t>
      </w:r>
      <w:r>
        <w:rPr>
          <w:rStyle w:val="FootnoteReference"/>
        </w:rPr>
        <w:footnoteReference w:id="133"/>
      </w:r>
      <w:r>
        <w:t xml:space="preserve"> </w:t>
      </w:r>
      <w:r>
        <w:t xml:space="preserve">reconstructed the conceptual model underlying American-English anger metaphors as a</w:t>
      </w:r>
      <w:r>
        <w:t xml:space="preserve"> </w:t>
      </w:r>
      <w:r>
        <w:rPr>
          <w:i/>
          <w:iCs/>
        </w:rPr>
        <w:t xml:space="preserve">four-step trajectory</w:t>
      </w:r>
      <w:r>
        <w:t xml:space="preserve"> </w:t>
      </w:r>
      <w:r>
        <w:t xml:space="preserve">on the PRESSURIZED CONTAINER schema: (i) anger is a hot fluid in a container (pp. 197-198;</w:t>
      </w:r>
      <w:r>
        <w:t xml:space="preserve"> </w:t>
      </w:r>
      <w:r>
        <w:rPr>
          <w:i/>
          <w:iCs/>
        </w:rPr>
        <w:t xml:space="preserve">filled with anger</w:t>
      </w:r>
      <w:r>
        <w:t xml:space="preserve">,</w:t>
      </w:r>
      <w:r>
        <w:t xml:space="preserve"> </w:t>
      </w:r>
      <w:r>
        <w:rPr>
          <w:i/>
          <w:iCs/>
        </w:rPr>
        <w:t xml:space="preserve">contain her rage</w:t>
      </w:r>
      <w:r>
        <w:t xml:space="preserve">); (ii) intensity raises the pressure (pp. 198-200;</w:t>
      </w:r>
      <w:r>
        <w:t xml:space="preserve"> </w:t>
      </w:r>
      <w:r>
        <w:rPr>
          <w:i/>
          <w:iCs/>
        </w:rPr>
        <w:t xml:space="preserve">bursting with anger</w:t>
      </w:r>
      <w:r>
        <w:t xml:space="preserve">,</w:t>
      </w:r>
      <w:r>
        <w:t xml:space="preserve"> </w:t>
      </w:r>
      <w:r>
        <w:rPr>
          <w:i/>
          <w:iCs/>
        </w:rPr>
        <w:t xml:space="preserve">about to explode</w:t>
      </w:r>
      <w:r>
        <w:t xml:space="preserve">); (iii) containment attempts (pp. 200-202;</w:t>
      </w:r>
      <w:r>
        <w:t xml:space="preserve"> </w:t>
      </w:r>
      <w:r>
        <w:rPr>
          <w:i/>
          <w:iCs/>
        </w:rPr>
        <w:t xml:space="preserve">keep it in</w:t>
      </w:r>
      <w:r>
        <w:t xml:space="preserve">,</w:t>
      </w:r>
      <w:r>
        <w:t xml:space="preserve"> </w:t>
      </w:r>
      <w:r>
        <w:rPr>
          <w:i/>
          <w:iCs/>
        </w:rPr>
        <w:t xml:space="preserve">bottle it up</w:t>
      </w:r>
      <w:r>
        <w:t xml:space="preserve">); (iv) container failure (pp. 202-205;</w:t>
      </w:r>
      <w:r>
        <w:t xml:space="preserve"> </w:t>
      </w:r>
      <w:r>
        <w:rPr>
          <w:i/>
          <w:iCs/>
        </w:rPr>
        <w:t xml:space="preserve">exploded</w:t>
      </w:r>
      <w:r>
        <w:t xml:space="preserve">,</w:t>
      </w:r>
      <w:r>
        <w:t xml:space="preserve"> </w:t>
      </w:r>
      <w:r>
        <w:rPr>
          <w:i/>
          <w:iCs/>
        </w:rPr>
        <w:t xml:space="preserve">blew his top</w:t>
      </w:r>
      <w:r>
        <w:t xml:space="preserve">,</w:t>
      </w:r>
      <w:r>
        <w:t xml:space="preserve"> </w:t>
      </w:r>
      <w:r>
        <w:rPr>
          <w:i/>
          <w:iCs/>
        </w:rPr>
        <w:t xml:space="preserve">flipped his lid</w:t>
      </w:r>
      <w:r>
        <w:t xml:space="preserve">) — in which the English exemplars lexicalise the failure-mode as the</w:t>
      </w:r>
      <w:r>
        <w:t xml:space="preserve"> </w:t>
      </w:r>
      <w:r>
        <w:rPr>
          <w:i/>
          <w:iCs/>
        </w:rPr>
        <w:t xml:space="preserve">exit of contents</w:t>
      </w:r>
      <w:r>
        <w:t xml:space="preserve"> </w:t>
      </w:r>
      <w:r>
        <w:t xml:space="preserve">with the container preserved or only metonymically displaced.</w:t>
      </w:r>
    </w:p>
    <w:p>
      <w:pPr>
        <w:pStyle w:val="BodyText"/>
      </w:pPr>
      <w:r>
        <w:t xml:space="preserve">The Qur’anic</w:t>
      </w:r>
      <w:r>
        <w:t xml:space="preserve"> </w:t>
      </w:r>
      <w:r>
        <w:rPr>
          <w:i/>
          <w:iCs/>
        </w:rPr>
        <w:t xml:space="preserve">ghayẓ–kaẓm–tamayyuz</w:t>
      </w:r>
      <w:r>
        <w:t xml:space="preserve"> </w:t>
      </w:r>
      <w:r>
        <w:t xml:space="preserve">triad walks through these four steps with a precision the English exemplars do not match at step (iv). At step (i), the four authoritative lexica gloss</w:t>
      </w:r>
      <w:r>
        <w:t xml:space="preserve"> </w:t>
      </w:r>
      <w:r>
        <w:rPr>
          <w:i/>
          <w:iCs/>
        </w:rPr>
        <w:t xml:space="preserve">ghayẓ</w:t>
      </w:r>
      <w:r>
        <w:t xml:space="preserve"> </w:t>
      </w:r>
      <w:r>
        <w:t xml:space="preserve">as compressed contained anger (al-Rāghib:</w:t>
      </w:r>
      <w:r>
        <w:t xml:space="preserve"> </w:t>
      </w:r>
      <w:r>
        <w:rPr>
          <w:i/>
          <w:iCs/>
        </w:rPr>
        <w:t xml:space="preserve">ashadd al-ġaḍab</w:t>
      </w:r>
      <w:r>
        <w:t xml:space="preserve">; al-Mostafawī:</w:t>
      </w:r>
      <w:r>
        <w:t xml:space="preserve"> </w:t>
      </w:r>
      <w:r>
        <w:rPr>
          <w:i/>
          <w:iCs/>
        </w:rPr>
        <w:t xml:space="preserve">takāthuf al-iḍṭirāb al-shadīd al-mukbūt</w:t>
      </w:r>
      <w:r>
        <w:t xml:space="preserve">). At step (ii), the syntagm</w:t>
      </w:r>
      <w:r>
        <w:t xml:space="preserve"> </w:t>
      </w:r>
      <w:r>
        <w:rPr>
          <w:i/>
          <w:iCs/>
        </w:rPr>
        <w:t xml:space="preserve">imtilāʾ al-nafs bi-l-ġayẓ</w:t>
      </w:r>
      <w:r>
        <w:t xml:space="preserve"> </w:t>
      </w:r>
      <w:r>
        <w:t xml:space="preserve">encodes the rising-pressure step morphologically. At step (iii),</w:t>
      </w:r>
      <w:r>
        <w:t xml:space="preserve"> </w:t>
      </w:r>
      <w:r>
        <w:rPr>
          <w:i/>
          <w:iCs/>
        </w:rPr>
        <w:t xml:space="preserve">kaẓm</w:t>
      </w:r>
      <w:r>
        <w:t xml:space="preserve"> </w:t>
      </w:r>
      <w:r>
        <w:t xml:space="preserve">(Q. 3:134</w:t>
      </w:r>
      <w:r>
        <w:t xml:space="preserve"> </w:t>
      </w:r>
      <w:r>
        <w:rPr>
          <w:i/>
          <w:iCs/>
        </w:rPr>
        <w:t xml:space="preserve">al-kāẓimīn al-ġayẓ</w:t>
      </w:r>
      <w:r>
        <w:t xml:space="preserve">) — etymologically the tying-off of a waterskin — names the agent-internal suppression operation in a single lexical operation, where Lakoff and Kövecses (p. 201) require</w:t>
      </w:r>
      <w:r>
        <w:t xml:space="preserve"> </w:t>
      </w:r>
      <w:r>
        <w:rPr>
          <w:i/>
          <w:iCs/>
        </w:rPr>
        <w:t xml:space="preserve">the lid</w:t>
      </w:r>
      <w:r>
        <w:t xml:space="preserve">,</w:t>
      </w:r>
      <w:r>
        <w:t xml:space="preserve"> </w:t>
      </w:r>
      <w:r>
        <w:rPr>
          <w:i/>
          <w:iCs/>
        </w:rPr>
        <w:t xml:space="preserve">the cork</w:t>
      </w:r>
      <w:r>
        <w:t xml:space="preserve">,</w:t>
      </w:r>
      <w:r>
        <w:t xml:space="preserve"> </w:t>
      </w:r>
      <w:r>
        <w:rPr>
          <w:i/>
          <w:iCs/>
        </w:rPr>
        <w:t xml:space="preserve">the cap</w:t>
      </w:r>
      <w:r>
        <w:t xml:space="preserve">,</w:t>
      </w:r>
      <w:r>
        <w:t xml:space="preserve"> </w:t>
      </w:r>
      <w:r>
        <w:rPr>
          <w:i/>
          <w:iCs/>
        </w:rPr>
        <w:t xml:space="preserve">the bottle stopper</w:t>
      </w:r>
      <w:r>
        <w:t xml:space="preserve"> </w:t>
      </w:r>
      <w:r>
        <w:t xml:space="preserve">as four separate metaphors. At step (iv), the divergence is decisive: Q. 67:8 (</w:t>
      </w:r>
      <w:r>
        <w:rPr>
          <w:i/>
          <w:iCs/>
        </w:rPr>
        <w:t xml:space="preserve">takādu tamayyazu min al-ġayẓ</w:t>
      </w:r>
      <w:r>
        <w:t xml:space="preserve">) lexicalises</w:t>
      </w:r>
      <w:r>
        <w:t xml:space="preserve"> </w:t>
      </w:r>
      <w:r>
        <w:rPr>
          <w:i/>
          <w:iCs/>
        </w:rPr>
        <w:t xml:space="preserve">the parting / severing of the vessel itself</w:t>
      </w:r>
      <w:r>
        <w:t xml:space="preserve"> </w:t>
      </w:r>
      <w:r>
        <w:t xml:space="preserve">—</w:t>
      </w:r>
      <w:r>
        <w:t xml:space="preserve"> </w:t>
      </w:r>
      <w:r>
        <w:rPr>
          <w:i/>
          <w:iCs/>
        </w:rPr>
        <w:t xml:space="preserve">tamayyaza</w:t>
      </w:r>
      <w:r>
        <w:t xml:space="preserve"> </w:t>
      </w:r>
      <w:r>
        <w:t xml:space="preserve">deriving from</w:t>
      </w:r>
      <w:r>
        <w:t xml:space="preserve"> </w:t>
      </w:r>
      <w:r>
        <w:rPr>
          <w:i/>
          <w:iCs/>
        </w:rPr>
        <w:t xml:space="preserve">m-y-z</w:t>
      </w:r>
      <w:r>
        <w:t xml:space="preserve"> </w:t>
      </w:r>
      <w:r>
        <w:t xml:space="preserve">“to part, to sever”</w:t>
      </w:r>
      <w:r>
        <w:t xml:space="preserve"> </w:t>
      </w:r>
      <w:r>
        <w:t xml:space="preserve">(Lisān s.v.) — figuring the fire-vessel of Jahannam</w:t>
      </w:r>
      <w:r>
        <w:t xml:space="preserve"> </w:t>
      </w:r>
      <w:r>
        <w:rPr>
          <w:i/>
          <w:iCs/>
        </w:rPr>
        <w:t xml:space="preserve">bursting apart structurally</w:t>
      </w:r>
      <w:r>
        <w:t xml:space="preserve"> </w:t>
      </w:r>
      <w:r>
        <w:t xml:space="preserve">from the rage of its contents, not the exit of contents from an intact vessel. The English-language step (iv) holds the container constant and reports the trajectory of contents; the Qur’anic step (iv) holds the rage constant and reports the trajectory of</w:t>
      </w:r>
      <w:r>
        <w:t xml:space="preserve"> </w:t>
      </w:r>
      <w:r>
        <w:rPr>
          <w:i/>
          <w:iCs/>
        </w:rPr>
        <w:t xml:space="preserve">the container</w:t>
      </w:r>
      <w:r>
        <w:t xml:space="preserve">.</w:t>
      </w:r>
    </w:p>
    <w:p>
      <w:pPr>
        <w:pStyle w:val="BodyText"/>
      </w:pPr>
      <w:r>
        <w:t xml:space="preserve">To situate the strength of this claim, we conducted a focused philological survey across six pre-modern traditions whose anger-lexica have been studied through the conceptual-metaphor lens. (1)</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(heart/abdomen) and</w:t>
      </w:r>
      <w:r>
        <w:t xml:space="preserve"> </w:t>
      </w:r>
      <w:r>
        <w:rPr>
          <w:i/>
          <w:iCs/>
        </w:rPr>
        <w:t xml:space="preserve">kabattu</w:t>
      </w:r>
      <w:r>
        <w:t xml:space="preserve"> </w:t>
      </w:r>
      <w:r>
        <w:t xml:space="preserve">(liver) as filled containers, paradigmatically in the idiom</w:t>
      </w:r>
      <w:r>
        <w:t xml:space="preserve"> </w:t>
      </w:r>
      <w:r>
        <w:rPr>
          <w:i/>
          <w:iCs/>
        </w:rPr>
        <w:t xml:space="preserve">libbāti malû</w:t>
      </w:r>
      <w:r>
        <w:t xml:space="preserve"> </w:t>
      </w:r>
      <w:r>
        <w:t xml:space="preserve">“to be filled with rage”</w:t>
      </w:r>
      <w:r>
        <w:t xml:space="preserve">,</w:t>
      </w:r>
      <w:r>
        <w:rPr>
          <w:rStyle w:val="FootnoteReference"/>
        </w:rPr>
        <w:footnoteReference w:id="134"/>
      </w:r>
      <w:r>
        <w:t xml:space="preserve"> </w:t>
      </w:r>
      <w:r>
        <w:t xml:space="preserve">with cognate stative verbs</w:t>
      </w:r>
      <w:r>
        <w:t xml:space="preserve"> </w:t>
      </w:r>
      <w:r>
        <w:rPr>
          <w:i/>
          <w:iCs/>
        </w:rPr>
        <w:t xml:space="preserve">ezēzu</w:t>
      </w:r>
      <w:r>
        <w:t xml:space="preserve"> </w:t>
      </w:r>
      <w:r>
        <w:t xml:space="preserve">“to be furious”</w:t>
      </w:r>
      <w:r>
        <w:t xml:space="preserve"> </w:t>
      </w:r>
      <w:r>
        <w:t xml:space="preserve">and the abstract</w:t>
      </w:r>
      <w:r>
        <w:t xml:space="preserve"> </w:t>
      </w:r>
      <w:r>
        <w:rPr>
          <w:i/>
          <w:iCs/>
        </w:rPr>
        <w:t xml:space="preserve">uzzatu</w:t>
      </w:r>
      <w:r>
        <w:t xml:space="preserve"> </w:t>
      </w:r>
      <w:r>
        <w:t xml:space="preserve">“wrath”</w:t>
      </w:r>
      <w:r>
        <w:t xml:space="preserve">; recent bodily-mapping work on Neo-Assyrian texts</w:t>
      </w:r>
      <w:r>
        <w:rPr>
          <w:rStyle w:val="FootnoteReference"/>
        </w:rPr>
        <w:footnoteReference w:id="135"/>
      </w:r>
      <w:r>
        <w:t xml:space="preserve"> </w:t>
      </w:r>
      <w:r>
        <w:t xml:space="preserve">confirms a dominantly FILLING / HEAT-IN-CONTAINER schema and finds no idiom of vessel rupture. (2)</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w:t>
      </w:r>
      <w:r>
        <w:t xml:space="preserve">— a CONTENTS-EXIT image),</w:t>
      </w:r>
      <w:r>
        <w:t xml:space="preserve"> </w:t>
      </w:r>
      <w:r>
        <w:rPr>
          <w:i/>
          <w:iCs/>
        </w:rPr>
        <w:t xml:space="preserve">ʾaph</w:t>
      </w:r>
      <w:r>
        <w:t xml:space="preserve"> </w:t>
      </w:r>
      <w:r>
        <w:t xml:space="preserve">(literally</w:t>
      </w:r>
      <w:r>
        <w:t xml:space="preserve"> </w:t>
      </w:r>
      <w:r>
        <w:t xml:space="preserve">“nose”</w:t>
      </w:r>
      <w:r>
        <w:t xml:space="preserve">), and the formulaic</w:t>
      </w:r>
      <w:r>
        <w:t xml:space="preserve"> </w:t>
      </w:r>
      <w:r>
        <w:rPr>
          <w:i/>
          <w:iCs/>
        </w:rPr>
        <w:t xml:space="preserve">ḥarôn-ʾaph</w:t>
      </w:r>
      <w:r>
        <w:t xml:space="preserve"> </w:t>
      </w:r>
      <w:r>
        <w:t xml:space="preserve">“burning of the nose”</w:t>
      </w:r>
      <w:r>
        <w:t xml:space="preserve">; Kruger</w:t>
      </w:r>
      <w:r>
        <w:rPr>
          <w:rStyle w:val="FootnoteReference"/>
        </w:rPr>
        <w:footnoteReference w:id="136"/>
      </w:r>
      <w:r>
        <w:t xml:space="preserve"> </w:t>
      </w:r>
      <w:r>
        <w:t xml:space="preserve">demonstrates that ANGER IS FLUID IN A CONTAINER and ANGER IS FIRE IN THE NOSE are the dominant conceptual metaphors of the Hebrew Bible, both schematically EXIT-typed rather than vessel-collapsing. The instructive exception is</w:t>
      </w:r>
      <w:r>
        <w:t xml:space="preserve"> </w:t>
      </w:r>
      <w:r>
        <w:rPr>
          <w:b/>
          <w:bCs/>
        </w:rPr>
        <w:t xml:space="preserve">Job 32:19</w:t>
      </w:r>
      <w:r>
        <w:t xml:space="preserve">, where Elihu, possessed by anger, declares his belly to be</w:t>
      </w:r>
      <w:r>
        <w:t xml:space="preserve"> </w:t>
      </w:r>
      <w:r>
        <w:t xml:space="preserve">“</w:t>
      </w:r>
      <w:r>
        <w:rPr>
          <w:i/>
          <w:iCs/>
        </w:rPr>
        <w:t xml:space="preserve">kĕ-yayin lōʾ-yippātēaḥ … yibbāqēaʿ</w:t>
      </w:r>
      <w:r>
        <w:t xml:space="preserve">”</w:t>
      </w:r>
      <w:r>
        <w:t xml:space="preserve"> </w:t>
      </w:r>
      <w:r>
        <w:t xml:space="preserve">—</w:t>
      </w:r>
      <w:r>
        <w:t xml:space="preserve"> </w:t>
      </w:r>
      <w:r>
        <w:t xml:space="preserve">“like wine that is not opened … about to burst (lit.</w:t>
      </w:r>
      <w:r>
        <w:t xml:space="preserve"> </w:t>
      </w:r>
      <w:r>
        <w:rPr>
          <w:i/>
          <w:iCs/>
        </w:rPr>
        <w:t xml:space="preserve">be split</w:t>
      </w:r>
      <w:r>
        <w:t xml:space="preserve">) like new wineskins”</w:t>
      </w:r>
      <w:r>
        <w:t xml:space="preserve">: the verb</w:t>
      </w:r>
      <w:r>
        <w:t xml:space="preserve"> </w:t>
      </w:r>
      <w:r>
        <w:rPr>
          <w:i/>
          <w:iCs/>
        </w:rPr>
        <w:t xml:space="preserve">bāqaʿ</w:t>
      </w:r>
      <w:r>
        <w:t xml:space="preserve"> </w:t>
      </w:r>
      <w:r>
        <w:t xml:space="preserve">names exactly the structural failure of the vessel that Q. 67:8’s</w:t>
      </w:r>
      <w:r>
        <w:t xml:space="preserve"> </w:t>
      </w:r>
      <w:r>
        <w:rPr>
          <w:i/>
          <w:iCs/>
        </w:rPr>
        <w:t xml:space="preserve">tamayyaza</w:t>
      </w:r>
      <w:r>
        <w:t xml:space="preserve"> </w:t>
      </w:r>
      <w:r>
        <w:t xml:space="preserve">names, and we therefore qualify our claim accordingly — Q. 67:8 is</w:t>
      </w:r>
      <w:r>
        <w:t xml:space="preserve"> </w:t>
      </w:r>
      <w:r>
        <w:rPr>
          <w:i/>
          <w:iCs/>
        </w:rPr>
        <w:t xml:space="preserve">an early and unusually transparent</w:t>
      </w:r>
      <w:r>
        <w:t xml:space="preserve"> </w:t>
      </w:r>
      <w:r>
        <w:t xml:space="preserve">lexicalisation of container collapse, not a unique one. (3)</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(bile/gall, a fluid that</w:t>
      </w:r>
      <w:r>
        <w:t xml:space="preserve"> </w:t>
      </w:r>
      <w:r>
        <w:rPr>
          <w:i/>
          <w:iCs/>
        </w:rPr>
        <w:t xml:space="preserve">rises</w:t>
      </w:r>
      <w:r>
        <w:t xml:space="preserve"> </w:t>
      </w:r>
      <w:r>
        <w:t xml:space="preserve">—</w:t>
      </w:r>
      <w:r>
        <w:t xml:space="preserve"> </w:t>
      </w:r>
      <w:r>
        <w:rPr>
          <w:i/>
          <w:iCs/>
        </w:rPr>
        <w:t xml:space="preserve">kholos … anēi</w:t>
      </w:r>
      <w:r>
        <w:t xml:space="preserve">,</w:t>
      </w:r>
      <w:r>
        <w:t xml:space="preserve"> </w:t>
      </w:r>
      <w:r>
        <w:rPr>
          <w:i/>
          <w:iCs/>
        </w:rPr>
        <w:t xml:space="preserve">Iliad</w:t>
      </w:r>
      <w:r>
        <w:t xml:space="preserve"> </w:t>
      </w:r>
      <w:r>
        <w:t xml:space="preserve">9.646) and</w:t>
      </w:r>
      <w:r>
        <w:t xml:space="preserve"> </w:t>
      </w:r>
      <w:r>
        <w:rPr>
          <w:i/>
          <w:iCs/>
        </w:rPr>
        <w:t xml:space="preserve">mēnis</w:t>
      </w:r>
      <w:r>
        <w:t xml:space="preserve"> </w:t>
      </w:r>
      <w:r>
        <w:t xml:space="preserve">(ritualised, suprapersonal wrath);</w:t>
      </w:r>
      <w:r>
        <w:rPr>
          <w:rStyle w:val="FootnoteReference"/>
        </w:rPr>
        <w:footnoteReference w:id="137"/>
      </w:r>
      <w:r>
        <w:t xml:space="preserve"> </w:t>
      </w:r>
      <w:r>
        <w:t xml:space="preserve">Cairns</w:t>
      </w:r>
      <w:r>
        <w:rPr>
          <w:rStyle w:val="FootnoteReference"/>
        </w:rPr>
        <w:footnoteReference w:id="138"/>
      </w:r>
      <w:r>
        <w:t xml:space="preserve"> </w:t>
      </w:r>
      <w:r>
        <w:t xml:space="preserve">reads both as fluid-and-heat schemas, with no Iliadic image of the body or its containing organ being torn apart by anger — the closest analogue,</w:t>
      </w:r>
      <w:r>
        <w:t xml:space="preserve"> </w:t>
      </w:r>
      <w:r>
        <w:rPr>
          <w:i/>
          <w:iCs/>
        </w:rPr>
        <w:t xml:space="preserve">thumos</w:t>
      </w:r>
      <w:r>
        <w:t xml:space="preserve"> </w:t>
      </w:r>
      <w:r>
        <w:t xml:space="preserve">welling up to the</w:t>
      </w:r>
      <w:r>
        <w:t xml:space="preserve"> </w:t>
      </w:r>
      <w:r>
        <w:rPr>
          <w:i/>
          <w:iCs/>
        </w:rPr>
        <w:t xml:space="preserve">phrenes</w:t>
      </w:r>
      <w:r>
        <w:t xml:space="preserve">, remains within the EXIT register. (4)</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(with the recurrent compound</w:t>
      </w:r>
      <w:r>
        <w:t xml:space="preserve"> </w:t>
      </w:r>
      <w:r>
        <w:rPr>
          <w:i/>
          <w:iCs/>
        </w:rPr>
        <w:t xml:space="preserve">krodha-agni</w:t>
      </w:r>
      <w:r>
        <w:t xml:space="preserve"> </w:t>
      </w:r>
      <w:r>
        <w:t xml:space="preserve">“fire of anger”</w:t>
      </w:r>
      <w:r>
        <w:t xml:space="preserve">) and</w:t>
      </w:r>
      <w:r>
        <w:t xml:space="preserve"> </w:t>
      </w:r>
      <w:r>
        <w:rPr>
          <w:i/>
          <w:iCs/>
        </w:rPr>
        <w:t xml:space="preserve">manyu</w:t>
      </w:r>
      <w:r>
        <w:t xml:space="preserve"> </w:t>
      </w:r>
      <w:r>
        <w:t xml:space="preserve">(martial wrath, often weaponised as Indra’s bolt: ṚV 10.83–84, the</w:t>
      </w:r>
      <w:r>
        <w:t xml:space="preserve"> </w:t>
      </w:r>
      <w:r>
        <w:rPr>
          <w:i/>
          <w:iCs/>
        </w:rPr>
        <w:t xml:space="preserve">Manyu-Sūkta</w:t>
      </w:r>
      <w:r>
        <w:t xml:space="preserve">);</w:t>
      </w:r>
      <w:r>
        <w:rPr>
          <w:rStyle w:val="FootnoteReference"/>
        </w:rPr>
        <w:footnoteReference w:id="139"/>
      </w:r>
      <w:r>
        <w:t xml:space="preserve"> </w:t>
      </w:r>
      <w:r>
        <w:t xml:space="preserve">the dominant images are FIRE and WEAPON-RELEASE, not vessel-disintegration. (5)</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 </w:t>
      </w:r>
      <w:r>
        <w:rPr>
          <w:rFonts w:hint="eastAsia"/>
        </w:rPr>
        <w:t xml:space="preserve">(怒),</w:t>
      </w:r>
      <w:r>
        <w:t xml:space="preserve"> </w:t>
      </w:r>
      <w:r>
        <w:rPr>
          <w:i/>
          <w:iCs/>
        </w:rPr>
        <w:t xml:space="preserve">fèn</w:t>
      </w:r>
      <w:r>
        <w:t xml:space="preserve"> </w:t>
      </w:r>
      <w:r>
        <w:rPr>
          <w:rFonts w:hint="eastAsia"/>
        </w:rPr>
        <w:t xml:space="preserve">(愤),</w:t>
      </w:r>
      <w:r>
        <w:t xml:space="preserve"> and</w:t>
      </w:r>
      <w:r>
        <w:t xml:space="preserve"> </w:t>
      </w:r>
      <w:r>
        <w:rPr>
          <w:i/>
          <w:iCs/>
        </w:rPr>
        <w:t xml:space="preserve">qì</w:t>
      </w:r>
      <w:r>
        <w:t xml:space="preserve"> </w:t>
      </w:r>
      <w:r>
        <w:rPr>
          <w:rFonts w:hint="eastAsia"/>
        </w:rPr>
        <w:t xml:space="preserve">(氣),</w:t>
      </w:r>
      <w:r>
        <w:t xml:space="preserve"> with Yu</w:t>
      </w:r>
      <w:r>
        <w:rPr>
          <w:rStyle w:val="FootnoteReference"/>
        </w:rPr>
        <w:footnoteReference w:id="140"/>
      </w:r>
      <w:r>
        <w:t xml:space="preserve"> </w:t>
      </w:r>
      <w:r>
        <w:t xml:space="preserve">and Kövecses, Benczes and Szelid</w:t>
      </w:r>
      <w:r>
        <w:rPr>
          <w:rStyle w:val="FootnoteReference"/>
        </w:rPr>
        <w:footnoteReference w:id="141"/>
      </w:r>
      <w:r>
        <w:t xml:space="preserve"> </w:t>
      </w:r>
      <w:r>
        <w:t xml:space="preserve">identifying ANGER IS HOT</w:t>
      </w:r>
      <w:r>
        <w:t xml:space="preserve"> </w:t>
      </w:r>
      <w:r>
        <w:rPr>
          <w:i/>
          <w:iCs/>
        </w:rPr>
        <w:t xml:space="preserve">QÌ</w:t>
      </w:r>
      <w:r>
        <w:t xml:space="preserve"> </w:t>
      </w:r>
      <w:r>
        <w:t xml:space="preserve">IN A CONTAINER as the central schema; idioms of overflow (</w:t>
      </w:r>
      <w:r>
        <w:rPr>
          <w:i/>
          <w:iCs/>
        </w:rPr>
        <w:t xml:space="preserve">qì-chōng</w:t>
      </w:r>
      <w:r>
        <w:t xml:space="preserve"> </w:t>
      </w:r>
      <w:r>
        <w:t xml:space="preserve">“</w:t>
      </w:r>
      <w:r>
        <w:rPr>
          <w:i/>
          <w:iCs/>
        </w:rPr>
        <w:t xml:space="preserve">qì</w:t>
      </w:r>
      <w:r>
        <w:t xml:space="preserve"> </w:t>
      </w:r>
      <w:r>
        <w:t xml:space="preserve">surges out”</w:t>
      </w:r>
      <w:r>
        <w:t xml:space="preserve">) elaborate exit, not vessel-rupture. (6)</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thus genuinely Arabian, not a Qur’anic neologism.</w:t>
      </w:r>
    </w:p>
    <w:p>
      <w:pPr>
        <w:pStyle w:val="BodyText"/>
      </w:pPr>
      <w:r>
        <w:rPr>
          <w:b/>
          <w:bCs/>
        </w:rPr>
        <w:t xml:space="preserve">On Kövecses, Benczes, and Szelid (2025).</w:t>
      </w:r>
      <w:r>
        <w:t xml:space="preserve"> </w:t>
      </w:r>
      <w:r>
        <w:t xml:space="preserve">The two-volume</w:t>
      </w:r>
      <w:r>
        <w:t xml:space="preserve"> </w:t>
      </w:r>
      <w:r>
        <w:rPr>
          <w:i/>
          <w:iCs/>
        </w:rPr>
        <w:t xml:space="preserve">Metaphors of ANGER across Languages: Universality and Variation</w:t>
      </w:r>
      <w:r>
        <w:rPr>
          <w:rStyle w:val="FootnoteReference"/>
        </w:rPr>
        <w:footnoteReference w:id="142"/>
      </w:r>
      <w:r>
        <w:t xml:space="preserve"> </w:t>
      </w:r>
      <w:r>
        <w:t xml:space="preserve">is the most ambitious cross-cultural survey of anger-metaphor since Lakoff and Kövecses (1987) and supplies the proper benchmark for any new claim of cross-cultural variation in container metaphors. The encyclopedia spans twenty-two languages across volumes 1 and 2, with extended treatments of Mandarin Chinese, Japanese, Korean, Hungarian, Polish, Russian, Spanish, German, Wolof, Hausa, Yoruba, and Modern Standard Arabic (the last covered in a single chapter on present-day MSA expressions), but it</w:t>
      </w:r>
      <w:r>
        <w:t xml:space="preserve"> </w:t>
      </w:r>
      <w:r>
        <w:rPr>
          <w:i/>
          <w:iCs/>
        </w:rPr>
        <w:t xml:space="preserve">does not include a dedicated treatment of Classical Arabic or of Qur’anic anger imagery</w:t>
      </w:r>
      <w:r>
        <w:t xml:space="preserve">. The Qur’anic</w:t>
      </w:r>
      <w:r>
        <w:t xml:space="preserve"> </w:t>
      </w:r>
      <w:r>
        <w:rPr>
          <w:i/>
          <w:iCs/>
        </w:rPr>
        <w:t xml:space="preserve">ghayẓ–kaẓm–tamayyuz</w:t>
      </w:r>
      <w:r>
        <w:t xml:space="preserve"> </w:t>
      </w:r>
      <w:r>
        <w:t xml:space="preserve">triad, and Q. 67:8 in particular, appear nowhere in the two volumes. The encyclopedia’s editorial framing (Kövecses’s introduction to vol. 1) explicitly invites comparative work in traditions not represented; the present analysis can be read as a direct response to that invitation, supplying the Classical-Arabic and Qur’anic data that the 2025 encyclopedia leaves un-canvassed and contributing one new datum — Q. 67:8 — to the cross-cultural inventory of step-(iv) container-failure lexicalisations.</w:t>
      </w:r>
    </w:p>
    <w:p>
      <w:pPr>
        <w:pStyle w:val="BodyText"/>
      </w:pPr>
      <w:r>
        <w:rPr>
          <w:b/>
          <w:bCs/>
        </w:rPr>
        <w:t xml:space="preserve">Net assessment.</w:t>
      </w:r>
      <w:r>
        <w:t xml:space="preserve"> </w:t>
      </w:r>
      <w:r>
        <w:t xml:space="preserve">Five of the six traditions surveyed here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w:t>
      </w:r>
      <w:r>
        <w:t xml:space="preserve"> </w:t>
      </w:r>
      <w:r>
        <w:rPr>
          <w:i/>
          <w:iCs/>
        </w:rPr>
        <w:t xml:space="preserve">bāqaʿ</w:t>
      </w:r>
      <w:r>
        <w:t xml:space="preserve">). We accordingly revise our claim from any unqualified uniqueness to</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the Qur’anic</w:t>
      </w:r>
      <w:r>
        <w:t xml:space="preserve"> </w:t>
      </w:r>
      <w:r>
        <w:rPr>
          <w:i/>
          <w:iCs/>
        </w:rPr>
        <w:t xml:space="preserve">m-y-z</w:t>
      </w:r>
      <w:r>
        <w:t xml:space="preserve"> </w:t>
      </w:r>
      <w:r>
        <w:t xml:space="preserve">root specifies the</w:t>
      </w:r>
      <w:r>
        <w:t xml:space="preserve"> </w:t>
      </w:r>
      <w:r>
        <w:rPr>
          <w:i/>
          <w:iCs/>
        </w:rPr>
        <w:t xml:space="preserve">parting / severing</w:t>
      </w:r>
      <w:r>
        <w:t xml:space="preserve"> </w:t>
      </w:r>
      <w:r>
        <w:t xml:space="preserve">of the vessel where Hebrew</w:t>
      </w:r>
      <w:r>
        <w:t xml:space="preserve"> </w:t>
      </w:r>
      <w:r>
        <w:rPr>
          <w:i/>
          <w:iCs/>
        </w:rPr>
        <w:t xml:space="preserve">bāqaʿ</w:t>
      </w:r>
      <w:r>
        <w:t xml:space="preserve"> </w:t>
      </w:r>
      <w:r>
        <w:t xml:space="preserve">specifies its</w:t>
      </w:r>
      <w:r>
        <w:t xml:space="preserve"> </w:t>
      </w:r>
      <w:r>
        <w:rPr>
          <w:i/>
          <w:iCs/>
        </w:rPr>
        <w:t xml:space="preserve">splitting</w:t>
      </w:r>
      <w:r>
        <w:t xml:space="preserve">, both naming the failure-mode of the container rather than the trajectory of its contents. The present discussion remains a</w:t>
      </w:r>
      <w:r>
        <w:t xml:space="preserve"> </w:t>
      </w:r>
      <w:r>
        <w:rPr>
          <w:i/>
          <w:iCs/>
        </w:rPr>
        <w:t xml:space="preserve">comparative</w:t>
      </w:r>
      <w:r>
        <w:t xml:space="preserve"> </w:t>
      </w:r>
      <w:r>
        <w:t xml:space="preserve">claim, not a strong universality claim: we do not assert that step-(iv) container-failure lexicalisation is universally available, only that the Qur’anic</w:t>
      </w:r>
      <w:r>
        <w:t xml:space="preserve"> </w:t>
      </w:r>
      <w:r>
        <w:rPr>
          <w:i/>
          <w:iCs/>
        </w:rPr>
        <w:t xml:space="preserve">tamayyuz</w:t>
      </w:r>
      <w:r>
        <w:t xml:space="preserve"> </w:t>
      </w:r>
      <w:r>
        <w:t xml:space="preserve">and the Hebrew</w:t>
      </w:r>
      <w:r>
        <w:t xml:space="preserve"> </w:t>
      </w:r>
      <w:r>
        <w:rPr>
          <w:i/>
          <w:iCs/>
        </w:rPr>
        <w:t xml:space="preserve">bāqaʿ</w:t>
      </w:r>
      <w:r>
        <w:t xml:space="preserve"> </w:t>
      </w:r>
      <w:r>
        <w:t xml:space="preserve">both instantiate it transparently at the lexical level. The Qur’anic data thus</w:t>
      </w:r>
      <w:r>
        <w:t xml:space="preserve"> </w:t>
      </w:r>
      <w:r>
        <w:rPr>
          <w:i/>
          <w:iCs/>
        </w:rPr>
        <w:t xml:space="preserve">strengthen</w:t>
      </w:r>
      <w:r>
        <w:t xml:space="preserve"> </w:t>
      </w:r>
      <w:r>
        <w:t xml:space="preserve">— without by themselves</w:t>
      </w:r>
      <w:r>
        <w:t xml:space="preserve"> </w:t>
      </w:r>
      <w:r>
        <w:rPr>
          <w:i/>
          <w:iCs/>
        </w:rPr>
        <w:t xml:space="preserve">establishing</w:t>
      </w:r>
      <w:r>
        <w:t xml:space="preserve"> </w:t>
      </w:r>
      <w:r>
        <w:t xml:space="preserve">— the cross-cultural universalist hypothesis of CMT,</w:t>
      </w:r>
      <w:r>
        <w:rPr>
          <w:rStyle w:val="FootnoteReference"/>
        </w:rPr>
        <w:footnoteReference w:id="143"/>
      </w:r>
      <w:r>
        <w:t xml:space="preserve"> </w:t>
      </w:r>
      <w:r>
        <w:t xml:space="preserve">and they extend the empirical base to seventh-century Arabic in a register that the 2025</w:t>
      </w:r>
      <w:r>
        <w:t xml:space="preserve"> </w:t>
      </w:r>
      <w:r>
        <w:rPr>
          <w:i/>
          <w:iCs/>
        </w:rPr>
        <w:t xml:space="preserve">Metaphors of ANGER</w:t>
      </w:r>
      <w:r>
        <w:t xml:space="preserve"> </w:t>
      </w:r>
      <w:r>
        <w:t xml:space="preserve">encyclopedia, conspicuously omitting Classical Arabic, leaves un-canvassed.</w:t>
      </w:r>
    </w:p>
    <w:p>
      <w:pPr>
        <w:pStyle w:val="CaptionedFigure"/>
      </w:pPr>
      <w:r>
        <w:drawing>
          <wp:inline>
            <wp:extent cx="5334000" cy="2698376"/>
            <wp:effectExtent b="0" l="0" r="0" t="0"/>
            <wp:docPr descr="The ANGER-IS-A-PRESSURIZED-CONTAINER schema (after Lakoff and Kövecses, ‘Cognitive Model of Anger’), instantiated by ghaḍab → ghayẓ + kaẓm → tamayyuz. Panel 1 (S4): ghaḍab — open container, affect dissipating into language. Panel 2 (S5, Q. 3:134): ghayẓ — fluid sealed by kaẓm (etymologically the tying-off of a waterskin). Panel 3 (S5 manifestation,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145" name="Picture"/>
            <a:graphic>
              <a:graphicData uri="http://schemas.openxmlformats.org/drawingml/2006/picture">
                <pic:pic>
                  <pic:nvPicPr>
                    <pic:cNvPr descr="fig6_metaphor_diagram.png" id="146" name="Picture"/>
                    <pic:cNvPicPr>
                      <a:picLocks noChangeArrowheads="1" noChangeAspect="1"/>
                    </pic:cNvPicPr>
                  </pic:nvPicPr>
                  <pic:blipFill>
                    <a:blip r:embed="rId144"/>
                    <a:stretch>
                      <a:fillRect/>
                    </a:stretch>
                  </pic:blipFill>
                  <pic:spPr bwMode="auto">
                    <a:xfrm>
                      <a:off x="0" y="0"/>
                      <a:ext cx="5334000" cy="2698376"/>
                    </a:xfrm>
                    <a:prstGeom prst="rect">
                      <a:avLst/>
                    </a:prstGeom>
                    <a:noFill/>
                    <a:ln w="9525">
                      <a:noFill/>
                      <a:headEnd/>
                      <a:tailEnd/>
                    </a:ln>
                  </pic:spPr>
                </pic:pic>
              </a:graphicData>
            </a:graphic>
          </wp:inline>
        </w:drawing>
      </w:r>
    </w:p>
    <w:p>
      <w:pPr>
        <w:pStyle w:val="ImageCaption"/>
      </w:pPr>
      <w:r>
        <w:t xml:space="preserve">The ANGER-IS-A-PRESSURIZED-CONTAINER schema (after Lakoff and Kövecses,</w:t>
      </w:r>
      <w:r>
        <w:t xml:space="preserve"> </w:t>
      </w:r>
      <w:r>
        <w:t xml:space="preserve">‘Cognitive Model of Anger’</w:t>
      </w:r>
      <w:r>
        <w:t xml:space="preserve">),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147"/>
    <w:bookmarkStart w:id="150" w:name="X580d141d0366f3f1fcc1a0412dd33071ff8e809"/>
    <w:p>
      <w:pPr>
        <w:pStyle w:val="Heading3"/>
      </w:pPr>
      <w:r>
        <w:t xml:space="preserve">5.6. Implications for Qur’anic translation (conditional on follow-up evaluation)</w:t>
      </w:r>
    </w:p>
    <w:p>
      <w:pPr>
        <w:pStyle w:val="FirstParagraph"/>
      </w:pPr>
      <w:r>
        <w:t xml:space="preserve">Translation criticism of the Qur’an has long observed that translations tend to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four-verse, five-translation illustrative sample (§4.10) is consistent with this pattern but is too small (</w:t>
      </w:r>
      <w:r>
        <w:rPr>
          <w:i/>
          <w:iCs/>
        </w:rPr>
        <w:t xml:space="preserve">n</w:t>
      </w:r>
      <w:r>
        <w:t xml:space="preserve"> </w:t>
      </w:r>
      <w:r>
        <w:t xml:space="preserve">= 4 verses × 5 translations = 20 cells) to support strong prescriptive claims; recent computational work — notably Gaanoun and Alsuhaibani</w:t>
      </w:r>
      <w:r>
        <w:rPr>
          <w:rStyle w:val="FootnoteReference"/>
        </w:rPr>
        <w:footnoteReference w:id="148"/>
      </w:r>
      <w:r>
        <w:t xml:space="preserve"> </w:t>
      </w:r>
      <w:r>
        <w:t xml:space="preserve">on sentiment preservation across seven English translations and the ELQV emotion-labelled dataset of 2,100 Qur’anic verses</w:t>
      </w:r>
      <w:r>
        <w:rPr>
          <w:rStyle w:val="FootnoteReference"/>
        </w:rPr>
        <w:footnoteReference w:id="149"/>
      </w:r>
      <w:r>
        <w:t xml:space="preserve"> </w:t>
      </w:r>
      <w:r>
        <w:t xml:space="preserve">—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 for critical and study-edition translations: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which we register as a hypothesis rather than a recommendation, is that pedagogical translations may benefit from marking each lexeme’s position on the continuum (by inline gloss, footnote, or chromatic coding) — but the empirical case for this rests on the comparative comprehension study we commend to future work. The 30-verse stratified evaluation, paired with an inter-rater coded comparison across the present spectrum reference model and the ELQV labels, is a natural Phase II for the present dataset.</w:t>
      </w:r>
    </w:p>
    <w:bookmarkEnd w:id="150"/>
    <w:bookmarkStart w:id="151"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importation of secular vocabulary, with three conceptual implications:</w:t>
      </w:r>
      <w:r>
        <w:t xml:space="preserve"> </w:t>
      </w:r>
      <w:r>
        <w:rPr>
          <w:b/>
          <w:bCs/>
        </w:rPr>
        <w:t xml:space="preserve">(i) Prevention</w:t>
      </w:r>
      <w:r>
        <w:t xml:space="preserve"> </w:t>
      </w:r>
      <w:r>
        <w:t xml:space="preserve">— early-stage recognition through indigenous Stages 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 the</w:t>
      </w:r>
      <w:r>
        <w:t xml:space="preserve"> </w:t>
      </w:r>
      <w:r>
        <w:rPr>
          <w:i/>
          <w:iCs/>
        </w:rPr>
        <w:t xml:space="preserve">kaẓm</w:t>
      </w:r>
      <w:r>
        <w:t xml:space="preserve"> </w:t>
      </w:r>
      <w:r>
        <w:t xml:space="preserve">construct integrates with contemporary suppression-and-reappraisal techniques;</w:t>
      </w:r>
      <w:r>
        <w:t xml:space="preserve"> </w:t>
      </w:r>
      <w:r>
        <w:rPr>
          <w:b/>
          <w:bCs/>
        </w:rPr>
        <w:t xml:space="preserve">(iii) Rehabilitation</w:t>
      </w:r>
      <w:r>
        <w:t xml:space="preserve"> </w:t>
      </w:r>
      <w:r>
        <w:t xml:space="preserve">— the post-failure Stage 6 is framed as recoverable through</w:t>
      </w:r>
      <w:r>
        <w:t xml:space="preserve"> </w:t>
      </w:r>
      <w:r>
        <w:rPr>
          <w:i/>
          <w:iCs/>
        </w:rPr>
        <w:t xml:space="preserve">tawba</w:t>
      </w:r>
      <w:r>
        <w:t xml:space="preserve">, providing motivational reinforcement for anger-disorder and post-violent-trauma rehabilitation. These implications are conceptual; their translation into validated clinical interventions awaits empirical studies we recommend as a priority for future work.</w:t>
      </w:r>
    </w:p>
    <w:p>
      <w:r>
        <w:pict>
          <v:rect style="width:0;height:1.5pt" o:hralign="center" o:hrstd="t" o:hr="t"/>
        </w:pict>
      </w:r>
    </w:p>
    <w:bookmarkEnd w:id="151"/>
    <w:bookmarkEnd w:id="152"/>
    <w:bookmarkStart w:id="161" w:name="conclusion"/>
    <w:p>
      <w:pPr>
        <w:pStyle w:val="Heading2"/>
      </w:pPr>
      <w:r>
        <w:t xml:space="preserve">6. Conclusion</w:t>
      </w:r>
    </w:p>
    <w:bookmarkStart w:id="155"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To our knowledge, this trifold integration with corpus-empirical validation has not previously been deployed in Qur’anic studies as a unified analytic framework, although Qāʾimīniyā</w:t>
      </w:r>
      <w:r>
        <w:rPr>
          <w:rStyle w:val="FootnoteReference"/>
        </w:rPr>
        <w:footnoteReference w:id="153"/>
      </w:r>
      <w:r>
        <w:t xml:space="preserve"> </w:t>
      </w:r>
      <w:r>
        <w:t xml:space="preserve">and Pakatchi</w:t>
      </w:r>
      <w:r>
        <w:rPr>
          <w:rStyle w:val="FootnoteReference"/>
        </w:rPr>
        <w:footnoteReference w:id="154"/>
      </w:r>
      <w:r>
        <w:t xml:space="preserve"> </w:t>
      </w:r>
      <w:r>
        <w:t xml:space="preserve">have integrated Izutsu and conceptual-metaphor theory, and Persian-language scalar-semantic work on Qur’anic vocabulary may exist in venues we have not been able to canvass. The research apparatus is openly available and applicable to other Qur’anic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 including FDR-adjusted binomial tests, marginal-preserving permutation null</w:t>
      </w:r>
      <w:r>
        <w:t xml:space="preserve"> </w:t>
      </w:r>
      <w:r>
        <w:rPr>
          <w:i/>
          <w:iCs/>
        </w:rPr>
        <w:t xml:space="preserve">p</w:t>
      </w:r>
      <w:r>
        <w:t xml:space="preserve">-values, and bootstrap 95% CIs on every centrality estimate —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claim that fourteen core lexemes of the Qur’anic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from a now-broadened tafsir consultation (§3.5), and by quantitative evidence from frequency, distribution, morphology, and network structure. We have, in addition, identified distributional patterns that, to our knowledge, have not been previously reported as a coordinated set, while reporting their post-FDR evidential strength transparently: the exclusively-Medinan</w:t>
      </w:r>
      <w:r>
        <w:t xml:space="preserve"> </w:t>
      </w:r>
      <w:r>
        <w:rPr>
          <w:i/>
          <w:iCs/>
        </w:rPr>
        <w:t xml:space="preserve">sakhaṭ</w:t>
      </w:r>
      <w:r>
        <w:t xml:space="preserve"> </w:t>
      </w:r>
      <w:r>
        <w:t xml:space="preserve">survives Holm-Bonferroni correction at α = 0.05</w:t>
      </w:r>
      <w:r>
        <w:t xml:space="preserve"> </w:t>
      </w:r>
      <w:r>
        <w:rPr>
          <w:i/>
          <w:iCs/>
        </w:rPr>
        <w:t xml:space="preserve">borderline</w:t>
      </w:r>
      <w:r>
        <w:t xml:space="preserve"> </w:t>
      </w:r>
      <w:r>
        <w:t xml:space="preserve">(raw</w:t>
      </w:r>
      <w:r>
        <w:t xml:space="preserve"> </w:t>
      </w:r>
      <w:r>
        <w:rPr>
          <w:i/>
          <w:iCs/>
        </w:rPr>
        <w:t xml:space="preserve">p</w:t>
      </w:r>
      <w:r>
        <w:t xml:space="preserve"> </w:t>
      </w:r>
      <w:r>
        <w:t xml:space="preserve">= 0.005, adjusted</w:t>
      </w:r>
      <w:r>
        <w:t xml:space="preserve"> </w:t>
      </w:r>
      <w:r>
        <w:rPr>
          <w:i/>
          <w:iCs/>
        </w:rPr>
        <w:t xml:space="preserve">p</w:t>
      </w:r>
      <w:r>
        <w:t xml:space="preserve"> </w:t>
      </w:r>
      <w:r>
        <w:t xml:space="preserve">= 0.05) and is robust across baselines 0.70–0.78;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and the Medinan-tilted</w:t>
      </w:r>
      <w:r>
        <w:t xml:space="preserve"> </w:t>
      </w:r>
      <w:r>
        <w:rPr>
          <w:i/>
          <w:iCs/>
        </w:rPr>
        <w:t xml:space="preserve">karh</w:t>
      </w:r>
      <w:r>
        <w:t xml:space="preserve"> </w:t>
      </w:r>
      <w:r>
        <w:t xml:space="preserve">are reported as</w:t>
      </w:r>
      <w:r>
        <w:t xml:space="preserve"> </w:t>
      </w:r>
      <w:r>
        <w:rPr>
          <w:i/>
          <w:iCs/>
        </w:rPr>
        <w:t xml:space="preserve">contextual observations</w:t>
      </w:r>
      <w:r>
        <w:t xml:space="preserve"> </w:t>
      </w:r>
      <w:r>
        <w:t xml:space="preserve">warranting follow-up rather than as confirmed findings. The general phenomenon of</w:t>
      </w:r>
      <w:r>
        <w:t xml:space="preserve"> </w:t>
      </w:r>
      <w:r>
        <w:rPr>
          <w:b/>
          <w:bCs/>
        </w:rPr>
        <w:t xml:space="preserve">discursive-contextual lexical specialisation</w:t>
      </w:r>
      <w:r>
        <w:t xml:space="preserve"> </w:t>
      </w:r>
      <w:r>
        <w:t xml:space="preserve">of which we hypothesise these are instances is proposed as a research target rather than as a settled result. We have entered explicit caveats on the bidirectional causation of the Stage-6 lexemes (§4.8.5), grounded in a κ = 0.79-validated tafsir-coding audit, and argued that Q. 67:8 furnishes an</w:t>
      </w:r>
      <w:r>
        <w:t xml:space="preserve"> </w:t>
      </w:r>
      <w:r>
        <w:rPr>
          <w:i/>
          <w:iCs/>
        </w:rPr>
        <w:t xml:space="preserve">early and unusually transparent</w:t>
      </w:r>
      <w:r>
        <w:t xml:space="preserve"> </w:t>
      </w:r>
      <w:r>
        <w:t xml:space="preserve">linguistic exemplar of</w:t>
      </w:r>
      <w:r>
        <w:t xml:space="preserve"> </w:t>
      </w:r>
      <w:r>
        <w:t xml:space="preserve">“container collapse”</w:t>
      </w:r>
      <w:r>
        <w:t xml:space="preserve">—a claim whose form has been calibrated by the focused six-tradition philological survey of §5.5, which identifies Job 32:19 (</w:t>
      </w:r>
      <w:r>
        <w:rPr>
          <w:i/>
          <w:iCs/>
        </w:rPr>
        <w:t xml:space="preserve">bāqaʿ</w:t>
      </w:r>
      <w:r>
        <w:t xml:space="preserve">) as the one clear Northwest-Semitic precedent for vessel-rupture imagery and accordingly tempers any strong uniqueness reading.</w:t>
      </w:r>
    </w:p>
    <w:bookmarkEnd w:id="155"/>
    <w:bookmarkStart w:id="156" w:name="answers-to-the-research-questions"/>
    <w:p>
      <w:pPr>
        <w:pStyle w:val="Heading3"/>
      </w:pPr>
      <w:r>
        <w:t xml:space="preserve">6.2. Answers to the research questions</w:t>
      </w:r>
    </w:p>
    <w:p>
      <w:pPr>
        <w:pStyle w:val="FirstParagraph"/>
      </w:pPr>
      <w:r>
        <w:rPr>
          <w:b/>
          <w:bCs/>
        </w:rPr>
        <w:t xml:space="preserve">RQ1 (internal structure of the field and principal nodes).</w:t>
      </w:r>
      <w:r>
        <w:t xml:space="preserve"> </w:t>
      </w:r>
      <w:r>
        <w:t xml:space="preserve">The Qur’anic anger-spectrum field is a fourteen-node lexical network organised around two structural roles. The bridge node is</w:t>
      </w:r>
      <w:r>
        <w:t xml:space="preserve"> </w:t>
      </w:r>
      <w:r>
        <w:rPr>
          <w:i/>
          <w:iCs/>
        </w:rPr>
        <w:t xml:space="preserve">baghy</w:t>
      </w:r>
      <w:r>
        <w:t xml:space="preserve">, with the highest point-estimate closeness centrality (0.55) and the heaviest cross-field connectivity to the umbrella moral-evaluation terms (16 aya-level co-occurrences with</w:t>
      </w:r>
      <w:r>
        <w:t xml:space="preserve"> </w:t>
      </w:r>
      <w:r>
        <w:rPr>
          <w:i/>
          <w:iCs/>
        </w:rPr>
        <w:t xml:space="preserve">ẓulm</w:t>
      </w:r>
      <w:r>
        <w:t xml:space="preserve">/</w:t>
      </w:r>
      <w:r>
        <w:rPr>
          <w:i/>
          <w:iCs/>
        </w:rPr>
        <w:t xml:space="preserve">jrm</w:t>
      </w:r>
      <w:r>
        <w:t xml:space="preserve">/</w:t>
      </w:r>
      <w:r>
        <w:rPr>
          <w:i/>
          <w:iCs/>
        </w:rPr>
        <w:t xml:space="preserve">fsq</w:t>
      </w:r>
      <w:r>
        <w:t xml:space="preserve">/</w:t>
      </w:r>
      <w:r>
        <w:rPr>
          <w:i/>
          <w:iCs/>
        </w:rPr>
        <w:t xml:space="preserve">ʿadāwah</w:t>
      </w:r>
      <w:r>
        <w:t xml:space="preserve">/</w:t>
      </w:r>
      <w:r>
        <w:rPr>
          <w:i/>
          <w:iCs/>
        </w:rPr>
        <w:t xml:space="preserve">shanaʾān</w:t>
      </w:r>
      <w:r>
        <w:t xml:space="preserve"> </w:t>
      </w:r>
      <w:r>
        <w:t xml:space="preserve">— ~53% of the total cross-field ties for the fourteen spectrum roots). Stage-internal hubs are</w:t>
      </w:r>
      <w:r>
        <w:t xml:space="preserve"> </w:t>
      </w:r>
      <w:r>
        <w:rPr>
          <w:i/>
          <w:iCs/>
        </w:rPr>
        <w:t xml:space="preserve">ḥuzn</w:t>
      </w:r>
      <w:r>
        <w:t xml:space="preserve"> </w:t>
      </w:r>
      <w:r>
        <w:t xml:space="preserve">(Stage 2, 42 attestations, 88% verbal) and</w:t>
      </w:r>
      <w:r>
        <w:t xml:space="preserve"> </w:t>
      </w:r>
      <w:r>
        <w:rPr>
          <w:i/>
          <w:iCs/>
        </w:rPr>
        <w:t xml:space="preserve">ghaḍab</w:t>
      </w:r>
      <w:r>
        <w:t xml:space="preserve"> </w:t>
      </w:r>
      <w:r>
        <w:t xml:space="preserve">(Stage 4, 24 attestations, 67% nominal), with the</w:t>
      </w:r>
      <w:r>
        <w:t xml:space="preserve"> </w:t>
      </w:r>
      <w:r>
        <w:rPr>
          <w:i/>
          <w:iCs/>
        </w:rPr>
        <w:t xml:space="preserve">ḥzn–ḍyq</w:t>
      </w:r>
      <w:r>
        <w:t xml:space="preserve"> </w:t>
      </w:r>
      <w:r>
        <w:t xml:space="preserve">edge (weight 3) the strongest single tie in the network. Several peripheral nodes —</w:t>
      </w:r>
      <w:r>
        <w:t xml:space="preserve">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w:t>
      </w:r>
      <w:r>
        <w:t xml:space="preserve">— exhibit marked distributional asymmetries that we interpret as instances of discursive-contextual specialisation (§5.4).</w:t>
      </w:r>
    </w:p>
    <w:p>
      <w:pPr>
        <w:pStyle w:val="BodyText"/>
      </w:pPr>
      <w:r>
        <w:rPr>
          <w:b/>
          <w:bCs/>
        </w:rPr>
        <w:t xml:space="preserve">RQ2 (continuum ordering and theoretical legitimation).</w:t>
      </w:r>
      <w:r>
        <w:t xml:space="preserve"> </w:t>
      </w:r>
      <w:r>
        <w:t xml:space="preserve">The fourteen lexemes order on a six-stage continuum — pre-anger displeasure, inner pressure and contraction, evaluative aversion, active anger, compressed/explosive rage, behavioural outcomes (with bidirectional-causation caveat) — organised by the composite dimension of</w:t>
      </w:r>
      <w:r>
        <w:t xml:space="preserve"> </w:t>
      </w:r>
      <w:r>
        <w:rPr>
          <w:i/>
          <w:iCs/>
        </w:rPr>
        <w:t xml:space="preserve">intensity of action</w:t>
      </w:r>
      <w:r>
        <w:t xml:space="preserve">: locus (inner → outer), experiential intensity (low → high), and scope of consequence (individual → structural). The ordering is licensed by the trifold theoretical synthesis of §2: Izutsu’s semantic-field method fixes the field boundary, the Kennedy–Sassoon scalar-semantic apparatus supplies the dimension and the ordering relation, and Lakoff–Kövecses CMT grounds the climactic</w:t>
      </w:r>
      <w:r>
        <w:t xml:space="preserve"> </w:t>
      </w:r>
      <w:r>
        <w:rPr>
          <w:i/>
          <w:iCs/>
        </w:rPr>
        <w:t xml:space="preserve">ghayẓ–kaẓm–tamayyuz</w:t>
      </w:r>
      <w:r>
        <w:t xml:space="preserve"> </w:t>
      </w:r>
      <w:r>
        <w:t xml:space="preserve">sequence in the PRESSURIZED CONTAINER schema. The lexicographic evidence of Table 1 shows the ordering is not the construction of the present analysis but is internally encoded in the four authoritative lexica themselves, which gloss each root with progressively more externalised and structural meanings as one ascends from</w:t>
      </w:r>
      <w:r>
        <w:t xml:space="preserve"> </w:t>
      </w:r>
      <w:r>
        <w:rPr>
          <w:i/>
          <w:iCs/>
        </w:rPr>
        <w:t xml:space="preserve">uff</w:t>
      </w:r>
      <w:r>
        <w:t xml:space="preserve"> </w:t>
      </w:r>
      <w:r>
        <w:t xml:space="preserve">to</w:t>
      </w:r>
      <w:r>
        <w:t xml:space="preserve"> </w:t>
      </w:r>
      <w:r>
        <w:rPr>
          <w:i/>
          <w:iCs/>
        </w:rPr>
        <w:t xml:space="preserve">ʿutuww</w:t>
      </w:r>
      <w:r>
        <w:t xml:space="preserve">.</w:t>
      </w:r>
    </w:p>
    <w:p>
      <w:pPr>
        <w:pStyle w:val="BodyText"/>
      </w:pPr>
      <w:r>
        <w:rPr>
          <w:b/>
          <w:bCs/>
        </w:rPr>
        <w:t xml:space="preserve">RQ3 (corpus-distributional corroboration).</w:t>
      </w:r>
      <w:r>
        <w:t xml:space="preserve"> </w:t>
      </w:r>
      <w:r>
        <w:t xml:space="preserve">The empirical distribution is</w:t>
      </w:r>
      <w:r>
        <w:t xml:space="preserve"> </w:t>
      </w:r>
      <w:r>
        <w:rPr>
          <w:i/>
          <w:iCs/>
        </w:rPr>
        <w:t xml:space="preserve">consistent with</w:t>
      </w:r>
      <w:r>
        <w:t xml:space="preserve"> </w:t>
      </w:r>
      <w:r>
        <w:t xml:space="preserve">— though not by itself confirmatory of — the continuum. The asymptotic χ²(5) = 227.15 (Cohen’s</w:t>
      </w:r>
      <w:r>
        <w:t xml:space="preserve"> </w:t>
      </w:r>
      <w:r>
        <w:rPr>
          <w:i/>
          <w:iCs/>
        </w:rPr>
        <w:t xml:space="preserve">w</w:t>
      </w:r>
      <w:r>
        <w:t xml:space="preserve"> </w:t>
      </w:r>
      <w:r>
        <w:t xml:space="preserve">= 0.85) is large but the marginal-preserving permutation null yields</w:t>
      </w:r>
      <w:r>
        <w:t xml:space="preserve"> </w:t>
      </w:r>
      <w:r>
        <w:rPr>
          <w:i/>
          <w:iCs/>
        </w:rPr>
        <w:t xml:space="preserve">p</w:t>
      </w:r>
      <w:r>
        <w:t xml:space="preserve"> </w:t>
      </w:r>
      <w:r>
        <w:t xml:space="preserve">= 0.24, indicating that the asymptotic</w:t>
      </w:r>
      <w:r>
        <w:t xml:space="preserve"> </w:t>
      </w:r>
      <w:r>
        <w:rPr>
          <w:i/>
          <w:iCs/>
        </w:rPr>
        <w:t xml:space="preserve">p</w:t>
      </w:r>
      <w:r>
        <w:t xml:space="preserve">-value over-states the evidence on this sparse, marginally-imbalanced design (§3.6); the substantive case rests on the qualitative evidence of §4.1 and §4.3–§4.8. The Stages 1–5 vs Stage 6 comparison</w:t>
      </w:r>
      <w:r>
        <w:t xml:space="preserve"> </w:t>
      </w:r>
      <w:r>
        <w:rPr>
          <w:i/>
          <w:iCs/>
        </w:rPr>
        <w:t xml:space="preserve">fails to reject</w:t>
      </w:r>
      <w:r>
        <w:t xml:space="preserve"> </w:t>
      </w:r>
      <w:r>
        <w:t xml:space="preserve">equal split (χ²(1) = 1.55), which we read as</w:t>
      </w:r>
      <w:r>
        <w:t xml:space="preserve"> </w:t>
      </w:r>
      <w:r>
        <w:rPr>
          <w:i/>
          <w:iCs/>
        </w:rPr>
        <w:t xml:space="preserve">consistent with</w:t>
      </w:r>
      <w:r>
        <w:t xml:space="preserve"> </w:t>
      </w:r>
      <w:r>
        <w:t xml:space="preserve">the bidirectional-causation reading of §4.8.5, the substantive support coming from the κ = 0.79-validated tafsir-coding audit (A = 26%, S = 49%, A+S = 25%; A-only re-analysis χ²(1) = 81.4,</w:t>
      </w:r>
      <w:r>
        <w:t xml:space="preserve"> </w:t>
      </w:r>
      <w:r>
        <w:rPr>
          <w:i/>
          <w:iCs/>
        </w:rPr>
        <w:t xml:space="preserve">p</w:t>
      </w:r>
      <w:r>
        <w:t xml:space="preserve"> </w:t>
      </w:r>
      <w:r>
        <w:t xml:space="preserve">&lt; 0.001). Of the four per-root distributional patterns, only the exclusively-Medinan</w:t>
      </w:r>
      <w:r>
        <w:t xml:space="preserve"> </w:t>
      </w:r>
      <w:r>
        <w:rPr>
          <w:i/>
          <w:iCs/>
        </w:rPr>
        <w:t xml:space="preserve">sakhaṭ</w:t>
      </w:r>
      <w:r>
        <w:t xml:space="preserve"> </w:t>
      </w:r>
      <w:r>
        <w:t xml:space="preserve">survives Holm-Bonferroni correction (raw</w:t>
      </w:r>
      <w:r>
        <w:t xml:space="preserve"> </w:t>
      </w:r>
      <w:r>
        <w:rPr>
          <w:i/>
          <w:iCs/>
        </w:rPr>
        <w:t xml:space="preserve">p</w:t>
      </w:r>
      <w:r>
        <w:t xml:space="preserve"> </w:t>
      </w:r>
      <w:r>
        <w:t xml:space="preserve">= 0.005, adj.</w:t>
      </w:r>
      <w:r>
        <w:t xml:space="preserve"> </w:t>
      </w:r>
      <w:r>
        <w:rPr>
          <w:i/>
          <w:iCs/>
        </w:rPr>
        <w:t xml:space="preserve">p</w:t>
      </w:r>
      <w:r>
        <w:t xml:space="preserve"> </w:t>
      </w:r>
      <w:r>
        <w:t xml:space="preserve">= 0.05, borderline); the morphological gradient (verbal S1–2 → nominal S6) and the bridging centrality profile at</w:t>
      </w:r>
      <w:r>
        <w:t xml:space="preserve"> </w:t>
      </w:r>
      <w:r>
        <w:rPr>
          <w:i/>
          <w:iCs/>
        </w:rPr>
        <w:t xml:space="preserve">baghy</w:t>
      </w:r>
      <w:r>
        <w:t xml:space="preserve"> </w:t>
      </w:r>
      <w:r>
        <w:t xml:space="preserve">(bootstrap-respecting) supply convergent corpus-internal evidence.</w:t>
      </w:r>
    </w:p>
    <w:p>
      <w:pPr>
        <w:pStyle w:val="BodyText"/>
      </w:pPr>
      <w:r>
        <w:rPr>
          <w:b/>
          <w:bCs/>
        </w:rPr>
        <w:t xml:space="preserve">RQ4 (structural homology with contemporary emotion psychology).</w:t>
      </w:r>
      <w:r>
        <w:t xml:space="preserve"> </w:t>
      </w:r>
      <w:r>
        <w:t xml:space="preserve">The Qur’anic continuum is structurally homologous with four families of contemporary emotion theory developed in §5.2: with Gross’s five-strategy process model of emotion regulation in Stages 1–5, with Plutchik’s three-level intensity wheel and Spielberger’s STAXI trait/state/control architecture in the lexical surface of the spectrum, and with the Lazarus–Scherer–Roseman appraisal apparatus in Q. 96:6–7 (where</w:t>
      </w:r>
      <w:r>
        <w:t xml:space="preserve"> </w:t>
      </w:r>
      <w:r>
        <w:rPr>
          <w:i/>
          <w:iCs/>
        </w:rPr>
        <w:t xml:space="preserve">ṭughyān</w:t>
      </w:r>
      <w:r>
        <w:t xml:space="preserve"> </w:t>
      </w:r>
      <w:r>
        <w:t xml:space="preserve">is conditioned on the appraisal of</w:t>
      </w:r>
      <w:r>
        <w:t xml:space="preserve"> </w:t>
      </w:r>
      <w:r>
        <w:rPr>
          <w:i/>
          <w:iCs/>
        </w:rPr>
        <w:t xml:space="preserve">istighnāʾ</w:t>
      </w:r>
      <w:r>
        <w:t xml:space="preserve"> </w:t>
      </w:r>
      <w:r>
        <w:t xml:space="preserve">in a textbook agency-self / motive-consistent / high-control pattern). The continuum extends beyond all four frameworks at Stage 6, where the structural-moral pathologies of</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lexicalise the moral-anthropological consequences of unmanaged emotion in a register process- and trait/state-models do not contain. The integration is qualified by the bidirectional-causation caveat of §4.8.5: Stage-6 lexemes stand in a</w:t>
      </w:r>
      <w:r>
        <w:t xml:space="preserve"> </w:t>
      </w:r>
      <w:r>
        <w:rPr>
          <w:i/>
          <w:iCs/>
        </w:rPr>
        <w:t xml:space="preserve">bidirectional</w:t>
      </w:r>
      <w:r>
        <w:t xml:space="preserve"> </w:t>
      </w:r>
      <w:r>
        <w:t xml:space="preserve">causal relation with the anger spectrum, not a deterministic downstream one.</w:t>
      </w:r>
    </w:p>
    <w:p>
      <w:pPr>
        <w:pStyle w:val="BodyText"/>
      </w:pPr>
      <w:r>
        <w:rPr>
          <w:b/>
          <w:bCs/>
        </w:rPr>
        <w:t xml:space="preserve">RQ5 (practical implications for translation and Islamic psychology).</w:t>
      </w:r>
      <w:r>
        <w:t xml:space="preserve"> </w:t>
      </w:r>
      <w:r>
        <w:rPr>
          <w:i/>
          <w:iCs/>
        </w:rPr>
        <w:t xml:space="preserve">Conditional</w:t>
      </w:r>
      <w:r>
        <w:t xml:space="preserve"> </w:t>
      </w:r>
      <w:r>
        <w:t xml:space="preserve">practical implications follow at two levels. For Qur’anic translation, the analysis supplies candidate distinct-equivalent renderings for the fourteen lexemes (§5.6) and position-marking conventions that,</w:t>
      </w:r>
      <w:r>
        <w:t xml:space="preserve"> </w:t>
      </w:r>
      <w:r>
        <w:rPr>
          <w:i/>
          <w:iCs/>
        </w:rPr>
        <w:t xml:space="preserve">if confirmed</w:t>
      </w:r>
      <w:r>
        <w:t xml:space="preserve"> </w:t>
      </w:r>
      <w:r>
        <w:t xml:space="preserve">by the stratified follow-up evaluation we commend (~30 verses sampled across the six stages with multi-rater coding against the spectrum reference model and the ELQV labels), would address the systematic levelling pattern catalogued by Gaanoun and Alsuhaibani (2025). For Islamic psychology (§5.7), three applications follow: (i) early-stage</w:t>
      </w:r>
      <w:r>
        <w:t xml:space="preserve"> </w:t>
      </w:r>
      <w:r>
        <w:rPr>
          <w:i/>
          <w:iCs/>
        </w:rPr>
        <w:t xml:space="preserve">prevention</w:t>
      </w:r>
      <w:r>
        <w:t xml:space="preserve"> </w:t>
      </w:r>
      <w:r>
        <w:t xml:space="preserve">via Stages 1–2 vocabulary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supporting CBT-style affective-dysregulation interception in a culturally-grounded register; (ii)</w:t>
      </w:r>
      <w:r>
        <w:t xml:space="preserve"> </w:t>
      </w:r>
      <w:r>
        <w:rPr>
          <w:i/>
          <w:iCs/>
        </w:rPr>
        <w:t xml:space="preserve">crisis intervention</w:t>
      </w:r>
      <w:r>
        <w:t xml:space="preserve"> </w:t>
      </w:r>
      <w:r>
        <w:t xml:space="preserve">via</w:t>
      </w:r>
      <w:r>
        <w:t xml:space="preserve"> </w:t>
      </w:r>
      <w:r>
        <w:rPr>
          <w:i/>
          <w:iCs/>
        </w:rPr>
        <w:t xml:space="preserve">kaẓm</w:t>
      </w:r>
      <w:r>
        <w:t xml:space="preserve"> </w:t>
      </w:r>
      <w:r>
        <w:t xml:space="preserve">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construct with the addition of explicit moral commendation; (iii) post-failure</w:t>
      </w:r>
      <w:r>
        <w:t xml:space="preserve"> </w:t>
      </w:r>
      <w:r>
        <w:rPr>
          <w:i/>
          <w:iCs/>
        </w:rPr>
        <w:t xml:space="preserve">rehabilitation</w:t>
      </w:r>
      <w:r>
        <w:t xml:space="preserve"> </w:t>
      </w:r>
      <w:r>
        <w:t xml:space="preserve">via the</w:t>
      </w:r>
      <w:r>
        <w:t xml:space="preserve"> </w:t>
      </w:r>
      <w:r>
        <w:rPr>
          <w:i/>
          <w:iCs/>
        </w:rPr>
        <w:t xml:space="preserve">tawba</w:t>
      </w:r>
      <w:r>
        <w:t xml:space="preserve"> </w:t>
      </w:r>
      <w:r>
        <w:t xml:space="preserve">framework. All practical implications are framed as hypotheses for empirical follow-up, not as settled prescriptions.</w:t>
      </w:r>
    </w:p>
    <w:bookmarkEnd w:id="156"/>
    <w:bookmarkStart w:id="159" w:name="limitations-and-future-work"/>
    <w:p>
      <w:pPr>
        <w:pStyle w:val="Heading3"/>
      </w:pPr>
      <w:r>
        <w:t xml:space="preserve">6.3. Limitations and future work</w:t>
      </w:r>
    </w:p>
    <w:p>
      <w:pPr>
        <w:pStyle w:val="FirstParagraph"/>
      </w:pPr>
      <w:r>
        <w:t xml:space="preserve">The analysis is bounded by five limitations, each pointing to a constructive next step we frame as a Phase II research agenda for the present dataset. (i)</w:t>
      </w:r>
      <w:r>
        <w:t xml:space="preserve"> </w:t>
      </w:r>
      <w:r>
        <w:rPr>
          <w:b/>
          <w:bCs/>
        </w:rPr>
        <w:t xml:space="preserve">Surface-lexical scope.</w:t>
      </w:r>
      <w:r>
        <w:t xml:space="preserve"> </w:t>
      </w:r>
      <w:r>
        <w:t xml:space="preserve">Discourse-analytic close-reading of the spectrum’s narrative</w:t>
      </w:r>
      <w:r>
        <w:t xml:space="preserve"> </w:t>
      </w:r>
      <w:r>
        <w:rPr>
          <w:i/>
          <w:iCs/>
        </w:rPr>
        <w:t xml:space="preserve">deployment</w:t>
      </w:r>
      <w:r>
        <w:t xml:space="preserve"> </w:t>
      </w:r>
      <w:r>
        <w:t xml:space="preserve">across suras — which stage clusters surface in prophetic-narrative versus legal-prescriptive versus polemical-eschatological passages — is left for future work, in dialogue with El-Awa’s relevance-theoretic framework</w:t>
      </w:r>
      <w:r>
        <w:rPr>
          <w:rStyle w:val="FootnoteReference"/>
        </w:rPr>
        <w:footnoteReference w:id="157"/>
      </w:r>
      <w:r>
        <w:t xml:space="preserve"> </w:t>
      </w:r>
      <w:r>
        <w:t xml:space="preserve">and Sinai’s Meccan/Medinan periodisation.</w:t>
      </w:r>
      <w:r>
        <w:rPr>
          <w:rStyle w:val="FootnoteReference"/>
        </w:rPr>
        <w:footnoteReference w:id="158"/>
      </w:r>
      <w:r>
        <w:t xml:space="preserve"> </w:t>
      </w:r>
      <w:r>
        <w:t xml:space="preserve">(ii)</w:t>
      </w:r>
      <w:r>
        <w:t xml:space="preserve"> </w:t>
      </w:r>
      <w:r>
        <w:rPr>
          <w:b/>
          <w:bCs/>
        </w:rPr>
        <w:t xml:space="preserve">Tafsir engagement.</w:t>
      </w:r>
      <w:r>
        <w:t xml:space="preserve"> </w:t>
      </w:r>
      <w:r>
        <w:t xml:space="preserve">A</w:t>
      </w:r>
      <w:r>
        <w:t xml:space="preserve"> </w:t>
      </w:r>
      <w:r>
        <w:rPr>
          <w:i/>
          <w:iCs/>
        </w:rPr>
        <w:t xml:space="preserve">tafsir-archive deep-dive</w:t>
      </w:r>
      <w:r>
        <w:t xml:space="preserve"> </w:t>
      </w:r>
      <w:r>
        <w:t xml:space="preserve">— systematic indexing of the fourteen-root inventory against the full classical/medieval/Sufi/modernist tradition (al-Qushayrī, the Akbarī school via</w:t>
      </w:r>
      <w:r>
        <w:t xml:space="preserve"> </w:t>
      </w:r>
      <w:r>
        <w:rPr>
          <w:i/>
          <w:iCs/>
        </w:rPr>
        <w:t xml:space="preserve">Tafsīr al-Qāshānī</w:t>
      </w:r>
      <w:r>
        <w:t xml:space="preserve"> </w:t>
      </w:r>
      <w:r>
        <w:t xml:space="preserve">and Sulamī’s</w:t>
      </w:r>
      <w:r>
        <w:t xml:space="preserve"> </w:t>
      </w:r>
      <w:r>
        <w:rPr>
          <w:i/>
          <w:iCs/>
        </w:rPr>
        <w:t xml:space="preserve">Ḥaqāʾiq</w:t>
      </w:r>
      <w:r>
        <w:t xml:space="preserve">, the Twelver tradition via al-ʿAyyāshī and al-Qummī, the Mu’tazilī tradition via Abū Muslim al-Iṣfahānī, the modernist tradition beyond the citations already made), with κ-validated multi-coder reading on contested verses — would supply deeper exegetical grounding and an empirical map of how the bidirectional-causation reading of Stage 6 is distributed across the tradition. (iii)</w:t>
      </w:r>
      <w:r>
        <w:t xml:space="preserve"> </w:t>
      </w:r>
      <w:r>
        <w:rPr>
          <w:b/>
          <w:bCs/>
        </w:rPr>
        <w:t xml:space="preserve">Cognitive-linguistic apparatus.</w:t>
      </w:r>
      <w:r>
        <w:t xml:space="preserve"> </w:t>
      </w:r>
      <w:r>
        <w:t xml:space="preserve">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al-Sakkākī’s</w:t>
      </w:r>
      <w:r>
        <w:t xml:space="preserve"> </w:t>
      </w:r>
      <w:r>
        <w:rPr>
          <w:i/>
          <w:iCs/>
        </w:rPr>
        <w:t xml:space="preserve">Miftāḥ al-ʿUlūm</w:t>
      </w:r>
      <w:r>
        <w:t xml:space="preserve">) would supply an indigenous substrate within which the continuum could be re-stated in the categories of classical Arabic rhetoric. (iv)</w:t>
      </w:r>
      <w:r>
        <w:t xml:space="preserve"> </w:t>
      </w:r>
      <w:r>
        <w:rPr>
          <w:b/>
          <w:bCs/>
        </w:rPr>
        <w:t xml:space="preserve">Ḥadīth integration.</w:t>
      </w:r>
      <w:r>
        <w:t xml:space="preserve"> </w:t>
      </w:r>
      <w:r>
        <w:t xml:space="preserve">A parallel concordance over Ṣaḥīḥ al-Bukhārī, Ṣaḥīḥ Muslim, and al-Kāfī would supply convergent evidence on the</w:t>
      </w:r>
      <w:r>
        <w:t xml:space="preserve"> </w:t>
      </w:r>
      <w:r>
        <w:rPr>
          <w:i/>
          <w:iCs/>
        </w:rPr>
        <w:t xml:space="preserve">kaẓm</w:t>
      </w:r>
      <w:r>
        <w:t xml:space="preserve"> </w:t>
      </w:r>
      <w:r>
        <w:t xml:space="preserve">construct and a cross-corpus replication test for the underpowered</w:t>
      </w:r>
      <w:r>
        <w:t xml:space="preserve"> </w:t>
      </w:r>
      <w:r>
        <w:rPr>
          <w:i/>
          <w:iCs/>
        </w:rPr>
        <w:t xml:space="preserve">asaf</w:t>
      </w:r>
      <w:r>
        <w:t xml:space="preserve"> </w:t>
      </w:r>
      <w:r>
        <w:t xml:space="preserve">5/0 distribution. (v)</w:t>
      </w:r>
      <w:r>
        <w:t xml:space="preserve"> </w:t>
      </w:r>
      <w:r>
        <w:rPr>
          <w:b/>
          <w:bCs/>
        </w:rPr>
        <w:t xml:space="preserve">Islamic-psychology operationalisation.</w:t>
      </w:r>
      <w:r>
        <w:t xml:space="preserve"> </w:t>
      </w:r>
      <w:r>
        <w:t xml:space="preserve">The §5.7 implications await translation into pilot studies of</w:t>
      </w:r>
      <w:r>
        <w:t xml:space="preserve"> </w:t>
      </w:r>
      <w:r>
        <w:rPr>
          <w:i/>
          <w:iCs/>
        </w:rPr>
        <w:t xml:space="preserve">kaẓm</w:t>
      </w:r>
      <w:r>
        <w:t xml:space="preserve">-grounded emotion-regulation training, with stage-marking protocols validated against the STAXI and Difficulties in Emotion Regulation Scale.</w:t>
      </w:r>
    </w:p>
    <w:p>
      <w:pPr>
        <w:pStyle w:val="BodyText"/>
      </w:pPr>
      <w:r>
        <w:t xml:space="preserve">Four NLP analyses are queued as Phase II follow-ups, each addressing a specific evidential limitation. (a)</w:t>
      </w:r>
      <w:r>
        <w:t xml:space="preserve"> </w:t>
      </w:r>
      <w:r>
        <w:rPr>
          <w:b/>
          <w:bCs/>
        </w:rPr>
        <w:t xml:space="preserve">AraBERT / CAMeLBERT contextual-embedding validation</w:t>
      </w:r>
      <w:r>
        <w:t xml:space="preserve"> </w:t>
      </w:r>
      <w:r>
        <w:t xml:space="preserve">— applied to the 312 attestations and clustered unsupervised (k-means / HDBSCAN), would supply an independent test of stage-recoverability: if the six manually-assigned stages emerge as separable clusters, the architecture is corroborated by a method whose stage-assignment has no human input. (b)</w:t>
      </w:r>
      <w:r>
        <w:t xml:space="preserve"> </w:t>
      </w:r>
      <w:r>
        <w:rPr>
          <w:b/>
          <w:bCs/>
        </w:rPr>
        <w:t xml:space="preserve">Cross-translation semantic-drift quantification</w:t>
      </w:r>
      <w:r>
        <w:t xml:space="preserve"> </w:t>
      </w:r>
      <w:r>
        <w:t xml:space="preserve">— a multilingual embedding model applied to the 312 attestations across 5–10 EN/FA translations would quantify the levelling effect catalogued in §4.10 and Gaanoun and Alsuhaibani (2025), supplying per-root, per-translation drift estimates against the Arabic source. (c)</w:t>
      </w:r>
      <w:r>
        <w:t xml:space="preserve"> </w:t>
      </w:r>
      <w:r>
        <w:rPr>
          <w:b/>
          <w:bCs/>
        </w:rPr>
        <w:t xml:space="preserve">Diachronic / chronological-order test</w:t>
      </w:r>
      <w:r>
        <w:t xml:space="preserve"> </w:t>
      </w:r>
      <w:r>
        <w:t xml:space="preserve">— re-coding the 312 attestations by Nöldeke or Bell chronologies (rather than binary Meccan/Medinan) and testing for stage-shift would discriminate competing models of the spectrum’s emergence. (d)</w:t>
      </w:r>
      <w:r>
        <w:t xml:space="preserve"> </w:t>
      </w:r>
      <w:r>
        <w:rPr>
          <w:b/>
          <w:bCs/>
        </w:rPr>
        <w:t xml:space="preserve">PMI-weighted collocation network</w:t>
      </w:r>
      <w:r>
        <w:t xml:space="preserve"> </w:t>
      </w:r>
      <w:r>
        <w:t xml:space="preserve">— replacing the raw aya-level co-occurrence counts of §4.8 with positive pointwise mutual information would yield a network corrected for marginal-frequency artefacts, generating a more conservative test of the</w:t>
      </w:r>
      <w:r>
        <w:t xml:space="preserve"> </w:t>
      </w:r>
      <w:r>
        <w:rPr>
          <w:i/>
          <w:iCs/>
        </w:rPr>
        <w:t xml:space="preserve">baghy</w:t>
      </w:r>
      <w:r>
        <w:t xml:space="preserve">-as-bridge claim. Each is feasible in a Colab notebook environment over the existing pipeline. The methodological commitment shaping the analysis remains: distributional, statistical, and computational evidence is a</w:t>
      </w:r>
      <w:r>
        <w:t xml:space="preserve"> </w:t>
      </w:r>
      <w:r>
        <w:rPr>
          <w:i/>
          <w:iCs/>
        </w:rPr>
        <w:t xml:space="preserve">complement to</w:t>
      </w:r>
      <w:r>
        <w:t xml:space="preserve"> </w:t>
      </w:r>
      <w:r>
        <w:t xml:space="preserve">— not a replacement for — the classical philological and exegetical tradition, and the load-bearing claims rest on the convergence of the two registers.</w:t>
      </w:r>
    </w:p>
    <w:bookmarkEnd w:id="159"/>
    <w:bookmarkStart w:id="160" w:name="closing-remark"/>
    <w:p>
      <w:pPr>
        <w:pStyle w:val="Heading3"/>
      </w:pPr>
      <w:r>
        <w:t xml:space="preserve">6.4. Closing remark</w:t>
      </w:r>
    </w:p>
    <w:p>
      <w:pPr>
        <w:pStyle w:val="FirstParagraph"/>
      </w:pPr>
      <w:r>
        <w:t xml:space="preserve">The Qur’anic lexicon encodes a sophisticated theory of the anger spectrum — not as explicit theoretical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 The classical and the computational are complementary instruments whose joint deployment opens horizons neither could disclose alone.</w:t>
      </w:r>
    </w:p>
    <w:p>
      <w:r>
        <w:pict>
          <v:rect style="width:0;height:1.5pt" o:hralign="center" o:hrstd="t" o:hr="t"/>
        </w:pict>
      </w:r>
    </w:p>
    <w:bookmarkEnd w:id="160"/>
    <w:bookmarkEnd w:id="161"/>
    <w:bookmarkStart w:id="162"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 and the anonymous peer reviewer whose detailed comments materially improved the methodological framing, the statistical interpretation (especially regarding the χ²(1) result and the</w:t>
      </w:r>
      <w:r>
        <w:t xml:space="preserve"> </w:t>
      </w:r>
      <w:r>
        <w:rPr>
          <w:i/>
          <w:iCs/>
        </w:rPr>
        <w:t xml:space="preserve">sakhaṭ</w:t>
      </w:r>
      <w:r>
        <w:t xml:space="preserve"> </w:t>
      </w:r>
      <w:r>
        <w:t xml:space="preserve">baseline-sensitivity question), and the reproducibility of the analysis pipeline.</w:t>
      </w:r>
    </w:p>
    <w:bookmarkEnd w:id="162"/>
    <w:bookmarkStart w:id="1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63"/>
    <w:bookmarkStart w:id="164" w:name="competing-interests"/>
    <w:p>
      <w:pPr>
        <w:pStyle w:val="Heading2"/>
      </w:pPr>
      <w:r>
        <w:t xml:space="preserve">Competing interests</w:t>
      </w:r>
    </w:p>
    <w:p>
      <w:pPr>
        <w:pStyle w:val="FirstParagraph"/>
      </w:pPr>
      <w:r>
        <w:t xml:space="preserve">The authors declare no competing financial or non-financial interests.</w:t>
      </w:r>
    </w:p>
    <w:bookmarkEnd w:id="164"/>
    <w:bookmarkStart w:id="165"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65"/>
    <w:bookmarkStart w:id="166"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 tafsir-tradition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66"/>
    <w:bookmarkStart w:id="167"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167"/>
    <w:bookmarkStart w:id="170"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68">
        <w:r>
          <w:rPr>
            <w:rStyle w:val="Hyperlink"/>
          </w:rPr>
          <w:t xml:space="preserve">github.com/ali-kin4/quranic-emotion-spectrum</w:t>
        </w:r>
      </w:hyperlink>
    </w:p>
    <w:p>
      <w:pPr>
        <w:pStyle w:val="FirstParagraph"/>
      </w:pPr>
      <w:r>
        <w:t xml:space="preserve">The repository contains: (i) the Python pipeline under MIT License; (ii) the Quranic Arabic Corpus</w:t>
      </w:r>
      <w:r>
        <w:rPr>
          <w:rStyle w:val="FootnoteReference"/>
        </w:rPr>
        <w:footnoteReference w:id="169"/>
      </w:r>
      <w:r>
        <w:t xml:space="preserve"> </w:t>
      </w:r>
      <w:r>
        <w:t xml:space="preserve">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(vi) the SHA-256 hash of the QAC v0.4 source file (</w:t>
      </w:r>
      <w:r>
        <w:rPr>
          <w:rStyle w:val="VerbatimChar"/>
        </w:rPr>
        <w:t xml:space="preserve">data/quran/qac_morphology.sha256</w:t>
      </w:r>
      <w:r>
        <w:t xml:space="preserve">) and the manual-validation audit (</w:t>
      </w:r>
      <w:r>
        <w:rPr>
          <w:rStyle w:val="VerbatimChar"/>
        </w:rPr>
        <w:t xml:space="preserve">data/concordance/validation_audit.md</w:t>
      </w:r>
      <w:r>
        <w:t xml:space="preserve">).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r>
        <w:pict>
          <v:rect style="width:0;height:1.5pt" o:hralign="center" o:hrstd="t" o:hr="t"/>
        </w:pict>
      </w:r>
    </w:p>
    <w:bookmarkEnd w:id="170"/>
    <w:bookmarkStart w:id="174" w:name="bibliography"/>
    <w:p>
      <w:pPr>
        <w:pStyle w:val="Heading2"/>
      </w:pPr>
      <w:r>
        <w:t xml:space="preserve">Bibliography</w:t>
      </w:r>
    </w:p>
    <w:p>
      <w:pPr>
        <w:pStyle w:val="FirstParagraph"/>
      </w:pPr>
      <w:r>
        <w:t xml:space="preserve">References are grouped by language family for ease of consultation: classical Arabic lexica and</w:t>
      </w:r>
      <w:r>
        <w:t xml:space="preserve"> </w:t>
      </w:r>
      <w:r>
        <w:rPr>
          <w:i/>
          <w:iCs/>
        </w:rPr>
        <w:t xml:space="preserve">tafsīr</w:t>
      </w:r>
      <w:r>
        <w:t xml:space="preserve">; Persian-language scholarship; and English-language scholarship. Within each section, entries are alphabetised by author surname; the Arabic article</w:t>
      </w:r>
      <w:r>
        <w:t xml:space="preserve"> </w:t>
      </w:r>
      <w:r>
        <w:rPr>
          <w:i/>
          <w:iCs/>
        </w:rPr>
        <w:t xml:space="preserve">al-</w:t>
      </w:r>
      <w:r>
        <w:t xml:space="preserve"> </w:t>
      </w:r>
      <w:r>
        <w:t xml:space="preserve">is ignored for alphabetisation.</w:t>
      </w:r>
    </w:p>
    <w:bookmarkStart w:id="171" w:name="classical-arabic-lexica-and-tafsīr"/>
    <w:p>
      <w:pPr>
        <w:pStyle w:val="Heading3"/>
      </w:pPr>
      <w:r>
        <w:t xml:space="preserve">Classical Arabic Lexica and</w:t>
      </w:r>
      <w:r>
        <w:t xml:space="preserve"> </w:t>
      </w:r>
      <w:r>
        <w:rPr>
          <w:i/>
          <w:iCs/>
        </w:rPr>
        <w:t xml:space="preserve">Tafsīr</w:t>
      </w:r>
    </w:p>
    <w:p>
      <w:pPr>
        <w:pStyle w:val="FirstParagraph"/>
      </w:pPr>
      <w:r>
        <w:t xml:space="preserve">al-Fīrūzābādī, Muḥammad.</w:t>
      </w:r>
      <w:r>
        <w:t xml:space="preserve"> </w:t>
      </w:r>
      <w:r>
        <w:rPr>
          <w:i/>
          <w:iCs/>
        </w:rPr>
        <w:t xml:space="preserve">al-Qāmūs al-Muḥīṭ</w:t>
      </w:r>
      <w:r>
        <w:t xml:space="preserve">. Beirut: Muʾassasat al-Risālah.</w:t>
      </w:r>
    </w:p>
    <w:p>
      <w:pPr>
        <w:pStyle w:val="BodyText"/>
      </w:pPr>
      <w:r>
        <w:t xml:space="preserve">Ibn ʿĀshūr, Muḥammad al-Ṭāhir.</w:t>
      </w:r>
      <w:r>
        <w:t xml:space="preserve"> </w:t>
      </w:r>
      <w:r>
        <w:rPr>
          <w:i/>
          <w:iCs/>
        </w:rPr>
        <w:t xml:space="preserve">al-Taḥrīr wa-l-Tanwīr</w:t>
      </w:r>
      <w:r>
        <w:t xml:space="preserve">. Tunis: al-Dār al-Tūnisiyyah li-l-Nashr, 1984.</w:t>
      </w:r>
    </w:p>
    <w:p>
      <w:pPr>
        <w:pStyle w:val="BodyText"/>
      </w:pPr>
      <w:r>
        <w:t xml:space="preserve">Ibn Fāris, Aḥmad.</w:t>
      </w:r>
      <w:r>
        <w:t xml:space="preserve"> </w:t>
      </w:r>
      <w:r>
        <w:rPr>
          <w:i/>
          <w:iCs/>
        </w:rPr>
        <w:t xml:space="preserve">Muʿjam Maqāyīs al-Lughah</w:t>
      </w:r>
      <w:r>
        <w:t xml:space="preserve">. Edited by ʿAbd al-Salām Muḥammad Hārūn. Beirut: Dār al-Fikr, 1979.</w:t>
      </w:r>
    </w:p>
    <w:p>
      <w:pPr>
        <w:pStyle w:val="BodyText"/>
      </w:pPr>
      <w:r>
        <w:t xml:space="preserve">Ibn Kathīr, Ismāʿīl.</w:t>
      </w:r>
      <w:r>
        <w:t xml:space="preserve"> </w:t>
      </w:r>
      <w:r>
        <w:rPr>
          <w:i/>
          <w:iCs/>
        </w:rPr>
        <w:t xml:space="preserve">Tafsīr al-Qurʾān al-ʿAẓīm</w:t>
      </w:r>
      <w:r>
        <w:t xml:space="preserve">. Edited by Sāmī al-Salāmah. 8 vols. Riyadh: Dār Ṭaybah, 1419 AH/1999.</w:t>
      </w:r>
    </w:p>
    <w:p>
      <w:pPr>
        <w:pStyle w:val="BodyText"/>
      </w:pPr>
      <w:r>
        <w:t xml:space="preserve">Ibn Manẓūr, Muḥammad.</w:t>
      </w:r>
      <w:r>
        <w:t xml:space="preserve"> </w:t>
      </w:r>
      <w:r>
        <w:rPr>
          <w:i/>
          <w:iCs/>
        </w:rPr>
        <w:t xml:space="preserve">Lisān al-ʿArab</w:t>
      </w:r>
      <w:r>
        <w:t xml:space="preserve">. 3rd edn. Beirut: Dār Ṣādir, 1993.</w:t>
      </w:r>
    </w:p>
    <w:p>
      <w:pPr>
        <w:pStyle w:val="BodyText"/>
      </w:pPr>
      <w:r>
        <w:t xml:space="preserve">al-Mostafawī, Ḥasan.</w:t>
      </w:r>
      <w:r>
        <w:t xml:space="preserve"> </w:t>
      </w:r>
      <w:r>
        <w:rPr>
          <w:i/>
          <w:iCs/>
        </w:rPr>
        <w:t xml:space="preserve">al-Taḥqīq fī Kalimāt al-Qurʾān al-Karīm</w:t>
      </w:r>
      <w:r>
        <w:t xml:space="preserve">. 14 vols. Tehran: Wizārat al-Thaqāfah wa-l-Irshād al-Islāmī, 1416 AH/1995.</w:t>
      </w:r>
    </w:p>
    <w:p>
      <w:pPr>
        <w:pStyle w:val="BodyText"/>
      </w:pPr>
      <w:r>
        <w:t xml:space="preserve">al-Qurṭubī, Muḥammad ibn Aḥmad.</w:t>
      </w:r>
      <w:r>
        <w:t xml:space="preserve"> </w:t>
      </w:r>
      <w:r>
        <w:rPr>
          <w:i/>
          <w:iCs/>
        </w:rPr>
        <w:t xml:space="preserve">al-Jāmiʿ li-Aḥkām al-Qurʾān</w:t>
      </w:r>
      <w:r>
        <w:t xml:space="preserve">. 20 vols. Cairo: Dār al-Kutub al-Miṣriyyah, 1964.</w:t>
      </w:r>
    </w:p>
    <w:p>
      <w:pPr>
        <w:pStyle w:val="BodyText"/>
      </w:pPr>
      <w:r>
        <w:t xml:space="preserve">al-Qushayrī, ʿAbd al-Karīm.</w:t>
      </w:r>
      <w:r>
        <w:t xml:space="preserve"> </w:t>
      </w:r>
      <w:r>
        <w:rPr>
          <w:i/>
          <w:iCs/>
        </w:rPr>
        <w:t xml:space="preserve">Laṭāʾif al-Ishārāt</w:t>
      </w:r>
      <w:r>
        <w:t xml:space="preserve">. Edited by Ibrāhīm Basūnī. 6 vols. Cairo: al-Hayʾah al-Miṣriyyah al-ʿĀmmah li-l-Kitāb, 2000.</w:t>
      </w:r>
    </w:p>
    <w:p>
      <w:pPr>
        <w:pStyle w:val="BodyText"/>
      </w:pPr>
      <w:r>
        <w:t xml:space="preserve">Quṭb, Sayyid.</w:t>
      </w:r>
      <w:r>
        <w:t xml:space="preserve"> </w:t>
      </w:r>
      <w:r>
        <w:rPr>
          <w:i/>
          <w:iCs/>
        </w:rPr>
        <w:t xml:space="preserve">Fī Ẓilāl al-Qurʾān</w:t>
      </w:r>
      <w:r>
        <w:t xml:space="preserve">. 6 vols. Cairo and Beirut: Dār al-Shurūq, 1980.</w:t>
      </w:r>
    </w:p>
    <w:p>
      <w:pPr>
        <w:pStyle w:val="BodyText"/>
      </w:pPr>
      <w:r>
        <w:t xml:space="preserve">al-Rāghib al-Iṣfahānī, Ḥusayn.</w:t>
      </w:r>
      <w:r>
        <w:t xml:space="preserve"> </w:t>
      </w:r>
      <w:r>
        <w:rPr>
          <w:i/>
          <w:iCs/>
        </w:rPr>
        <w:t xml:space="preserve">al-Mufradāt fī Gharīb al-Qurʾān</w:t>
      </w:r>
      <w:r>
        <w:t xml:space="preserve">. Edited by Ṣafwān ʿAdnān Dāwūdī. Damascus and Beirut: Dār al-Qalam and al-Dār al-Shāmiyyah, 1412 AH/1992.</w:t>
      </w:r>
    </w:p>
    <w:p>
      <w:pPr>
        <w:pStyle w:val="BodyText"/>
      </w:pPr>
      <w:r>
        <w:t xml:space="preserve">al-Rāzī, Fakhr al-Dīn Muḥammad.</w:t>
      </w:r>
      <w:r>
        <w:t xml:space="preserve"> </w:t>
      </w:r>
      <w:r>
        <w:rPr>
          <w:i/>
          <w:iCs/>
        </w:rPr>
        <w:t xml:space="preserve">Mafātīḥ al-Ghayb (al-Tafsīr al-Kabīr)</w:t>
      </w:r>
      <w:r>
        <w:t xml:space="preserve">. Beirut: Dār Iḥyāʾ al-Turāth al-ʿArabī, 1999.</w:t>
      </w:r>
    </w:p>
    <w:p>
      <w:pPr>
        <w:pStyle w:val="BodyText"/>
      </w:pPr>
      <w:r>
        <w:t xml:space="preserve">Riḍā, Muḥammad Rashīd.</w:t>
      </w:r>
      <w:r>
        <w:t xml:space="preserve"> </w:t>
      </w:r>
      <w:r>
        <w:rPr>
          <w:i/>
          <w:iCs/>
        </w:rPr>
        <w:t xml:space="preserve">Tafsīr al-Qurʾān al-Ḥakīm (al-Manār)</w:t>
      </w:r>
      <w:r>
        <w:t xml:space="preserve">. 12 vols. Cairo: Dār al-Manār, 1947.</w:t>
      </w:r>
    </w:p>
    <w:p>
      <w:pPr>
        <w:pStyle w:val="BodyText"/>
      </w:pPr>
      <w:r>
        <w:t xml:space="preserve">al-Ṭabarī, Muḥammad ibn Jarīr.</w:t>
      </w:r>
      <w:r>
        <w:t xml:space="preserve"> </w:t>
      </w:r>
      <w:r>
        <w:rPr>
          <w:i/>
          <w:iCs/>
        </w:rPr>
        <w:t xml:space="preserve">Jāmiʿ al-Bayān ʿan Taʾwīl Āy al-Qurʾān</w:t>
      </w:r>
      <w:r>
        <w:t xml:space="preserve">. Edited by Aḥmad Muḥammad Shākir. 24 vols. Beirut: Muʾassasat al-Risālah, 2000.</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w:t>
      </w:r>
      <w:r>
        <w:t xml:space="preserve"> </w:t>
      </w:r>
      <w:r>
        <w:rPr>
          <w:i/>
          <w:iCs/>
        </w:rPr>
        <w:t xml:space="preserve">al-Mīzān fī Tafsīr al-Qurʾān</w:t>
      </w:r>
      <w:r>
        <w:t xml:space="preserve">. 20 vols. Beirut: Muʾassasat al-Aʿlamī li-l-Maṭbūʿāt, 1390 AH/1970.</w:t>
      </w:r>
    </w:p>
    <w:p>
      <w:pPr>
        <w:pStyle w:val="BodyText"/>
      </w:pPr>
      <w:r>
        <w:t xml:space="preserve">al-Zamakhsharī, Maḥmūd.</w:t>
      </w:r>
      <w:r>
        <w:t xml:space="preserve"> </w:t>
      </w:r>
      <w:r>
        <w:rPr>
          <w:i/>
          <w:iCs/>
        </w:rPr>
        <w:t xml:space="preserve">al-Kashshāf ʿan Ḥaqāʾiq Ghawāmiḍ al-Tanzīl</w:t>
      </w:r>
      <w:r>
        <w:t xml:space="preserve">. Beirut: Dār al-Kitāb al-ʿArabī, 1407 AH/1986.</w:t>
      </w:r>
    </w:p>
    <w:bookmarkEnd w:id="171"/>
    <w:bookmarkStart w:id="172" w:name="persian-language-scholarship"/>
    <w:p>
      <w:pPr>
        <w:pStyle w:val="Heading3"/>
      </w:pPr>
      <w:r>
        <w:t xml:space="preserve">Persian-Language Scholarship</w:t>
      </w:r>
    </w:p>
    <w:p>
      <w:pPr>
        <w:pStyle w:val="FirstParagraph"/>
      </w:pPr>
      <w:r>
        <w:t xml:space="preserve">Narimani, Zahra,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(1400 SH/2021), pp. 219-239. DOI: 10.22059/jqst.2021.322181.669740. Original Persian title: «بازشناسی معنایی واژگان</w:t>
      </w:r>
      <w:r>
        <w:t xml:space="preserve"> </w:t>
      </w:r>
      <w:r>
        <w:t xml:space="preserve">“غیظ”</w:t>
      </w:r>
      <w:r>
        <w:t xml:space="preserve">،</w:t>
      </w:r>
      <w:r>
        <w:t xml:space="preserve"> </w:t>
      </w:r>
      <w:r>
        <w:t xml:space="preserve">“غضب”</w:t>
      </w:r>
      <w:r>
        <w:t xml:space="preserve"> </w:t>
      </w:r>
      <w:r>
        <w:t xml:space="preserve">و</w:t>
      </w:r>
      <w:r>
        <w:t xml:space="preserve"> </w:t>
      </w:r>
      <w:r>
        <w:t xml:space="preserve">“سَخَط”</w:t>
      </w:r>
      <w:r>
        <w:t xml:space="preserve"> </w:t>
      </w:r>
      <w:r>
        <w:t xml:space="preserve">در قرآن کریم با رویکرد تفسیری».</w:t>
      </w:r>
    </w:p>
    <w:p>
      <w:pPr>
        <w:pStyle w:val="BodyText"/>
      </w:pPr>
      <w:r>
        <w:t xml:space="preserve">Pakatchi, Ahmad and Azita Afrashi.</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 1399 SH/2020.</w:t>
      </w:r>
    </w:p>
    <w:p>
      <w:pPr>
        <w:pStyle w:val="BodyText"/>
      </w:pPr>
      <w:r>
        <w:t xml:space="preserve">Qāʾimīniyā, ʿAlīriḍā.</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 1393 SH/2014. Original Persian title: «استعاره‌های مفهومی و فضاهای قرآنی».</w:t>
      </w:r>
    </w:p>
    <w:p>
      <w:pPr>
        <w:pStyle w:val="BodyText"/>
      </w:pPr>
      <w:r>
        <w:t xml:space="preserve">Qāʾimīniyā, ʿAlīriḍā.</w:t>
      </w:r>
      <w:r>
        <w:t xml:space="preserve"> </w:t>
      </w:r>
      <w:r>
        <w:rPr>
          <w:i/>
          <w:iCs/>
        </w:rPr>
        <w:t xml:space="preserve">Maʿnāshināsī-yi Shinākhtī-yi Qurʾān</w:t>
      </w:r>
      <w:r>
        <w:t xml:space="preserve"> </w:t>
      </w:r>
      <w:r>
        <w:t xml:space="preserve">[Cognitive Semantics of the Qurʾān; in Persian]. Tehran: Pizhūhishgāh-i Farhang va Andīshah-i Islāmī, 1390 SH/2011. Original Persian title: «معناشناسی شناختی قرآن».</w:t>
      </w:r>
    </w:p>
    <w:p>
      <w:pPr>
        <w:pStyle w:val="BodyText"/>
      </w:pPr>
      <w:r>
        <w:t xml:space="preserve">Qarizadeh, Muḥammad ʿO., Muḥammad ʿA. Salmani Marvast, Vali Meymandi and Bahram Farsi.</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 (1402 SH/2024). Original Persian title: «چندمعنایی واژۀ</w:t>
      </w:r>
      <w:r>
        <w:t xml:space="preserve"> </w:t>
      </w:r>
      <w:r>
        <w:t xml:space="preserve">“طغیان”</w:t>
      </w:r>
      <w:r>
        <w:t xml:space="preserve"> </w:t>
      </w:r>
      <w:r>
        <w:t xml:space="preserve">در قرآن کریم با رویکردی بر زبان‌شناختی».</w:t>
      </w:r>
    </w:p>
    <w:bookmarkEnd w:id="172"/>
    <w:bookmarkStart w:id="173" w:name="english-language-scholarship"/>
    <w:p>
      <w:pPr>
        <w:pStyle w:val="Heading3"/>
      </w:pPr>
      <w:r>
        <w:t xml:space="preserve">English-Language Scholarship</w:t>
      </w:r>
    </w:p>
    <w:p>
      <w:pPr>
        <w:pStyle w:val="FirstParagraph"/>
      </w:pPr>
      <w:r>
        <w:t xml:space="preserve">Akra, Diyam, Tymaa Hammouda and Mustafa Jarrar.</w:t>
      </w:r>
      <w:r>
        <w:t xml:space="preserve"> </w:t>
      </w:r>
      <w:r>
        <w:rPr>
          <w:i/>
          <w:iCs/>
        </w:rPr>
        <w:t xml:space="preserve">QuranMorph: Morphologically Annotated Quranic Corpus</w:t>
      </w:r>
      <w:r>
        <w:t xml:space="preserve">. arXiv preprint 2506.18148. 2025. https://arxiv.org/abs/2506.18148.</w:t>
      </w:r>
    </w:p>
    <w:p>
      <w:pPr>
        <w:pStyle w:val="BodyText"/>
      </w:pPr>
      <w:r>
        <w:t xml:space="preserve">Albayrak, Ismail.</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 https://ajis.org/index.php/ajiss/article/view/387.</w:t>
      </w:r>
    </w:p>
    <w:p>
      <w:pPr>
        <w:pStyle w:val="BodyText"/>
      </w:pPr>
      <w:r>
        <w:t xml:space="preserve">Almuhanna, Muneera et al. </w:t>
      </w:r>
      <w:r>
        <w:t xml:space="preserve">‘Sentiment Preservation in Quran Translation with Artificial Intelligence Approach: Study in Reputable English Translation of the Quran’</w:t>
      </w:r>
      <w:r>
        <w:t xml:space="preserve"> </w:t>
      </w:r>
      <w:r>
        <w:t xml:space="preserve">(placeholder version; see Gaanoun and Alsuhaibani 2025 for canonical attribution).</w:t>
      </w:r>
      <w:r>
        <w:t xml:space="preserve"> </w:t>
      </w:r>
      <w:r>
        <w:rPr>
          <w:i/>
          <w:iCs/>
        </w:rPr>
        <w:t xml:space="preserve">Humanities and Social Sciences Communications</w:t>
      </w:r>
      <w:r>
        <w:t xml:space="preserve"> </w:t>
      </w:r>
      <w:r>
        <w:t xml:space="preserve">12:1 (2025), Article 04181. DOI: 10.1057/s41599-024-04181-0.</w:t>
      </w:r>
    </w:p>
    <w:p>
      <w:pPr>
        <w:pStyle w:val="BodyText"/>
      </w:pPr>
      <w:r>
        <w:t xml:space="preserve">Averill, James R.</w:t>
      </w:r>
      <w:r>
        <w:t xml:space="preserve"> </w:t>
      </w:r>
      <w:r>
        <w:rPr>
          <w:i/>
          <w:iCs/>
        </w:rPr>
        <w:t xml:space="preserve">Anger and Aggression: An Essay on Emotion</w:t>
      </w:r>
      <w:r>
        <w:t xml:space="preserve">. New York: Springer-Verlag, 1982.</w:t>
      </w:r>
    </w:p>
    <w:p>
      <w:pPr>
        <w:pStyle w:val="BodyText"/>
      </w:pPr>
      <w:r>
        <w:t xml:space="preserve">Berkowitz, Leonard.</w:t>
      </w:r>
      <w:r>
        <w:t xml:space="preserve"> </w:t>
      </w:r>
      <w:r>
        <w:rPr>
          <w:i/>
          <w:iCs/>
        </w:rPr>
        <w:t xml:space="preserve">Aggression: Its Causes, Consequences, and Control</w:t>
      </w:r>
      <w:r>
        <w:t xml:space="preserve">. New York: McGraw-Hill, 1993.</w:t>
      </w:r>
    </w:p>
    <w:p>
      <w:pPr>
        <w:pStyle w:val="BodyText"/>
      </w:pPr>
      <w:r>
        <w:t xml:space="preserve">Bodi, Daniel.</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p>
      <w:pPr>
        <w:pStyle w:val="BodyText"/>
      </w:pPr>
      <w:r>
        <w:t xml:space="preserve">Cairns, Douglas L.</w:t>
      </w:r>
      <w:r>
        <w:t xml:space="preserve"> </w:t>
      </w:r>
      <w:r>
        <w:t xml:space="preserve">‘Ethics, Ethology, Terminology: Iliadic Anger and the Cross-cultural Study of Emotion’</w:t>
      </w:r>
      <w:r>
        <w:t xml:space="preserve">. In Susanna Braund and Glenn W. Most (eds),</w:t>
      </w:r>
      <w:r>
        <w:t xml:space="preserve"> </w:t>
      </w:r>
      <w:r>
        <w:rPr>
          <w:i/>
          <w:iCs/>
        </w:rPr>
        <w:t xml:space="preserve">Ancient Anger: Perspectives from Homer to Galen</w:t>
      </w:r>
      <w:r>
        <w:t xml:space="preserve">, Yale Classical Studies 32, pp. 11-49. Cambridge: Cambridge University Press, 2003.</w:t>
      </w:r>
    </w:p>
    <w:p>
      <w:pPr>
        <w:pStyle w:val="BodyText"/>
      </w:pPr>
      <w:r>
        <w:rPr>
          <w:i/>
          <w:iCs/>
        </w:rPr>
        <w:t xml:space="preserve">Chicago Assyrian Dictionary (CAD)</w:t>
      </w:r>
      <w:r>
        <w:t xml:space="preserve">. Edited by Martha T. Roth et al. 21 vols. Chicago: The Oriental Institute, 1956-2010. (Cited as CAD with volume letter and page; e.g. CAD L 163-164 s.v. </w:t>
      </w:r>
      <w:r>
        <w:rPr>
          <w:i/>
          <w:iCs/>
        </w:rPr>
        <w:t xml:space="preserve">labābu</w:t>
      </w:r>
      <w:r>
        <w:t xml:space="preserve">,</w:t>
      </w:r>
      <w:r>
        <w:t xml:space="preserve"> </w:t>
      </w:r>
      <w:r>
        <w:rPr>
          <w:i/>
          <w:iCs/>
        </w:rPr>
        <w:t xml:space="preserve">libbātu malû</w:t>
      </w:r>
      <w:r>
        <w:t xml:space="preserve">.)</w:t>
      </w:r>
    </w:p>
    <w:p>
      <w:pPr>
        <w:pStyle w:val="BodyText"/>
      </w:pPr>
      <w:r>
        <w:t xml:space="preserve">Cochran, William G.</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confirmed at proof stage.)</w:t>
      </w:r>
    </w:p>
    <w:p>
      <w:pPr>
        <w:pStyle w:val="BodyText"/>
      </w:pPr>
      <w:r>
        <w:t xml:space="preserve">Cogent 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p>
      <w:pPr>
        <w:pStyle w:val="BodyText"/>
      </w:pPr>
      <w:r>
        <w:t xml:space="preserve">Derki, Mohamed.</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 </w:t>
      </w:r>
      <w:r>
        <w:t xml:space="preserve">(2022). https://www.pdc-journal.com/jour/article/view/168.</w:t>
      </w:r>
    </w:p>
    <w:p>
      <w:pPr>
        <w:pStyle w:val="BodyText"/>
      </w:pPr>
      <w:r>
        <w:t xml:space="preserve">Dukes, Kais.</w:t>
      </w:r>
      <w:r>
        <w:t xml:space="preserve"> </w:t>
      </w:r>
      <w:r>
        <w:rPr>
          <w:i/>
          <w:iCs/>
        </w:rPr>
        <w:t xml:space="preserve">Quranic Arabic Corpus (Morphology, Version 0.4)</w:t>
      </w:r>
      <w:r>
        <w:t xml:space="preserve">. Leeds: University of Leeds, 2011. https://corpus.quran.com (GPL-licensed).</w:t>
      </w:r>
    </w:p>
    <w:p>
      <w:pPr>
        <w:pStyle w:val="BodyText"/>
      </w:pPr>
      <w:r>
        <w:t xml:space="preserve">El-Awa, Salwa M. S.</w:t>
      </w:r>
      <w:r>
        <w:t xml:space="preserve"> </w:t>
      </w:r>
      <w:r>
        <w:rPr>
          <w:i/>
          <w:iCs/>
        </w:rPr>
        <w:t xml:space="preserve">Textual Relations in the Qurʾan: Relevance, Coherence and Structure</w:t>
      </w:r>
      <w:r>
        <w:t xml:space="preserve">. Routledge Studies in the Qurʾan. London and New York: Routledge, 2006.</w:t>
      </w:r>
    </w:p>
    <w:p>
      <w:pPr>
        <w:pStyle w:val="BodyText"/>
      </w:pP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p>
      <w:pPr>
        <w:pStyle w:val="BodyText"/>
      </w:pPr>
      <w:r>
        <w:t xml:space="preserve">Frijda, Nico H.</w:t>
      </w:r>
      <w:r>
        <w:t xml:space="preserve"> </w:t>
      </w:r>
      <w:r>
        <w:rPr>
          <w:i/>
          <w:iCs/>
        </w:rPr>
        <w:t xml:space="preserve">The Emotions</w:t>
      </w:r>
      <w:r>
        <w:t xml:space="preserve">. Studies in Emotion and Social Interaction. Cambridge and Paris: Cambridge University Press and Éditions de la Maison des Sciences de l’Homme, 1986.</w:t>
      </w:r>
    </w:p>
    <w:p>
      <w:pPr>
        <w:pStyle w:val="BodyText"/>
      </w:pPr>
      <w:r>
        <w:t xml:space="preserve">Gaanoun, Karim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 (Authoritative attribution; supersedes the placeholder Almuhanna et al. 2025 entry.)</w:t>
      </w:r>
    </w:p>
    <w:p>
      <w:pPr>
        <w:pStyle w:val="BodyText"/>
      </w:pPr>
      <w:r>
        <w:t xml:space="preserve">Gross, James J.</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w:t>
      </w:r>
    </w:p>
    <w:p>
      <w:pPr>
        <w:pStyle w:val="BodyText"/>
      </w:pPr>
      <w:r>
        <w:t xml:space="preserve">Gross, James J. (ed.).</w:t>
      </w:r>
      <w:r>
        <w:t xml:space="preserve"> </w:t>
      </w:r>
      <w:r>
        <w:rPr>
          <w:i/>
          <w:iCs/>
        </w:rPr>
        <w:t xml:space="preserve">Handbook of Emotion Regulation</w:t>
      </w:r>
      <w:r>
        <w:t xml:space="preserve">. 2nd edn. New York: Guilford Press, 2014.</w:t>
      </w:r>
    </w:p>
    <w:p>
      <w:pPr>
        <w:pStyle w:val="BodyText"/>
      </w:pPr>
      <w:r>
        <w:t xml:space="preserve">Gross, James J.</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p>
      <w:pPr>
        <w:pStyle w:val="BodyText"/>
      </w:pPr>
      <w:r>
        <w:t xml:space="preserve">IJCP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p>
      <w:pPr>
        <w:pStyle w:val="BodyText"/>
      </w:pPr>
      <w:r>
        <w:t xml:space="preserve">Izutsu, Toshihiko.</w:t>
      </w:r>
      <w:r>
        <w:t xml:space="preserve"> </w:t>
      </w:r>
      <w:r>
        <w:rPr>
          <w:i/>
          <w:iCs/>
        </w:rPr>
        <w:t xml:space="preserve">Ethico-Religious Concepts in the Qurʾān</w:t>
      </w:r>
      <w:r>
        <w:t xml:space="preserve">. Revised edn. Montreal: McGill-Queen’s University Press, 2002 (orig. 1966).</w:t>
      </w:r>
    </w:p>
    <w:p>
      <w:pPr>
        <w:pStyle w:val="BodyText"/>
      </w:pPr>
      <w:r>
        <w:t xml:space="preserve">Izutsu, Toshihiko.</w:t>
      </w:r>
      <w:r>
        <w:t xml:space="preserve"> </w:t>
      </w:r>
      <w:r>
        <w:rPr>
          <w:i/>
          <w:iCs/>
        </w:rPr>
        <w:t xml:space="preserve">God and Man in the Koran: Semantics of the Koranic Weltanschauung</w:t>
      </w:r>
      <w:r>
        <w:t xml:space="preserve">. Tokyo: Keio Institute of Cultural and Linguistic Studies, 1964.</w:t>
      </w:r>
    </w:p>
    <w:p>
      <w:pPr>
        <w:pStyle w:val="BodyText"/>
      </w:pPr>
      <w:r>
        <w:t xml:space="preserve">Izutsu, Toshihiko.</w:t>
      </w:r>
      <w:r>
        <w:t xml:space="preserve"> </w:t>
      </w:r>
      <w:r>
        <w:rPr>
          <w:i/>
          <w:iCs/>
        </w:rPr>
        <w:t xml:space="preserve">The Structure of the Ethical Terms in the Koran: A Study in Semantics</w:t>
      </w:r>
      <w:r>
        <w:t xml:space="preserve">. Studies in the Humanities and Social Relations 2. Tokyo: Keio Institute of Philological Studies, 1959.</w:t>
      </w:r>
    </w:p>
    <w:p>
      <w:pPr>
        <w:pStyle w:val="BodyText"/>
      </w:pPr>
      <w:r>
        <w:t xml:space="preserve">Jamison, Stephanie W. and Joel P. Brereton.</w:t>
      </w:r>
      <w:r>
        <w:t xml:space="preserve"> </w:t>
      </w:r>
      <w:r>
        <w:rPr>
          <w:i/>
          <w:iCs/>
        </w:rPr>
        <w:t xml:space="preserve">The Rigveda: The Earliest Religious Poetry of India</w:t>
      </w:r>
      <w:r>
        <w:t xml:space="preserve">. 3 vols. New York: Oxford University Press, 2014.</w:t>
      </w:r>
    </w:p>
    <w:p>
      <w:pPr>
        <w:pStyle w:val="BodyText"/>
      </w:pPr>
      <w:r>
        <w:t xml:space="preserve">Kassinove, Howard and Raymond Chip Tafrate.</w:t>
      </w:r>
      <w:r>
        <w:t xml:space="preserve"> </w:t>
      </w:r>
      <w:r>
        <w:rPr>
          <w:i/>
          <w:iCs/>
        </w:rPr>
        <w:t xml:space="preserve">Anger Management: The Complete Treatment Guidebook for Practitioners</w:t>
      </w:r>
      <w:r>
        <w:t xml:space="preserve">. Atascadero, CA: Impact Publishers, 2002.</w:t>
      </w:r>
    </w:p>
    <w:p>
      <w:pPr>
        <w:pStyle w:val="BodyText"/>
      </w:pPr>
      <w:r>
        <w:t xml:space="preserve">Kennedy, Christopher.</w:t>
      </w:r>
      <w:r>
        <w:t xml:space="preserve"> </w:t>
      </w:r>
      <w:r>
        <w:rPr>
          <w:i/>
          <w:iCs/>
        </w:rPr>
        <w:t xml:space="preserve">Projecting the Adjective: The Syntax and Semantics of Gradability and Comparison</w:t>
      </w:r>
      <w:r>
        <w:t xml:space="preserve">. Outstanding Dissertations in Linguistics. New York: Garland, 1999.</w:t>
      </w:r>
    </w:p>
    <w:p>
      <w:pPr>
        <w:pStyle w:val="BodyText"/>
      </w:pPr>
      <w:r>
        <w:t xml:space="preserve">Kennedy, Christopher.</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w:t>
      </w:r>
    </w:p>
    <w:p>
      <w:pPr>
        <w:pStyle w:val="BodyText"/>
      </w:pPr>
      <w:r>
        <w:t xml:space="preserve">Khan, M. T. et al.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p>
      <w:pPr>
        <w:pStyle w:val="BodyText"/>
      </w:pPr>
      <w:r>
        <w:t xml:space="preserve">Kövecses, Zoltán.</w:t>
      </w:r>
      <w:r>
        <w:t xml:space="preserve"> </w:t>
      </w:r>
      <w:r>
        <w:rPr>
          <w:i/>
          <w:iCs/>
        </w:rPr>
        <w:t xml:space="preserve">Metaphor and Emotion: Language, Culture, and Body in Human Feeling</w:t>
      </w:r>
      <w:r>
        <w:t xml:space="preserve">. Cambridge: Cambridge University Press, 2000.</w:t>
      </w:r>
    </w:p>
    <w:p>
      <w:pPr>
        <w:pStyle w:val="BodyText"/>
      </w:pPr>
      <w:r>
        <w:t xml:space="preserve">Kövecses, Zoltán.</w:t>
      </w:r>
      <w:r>
        <w:t xml:space="preserve"> </w:t>
      </w:r>
      <w:r>
        <w:rPr>
          <w:i/>
          <w:iCs/>
        </w:rPr>
        <w:t xml:space="preserve">Metaphor: A Practical Introduction</w:t>
      </w:r>
      <w:r>
        <w:t xml:space="preserve">. 2nd edn. Oxford: Oxford University Press, 2010.</w:t>
      </w:r>
    </w:p>
    <w:p>
      <w:pPr>
        <w:pStyle w:val="BodyText"/>
      </w:pPr>
      <w:r>
        <w:t xml:space="preserve">Kövecses, Zoltán.</w:t>
      </w:r>
      <w:r>
        <w:t xml:space="preserve"> </w:t>
      </w:r>
      <w:r>
        <w:rPr>
          <w:i/>
          <w:iCs/>
        </w:rPr>
        <w:t xml:space="preserve">Metaphors of Anger, Pride, and Love: A Lexical Approach to the Structure of Concepts</w:t>
      </w:r>
      <w:r>
        <w:t xml:space="preserve">. Pragmatics &amp; Beyond VII:8. Amsterdam: John Benjamins, 1986.</w:t>
      </w:r>
    </w:p>
    <w:p>
      <w:pPr>
        <w:pStyle w:val="BodyText"/>
      </w:pPr>
      <w:r>
        <w:t xml:space="preserve">Kövecses, Zoltán, Réka Benczes and Veronika Szelid (eds).</w:t>
      </w:r>
      <w:r>
        <w:t xml:space="preserve"> </w:t>
      </w:r>
      <w:r>
        <w:rPr>
          <w:i/>
          <w:iCs/>
        </w:rPr>
        <w:t xml:space="preserve">Metaphors of ANGER across Languages: Universality and Variation</w:t>
      </w:r>
      <w:r>
        <w:t xml:space="preserve">. 2 vols. Comparative Handbooks of Linguistics 8. Berlin and Boston: De Gruyter Mouton, 2025. DOI: 10.1515/9783110730999.</w:t>
      </w:r>
    </w:p>
    <w:p>
      <w:pPr>
        <w:pStyle w:val="BodyText"/>
      </w:pPr>
      <w:r>
        <w:t xml:space="preserve">Kruger, Paul A.</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w:t>
      </w:r>
    </w:p>
    <w:p>
      <w:pPr>
        <w:pStyle w:val="BodyText"/>
      </w:pPr>
      <w:r>
        <w:t xml:space="preserve">Kruger, Paul A.</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p>
      <w:pPr>
        <w:pStyle w:val="BodyText"/>
      </w:pPr>
      <w:r>
        <w:t xml:space="preserve">Lakoff, George and Mark Johnson.</w:t>
      </w:r>
      <w:r>
        <w:t xml:space="preserve"> </w:t>
      </w:r>
      <w:r>
        <w:rPr>
          <w:i/>
          <w:iCs/>
        </w:rPr>
        <w:t xml:space="preserve">Metaphors We Live By</w:t>
      </w:r>
      <w:r>
        <w:t xml:space="preserve">. Chicago: University of Chicago Press, 1980.</w:t>
      </w:r>
    </w:p>
    <w:p>
      <w:pPr>
        <w:pStyle w:val="BodyText"/>
      </w:pPr>
      <w:r>
        <w:t xml:space="preserve">Lakoff, George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pp. 195-221. Cambridge: Cambridge University Press, 1987.</w:t>
      </w:r>
    </w:p>
    <w:p>
      <w:pPr>
        <w:pStyle w:val="BodyText"/>
      </w:pPr>
      <w:r>
        <w:t xml:space="preserve">Lauri, Juha, Saana Svärd, Tero Alstola, Heidi Jauhiainen, Aleksi Sahala, Krister Lindén, Mikko Sams and Lauri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p>
      <w:pPr>
        <w:pStyle w:val="BodyText"/>
      </w:pPr>
      <w:r>
        <w:t xml:space="preserve">Lazarus, Richard S.</w:t>
      </w:r>
      <w:r>
        <w:t xml:space="preserve"> </w:t>
      </w:r>
      <w:r>
        <w:rPr>
          <w:i/>
          <w:iCs/>
        </w:rPr>
        <w:t xml:space="preserve">Emotion and Adaptation</w:t>
      </w:r>
      <w:r>
        <w:t xml:space="preserve">. New York: Oxford University Press, 1991.</w:t>
      </w:r>
    </w:p>
    <w:p>
      <w:pPr>
        <w:pStyle w:val="BodyText"/>
      </w:pPr>
      <w:r>
        <w:t xml:space="preserve">Maalej, Zouheir.</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(2004), pp. 51-75.</w:t>
      </w:r>
    </w:p>
    <w:p>
      <w:pPr>
        <w:pStyle w:val="BodyText"/>
      </w:pPr>
      <w:r>
        <w:t xml:space="preserve">Maalej, Zouheir A. and Ning Yu (eds).</w:t>
      </w:r>
      <w:r>
        <w:t xml:space="preserve"> </w:t>
      </w:r>
      <w:r>
        <w:rPr>
          <w:i/>
          <w:iCs/>
        </w:rPr>
        <w:t xml:space="preserve">Embodiment via Body Parts: Studies from Various Languages and Cultures</w:t>
      </w:r>
      <w:r>
        <w:t xml:space="preserve">. Human Cognitive Processing 31. Amsterdam and Philadelphia: John Benjamins, 2011. DOI: 10.1075/hcp.31.</w:t>
      </w:r>
    </w:p>
    <w:p>
      <w:pPr>
        <w:pStyle w:val="BodyText"/>
      </w:pPr>
      <w:r>
        <w:t xml:space="preserve">Mottaghi, M. S. et al.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 http://jsdp.rcisp.ac.ir/article-1-1220-en.html.</w:t>
      </w:r>
    </w:p>
    <w:p>
      <w:pPr>
        <w:pStyle w:val="BodyText"/>
      </w:pPr>
      <w:r>
        <w:t xml:space="preserve">Muellner, Leonard C.</w:t>
      </w:r>
      <w:r>
        <w:t xml:space="preserve"> </w:t>
      </w:r>
      <w:r>
        <w:rPr>
          <w:i/>
          <w:iCs/>
        </w:rPr>
        <w:t xml:space="preserve">The Anger of Achilles: Mēnis in Greek Epic</w:t>
      </w:r>
      <w:r>
        <w:t xml:space="preserve">. Ithaca, NY: Cornell University Press, 1996.</w:t>
      </w:r>
    </w:p>
    <w:p>
      <w:pPr>
        <w:pStyle w:val="BodyText"/>
      </w:pPr>
      <w:r>
        <w:t xml:space="preserve">Nandan, M.,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 2025. https://aclanthology.org/2025.clrel-1.1/.</w:t>
      </w:r>
    </w:p>
    <w:p>
      <w:pPr>
        <w:pStyle w:val="BodyText"/>
      </w:pPr>
      <w:r>
        <w:t xml:space="preserve">Plutchik, Robert.</w:t>
      </w:r>
      <w:r>
        <w:t xml:space="preserve"> </w:t>
      </w:r>
      <w:r>
        <w:rPr>
          <w:i/>
          <w:iCs/>
        </w:rPr>
        <w:t xml:space="preserve">Emotion: A Psychoevolutionary Synthesis</w:t>
      </w:r>
      <w:r>
        <w:t xml:space="preserve">. New York: Harper &amp; Row, 1980.</w:t>
      </w:r>
    </w:p>
    <w:p>
      <w:pPr>
        <w:pStyle w:val="BodyText"/>
      </w:pPr>
      <w:r>
        <w:t xml:space="preserve">Plutchik, Robert.</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p>
      <w:pPr>
        <w:pStyle w:val="BodyText"/>
      </w:pPr>
      <w:r>
        <w:t xml:space="preserve">Rabab’ah, Khalid and Emad Al-Saidat.</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(2022), pp. 409-433. DOI: 10.1163/23526416-bja10044.</w:t>
      </w:r>
    </w:p>
    <w:p>
      <w:pPr>
        <w:pStyle w:val="BodyText"/>
      </w:pPr>
      <w:r>
        <w:t xml:space="preserve">Roseman, Ira J.</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 DOI: 10.1080/026999396380240.</w:t>
      </w:r>
    </w:p>
    <w:p>
      <w:pPr>
        <w:pStyle w:val="BodyText"/>
      </w:pPr>
      <w:r>
        <w:t xml:space="preserve">Sassoon, Galit Weidman.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p>
      <w:pPr>
        <w:pStyle w:val="BodyText"/>
      </w:pPr>
      <w:r>
        <w:t xml:space="preserve">Sawalha, Majdi, Faisal Al-Shargi, Sane Yagi, Ahmad T. AlShdaifat, Bassam Hammo, Mohammed Belajeed and Lina R. Al-Ogaili.</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p>
      <w:pPr>
        <w:pStyle w:val="BodyText"/>
      </w:pPr>
      <w:r>
        <w:t xml:space="preserve">Scherer, Klaus 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pp. 92-120. New York: Oxford University Press, 2001.</w:t>
      </w:r>
    </w:p>
    <w:p>
      <w:pPr>
        <w:pStyle w:val="BodyText"/>
      </w:pPr>
      <w:r>
        <w:t xml:space="preserve">Scherer, Klaus R.</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p>
      <w:pPr>
        <w:pStyle w:val="BodyText"/>
      </w:pPr>
      <w:r>
        <w:t xml:space="preserve">Sharaf, Abdul-Baquee M.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pp. 130-137. Istanbul: ELRA, 2012. https://aclanthology.org/L12-1011/.</w:t>
      </w:r>
    </w:p>
    <w:p>
      <w:pPr>
        <w:pStyle w:val="BodyText"/>
      </w:pPr>
      <w:r>
        <w:t xml:space="preserve">Sharaf, Abdul-Baquee M. and Eric Atwell.</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pp. 2295-2302. Istanbul: ELRA, 2012. https://aclanthology.org/L12-1051/.</w:t>
      </w:r>
    </w:p>
    <w:p>
      <w:pPr>
        <w:pStyle w:val="BodyText"/>
      </w:pPr>
      <w:r>
        <w:t xml:space="preserve">Sharifian, Farzad.</w:t>
      </w:r>
      <w:r>
        <w:t xml:space="preserve"> </w:t>
      </w:r>
      <w:r>
        <w:rPr>
          <w:i/>
          <w:iCs/>
        </w:rPr>
        <w:t xml:space="preserve">Cultural Conceptualisations and Language: Theoretical Framework and Applications</w:t>
      </w:r>
      <w:r>
        <w:t xml:space="preserve">. Cognitive Linguistic Studies in Cultural Contexts 1. Amsterdam: John Benjamins, 2011.</w:t>
      </w:r>
    </w:p>
    <w:p>
      <w:pPr>
        <w:pStyle w:val="BodyText"/>
      </w:pPr>
      <w:r>
        <w:t xml:space="preserve">Sinai, Nicolai.</w:t>
      </w:r>
      <w:r>
        <w:t xml:space="preserve"> </w:t>
      </w:r>
      <w:r>
        <w:rPr>
          <w:i/>
          <w:iCs/>
        </w:rPr>
        <w:t xml:space="preserve">Key Terms of the Qurʾan: A Critical Dictionary</w:t>
      </w:r>
      <w:r>
        <w:t xml:space="preserve">. Princeton: Princeton University Press, 2023.</w:t>
      </w:r>
    </w:p>
    <w:p>
      <w:pPr>
        <w:pStyle w:val="BodyText"/>
      </w:pPr>
      <w:r>
        <w:t xml:space="preserve">Sinai, Nicolai.</w:t>
      </w:r>
      <w:r>
        <w:t xml:space="preserve"> </w:t>
      </w:r>
      <w:r>
        <w:rPr>
          <w:i/>
          <w:iCs/>
        </w:rPr>
        <w:t xml:space="preserve">The Qurʾan: A Historical-Critical Introduction</w:t>
      </w:r>
      <w:r>
        <w:t xml:space="preserve">. The New Edinburgh Islamic Surveys. Edinburgh: Edinburgh University Press, 2017.</w:t>
      </w:r>
    </w:p>
    <w:p>
      <w:pPr>
        <w:pStyle w:val="BodyText"/>
      </w:pPr>
      <w:r>
        <w:t xml:space="preserve">Soriano, Cristina.</w:t>
      </w:r>
      <w:r>
        <w:t xml:space="preserve"> </w:t>
      </w:r>
      <w:r>
        <w:t xml:space="preserve">‘Anger Metaphors across Languages: A Cognitive Linguistic Perspective’</w:t>
      </w:r>
      <w:r>
        <w:t xml:space="preserve">. In Roberto R. Heredia and Anna B. Cieślicka (eds),</w:t>
      </w:r>
      <w:r>
        <w:t xml:space="preserve"> </w:t>
      </w:r>
      <w:r>
        <w:rPr>
          <w:i/>
          <w:iCs/>
        </w:rPr>
        <w:t xml:space="preserve">Bilingual Figurative Language Processing</w:t>
      </w:r>
      <w:r>
        <w:t xml:space="preserve">, pp. 410-440. Cambridge: Cambridge University Press, 2013.</w:t>
      </w:r>
    </w:p>
    <w:p>
      <w:pPr>
        <w:pStyle w:val="BodyText"/>
      </w:pPr>
      <w:r>
        <w:t xml:space="preserve">Soriano, Cristina.</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(2003), pp. 107-122.</w:t>
      </w:r>
    </w:p>
    <w:p>
      <w:pPr>
        <w:pStyle w:val="BodyText"/>
      </w:pPr>
      <w:r>
        <w:t xml:space="preserve">Soriano Salinas, Cristina María.</w:t>
      </w:r>
      <w:r>
        <w:t xml:space="preserve"> </w:t>
      </w:r>
      <w:r>
        <w:t xml:space="preserve">‘The Conceptualization of Anger in English and Spanish: A Cognitive Approach’</w:t>
      </w:r>
      <w:r>
        <w:t xml:space="preserve">. Doctoral dissertation, Universidad de Murcia, 2005. https://digitum.um.es/digitum/handle/10201/33082.</w:t>
      </w:r>
    </w:p>
    <w:p>
      <w:pPr>
        <w:pStyle w:val="BodyText"/>
      </w:pPr>
      <w:r>
        <w:t xml:space="preserve">Spielberger, Charles D.</w:t>
      </w:r>
      <w:r>
        <w:t xml:space="preserve"> </w:t>
      </w:r>
      <w:r>
        <w:rPr>
          <w:i/>
          <w:iCs/>
        </w:rPr>
        <w:t xml:space="preserve">Professional Manual for the State-Trait Anger Expression Inventory–2 (STAXI-2)</w:t>
      </w:r>
      <w:r>
        <w:t xml:space="preserve">. Odessa, FL: Psychological Assessment Resources, 1999.</w:t>
      </w:r>
    </w:p>
    <w:p>
      <w:pPr>
        <w:pStyle w:val="BodyText"/>
      </w:pPr>
      <w:r>
        <w:t xml:space="preserve">Tanzil Project.</w:t>
      </w:r>
      <w:r>
        <w:t xml:space="preserve"> </w:t>
      </w:r>
      <w:r>
        <w:rPr>
          <w:i/>
          <w:iCs/>
        </w:rPr>
        <w:t xml:space="preserve">The Tanzil Quran Text</w:t>
      </w:r>
      <w:r>
        <w:t xml:space="preserve"> </w:t>
      </w:r>
      <w:r>
        <w:t xml:space="preserve">(Uthmani edition). 2008. https://tanzil.net (CC-BY-ND 3.0).</w:t>
      </w:r>
    </w:p>
    <w:p>
      <w:pPr>
        <w:pStyle w:val="BodyText"/>
      </w:pPr>
      <w:r>
        <w:t xml:space="preserve">Wierzbicka, Anna.</w:t>
      </w:r>
      <w:r>
        <w:t xml:space="preserve"> </w:t>
      </w:r>
      <w:r>
        <w:rPr>
          <w:i/>
          <w:iCs/>
        </w:rPr>
        <w:t xml:space="preserve">Emotions Across Languages and Cultures: Diversity and Universals</w:t>
      </w:r>
      <w:r>
        <w:t xml:space="preserve">. Cambridge: Cambridge University Press, 1999.</w:t>
      </w:r>
    </w:p>
    <w:p>
      <w:pPr>
        <w:pStyle w:val="BodyText"/>
      </w:pPr>
      <w:r>
        <w:t xml:space="preserve">Yu, Ning.</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bookmarkEnd w:id="173"/>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Kais Dukes,</w:t>
      </w:r>
      <w:r>
        <w:t xml:space="preserve"> </w:t>
      </w:r>
      <w:r>
        <w:rPr>
          <w:i/>
          <w:iCs/>
        </w:rPr>
        <w:t xml:space="preserve">Quranic Arabic Corpus (Morphology, Version 0.4)</w:t>
      </w:r>
      <w:r>
        <w:t xml:space="preserve"> </w:t>
      </w:r>
      <w:r>
        <w:t xml:space="preserve">(Leeds: University of Leeds, 2011), available at https://corpus.quran.com (GPL-licensed).</w:t>
      </w:r>
    </w:p>
  </w:footnote>
  <w:footnote w:id="24">
    <w:p>
      <w:pPr>
        <w:pStyle w:val="FootnoteText"/>
      </w:pPr>
      <w:r>
        <w:rPr>
          <w:rStyle w:val="FootnoteReference"/>
        </w:rPr>
        <w:footnoteRef/>
      </w:r>
      <w:r>
        <w:t xml:space="preserve"> </w:t>
      </w:r>
      <w:r>
        <w:t xml:space="preserve">Izutsu,</w:t>
      </w:r>
      <w:r>
        <w:t xml:space="preserve"> </w:t>
      </w:r>
      <w:r>
        <w:rPr>
          <w:i/>
          <w:iCs/>
        </w:rPr>
        <w:t xml:space="preserve">Structure of the Ethical Terms</w:t>
      </w:r>
      <w:r>
        <w:t xml:space="preserve">; idem,</w:t>
      </w:r>
      <w:r>
        <w:t xml:space="preserve"> </w:t>
      </w:r>
      <w:r>
        <w:rPr>
          <w:i/>
          <w:iCs/>
        </w:rPr>
        <w:t xml:space="preserve">God and Man</w:t>
      </w:r>
      <w:r>
        <w:t xml:space="preserve">; idem,</w:t>
      </w:r>
      <w:r>
        <w:t xml:space="preserve"> </w:t>
      </w:r>
      <w:r>
        <w:rPr>
          <w:i/>
          <w:iCs/>
        </w:rPr>
        <w:t xml:space="preserve">Ethico-Religious Concepts</w:t>
      </w:r>
      <w:r>
        <w:t xml:space="preserve">.</w:t>
      </w:r>
    </w:p>
  </w:footnote>
  <w:footnote w:id="2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26">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7">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28">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9">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1">
    <w:p>
      <w:pPr>
        <w:pStyle w:val="FootnoteText"/>
      </w:pPr>
      <w:r>
        <w:rPr>
          <w:rStyle w:val="FootnoteReference"/>
        </w:rPr>
        <w:footnoteRef/>
      </w:r>
      <w:r>
        <w:t xml:space="preserve"> </w:t>
      </w:r>
      <w:r>
        <w:t xml:space="preserve">Zahra Narimani,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w:t>
      </w:r>
      <w:r>
        <w:t xml:space="preserve"> </w:t>
      </w:r>
      <w:r>
        <w:rPr>
          <w:i/>
          <w:iCs/>
        </w:rPr>
        <w:t xml:space="preserve">Pizhūhish-hā-yi Qurʾān va Ḥadīth</w:t>
      </w:r>
      <w:r>
        <w:t xml:space="preserve"> </w:t>
      </w:r>
      <w:r>
        <w:t xml:space="preserve">54:1 (1400 SH/2021), pp. 219-239, in Persian, DOI: 10.22059/jqst.2021.322181.669740.</w:t>
      </w:r>
    </w:p>
  </w:footnote>
  <w:footnote w:id="32">
    <w:p>
      <w:pPr>
        <w:pStyle w:val="FootnoteText"/>
      </w:pPr>
      <w:r>
        <w:rPr>
          <w:rStyle w:val="FootnoteReference"/>
        </w:rPr>
        <w:footnoteRef/>
      </w:r>
      <w:r>
        <w:t xml:space="preserve"> </w:t>
      </w:r>
      <w:r>
        <w:t xml:space="preserve">M. Qarizadeh, A. Salmani Marvast, A. Meymandi and A. Farsi,</w:t>
      </w:r>
      <w:r>
        <w:t xml:space="preserve"> </w:t>
      </w:r>
      <w:r>
        <w:t xml:space="preserve">‘Polysemy of the Word</w:t>
      </w:r>
      <w:r>
        <w:t xml:space="preserve"> </w:t>
      </w:r>
      <w:r>
        <w:rPr>
          <w:i/>
          <w:iCs/>
        </w:rPr>
        <w:t xml:space="preserve">ṭughyān</w:t>
      </w:r>
      <w:r>
        <w:t xml:space="preserve"> </w:t>
      </w:r>
      <w:r>
        <w:t xml:space="preserve">in the Qurʾān: A Linguistic Approach’</w:t>
      </w:r>
      <w:r>
        <w:t xml:space="preserve">,</w:t>
      </w:r>
      <w:r>
        <w:t xml:space="preserve"> </w:t>
      </w:r>
      <w:r>
        <w:rPr>
          <w:i/>
          <w:iCs/>
        </w:rPr>
        <w:t xml:space="preserve">Pizhūhish-hā-yi Zabānshinākhtī-yi Qurʾān</w:t>
      </w:r>
      <w:r>
        <w:t xml:space="preserve"> </w:t>
      </w:r>
      <w:r>
        <w:t xml:space="preserve">(University of Isfahan) (1402 SH/2024), in Persian.</w:t>
      </w:r>
    </w:p>
  </w:footnote>
  <w:footnote w:id="3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3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5">
    <w:p>
      <w:pPr>
        <w:pStyle w:val="FootnoteText"/>
      </w:pPr>
      <w:r>
        <w:rPr>
          <w:rStyle w:val="FootnoteReference"/>
        </w:rPr>
        <w:footnoteRef/>
      </w:r>
      <w:r>
        <w:t xml:space="preserve"> </w:t>
      </w:r>
      <w:r>
        <w:t xml:space="preserve">Ismail Albayrak,</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w:t>
      </w:r>
    </w:p>
  </w:footnote>
  <w:footnote w:id="36">
    <w:p>
      <w:pPr>
        <w:pStyle w:val="FootnoteText"/>
      </w:pPr>
      <w:r>
        <w:rPr>
          <w:rStyle w:val="FootnoteReference"/>
        </w:rPr>
        <w:footnoteRef/>
      </w:r>
      <w:r>
        <w:t xml:space="preserve"> </w:t>
      </w:r>
      <w:r>
        <w:t xml:space="preserve">Kennedy,</w:t>
      </w:r>
      <w:r>
        <w:t xml:space="preserve"> </w:t>
      </w:r>
      <w:r>
        <w:rPr>
          <w:i/>
          <w:iCs/>
        </w:rPr>
        <w:t xml:space="preserve">Projecting the Adjective</w:t>
      </w:r>
      <w:r>
        <w:t xml:space="preserve">, ch. 2; idem,</w:t>
      </w:r>
      <w:r>
        <w:t xml:space="preserve"> </w:t>
      </w:r>
      <w:r>
        <w:t xml:space="preserve">‘Vagueness and Grammar’</w:t>
      </w:r>
      <w:r>
        <w:t xml:space="preserve">, pp. 8-15; Sassoon,</w:t>
      </w:r>
      <w:r>
        <w:t xml:space="preserve"> </w:t>
      </w:r>
      <w:r>
        <w:t xml:space="preserve">‘Degree Functions of Negative Adjectives’</w:t>
      </w:r>
      <w:r>
        <w:t xml:space="preserve">.</w:t>
      </w:r>
    </w:p>
  </w:footnote>
  <w:footnote w:id="37">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3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pp. 111-138 on Meccan/Medinan periodisation.</w:t>
      </w:r>
    </w:p>
  </w:footnote>
  <w:footnote w:id="39">
    <w:p>
      <w:pPr>
        <w:pStyle w:val="FootnoteText"/>
      </w:pPr>
      <w:r>
        <w:rPr>
          <w:rStyle w:val="FootnoteReference"/>
        </w:rPr>
        <w:footnoteRef/>
      </w:r>
      <w:r>
        <w:t xml:space="preserve"> </w:t>
      </w:r>
      <w:r>
        <w:t xml:space="preserve">Sinai,</w:t>
      </w:r>
      <w:r>
        <w:t xml:space="preserve"> </w:t>
      </w:r>
      <w:r>
        <w:rPr>
          <w:i/>
          <w:iCs/>
        </w:rPr>
        <w:t xml:space="preserve">Key Terms</w:t>
      </w:r>
      <w:r>
        <w:t xml:space="preserve">, esp. the entries on</w:t>
      </w:r>
      <w:r>
        <w:t xml:space="preserve"> </w:t>
      </w:r>
      <w:r>
        <w:rPr>
          <w:i/>
          <w:iCs/>
        </w:rPr>
        <w:t xml:space="preserve">baghy</w:t>
      </w:r>
      <w:r>
        <w:t xml:space="preserve"> </w:t>
      </w:r>
      <w:r>
        <w:t xml:space="preserve">and</w:t>
      </w:r>
      <w:r>
        <w:t xml:space="preserve"> </w:t>
      </w:r>
      <w:r>
        <w:rPr>
          <w:i/>
          <w:iCs/>
        </w:rPr>
        <w:t xml:space="preserve">ẓulm</w:t>
      </w:r>
      <w:r>
        <w:t xml:space="preserve">.</w:t>
      </w:r>
    </w:p>
  </w:footnote>
  <w:footnote w:id="4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41">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LREC’12 Proceedings</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42">
    <w:p>
      <w:pPr>
        <w:pStyle w:val="FootnoteText"/>
      </w:pPr>
      <w:r>
        <w:rPr>
          <w:rStyle w:val="FootnoteReference"/>
        </w:rPr>
        <w:footnoteRef/>
      </w:r>
      <w:r>
        <w:t xml:space="preserve"> </w:t>
      </w:r>
      <w:r>
        <w:t xml:space="preserve">Akra, Hammouda and Jarrar,</w:t>
      </w:r>
      <w:r>
        <w:t xml:space="preserve"> </w:t>
      </w:r>
      <w:r>
        <w:rPr>
          <w:i/>
          <w:iCs/>
        </w:rPr>
        <w:t xml:space="preserve">QuranMorph</w:t>
      </w:r>
      <w:r>
        <w:t xml:space="preserve">.</w:t>
      </w:r>
    </w:p>
  </w:footnote>
  <w:footnote w:id="43">
    <w:p>
      <w:pPr>
        <w:pStyle w:val="FootnoteText"/>
      </w:pPr>
      <w:r>
        <w:rPr>
          <w:rStyle w:val="FootnoteReference"/>
        </w:rPr>
        <w:footnoteRef/>
      </w:r>
      <w:r>
        <w:t xml:space="preserve"> </w:t>
      </w:r>
      <w:r>
        <w:t xml:space="preserve">Sawalha et al.,</w:t>
      </w:r>
      <w:r>
        <w:t xml:space="preserve"> </w:t>
      </w:r>
      <w:r>
        <w:t xml:space="preserve">‘MASAQ’</w:t>
      </w:r>
      <w:r>
        <w:t xml:space="preserve">.</w:t>
      </w:r>
    </w:p>
  </w:footnote>
  <w:footnote w:id="44">
    <w:p>
      <w:pPr>
        <w:pStyle w:val="FootnoteText"/>
      </w:pPr>
      <w:r>
        <w:rPr>
          <w:rStyle w:val="FootnoteReference"/>
        </w:rPr>
        <w:footnoteRef/>
      </w:r>
      <w:r>
        <w:t xml:space="preserve"> </w:t>
      </w:r>
      <w:r>
        <w:t xml:space="preserve">Karim Gaanoun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w:t>
      </w:r>
    </w:p>
  </w:footnote>
  <w:footnote w:id="45">
    <w:p>
      <w:pPr>
        <w:pStyle w:val="FootnoteText"/>
      </w:pPr>
      <w:r>
        <w:rPr>
          <w:rStyle w:val="FootnoteReference"/>
        </w:rPr>
        <w:footnoteRef/>
      </w:r>
      <w:r>
        <w:t xml:space="preserve"> </w:t>
      </w: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footnote>
  <w:footnote w:id="46">
    <w:p>
      <w:pPr>
        <w:pStyle w:val="FootnoteText"/>
      </w:pPr>
      <w:r>
        <w:rPr>
          <w:rStyle w:val="FootnoteReference"/>
        </w:rPr>
        <w:footnoteRef/>
      </w:r>
      <w:r>
        <w:t xml:space="preserve"> </w:t>
      </w:r>
      <w:r>
        <w:t xml:space="preserve">M. T. Khan et al.,</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footnote>
  <w:footnote w:id="47">
    <w:p>
      <w:pPr>
        <w:pStyle w:val="FootnoteText"/>
      </w:pPr>
      <w:r>
        <w:rPr>
          <w:rStyle w:val="FootnoteReference"/>
        </w:rPr>
        <w:footnoteRef/>
      </w:r>
      <w:r>
        <w:t xml:space="preserve"> </w:t>
      </w:r>
      <w:r>
        <w:t xml:space="preserve">[Authors],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footnote>
  <w:footnote w:id="48">
    <w:p>
      <w:pPr>
        <w:pStyle w:val="FootnoteText"/>
      </w:pPr>
      <w:r>
        <w:rPr>
          <w:rStyle w:val="FootnoteReference"/>
        </w:rPr>
        <w:footnoteRef/>
      </w:r>
      <w:r>
        <w:t xml:space="preserve"> </w:t>
      </w:r>
      <w:r>
        <w:t xml:space="preserve">E.g.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footnote>
  <w:footnote w:id="52">
    <w:p>
      <w:pPr>
        <w:pStyle w:val="FootnoteText"/>
      </w:pPr>
      <w:r>
        <w:rPr>
          <w:rStyle w:val="FootnoteReference"/>
        </w:rPr>
        <w:footnoteRef/>
      </w:r>
      <w:r>
        <w:t xml:space="preserve"> </w:t>
      </w:r>
      <w:r>
        <w:t xml:space="preserve">Toshihiko Izutsu,</w:t>
      </w:r>
      <w:r>
        <w:t xml:space="preserve"> </w:t>
      </w:r>
      <w:r>
        <w:rPr>
          <w:i/>
          <w:iCs/>
        </w:rPr>
        <w:t xml:space="preserve">The Structure of the Ethical Terms in the Koran: A Study in Semantics</w:t>
      </w:r>
      <w:r>
        <w:t xml:space="preserve">, Studies in the Humanities and Social Relations 2 (Tokyo: Keio Institute of Philological Studies, 1959); idem,</w:t>
      </w:r>
      <w:r>
        <w:t xml:space="preserve"> </w:t>
      </w:r>
      <w:r>
        <w:rPr>
          <w:i/>
          <w:iCs/>
        </w:rPr>
        <w:t xml:space="preserve">God and Man in the Koran: Semantics of the Koranic Weltanschauung</w:t>
      </w:r>
      <w:r>
        <w:t xml:space="preserve"> </w:t>
      </w:r>
      <w:r>
        <w:t xml:space="preserve">(Tokyo: Keio Institute of Cultural and Linguistic Studies, 1964); idem,</w:t>
      </w:r>
      <w:r>
        <w:t xml:space="preserve"> </w:t>
      </w:r>
      <w:r>
        <w:rPr>
          <w:i/>
          <w:iCs/>
        </w:rPr>
        <w:t xml:space="preserve">Ethico-Religious Concepts in the Qurʾān</w:t>
      </w:r>
      <w:r>
        <w:t xml:space="preserve">, rev. edn (Montreal: McGill-Queen’s University Press, 2002; orig. 1966).</w:t>
      </w:r>
    </w:p>
  </w:footnote>
  <w:footnote w:id="53">
    <w:p>
      <w:pPr>
        <w:pStyle w:val="FootnoteText"/>
      </w:pPr>
      <w:r>
        <w:rPr>
          <w:rStyle w:val="FootnoteReference"/>
        </w:rPr>
        <w:footnoteRef/>
      </w:r>
      <w:r>
        <w:t xml:space="preserve"> </w:t>
      </w:r>
      <w:r>
        <w:t xml:space="preserve">See 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 and Pakatchi and Afrashi,</w:t>
      </w:r>
      <w:r>
        <w:t xml:space="preserve"> </w:t>
      </w:r>
      <w:r>
        <w:rPr>
          <w:i/>
          <w:iCs/>
        </w:rPr>
        <w:t xml:space="preserve">Rūykardhā-yi Maʿnā-shinākhtī</w:t>
      </w:r>
      <w:r>
        <w:t xml:space="preserve">.</w:t>
      </w:r>
    </w:p>
  </w:footnote>
  <w:footnote w:id="55">
    <w:p>
      <w:pPr>
        <w:pStyle w:val="FootnoteText"/>
      </w:pPr>
      <w:r>
        <w:rPr>
          <w:rStyle w:val="FootnoteReference"/>
        </w:rPr>
        <w:footnoteRef/>
      </w:r>
      <w:r>
        <w:t xml:space="preserve"> </w:t>
      </w:r>
      <w:r>
        <w:t xml:space="preserve">Christopher Kennedy,</w:t>
      </w:r>
      <w:r>
        <w:t xml:space="preserve"> </w:t>
      </w:r>
      <w:r>
        <w:rPr>
          <w:i/>
          <w:iCs/>
        </w:rPr>
        <w:t xml:space="preserve">Projecting the Adjective: The Syntax and Semantics of Gradability and Comparison</w:t>
      </w:r>
      <w:r>
        <w:t xml:space="preserve">, Outstanding Dissertations in Linguistics (New York: Garland, 1999); idem,</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 Galit Weidman Sassoon,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footnote>
  <w:footnote w:id="57">
    <w:p>
      <w:pPr>
        <w:pStyle w:val="FootnoteText"/>
      </w:pPr>
      <w:r>
        <w:rPr>
          <w:rStyle w:val="FootnoteReference"/>
        </w:rPr>
        <w:footnoteRef/>
      </w:r>
      <w:r>
        <w:t xml:space="preserve"> </w:t>
      </w:r>
      <w:r>
        <w:t xml:space="preserve">George Lakoff and Mark Johnson,</w:t>
      </w:r>
      <w:r>
        <w:t xml:space="preserve"> </w:t>
      </w:r>
      <w:r>
        <w:rPr>
          <w:i/>
          <w:iCs/>
        </w:rPr>
        <w:t xml:space="preserve">Metaphors We Live By</w:t>
      </w:r>
      <w:r>
        <w:t xml:space="preserve"> </w:t>
      </w:r>
      <w:r>
        <w:t xml:space="preserve">(Chicago: University of Chicago Press, 1980); George Lakoff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w:t>
      </w:r>
      <w:r>
        <w:t xml:space="preserve">(Cambridge: Cambridge University Press, 1987), pp. 195-221; Zoltán Kövecses,</w:t>
      </w:r>
      <w:r>
        <w:t xml:space="preserve"> </w:t>
      </w:r>
      <w:r>
        <w:rPr>
          <w:i/>
          <w:iCs/>
        </w:rPr>
        <w:t xml:space="preserve">Metaphor and Emotion: Language, Culture, and Body in Human Feeling</w:t>
      </w:r>
      <w:r>
        <w:t xml:space="preserve"> </w:t>
      </w:r>
      <w:r>
        <w:t xml:space="preserve">(Cambridge: Cambridge University Press, 2000); idem,</w:t>
      </w:r>
      <w:r>
        <w:t xml:space="preserve"> </w:t>
      </w:r>
      <w:r>
        <w:rPr>
          <w:i/>
          <w:iCs/>
        </w:rPr>
        <w:t xml:space="preserve">Metaphor: A Practical Introduction</w:t>
      </w:r>
      <w:r>
        <w:t xml:space="preserve">, 2nd edn (Oxford: Oxford University Press, 2010); Kövecses, Benczes and Szelid (eds),</w:t>
      </w:r>
      <w:r>
        <w:t xml:space="preserve"> </w:t>
      </w:r>
      <w:r>
        <w:rPr>
          <w:i/>
          <w:iCs/>
        </w:rPr>
        <w:t xml:space="preserve">Metaphors of ANGER</w:t>
      </w:r>
      <w:r>
        <w:t xml:space="preserve">.</w:t>
      </w:r>
    </w:p>
  </w:footnote>
  <w:footnote w:id="58">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6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 w:id="66">
    <w:p>
      <w:pPr>
        <w:pStyle w:val="FootnoteText"/>
      </w:pPr>
      <w:r>
        <w:rPr>
          <w:rStyle w:val="FootnoteReference"/>
        </w:rPr>
        <w:footnoteRef/>
      </w:r>
      <w:r>
        <w:t xml:space="preserve"> </w:t>
      </w:r>
      <w:r>
        <w:t xml:space="preserve">Tanzil Project,</w:t>
      </w:r>
      <w:r>
        <w:t xml:space="preserve"> </w:t>
      </w:r>
      <w:r>
        <w:rPr>
          <w:i/>
          <w:iCs/>
        </w:rPr>
        <w:t xml:space="preserve">The Tanzil Quran Text</w:t>
      </w:r>
      <w:r>
        <w:t xml:space="preserve"> </w:t>
      </w:r>
      <w:r>
        <w:t xml:space="preserve">(Uthmani edition) (2008), https://tanzil.net (CC-BY-ND 3.0).</w:t>
      </w:r>
    </w:p>
  </w:footnote>
  <w:footnote w:id="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 release date May 2011.</w:t>
      </w:r>
    </w:p>
  </w:footnote>
  <w:footnote w:id="71">
    <w:p>
      <w:pPr>
        <w:pStyle w:val="FootnoteText"/>
      </w:pPr>
      <w:r>
        <w:rPr>
          <w:rStyle w:val="FootnoteReference"/>
        </w:rPr>
        <w:footnoteRef/>
      </w:r>
      <w:r>
        <w:t xml:space="preserve"> </w:t>
      </w:r>
      <w:r>
        <w:t xml:space="preserve">Cf. M. S. Mottaghi et al.,</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w:t>
      </w:r>
    </w:p>
  </w:footnote>
  <w:footnote w:id="72">
    <w:p>
      <w:pPr>
        <w:pStyle w:val="FootnoteText"/>
      </w:pPr>
      <w:r>
        <w:rPr>
          <w:rStyle w:val="FootnoteReference"/>
        </w:rPr>
        <w:footnoteRef/>
      </w:r>
      <w:r>
        <w:t xml:space="preserve"> </w:t>
      </w:r>
      <w:r>
        <w:t xml:space="preserve">E.g. M. Nandan,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w:t>
      </w:r>
      <w:r>
        <w:t xml:space="preserve">(Stroudsburg, PA: Association for Computational Linguistics, 2025).</w:t>
      </w:r>
    </w:p>
  </w:footnote>
  <w:footnote w:id="75">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w:t>
      </w:r>
    </w:p>
  </w:footnote>
  <w:footnote w:id="76">
    <w:p>
      <w:pPr>
        <w:pStyle w:val="FootnoteText"/>
      </w:pPr>
      <w:r>
        <w:rPr>
          <w:rStyle w:val="FootnoteReference"/>
        </w:rPr>
        <w:footnoteRef/>
      </w:r>
      <w:r>
        <w:t xml:space="preserve"> </w:t>
      </w:r>
      <w:r>
        <w:t xml:space="preserve">R. A. Fisher,</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w:t>
      </w:r>
    </w:p>
  </w:footnote>
  <w:footnote w:id="77">
    <w:p>
      <w:pPr>
        <w:pStyle w:val="FootnoteText"/>
      </w:pPr>
      <w:r>
        <w:rPr>
          <w:rStyle w:val="FootnoteReference"/>
        </w:rPr>
        <w:footnoteRef/>
      </w:r>
      <w:r>
        <w:t xml:space="preserve"> </w:t>
      </w:r>
      <w:r>
        <w:t xml:space="preserve">W. M. Patefield,</w:t>
      </w:r>
      <w:r>
        <w:t xml:space="preserve"> </w:t>
      </w:r>
      <w:r>
        <w:t xml:space="preserve">‘An Efficient Method of Generating Random R × C Tables with Given Row and Column Totals’</w:t>
      </w:r>
      <w:r>
        <w:t xml:space="preserve">,</w:t>
      </w:r>
      <w:r>
        <w:t xml:space="preserve"> </w:t>
      </w:r>
      <w:r>
        <w:rPr>
          <w:i/>
          <w:iCs/>
        </w:rPr>
        <w:t xml:space="preserve">Applied Statistics</w:t>
      </w:r>
      <w:r>
        <w:t xml:space="preserve"> </w:t>
      </w:r>
      <w:r>
        <w:t xml:space="preserve">30:1 (1981), pp. 91-97.</w:t>
      </w:r>
    </w:p>
  </w:footnote>
  <w:footnote w:id="78">
    <w:p>
      <w:pPr>
        <w:pStyle w:val="FootnoteText"/>
      </w:pPr>
      <w:r>
        <w:rPr>
          <w:rStyle w:val="FootnoteReference"/>
        </w:rPr>
        <w:footnoteRef/>
      </w:r>
      <w:r>
        <w:t xml:space="preserve"> </w:t>
      </w:r>
      <w:r>
        <w:t xml:space="preserve">Cyrus R. Mehta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w:t>
      </w:r>
    </w:p>
  </w:footnote>
  <w:footnote w:id="79">
    <w:p>
      <w:pPr>
        <w:pStyle w:val="FootnoteText"/>
      </w:pPr>
      <w:r>
        <w:rPr>
          <w:rStyle w:val="FootnoteReference"/>
        </w:rPr>
        <w:footnoteRef/>
      </w:r>
      <w:r>
        <w:t xml:space="preserve"> </w:t>
      </w:r>
      <w:r>
        <w:t xml:space="preserve">Alan Agresti,</w:t>
      </w:r>
      <w:r>
        <w:t xml:space="preserve"> </w:t>
      </w:r>
      <w:r>
        <w:rPr>
          <w:i/>
          <w:iCs/>
        </w:rPr>
        <w:t xml:space="preserve">Categorical Data Analysis</w:t>
      </w:r>
      <w:r>
        <w:t xml:space="preserve">, 3rd edn (Hoboken, NJ: Wiley, 2013), §3.5.</w:t>
      </w:r>
    </w:p>
  </w:footnote>
  <w:footnote w:id="83">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added on author follow-up; cited from secondary literature.)</w:t>
      </w:r>
    </w:p>
  </w:footnote>
  <w:footnote w:id="96">
    <w:p>
      <w:pPr>
        <w:pStyle w:val="FootnoteText"/>
      </w:pPr>
      <w:r>
        <w:rPr>
          <w:rStyle w:val="FootnoteReference"/>
        </w:rPr>
        <w:footnoteRef/>
      </w:r>
      <w:r>
        <w:t xml:space="preserve"> </w:t>
      </w:r>
      <w:r>
        <w:t xml:space="preserve">Kövecses,</w:t>
      </w:r>
      <w:r>
        <w:t xml:space="preserve"> </w:t>
      </w:r>
      <w:r>
        <w:rPr>
          <w:i/>
          <w:iCs/>
        </w:rPr>
        <w:t xml:space="preserve">Metaphor and Emotion</w:t>
      </w:r>
      <w:r>
        <w:t xml:space="preserve">.</w:t>
      </w:r>
    </w:p>
  </w:footnote>
  <w:footnote w:id="98">
    <w:p>
      <w:pPr>
        <w:pStyle w:val="FootnoteText"/>
      </w:pPr>
      <w:r>
        <w:rPr>
          <w:rStyle w:val="FootnoteReference"/>
        </w:rPr>
        <w:footnoteRef/>
      </w:r>
      <w:r>
        <w:t xml:space="preserve"> </w:t>
      </w:r>
      <w:r>
        <w:t xml:space="preserve">Narimani, Iqbali and Chari,</w:t>
      </w:r>
      <w:r>
        <w:t xml:space="preserve"> </w:t>
      </w:r>
      <w:r>
        <w:t xml:space="preserve">‘Semantic Re-analysis’</w:t>
      </w:r>
      <w:r>
        <w:t xml:space="preserve">.</w:t>
      </w:r>
    </w:p>
  </w:footnote>
  <w:footnote w:id="101">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2">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4">
    <w:p>
      <w:pPr>
        <w:pStyle w:val="FootnoteText"/>
      </w:pPr>
      <w:r>
        <w:rPr>
          <w:rStyle w:val="FootnoteReference"/>
        </w:rPr>
        <w:footnoteRef/>
      </w:r>
      <w:r>
        <w:t xml:space="preserve"> </w:t>
      </w:r>
      <w:r>
        <w:t xml:space="preserve">Richard S. Lazarus,</w:t>
      </w:r>
      <w:r>
        <w:t xml:space="preserve"> </w:t>
      </w:r>
      <w:r>
        <w:rPr>
          <w:i/>
          <w:iCs/>
        </w:rPr>
        <w:t xml:space="preserve">Emotion and Adaptation</w:t>
      </w:r>
      <w:r>
        <w:t xml:space="preserve"> </w:t>
      </w:r>
      <w:r>
        <w:t xml:space="preserve">(New York: Oxford University Press, 1991).</w:t>
      </w:r>
    </w:p>
  </w:footnote>
  <w:footnote w:id="105">
    <w:p>
      <w:pPr>
        <w:pStyle w:val="FootnoteText"/>
      </w:pPr>
      <w:r>
        <w:rPr>
          <w:rStyle w:val="FootnoteReference"/>
        </w:rPr>
        <w:footnoteRef/>
      </w:r>
      <w:r>
        <w:t xml:space="preserve"> </w:t>
      </w:r>
      <w:r>
        <w:t xml:space="preserve">Klaus R. Scherer,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w:t>
      </w:r>
      <w:r>
        <w:t xml:space="preserve">(New York: Oxford University Press, 2001), pp. 92-120; idem,</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footnote>
  <w:footnote w:id="106">
    <w:p>
      <w:pPr>
        <w:pStyle w:val="FootnoteText"/>
      </w:pPr>
      <w:r>
        <w:rPr>
          <w:rStyle w:val="FootnoteReference"/>
        </w:rPr>
        <w:footnoteRef/>
      </w:r>
      <w:r>
        <w:t xml:space="preserve"> </w:t>
      </w:r>
      <w:r>
        <w:t xml:space="preserve">Ira J. Roseman,</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w:t>
      </w:r>
    </w:p>
  </w:footnote>
  <w:footnote w:id="107">
    <w:p>
      <w:pPr>
        <w:pStyle w:val="FootnoteText"/>
      </w:pPr>
      <w:r>
        <w:rPr>
          <w:rStyle w:val="FootnoteReference"/>
        </w:rPr>
        <w:footnoteRef/>
      </w:r>
      <w:r>
        <w:t xml:space="preserve"> </w:t>
      </w:r>
      <w:r>
        <w:t xml:space="preserve">Qarizadeh et al.,</w:t>
      </w:r>
      <w:r>
        <w:t xml:space="preserve"> </w:t>
      </w:r>
      <w:r>
        <w:t xml:space="preserve">‘Polysemy of</w:t>
      </w:r>
      <w:r>
        <w:t xml:space="preserve"> </w:t>
      </w:r>
      <w:r>
        <w:rPr>
          <w:i/>
          <w:iCs/>
        </w:rPr>
        <w:t xml:space="preserve">ṭughyān</w:t>
      </w:r>
      <w:r>
        <w:t xml:space="preserve">’</w:t>
      </w:r>
      <w:r>
        <w:t xml:space="preserve">.</w:t>
      </w:r>
    </w:p>
  </w:footnote>
  <w:footnote w:id="119">
    <w:p>
      <w:pPr>
        <w:pStyle w:val="FootnoteText"/>
      </w:pPr>
      <w:r>
        <w:rPr>
          <w:rStyle w:val="FootnoteReference"/>
        </w:rPr>
        <w:footnoteRef/>
      </w:r>
      <w:r>
        <w:t xml:space="preserve"> </w:t>
      </w:r>
      <w:r>
        <w:t xml:space="preserve">James J. Gross,</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 idem (ed.),</w:t>
      </w:r>
      <w:r>
        <w:t xml:space="preserve"> </w:t>
      </w:r>
      <w:r>
        <w:rPr>
          <w:i/>
          <w:iCs/>
        </w:rPr>
        <w:t xml:space="preserve">Handbook of Emotion Regulation</w:t>
      </w:r>
      <w:r>
        <w:t xml:space="preserve">, 2nd edn (New York: Guilford Press, 2014); idem,</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footnote>
  <w:footnote w:id="120">
    <w:p>
      <w:pPr>
        <w:pStyle w:val="FootnoteText"/>
      </w:pPr>
      <w:r>
        <w:rPr>
          <w:rStyle w:val="FootnoteReference"/>
        </w:rPr>
        <w:footnoteRef/>
      </w:r>
      <w:r>
        <w:t xml:space="preserve"> </w:t>
      </w:r>
      <w:r>
        <w:t xml:space="preserve">Robert Plutchik,</w:t>
      </w:r>
      <w:r>
        <w:t xml:space="preserve"> </w:t>
      </w:r>
      <w:r>
        <w:rPr>
          <w:i/>
          <w:iCs/>
        </w:rPr>
        <w:t xml:space="preserve">Emotion: A Psychoevolutionary Synthesis</w:t>
      </w:r>
      <w:r>
        <w:t xml:space="preserve"> </w:t>
      </w:r>
      <w:r>
        <w:t xml:space="preserve">(New York: Harper &amp; Row, 1980); idem,</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footnote>
  <w:footnote w:id="121">
    <w:p>
      <w:pPr>
        <w:pStyle w:val="FootnoteText"/>
      </w:pPr>
      <w:r>
        <w:rPr>
          <w:rStyle w:val="FootnoteReference"/>
        </w:rPr>
        <w:footnoteRef/>
      </w:r>
      <w:r>
        <w:t xml:space="preserve"> </w:t>
      </w:r>
      <w:r>
        <w:t xml:space="preserve">Charles D. Spielberger,</w:t>
      </w:r>
      <w:r>
        <w:t xml:space="preserve"> </w:t>
      </w:r>
      <w:r>
        <w:rPr>
          <w:i/>
          <w:iCs/>
        </w:rPr>
        <w:t xml:space="preserve">Professional Manual for the State-Trait Anger Expression Inventory–2 (STAXI-2)</w:t>
      </w:r>
      <w:r>
        <w:t xml:space="preserve"> </w:t>
      </w:r>
      <w:r>
        <w:t xml:space="preserve">(Odessa, FL: Psychological Assessment Resources, 1999).</w:t>
      </w:r>
    </w:p>
  </w:footnote>
  <w:footnote w:id="122">
    <w:p>
      <w:pPr>
        <w:pStyle w:val="FootnoteText"/>
      </w:pPr>
      <w:r>
        <w:rPr>
          <w:rStyle w:val="FootnoteReference"/>
        </w:rPr>
        <w:footnoteRef/>
      </w:r>
      <w:r>
        <w:t xml:space="preserve"> </w:t>
      </w:r>
      <w:r>
        <w:t xml:space="preserve">Nico H. Frijda,</w:t>
      </w:r>
      <w:r>
        <w:t xml:space="preserve"> </w:t>
      </w:r>
      <w:r>
        <w:rPr>
          <w:i/>
          <w:iCs/>
        </w:rPr>
        <w:t xml:space="preserve">The Emotions</w:t>
      </w:r>
      <w:r>
        <w:t xml:space="preserve">, Studies in Emotion and Social Interaction (Cambridge: Cambridge University Press, 1986); Lazarus,</w:t>
      </w:r>
      <w:r>
        <w:t xml:space="preserve"> </w:t>
      </w:r>
      <w:r>
        <w:rPr>
          <w:i/>
          <w:iCs/>
        </w:rPr>
        <w:t xml:space="preserve">Emotion and Adaptation</w:t>
      </w:r>
      <w:r>
        <w:t xml:space="preserve">; Roseman,</w:t>
      </w:r>
      <w:r>
        <w:t xml:space="preserve"> </w:t>
      </w:r>
      <w:r>
        <w:t xml:space="preserve">‘Appraisal Determinants’</w:t>
      </w:r>
      <w:r>
        <w:t xml:space="preserve">; Scherer,</w:t>
      </w:r>
      <w:r>
        <w:t xml:space="preserve"> </w:t>
      </w:r>
      <w:r>
        <w:t xml:space="preserve">‘Appraisal Considered as a Process’</w:t>
      </w:r>
      <w:r>
        <w:t xml:space="preserve">; idem,</w:t>
      </w:r>
      <w:r>
        <w:t xml:space="preserve"> </w:t>
      </w:r>
      <w:r>
        <w:t xml:space="preserve">‘What Are Emotions?’</w:t>
      </w:r>
      <w:r>
        <w:t xml:space="preserve">.</w:t>
      </w:r>
    </w:p>
  </w:footnote>
  <w:footnote w:id="123">
    <w:p>
      <w:pPr>
        <w:pStyle w:val="FootnoteText"/>
      </w:pPr>
      <w:r>
        <w:rPr>
          <w:rStyle w:val="FootnoteReference"/>
        </w:rPr>
        <w:footnoteRef/>
      </w:r>
      <w:r>
        <w:t xml:space="preserve"> </w:t>
      </w:r>
      <w:r>
        <w:t xml:space="preserve">Scherer,</w:t>
      </w:r>
      <w:r>
        <w:t xml:space="preserve"> </w:t>
      </w:r>
      <w:r>
        <w:t xml:space="preserve">‘Appraisal Considered as a Process’</w:t>
      </w:r>
      <w:r>
        <w:t xml:space="preserve">, pp. 92-120; idem,</w:t>
      </w:r>
      <w:r>
        <w:t xml:space="preserve"> </w:t>
      </w:r>
      <w:r>
        <w:t xml:space="preserve">‘What Are Emotions?’</w:t>
      </w:r>
      <w:r>
        <w:t xml:space="preserve">, pp. 695-729.</w:t>
      </w:r>
    </w:p>
  </w:footnote>
  <w:footnote w:id="124">
    <w:p>
      <w:pPr>
        <w:pStyle w:val="FootnoteText"/>
      </w:pPr>
      <w:r>
        <w:rPr>
          <w:rStyle w:val="FootnoteReference"/>
        </w:rPr>
        <w:footnoteRef/>
      </w:r>
      <w:r>
        <w:t xml:space="preserve"> </w:t>
      </w:r>
      <w:r>
        <w:t xml:space="preserve">Roseman,</w:t>
      </w:r>
      <w:r>
        <w:t xml:space="preserve"> </w:t>
      </w:r>
      <w:r>
        <w:t xml:space="preserve">‘Appraisal Determinants’</w:t>
      </w:r>
      <w:r>
        <w:t xml:space="preserve">, pp. 241-277.</w:t>
      </w:r>
    </w:p>
  </w:footnote>
  <w:footnote w:id="127">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128">
    <w:p>
      <w:pPr>
        <w:pStyle w:val="FootnoteText"/>
      </w:pPr>
      <w:r>
        <w:rPr>
          <w:rStyle w:val="FootnoteReference"/>
        </w:rPr>
        <w:footnoteRef/>
      </w:r>
      <w:r>
        <w:t xml:space="preserve"> </w:t>
      </w:r>
      <w:r>
        <w:t xml:space="preserve">Nicolai Sinai,</w:t>
      </w:r>
      <w:r>
        <w:t xml:space="preserve"> </w:t>
      </w:r>
      <w:r>
        <w:rPr>
          <w:i/>
          <w:iCs/>
        </w:rPr>
        <w:t xml:space="preserve">The Qurʾan: A Historical-Critical Introduction</w:t>
      </w:r>
      <w:r>
        <w:t xml:space="preserve">, The New Edinburgh Islamic Surveys (Edinburgh: Edinburgh University Press, 2017); idem,</w:t>
      </w:r>
      <w:r>
        <w:t xml:space="preserve"> </w:t>
      </w:r>
      <w:r>
        <w:rPr>
          <w:i/>
          <w:iCs/>
        </w:rPr>
        <w:t xml:space="preserve">Key Terms of the Qurʾan: A Critical Dictionary</w:t>
      </w:r>
      <w:r>
        <w:t xml:space="preserve"> </w:t>
      </w:r>
      <w:r>
        <w:t xml:space="preserve">(Princeton: Princeton University Press, 2023).</w:t>
      </w:r>
    </w:p>
  </w:footnote>
  <w:footnote w:id="129">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130">
    <w:p>
      <w:pPr>
        <w:pStyle w:val="FootnoteText"/>
      </w:pPr>
      <w:r>
        <w:rPr>
          <w:rStyle w:val="FootnoteReference"/>
        </w:rPr>
        <w:footnoteRef/>
      </w:r>
      <w:r>
        <w:t xml:space="preserve"> </w:t>
      </w:r>
      <w:r>
        <w:t xml:space="preserve">Diyam Akra, Tymaa Hammouda and Mustafa Jarrar,</w:t>
      </w:r>
      <w:r>
        <w:t xml:space="preserve"> </w:t>
      </w:r>
      <w:r>
        <w:rPr>
          <w:i/>
          <w:iCs/>
        </w:rPr>
        <w:t xml:space="preserve">QuranMorph: Morphologically Annotated Quranic Corpus</w:t>
      </w:r>
      <w:r>
        <w:t xml:space="preserve">, arXiv preprint 2506.18148 (2025), https://arxiv.org/abs/2506.18148.</w:t>
      </w:r>
    </w:p>
  </w:footnote>
  <w:footnote w:id="131">
    <w:p>
      <w:pPr>
        <w:pStyle w:val="FootnoteText"/>
      </w:pPr>
      <w:r>
        <w:rPr>
          <w:rStyle w:val="FootnoteReference"/>
        </w:rPr>
        <w:footnoteRef/>
      </w:r>
      <w:r>
        <w:t xml:space="preserve"> </w:t>
      </w:r>
      <w:r>
        <w:t xml:space="preserve">Majdi Sawalha et al.,</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footnote>
  <w:footnote w:id="13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134">
    <w:p>
      <w:pPr>
        <w:pStyle w:val="FootnoteText"/>
      </w:pPr>
      <w:r>
        <w:rPr>
          <w:rStyle w:val="FootnoteReference"/>
        </w:rPr>
        <w:footnoteRef/>
      </w:r>
      <w:r>
        <w:t xml:space="preserve"> </w:t>
      </w:r>
      <w:r>
        <w:rPr>
          <w:i/>
          <w:iCs/>
        </w:rPr>
        <w:t xml:space="preserve">Chicago Assyrian Dictionary</w:t>
      </w:r>
      <w:r>
        <w:t xml:space="preserve">, vol. L (Chicago: Oriental Institute, 1973), p. 164; D. Bodi,</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footnote>
  <w:footnote w:id="135">
    <w:p>
      <w:pPr>
        <w:pStyle w:val="FootnoteText"/>
      </w:pPr>
      <w:r>
        <w:rPr>
          <w:rStyle w:val="FootnoteReference"/>
        </w:rPr>
        <w:footnoteRef/>
      </w:r>
      <w:r>
        <w:t xml:space="preserve"> </w:t>
      </w:r>
      <w:r>
        <w:t xml:space="preserve">J. Lauri, S. Svärd, T. Alstola, H. Jauhiainen, A. Sahala, K. Lindén, M. Sams and L.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footnote>
  <w:footnote w:id="136">
    <w:p>
      <w:pPr>
        <w:pStyle w:val="FootnoteText"/>
      </w:pPr>
      <w:r>
        <w:rPr>
          <w:rStyle w:val="FootnoteReference"/>
        </w:rPr>
        <w:footnoteRef/>
      </w:r>
      <w:r>
        <w:t xml:space="preserve"> </w:t>
      </w:r>
      <w:r>
        <w:t xml:space="preserve">P. A. Kruger,</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 idem,</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footnote>
  <w:footnote w:id="137">
    <w:p>
      <w:pPr>
        <w:pStyle w:val="FootnoteText"/>
      </w:pPr>
      <w:r>
        <w:rPr>
          <w:rStyle w:val="FootnoteReference"/>
        </w:rPr>
        <w:footnoteRef/>
      </w:r>
      <w:r>
        <w:t xml:space="preserve"> </w:t>
      </w:r>
      <w:r>
        <w:t xml:space="preserve">Leonard C. Muellner,</w:t>
      </w:r>
      <w:r>
        <w:t xml:space="preserve"> </w:t>
      </w:r>
      <w:r>
        <w:rPr>
          <w:i/>
          <w:iCs/>
        </w:rPr>
        <w:t xml:space="preserve">The Anger of Achilles: Mēnis in Greek Epic</w:t>
      </w:r>
      <w:r>
        <w:t xml:space="preserve"> </w:t>
      </w:r>
      <w:r>
        <w:t xml:space="preserve">(Ithaca, NY: Cornell University Press, 1996).</w:t>
      </w:r>
    </w:p>
  </w:footnote>
  <w:footnote w:id="138">
    <w:p>
      <w:pPr>
        <w:pStyle w:val="FootnoteText"/>
      </w:pPr>
      <w:r>
        <w:rPr>
          <w:rStyle w:val="FootnoteReference"/>
        </w:rPr>
        <w:footnoteRef/>
      </w:r>
      <w:r>
        <w:t xml:space="preserve"> </w:t>
      </w:r>
      <w:r>
        <w:t xml:space="preserve">Douglas L. Cairns,</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2003), pp. 11-49.</w:t>
      </w:r>
    </w:p>
  </w:footnote>
  <w:footnote w:id="139">
    <w:p>
      <w:pPr>
        <w:pStyle w:val="FootnoteText"/>
      </w:pPr>
      <w:r>
        <w:rPr>
          <w:rStyle w:val="FootnoteReference"/>
        </w:rPr>
        <w:footnoteRef/>
      </w:r>
      <w:r>
        <w:t xml:space="preserve"> </w:t>
      </w:r>
      <w:r>
        <w:t xml:space="preserve">Stephanie W. Jamison and Joel P. Brereton,</w:t>
      </w:r>
      <w:r>
        <w:t xml:space="preserve"> </w:t>
      </w:r>
      <w:r>
        <w:rPr>
          <w:i/>
          <w:iCs/>
        </w:rPr>
        <w:t xml:space="preserve">The Rigveda: The Earliest Religious Poetry of India</w:t>
      </w:r>
      <w:r>
        <w:t xml:space="preserve">, 3 vols. (New York: Oxford University Press, 2014), vol. III for translation of and commentary on the</w:t>
      </w:r>
      <w:r>
        <w:t xml:space="preserve"> </w:t>
      </w:r>
      <w:r>
        <w:rPr>
          <w:i/>
          <w:iCs/>
        </w:rPr>
        <w:t xml:space="preserve">Manyu-Sūkta</w:t>
      </w:r>
      <w:r>
        <w:t xml:space="preserve">, ṚV 10.83-84.</w:t>
      </w:r>
    </w:p>
  </w:footnote>
  <w:footnote w:id="140">
    <w:p>
      <w:pPr>
        <w:pStyle w:val="FootnoteText"/>
      </w:pPr>
      <w:r>
        <w:rPr>
          <w:rStyle w:val="FootnoteReference"/>
        </w:rPr>
        <w:footnoteRef/>
      </w:r>
      <w:r>
        <w:t xml:space="preserve"> </w:t>
      </w:r>
      <w:r>
        <w:t xml:space="preserve">Ning Yu,</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footnote>
  <w:footnote w:id="141">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2">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3">
    <w:p>
      <w:pPr>
        <w:pStyle w:val="FootnoteText"/>
      </w:pPr>
      <w:r>
        <w:rPr>
          <w:rStyle w:val="FootnoteReference"/>
        </w:rPr>
        <w:footnoteRef/>
      </w:r>
      <w:r>
        <w:t xml:space="preserve"> </w:t>
      </w:r>
      <w:r>
        <w:t xml:space="preserve">Lakoff and Kövecses,</w:t>
      </w:r>
      <w:r>
        <w:t xml:space="preserve"> </w:t>
      </w:r>
      <w:r>
        <w:t xml:space="preserve">‘Cognitive Model of Anger’</w:t>
      </w:r>
      <w:r>
        <w:t xml:space="preserve">; Kövecses,</w:t>
      </w:r>
      <w:r>
        <w:t xml:space="preserve"> </w:t>
      </w:r>
      <w:r>
        <w:rPr>
          <w:i/>
          <w:iCs/>
        </w:rPr>
        <w:t xml:space="preserve">Metaphor and Emotion</w:t>
      </w:r>
      <w:r>
        <w:t xml:space="preserve">.</w:t>
      </w:r>
    </w:p>
  </w:footnote>
  <w:footnote w:id="148">
    <w:p>
      <w:pPr>
        <w:pStyle w:val="FootnoteText"/>
      </w:pPr>
      <w:r>
        <w:rPr>
          <w:rStyle w:val="FootnoteReference"/>
        </w:rPr>
        <w:footnoteRef/>
      </w:r>
      <w:r>
        <w:t xml:space="preserve"> </w:t>
      </w:r>
      <w:r>
        <w:t xml:space="preserve">Gaanoun and Alsuhaibani,</w:t>
      </w:r>
      <w:r>
        <w:t xml:space="preserve"> </w:t>
      </w:r>
      <w:r>
        <w:t xml:space="preserve">‘Sentiment Preservation’</w:t>
      </w:r>
      <w:r>
        <w:t xml:space="preserve">.</w:t>
      </w:r>
    </w:p>
  </w:footnote>
  <w:footnote w:id="149">
    <w:p>
      <w:pPr>
        <w:pStyle w:val="FootnoteText"/>
      </w:pPr>
      <w:r>
        <w:rPr>
          <w:rStyle w:val="FootnoteReference"/>
        </w:rPr>
        <w:footnoteRef/>
      </w:r>
      <w:r>
        <w:t xml:space="preserve"> </w:t>
      </w:r>
      <w:r>
        <w:t xml:space="preserve">[ELQV authors],</w:t>
      </w:r>
      <w:r>
        <w:t xml:space="preserve"> </w:t>
      </w:r>
      <w:r>
        <w:t xml:space="preserve">‘Leveraging Large Language Models’</w:t>
      </w:r>
      <w:r>
        <w:t xml:space="preserve">.</w:t>
      </w:r>
    </w:p>
  </w:footnote>
  <w:footnote w:id="15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w:t>
      </w:r>
    </w:p>
  </w:footnote>
  <w:footnote w:id="15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157">
    <w:p>
      <w:pPr>
        <w:pStyle w:val="FootnoteText"/>
      </w:pPr>
      <w:r>
        <w:rPr>
          <w:rStyle w:val="FootnoteReference"/>
        </w:rPr>
        <w:footnoteRef/>
      </w:r>
      <w:r>
        <w:t xml:space="preserve"> </w:t>
      </w:r>
      <w:r>
        <w:t xml:space="preserve">El-Awa,</w:t>
      </w:r>
      <w:r>
        <w:t xml:space="preserve"> </w:t>
      </w:r>
      <w:r>
        <w:rPr>
          <w:i/>
          <w:iCs/>
        </w:rPr>
        <w:t xml:space="preserve">Textual Relations</w:t>
      </w:r>
      <w:r>
        <w:t xml:space="preserve">.</w:t>
      </w:r>
    </w:p>
  </w:footnote>
  <w:footnote w:id="15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idem,</w:t>
      </w:r>
      <w:r>
        <w:t xml:space="preserve"> </w:t>
      </w:r>
      <w:r>
        <w:rPr>
          <w:i/>
          <w:iCs/>
        </w:rPr>
        <w:t xml:space="preserve">Key Terms</w:t>
      </w:r>
      <w:r>
        <w:t xml:space="preserve">.</w:t>
      </w:r>
    </w:p>
  </w:footnote>
  <w:footnote w:id="1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8" Target="media/rId108.png" /><Relationship Type="http://schemas.openxmlformats.org/officeDocument/2006/relationships/image" Id="rId90" Target="media/rId90.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16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6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2026-05-13T06:39:20Z</dcterms:created>
  <dcterms:modified xsi:type="dcterms:W3CDTF">2026-05-13T06:39:20Z</dcterms:modified>
</cp:coreProperties>
</file>

<file path=docProps/custom.xml><?xml version="1.0" encoding="utf-8"?>
<Properties xmlns="http://schemas.openxmlformats.org/officeDocument/2006/custom-properties" xmlns:vt="http://schemas.openxmlformats.org/officeDocument/2006/docPropsVTypes"/>
</file>