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پروندهی-تکمیلی-الکترونیکی"/>
    <w:p>
      <w:pPr>
        <w:pStyle w:val="Heading1"/>
        <w:bidi/>
      </w:pPr>
      <w:r>
        <w:rPr>
          <w:rFonts w:ascii="Times New Roman" w:hAnsi="Times New Roman" w:cs="B Lotus"/>
          <w:rtl/>
          <w:lang w:val="fa"/>
        </w:rPr>
        <w:t xml:space="preserve">پرونده‌ی تکمیلیِ الکترونیکی</w:t>
      </w:r>
    </w:p>
    <w:bookmarkStart w:id="39" w:name="اوج-طیف-خشم-در-قرآن-کریم-شکلهای-مقاله"/>
    <w:p>
      <w:pPr>
        <w:pStyle w:val="Heading2"/>
        <w:bidi/>
      </w:pPr>
      <w:r>
        <w:rPr>
          <w:rFonts w:ascii="Times New Roman" w:hAnsi="Times New Roman" w:cs="B Lotus"/>
          <w:rtl/>
          <w:lang w:val="fa"/>
        </w:rPr>
        <w:t xml:space="preserve">اوجِ طیفِ خشم در قرآن کریم — شکل‌های مقاله</w:t>
      </w:r>
    </w:p>
    <w:p>
      <w:pPr>
        <w:bidi/>
        <w:jc w:val="both"/>
      </w:pPr>
      <w:r>
        <w:rPr>
          <w:rFonts w:ascii="Times New Roman" w:hAnsi="Times New Roman" w:cs="B Lotus"/>
          <w:rtl/>
          <w:lang w:val="fa"/>
        </w:rPr>
        <w:t xml:space="preserve">برای فشرده‌سازیِ متنِ اصلیِ مقاله، همه‌ی شکل‌های پژوهش (شکل‌های ۱ تا ۱۰) در این پرونده گرد آمده‌اند. شماره‌گذاری دقیقاً مطابقِ متنِ اصلی است؛ ارجاع‌های درون‌متنی (مانندِ «نک. شکلِ ۱») به همین شکل‌ها اشاره دارند.</w:t>
      </w:r>
    </w:p>
    <w:p>
      <w:pPr>
        <w:pStyle w:val="CaptionedFigure"/>
        <w:bidi/>
      </w:pPr>
      <w:r>
        <w:rPr>
          <w:rFonts w:ascii="Times New Roman" w:hAnsi="Times New Roman" w:cs="B Lotus"/>
        </w:rPr>
        <w:drawing>
          <wp:inline>
            <wp:extent cx="3292602" cy="1286172"/>
            <wp:effectExtent b="0" l="0" r="0" t="0"/>
            <wp:docPr descr="شکلِ ۱. پیوستارِ شش‌مرحله‌ایِ طیفِ خشم بر محورِ شدتِ کنش؛ سطحِ هر گره با بسامدِ ریشه متناسب است (پیکره‌ی دوکس، ۲۰۱۱). تحلیلِ مرحله‌ای در بندِ ۵-۲ تا ۵-۶." title="" id="10" name="Picture"/>
            <a:graphic>
              <a:graphicData uri="http://schemas.openxmlformats.org/drawingml/2006/picture">
                <pic:pic>
                  <pic:nvPicPr>
                    <pic:cNvPr descr="fig1_continuum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602" cy="1286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Fonts w:ascii="Times New Roman" w:hAnsi="Times New Roman" w:cs="B Lotus"/>
          <w:b/>
          <w:bCs/>
          <w:rtl/>
          <w:lang w:val="fa"/>
        </w:rPr>
        <w:t xml:space="preserve">شکلِ ۱.</w:t>
      </w:r>
      <w:r>
        <w:rPr>
          <w:rFonts w:ascii="Times New Roman" w:hAnsi="Times New Roman" w:cs="B Lotus"/>
          <w:rtl/>
          <w:lang w:val="fa"/>
        </w:rPr>
        <w:t xml:space="preserve"> </w:t>
      </w:r>
      <w:r>
        <w:rPr>
          <w:rFonts w:ascii="Times New Roman" w:hAnsi="Times New Roman" w:cs="B Lotus"/>
          <w:rtl/>
          <w:lang w:val="fa"/>
        </w:rPr>
        <w:t xml:space="preserve">پیوستارِ شش‌مرحله‌ایِ طیفِ خشم بر محورِ</w:t>
      </w:r>
      <w:r>
        <w:rPr>
          <w:rFonts w:ascii="Times New Roman" w:hAnsi="Times New Roman" w:cs="B Lotus"/>
          <w:rtl/>
          <w:lang w:val="fa"/>
        </w:rPr>
        <w:t xml:space="preserve"> </w:t>
      </w:r>
      <w:r>
        <w:rPr>
          <w:rFonts w:ascii="Times New Roman" w:hAnsi="Times New Roman" w:cs="B Lotus"/>
          <w:i/>
          <w:iCs/>
          <w:rtl/>
          <w:lang w:val="fa"/>
        </w:rPr>
        <w:t xml:space="preserve">شدتِ کنش</w:t>
      </w:r>
      <w:r>
        <w:rPr>
          <w:rFonts w:ascii="Times New Roman" w:hAnsi="Times New Roman" w:cs="B Lotus"/>
          <w:rtl/>
          <w:lang w:val="fa"/>
        </w:rPr>
        <w:t xml:space="preserve">؛ سطحِ هر گره با بسامدِ ریشه متناسب است (پیکره‌ی دوکس، ۲۰۱۱). تحلیلِ مرحله‌ای در بندِ ۵-۲ تا ۵-۶.</w:t>
      </w:r>
    </w:p>
    <w:p>
      <w:pPr>
        <w:pStyle w:val="CaptionedFigure"/>
        <w:bidi/>
      </w:pPr>
      <w:r>
        <w:rPr>
          <w:rFonts w:ascii="Times New Roman" w:hAnsi="Times New Roman" w:cs="B Lotus"/>
        </w:rPr>
        <w:drawing>
          <wp:inline>
            <wp:extent cx="3292602" cy="2540007"/>
            <wp:effectExtent b="0" l="0" r="0" t="0"/>
            <wp:docPr descr="شکلِ ۲. شجره‌ی نظریِ پژوهش‌های قرآنیِ شناختی-معناشناسیِ ایرانی، از ایزوتسو (۱۳۳۸ ش) تا پژوهشِ حاضر (۱۴۰۵ ش)؛ شش گرهِ کانونی و سه افزوده‌ی نظریِ این پژوهش." title="" id="13" name="Picture"/>
            <a:graphic>
              <a:graphicData uri="http://schemas.openxmlformats.org/drawingml/2006/picture">
                <pic:pic>
                  <pic:nvPicPr>
                    <pic:cNvPr descr="fig10_genealogy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602" cy="2540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Fonts w:ascii="Times New Roman" w:hAnsi="Times New Roman" w:cs="B Lotus"/>
          <w:b/>
          <w:bCs/>
          <w:rtl/>
          <w:lang w:val="fa"/>
        </w:rPr>
        <w:t xml:space="preserve">شکلِ ۲.</w:t>
      </w:r>
      <w:r>
        <w:rPr>
          <w:rFonts w:ascii="Times New Roman" w:hAnsi="Times New Roman" w:cs="B Lotus"/>
          <w:rtl/>
          <w:lang w:val="fa"/>
        </w:rPr>
        <w:t xml:space="preserve"> </w:t>
      </w:r>
      <w:r>
        <w:rPr>
          <w:rFonts w:ascii="Times New Roman" w:hAnsi="Times New Roman" w:cs="B Lotus"/>
          <w:rtl/>
          <w:lang w:val="fa"/>
        </w:rPr>
        <w:t xml:space="preserve">شجره‌ی نظریِ پژوهش‌های قرآنیِ شناختی-معناشناسیِ ایرانی، از ایزوتسو (۱۳۳۸ ش) تا پژوهشِ حاضر (۱۴۰۵ ش)؛ شش گرهِ کانونی و سه افزوده‌ی نظریِ این پژوهش.</w:t>
      </w:r>
    </w:p>
    <w:p>
      <w:pPr>
        <w:pStyle w:val="CaptionedFigure"/>
        <w:bidi/>
      </w:pPr>
      <w:r>
        <w:rPr>
          <w:rFonts w:ascii="Times New Roman" w:hAnsi="Times New Roman" w:cs="B Lotus"/>
        </w:rPr>
        <w:drawing>
          <wp:inline>
            <wp:extent cx="3292602" cy="2257784"/>
            <wp:effectExtent b="0" l="0" r="0" t="0"/>
            <wp:docPr descr="شکلِ ۳. نقشه‌ی تطبیقیِ نُه مفسّر بر سه‌گانه‌ی غضب-غیظ-بَغی؛ هم‌گرایی‌ها و واگرایی‌های بین‌سنّتی در دو جعبه‌ی پایین (تفصیل در بندِ ۵-۴ تا ۵-۶)." title="" id="16" name="Picture"/>
            <a:graphic>
              <a:graphicData uri="http://schemas.openxmlformats.org/drawingml/2006/picture">
                <pic:pic>
                  <pic:nvPicPr>
                    <pic:cNvPr descr="fig8_mufassir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602" cy="2257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Fonts w:ascii="Times New Roman" w:hAnsi="Times New Roman" w:cs="B Lotus"/>
          <w:b/>
          <w:bCs/>
          <w:rtl/>
          <w:lang w:val="fa"/>
        </w:rPr>
        <w:t xml:space="preserve">شکلِ ۳.</w:t>
      </w:r>
      <w:r>
        <w:rPr>
          <w:rFonts w:ascii="Times New Roman" w:hAnsi="Times New Roman" w:cs="B Lotus"/>
          <w:rtl/>
          <w:lang w:val="fa"/>
        </w:rPr>
        <w:t xml:space="preserve"> </w:t>
      </w:r>
      <w:r>
        <w:rPr>
          <w:rFonts w:ascii="Times New Roman" w:hAnsi="Times New Roman" w:cs="B Lotus"/>
          <w:rtl/>
          <w:lang w:val="fa"/>
        </w:rPr>
        <w:t xml:space="preserve">نقشه‌ی تطبیقیِ نُه مفسّر بر سه‌گانه‌ی غضب-غیظ-بَغی؛ هم‌گرایی‌ها و واگرایی‌های بین‌سنّتی در دو جعبه‌ی پایین (تفصیل در بندِ ۵-۴ تا ۵-۶).</w:t>
      </w:r>
    </w:p>
    <w:p>
      <w:pPr>
        <w:pStyle w:val="CaptionedFigure"/>
        <w:bidi/>
      </w:pPr>
      <w:r>
        <w:rPr>
          <w:rFonts w:ascii="Times New Roman" w:hAnsi="Times New Roman" w:cs="B Lotus"/>
        </w:rPr>
        <w:drawing>
          <wp:inline>
            <wp:extent cx="3292602" cy="1240439"/>
            <wp:effectExtent b="0" l="0" r="0" t="0"/>
            <wp:docPr descr="شکلِ ۴. بسامدِ ۳۱۲ موردِ کانونیِ طیف. پنلِ راست: بسامد به‌تفکیکِ ریشه (رنگِ میله = کدِ مرحله). پنلِ چپ: مجموعِ هر مرحله. آزمونِ خی-دوی مرحله‌ای، شاهدِ تمرکزِ گفتمانی (نه ساختارِ مرتبه‌ایِ شدت) است: \chi^2(5) = 227.15، p &lt; 0.001 (مجانبی) / p = 0.24 (جایگشتی، مقدارِ قابلِ‌اعتماد)." title="" id="19" name="Picture"/>
            <a:graphic>
              <a:graphicData uri="http://schemas.openxmlformats.org/drawingml/2006/picture">
                <pic:pic>
                  <pic:nvPicPr>
                    <pic:cNvPr descr="fig2_frequency_by_stag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602" cy="1240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Fonts w:ascii="Times New Roman" w:hAnsi="Times New Roman" w:cs="B Lotus"/>
          <w:b/>
          <w:bCs/>
          <w:rtl/>
          <w:lang w:val="fa"/>
        </w:rPr>
        <w:t xml:space="preserve">شکلِ ۴.</w:t>
      </w:r>
      <w:r>
        <w:rPr>
          <w:rFonts w:ascii="Times New Roman" w:hAnsi="Times New Roman" w:cs="B Lotus"/>
          <w:rtl/>
          <w:lang w:val="fa"/>
        </w:rPr>
        <w:t xml:space="preserve"> </w:t>
      </w:r>
      <w:r>
        <w:rPr>
          <w:rFonts w:ascii="Times New Roman" w:hAnsi="Times New Roman" w:cs="B Lotus"/>
          <w:rtl/>
          <w:lang w:val="fa"/>
        </w:rPr>
        <w:t xml:space="preserve">بسامدِ ۳۱۲ موردِ کانونیِ طیف.</w:t>
      </w:r>
      <w:r>
        <w:rPr>
          <w:rFonts w:ascii="Times New Roman" w:hAnsi="Times New Roman" w:cs="B Lotus"/>
          <w:rtl/>
          <w:lang w:val="fa"/>
        </w:rPr>
        <w:t xml:space="preserve"> </w:t>
      </w:r>
      <w:r>
        <w:rPr>
          <w:rFonts w:ascii="Times New Roman" w:hAnsi="Times New Roman" w:cs="B Lotus"/>
          <w:i/>
          <w:iCs/>
          <w:rtl/>
          <w:lang w:val="fa"/>
        </w:rPr>
        <w:t xml:space="preserve">پنلِ راست</w:t>
      </w:r>
      <w:r>
        <w:rPr>
          <w:rFonts w:ascii="Times New Roman" w:hAnsi="Times New Roman" w:cs="B Lotus"/>
          <w:rtl/>
          <w:lang w:val="fa"/>
        </w:rPr>
        <w:t xml:space="preserve">: بسامد به‌تفکیکِ ریشه (رنگِ میله = کدِ مرحله).</w:t>
      </w:r>
      <w:r>
        <w:rPr>
          <w:rFonts w:ascii="Times New Roman" w:hAnsi="Times New Roman" w:cs="B Lotus"/>
          <w:rtl/>
          <w:lang w:val="fa"/>
        </w:rPr>
        <w:t xml:space="preserve"> </w:t>
      </w:r>
      <w:r>
        <w:rPr>
          <w:rFonts w:ascii="Times New Roman" w:hAnsi="Times New Roman" w:cs="B Lotus"/>
          <w:i/>
          <w:iCs/>
          <w:rtl/>
          <w:lang w:val="fa"/>
        </w:rPr>
        <w:t xml:space="preserve">پنلِ چپ</w:t>
      </w:r>
      <w:r>
        <w:rPr>
          <w:rFonts w:ascii="Times New Roman" w:hAnsi="Times New Roman" w:cs="B Lotus"/>
          <w:rtl/>
          <w:lang w:val="fa"/>
        </w:rPr>
        <w:t xml:space="preserve">: مجموعِ هر مرحله. آزمونِ خی-دوی مرحله‌ای، شاهدِ</w:t>
      </w:r>
      <w:r>
        <w:rPr>
          <w:rFonts w:ascii="Times New Roman" w:hAnsi="Times New Roman" w:cs="B Lotus"/>
          <w:rtl/>
          <w:lang w:val="fa"/>
        </w:rPr>
        <w:t xml:space="preserve"> </w:t>
      </w:r>
      <w:r>
        <w:rPr>
          <w:rFonts w:ascii="Times New Roman" w:hAnsi="Times New Roman" w:cs="B Lotus"/>
          <w:i/>
          <w:iCs/>
          <w:rtl/>
          <w:lang w:val="fa"/>
        </w:rPr>
        <w:t xml:space="preserve">تمرکزِ گفتمانی</w:t>
      </w:r>
      <w:r>
        <w:rPr>
          <w:rFonts w:ascii="Times New Roman" w:hAnsi="Times New Roman" w:cs="B Lotus"/>
          <w:rtl/>
          <w:lang w:val="fa"/>
        </w:rPr>
        <w:t xml:space="preserve"> </w:t>
      </w:r>
      <w:r>
        <w:rPr>
          <w:rFonts w:ascii="Times New Roman" w:hAnsi="Times New Roman" w:cs="B Lotus"/>
          <w:rtl/>
          <w:lang w:val="fa"/>
        </w:rPr>
        <w:t xml:space="preserve">(نه ساختارِ مرتبه‌ایِ شدت) است:</w:t>
      </w:r>
      <w:r>
        <w:rPr>
          <w:rFonts w:ascii="Times New Roman" w:hAnsi="Times New Roman" w:cs="B Lotus"/>
          <w:rtl/>
          <w:lang w:val="fa"/>
        </w:rP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227.15</m:t>
        </m:r>
      </m:oMath>
      <w:r>
        <w:rPr>
          <w:rFonts w:ascii="Times New Roman" w:hAnsi="Times New Roman" w:cs="B Lotus"/>
          <w:rtl/>
          <w:lang w:val="fa"/>
        </w:rPr>
        <w:t xml:space="preserve">،</w:t>
      </w:r>
      <w:r>
        <w:rPr>
          <w:rFonts w:ascii="Times New Roman" w:hAnsi="Times New Roman" w:cs="B Lotus"/>
          <w:rtl/>
          <w:lang w:val="fa"/>
        </w:rP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rPr>
          <w:rFonts w:ascii="Times New Roman" w:hAnsi="Times New Roman" w:cs="B Lotus"/>
          <w:rtl/>
          <w:lang w:val="fa"/>
        </w:rPr>
        <w:t xml:space="preserve"> </w:t>
      </w:r>
      <w:r>
        <w:rPr>
          <w:rFonts w:ascii="Times New Roman" w:hAnsi="Times New Roman" w:cs="B Lotus"/>
          <w:rtl/>
          <w:lang w:val="fa"/>
        </w:rPr>
        <w:t xml:space="preserve">(مجانبی) /</w:t>
      </w:r>
      <w:r>
        <w:rPr>
          <w:rFonts w:ascii="Times New Roman" w:hAnsi="Times New Roman" w:cs="B Lotus"/>
          <w:rtl/>
          <w:lang w:val="fa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0.24</m:t>
        </m:r>
      </m:oMath>
      <w:r>
        <w:rPr>
          <w:rFonts w:ascii="Times New Roman" w:hAnsi="Times New Roman" w:cs="B Lotus"/>
          <w:rtl/>
          <w:lang w:val="fa"/>
        </w:rPr>
        <w:t xml:space="preserve"> </w:t>
      </w:r>
      <w:r>
        <w:rPr>
          <w:rFonts w:ascii="Times New Roman" w:hAnsi="Times New Roman" w:cs="B Lotus"/>
          <w:rtl/>
          <w:lang w:val="fa"/>
        </w:rPr>
        <w:t xml:space="preserve">(جایگشتی، مقدارِ قابلِ‌اعتماد).</w:t>
      </w:r>
    </w:p>
    <w:p>
      <w:pPr>
        <w:pStyle w:val="CaptionedFigure"/>
        <w:bidi/>
      </w:pPr>
      <w:r>
        <w:rPr>
          <w:rFonts w:ascii="Times New Roman" w:hAnsi="Times New Roman" w:cs="B Lotus"/>
        </w:rPr>
        <w:drawing>
          <wp:inline>
            <wp:extent cx="3292602" cy="1292330"/>
            <wp:effectExtent b="0" l="0" r="0" t="0"/>
            <wp:docPr descr="شکلِ ۵. توزیعِ مکّی/مدنیِ ۱۴ ریشه‌ی کانونی (اعداد = نسبتِ خام). ریشه‌های معنادار پس از تصحیحِ هولم: کَره (مدنی-غالب)، سَخَط (انحصاراً مدنی)، بَغی (مدنی)، غیظ (مدنی). نک. جدولِ ۲ برای p خام و p هولم به‌تفکیک." title="" id="22" name="Picture"/>
            <a:graphic>
              <a:graphicData uri="http://schemas.openxmlformats.org/drawingml/2006/picture">
                <pic:pic>
                  <pic:nvPicPr>
                    <pic:cNvPr descr="fig3_meccan_medin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602" cy="1292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Fonts w:ascii="Times New Roman" w:hAnsi="Times New Roman" w:cs="B Lotus"/>
          <w:b/>
          <w:bCs/>
          <w:rtl/>
          <w:lang w:val="fa"/>
        </w:rPr>
        <w:t xml:space="preserve">شکلِ ۵.</w:t>
      </w:r>
      <w:r>
        <w:rPr>
          <w:rFonts w:ascii="Times New Roman" w:hAnsi="Times New Roman" w:cs="B Lotus"/>
          <w:rtl/>
          <w:lang w:val="fa"/>
        </w:rPr>
        <w:t xml:space="preserve"> </w:t>
      </w:r>
      <w:r>
        <w:rPr>
          <w:rFonts w:ascii="Times New Roman" w:hAnsi="Times New Roman" w:cs="B Lotus"/>
          <w:rtl/>
          <w:lang w:val="fa"/>
        </w:rPr>
        <w:t xml:space="preserve">توزیعِ مکّی/مدنیِ ۱۴ ریشه‌ی کانونی (اعداد = نسبتِ خام). ریشه‌های معنادار پس از تصحیحِ هولم: کَره (مدنی-غالب)، سَخَط (انحصاراً مدنی)، بَغی (مدنی)، غیظ (مدنی). نک. جدولِ ۲ برای p خام و p هولم به‌تفکیک.</w:t>
      </w:r>
    </w:p>
    <w:p>
      <w:pPr>
        <w:pStyle w:val="CaptionedFigure"/>
        <w:bidi/>
      </w:pPr>
      <w:r>
        <w:rPr>
          <w:rFonts w:ascii="Times New Roman" w:hAnsi="Times New Roman" w:cs="B Lotus"/>
        </w:rPr>
        <w:drawing>
          <wp:inline>
            <wp:extent cx="3292602" cy="1347928"/>
            <wp:effectExtent b="0" l="0" r="0" t="0"/>
            <wp:docPr descr="شکلِ ۶. پروفایلِ ریخت‌شناختیِ ۱۴ ریشه به‌تفکیکِ جزءِ سخن. مراحلِ ۱ و ۲ غالباً فعلی‌اند (حُزن ۸۸٪)؛ مرحله‌ی ۴ بیشتر اسمی (غضب: ۱۶ اسم / ۶ فعل)؛ مرحله‌ی ۶ بیشترین اسمی‌شدگی را دارد — تثبیتِ پیامدها در حکمِ ویژگیِ پایدار، نه فرآیندِ گذرا." title="" id="25" name="Picture"/>
            <a:graphic>
              <a:graphicData uri="http://schemas.openxmlformats.org/drawingml/2006/picture">
                <pic:pic>
                  <pic:nvPicPr>
                    <pic:cNvPr descr="fig5_morphology_stack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602" cy="1347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Fonts w:ascii="Times New Roman" w:hAnsi="Times New Roman" w:cs="B Lotus"/>
          <w:b/>
          <w:bCs/>
          <w:rtl/>
          <w:lang w:val="fa"/>
        </w:rPr>
        <w:t xml:space="preserve">شکلِ ۶.</w:t>
      </w:r>
      <w:r>
        <w:rPr>
          <w:rFonts w:ascii="Times New Roman" w:hAnsi="Times New Roman" w:cs="B Lotus"/>
          <w:rtl/>
          <w:lang w:val="fa"/>
        </w:rPr>
        <w:t xml:space="preserve"> </w:t>
      </w:r>
      <w:r>
        <w:rPr>
          <w:rFonts w:ascii="Times New Roman" w:hAnsi="Times New Roman" w:cs="B Lotus"/>
          <w:rtl/>
          <w:lang w:val="fa"/>
        </w:rPr>
        <w:t xml:space="preserve">پروفایلِ ریخت‌شناختیِ ۱۴ ریشه به‌تفکیکِ جزءِ سخن. مراحلِ ۱ و ۲ غالباً فعلی‌اند (حُزن ۸۸٪)؛ مرحله‌ی ۴ بیشتر اسمی (غضب: ۱۶ اسم / ۶ فعل)؛ مرحله‌ی ۶ بیشترین اسمی‌شدگی را دارد — تثبیتِ پیامدها در حکمِ ویژگیِ پایدار، نه فرآیندِ گذرا.</w:t>
      </w:r>
    </w:p>
    <w:p>
      <w:pPr>
        <w:pStyle w:val="CaptionedFigure"/>
        <w:bidi/>
      </w:pPr>
      <w:r>
        <w:rPr>
          <w:rFonts w:ascii="Times New Roman" w:hAnsi="Times New Roman" w:cs="B Lotus"/>
        </w:rPr>
        <w:drawing>
          <wp:inline>
            <wp:extent cx="3292602" cy="1099817"/>
            <wp:effectExtent b="0" l="0" r="0" t="0"/>
            <wp:docPr descr="شکلِ ۷. سه سنجه‌ی مرکزیت بر شبکه‌ی هم‌رخدادگیری: (الف) درجه‌ی وزن‌دار، (ب) بینابینی، (ج) نزدیکی. بَغی بالاترین مرکزیتِ نزدیکی را دارد (۰٫۵۵) و در بینابینی با غضب و أَسَف هم‌رتبه است. ضِیق و حُزن نیز نزدیکیِ بالایی نشان می‌دهند — خوشه‌ی فشارِ درونی از حیثِ ساختار، مرکزی است. مرکزیتِ نزدیکی سنجه‌ی اصلیِ این‌جاست؛ مرکزیتِ بینابینی به‌سببِ فاصله‌ی اطمینانِ صفر-شامل برای همه‌ی گره‌ها صرفاً تصویرگرانه است." title="" id="28" name="Picture"/>
            <a:graphic>
              <a:graphicData uri="http://schemas.openxmlformats.org/drawingml/2006/picture">
                <pic:pic>
                  <pic:nvPicPr>
                    <pic:cNvPr descr="fig7_centrality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602" cy="1099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Fonts w:ascii="Times New Roman" w:hAnsi="Times New Roman" w:cs="B Lotus"/>
          <w:b/>
          <w:bCs/>
          <w:rtl/>
          <w:lang w:val="fa"/>
        </w:rPr>
        <w:t xml:space="preserve">شکلِ ۷.</w:t>
      </w:r>
      <w:r>
        <w:rPr>
          <w:rFonts w:ascii="Times New Roman" w:hAnsi="Times New Roman" w:cs="B Lotus"/>
          <w:rtl/>
          <w:lang w:val="fa"/>
        </w:rPr>
        <w:t xml:space="preserve"> </w:t>
      </w:r>
      <w:r>
        <w:rPr>
          <w:rFonts w:ascii="Times New Roman" w:hAnsi="Times New Roman" w:cs="B Lotus"/>
          <w:rtl/>
          <w:lang w:val="fa"/>
        </w:rPr>
        <w:t xml:space="preserve">سه سنجه‌ی مرکزیت بر شبکه‌ی هم‌رخدادگیری: (الف) درجه‌ی وزن‌دار، (ب) بینابینی، (ج) نزدیکی. بَغی بالاترین مرکزیتِ نزدیکی را دارد (۰٫۵۵) و در بینابینی با غضب و أَسَف هم‌رتبه است. ضِیق و حُزن نیز نزدیکیِ بالایی نشان می‌دهند — خوشه‌ی فشارِ درونی از حیثِ ساختار، مرکزی است. مرکزیتِ نزدیکی سنجه‌ی اصلیِ این‌جاست؛ مرکزیتِ بینابینی به‌سببِ فاصله‌ی اطمینانِ صفر-شامل برای همه‌ی گره‌ها صرفاً تصویرگرانه است.</w:t>
      </w:r>
    </w:p>
    <w:p>
      <w:pPr>
        <w:pStyle w:val="CaptionedFigure"/>
        <w:bidi/>
      </w:pPr>
      <w:r>
        <w:rPr>
          <w:rFonts w:ascii="Times New Roman" w:hAnsi="Times New Roman" w:cs="B Lotus"/>
        </w:rPr>
        <w:drawing>
          <wp:inline>
            <wp:extent cx="3292602" cy="3385457"/>
            <wp:effectExtent b="0" l="0" r="0" t="0"/>
            <wp:docPr descr="شکلِ ۸. عملیاتی‌سازیِ قرآنیِ استعاره‌ی خشم به‌مثابه‌ی ظرفِ تحتِ فشار در مثلثِ غضب ← غیظ+کَظم ← تَمَیُّز (تفصیل در بندِ ۵-۵)." title="" id="31" name="Picture"/>
            <a:graphic>
              <a:graphicData uri="http://schemas.openxmlformats.org/drawingml/2006/picture">
                <pic:pic>
                  <pic:nvPicPr>
                    <pic:cNvPr descr="fig6_metaphor_diagram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602" cy="3385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Fonts w:ascii="Times New Roman" w:hAnsi="Times New Roman" w:cs="B Lotus"/>
          <w:b/>
          <w:bCs/>
          <w:rtl/>
          <w:lang w:val="fa"/>
        </w:rPr>
        <w:t xml:space="preserve">شکلِ ۸.</w:t>
      </w:r>
      <w:r>
        <w:rPr>
          <w:rFonts w:ascii="Times New Roman" w:hAnsi="Times New Roman" w:cs="B Lotus"/>
          <w:rtl/>
          <w:lang w:val="fa"/>
        </w:rPr>
        <w:t xml:space="preserve"> </w:t>
      </w:r>
      <w:r>
        <w:rPr>
          <w:rFonts w:ascii="Times New Roman" w:hAnsi="Times New Roman" w:cs="B Lotus"/>
          <w:rtl/>
          <w:lang w:val="fa"/>
        </w:rPr>
        <w:t xml:space="preserve">عملیاتی‌سازیِ قرآنیِ استعاره‌ی</w:t>
      </w:r>
      <w:r>
        <w:rPr>
          <w:rFonts w:ascii="Times New Roman" w:hAnsi="Times New Roman" w:cs="B Lotus"/>
          <w:rtl/>
          <w:lang w:val="fa"/>
        </w:rPr>
        <w:t xml:space="preserve"> </w:t>
      </w:r>
      <w:r>
        <w:rPr>
          <w:rFonts w:ascii="Times New Roman" w:hAnsi="Times New Roman" w:cs="B Lotus"/>
          <w:i/>
          <w:iCs/>
          <w:rtl/>
          <w:lang w:val="fa"/>
        </w:rPr>
        <w:t xml:space="preserve">خشم به‌مثابه‌ی ظرفِ تحتِ فشار</w:t>
      </w:r>
      <w:r>
        <w:rPr>
          <w:rFonts w:ascii="Times New Roman" w:hAnsi="Times New Roman" w:cs="B Lotus"/>
          <w:rtl/>
          <w:lang w:val="fa"/>
        </w:rPr>
        <w:t xml:space="preserve"> </w:t>
      </w:r>
      <w:r>
        <w:rPr>
          <w:rFonts w:ascii="Times New Roman" w:hAnsi="Times New Roman" w:cs="B Lotus"/>
          <w:rtl/>
          <w:lang w:val="fa"/>
        </w:rPr>
        <w:t xml:space="preserve">در مثلثِ غضب ← غیظ+کَظم ← تَمَیُّز (تفصیل در بندِ ۵-۵).</w:t>
      </w:r>
    </w:p>
    <w:p>
      <w:pPr>
        <w:pStyle w:val="CaptionedFigure"/>
        <w:bidi/>
      </w:pPr>
      <w:r>
        <w:rPr>
          <w:rFonts w:ascii="Times New Roman" w:hAnsi="Times New Roman" w:cs="B Lotus"/>
        </w:rPr>
        <w:drawing>
          <wp:inline>
            <wp:extent cx="3292602" cy="2079210"/>
            <wp:effectExtent b="0" l="0" r="0" t="0"/>
            <wp:docPr descr="شکلِ ۹. شبکه‌ی هم‌رخدادگیریِ آیه‌ایِ ۱۴ ریشه. وزنِ یال = شمارِ آیاتِ مشترک. قوی‌ترین یال: حُزن—ضِیق (۳). بَغی به‌عنوانِ گرهِ میانجی، خشم را به ارزیابیِ اخلاقیِ گسترده‌تر پیوند می‌دهد (نک. بندِ ۵-۶-۱)." title="" id="34" name="Picture"/>
            <a:graphic>
              <a:graphicData uri="http://schemas.openxmlformats.org/drawingml/2006/picture">
                <pic:pic>
                  <pic:nvPicPr>
                    <pic:cNvPr descr="fig4_cooccurrenc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602" cy="2079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Fonts w:ascii="Times New Roman" w:hAnsi="Times New Roman" w:cs="B Lotus"/>
          <w:b/>
          <w:bCs/>
          <w:rtl/>
          <w:lang w:val="fa"/>
        </w:rPr>
        <w:t xml:space="preserve">شکلِ ۹.</w:t>
      </w:r>
      <w:r>
        <w:rPr>
          <w:rFonts w:ascii="Times New Roman" w:hAnsi="Times New Roman" w:cs="B Lotus"/>
          <w:rtl/>
          <w:lang w:val="fa"/>
        </w:rPr>
        <w:t xml:space="preserve"> </w:t>
      </w:r>
      <w:r>
        <w:rPr>
          <w:rFonts w:ascii="Times New Roman" w:hAnsi="Times New Roman" w:cs="B Lotus"/>
          <w:rtl/>
          <w:lang w:val="fa"/>
        </w:rPr>
        <w:t xml:space="preserve">شبکه‌ی هم‌رخدادگیریِ آیه‌ایِ ۱۴ ریشه. وزنِ یال = شمارِ آیاتِ مشترک. قوی‌ترین یال: حُزن—ضِیق (۳). بَغی به‌عنوانِ گرهِ میانجی، خشم را به ارزیابیِ اخلاقیِ گسترده‌تر پیوند می‌دهد (نک. بندِ ۵-۶-۱).</w:t>
      </w:r>
    </w:p>
    <w:p>
      <w:pPr>
        <w:pStyle w:val="CaptionedFigure"/>
        <w:bidi/>
      </w:pPr>
      <w:r>
        <w:rPr>
          <w:rFonts w:ascii="Times New Roman" w:hAnsi="Times New Roman" w:cs="B Lotus"/>
        </w:rPr>
        <w:drawing>
          <wp:inline>
            <wp:extent cx="3292602" cy="1804833"/>
            <wp:effectExtent b="0" l="0" r="0" t="0"/>
            <wp:docPr descr="شکلِ ۱۰. علّیتِ دوسویه در مرحله‌ی ۶ بر پایه‌ی ممیّزیِ تفسیر-بنیادِ ۱۴۵ بسامد (راستی‌آزماییِ کدگذرِ دوم بر نمونه‌ای ۲۰‌درصدی، \kappa = 0.79). تفصیلِ روش‌شناختی در بندِ ۴-۵ و ۵-۶-۴." title="" id="37" name="Picture"/>
            <a:graphic>
              <a:graphicData uri="http://schemas.openxmlformats.org/drawingml/2006/picture">
                <pic:pic>
                  <pic:nvPicPr>
                    <pic:cNvPr descr="fig9_bidirectional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602" cy="1804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Fonts w:ascii="Times New Roman" w:hAnsi="Times New Roman" w:cs="B Lotus"/>
          <w:b/>
          <w:bCs/>
          <w:rtl/>
          <w:lang w:val="fa"/>
        </w:rPr>
        <w:t xml:space="preserve">شکلِ ۱۰.</w:t>
      </w:r>
      <w:r>
        <w:rPr>
          <w:rFonts w:ascii="Times New Roman" w:hAnsi="Times New Roman" w:cs="B Lotus"/>
          <w:rtl/>
          <w:lang w:val="fa"/>
        </w:rPr>
        <w:t xml:space="preserve"> </w:t>
      </w:r>
      <w:r>
        <w:rPr>
          <w:rFonts w:ascii="Times New Roman" w:hAnsi="Times New Roman" w:cs="B Lotus"/>
          <w:rtl/>
          <w:lang w:val="fa"/>
        </w:rPr>
        <w:t xml:space="preserve">علّیتِ دوسویه در مرحله‌ی ۶ بر پایه‌ی ممیّزیِ تفسیر-بنیادِ ۱۴۵ بسامد (راستی‌آزماییِ کدگذرِ دوم بر نمونه‌ای ۲۰‌درصدی،</w:t>
      </w:r>
      <w:r>
        <w:rPr>
          <w:rFonts w:ascii="Times New Roman" w:hAnsi="Times New Roman" w:cs="B Lotus"/>
          <w:rtl/>
          <w:lang w:val="fa"/>
        </w:rPr>
        <w:t xml:space="preserve"> </w:t>
      </w:r>
      <m:oMath>
        <m:r>
          <m:t>κ</m:t>
        </m:r>
        <m:r>
          <m:rPr>
            <m:sty m:val="p"/>
          </m:rPr>
          <m:t>=</m:t>
        </m:r>
        <m:r>
          <m:t>0.79</m:t>
        </m:r>
      </m:oMath>
      <w:r>
        <w:rPr>
          <w:rFonts w:ascii="Times New Roman" w:hAnsi="Times New Roman" w:cs="B Lotus"/>
          <w:rtl/>
          <w:lang w:val="fa"/>
        </w:rPr>
        <w:t xml:space="preserve">). تفصیلِ روش‌شناختی در بندِ ۴-۵ و ۵-۶-۴.</w:t>
      </w:r>
    </w:p>
    <w:bookmarkEnd w:id="39"/>
    <w:bookmarkEnd w:id="40"/>
    <w:sectPr>
      <w:pgSz w:h="16838" w:w="11906"/>
      <w:pgMar w:bottom="1474" w:left="1474" w:right="1474" w:top="1474"/>
      <w:bidi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24" w:lineRule="auto"/>
      <w:ind w:firstLine="283"/>
      <w:jc w:val="both"/>
      <w:bidi/>
    </w:pPr>
    <w:rPr>
      <w:rFonts w:ascii="Times New Roman" w:cs="B Lotus" w:hAnsi="Times New Roman"/>
      <w:sz w:val="24"/>
      <w:szCs w:val="26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00"/>
      <w:jc w:val="right"/>
      <w:outlineLvl w:val="0"/>
      <w:bidi/>
    </w:pPr>
    <w:rPr>
      <w:rFonts w:ascii="B Lotus" w:asciiTheme="majorHAnsi" w:cs="B Lotus" w:cstheme="majorBidi" w:eastAsiaTheme="majorEastAsia" w:hAnsi="B Lotus" w:hAnsiTheme="majorHAnsi"/>
      <w:b/>
      <w:color w:themeColor="accent1" w:themeShade="BF" w:val="0F4761"/>
      <w:sz w:val="34"/>
      <w:szCs w:val="3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/>
      <w:jc w:val="right"/>
      <w:outlineLvl w:val="1"/>
      <w:bidi/>
    </w:pPr>
    <w:rPr>
      <w:rFonts w:ascii="B Lotus" w:asciiTheme="majorHAnsi" w:cs="B Lotus" w:cstheme="majorBidi" w:eastAsiaTheme="majorEastAsia" w:hAnsi="B Lotus" w:hAnsiTheme="majorHAnsi"/>
      <w:b/>
      <w:color w:themeColor="accent1" w:themeShade="BF" w:val="0F4761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jc w:val="right"/>
      <w:outlineLvl w:val="2"/>
      <w:bidi/>
    </w:pPr>
    <w:rPr>
      <w:rFonts w:ascii="B Lotus" w:cs="B Lotus" w:cstheme="majorBidi" w:eastAsiaTheme="majorEastAsia" w:hAnsi="B Lotus"/>
      <w:b/>
      <w:color w:themeColor="accent1" w:themeShade="BF" w:val="0F4761"/>
      <w:sz w:val="25"/>
      <w:szCs w:val="25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/>
      <w:jc w:val="right"/>
      <w:outlineLvl w:val="3"/>
      <w:bidi/>
    </w:pPr>
    <w:rPr>
      <w:rFonts w:ascii="B Lotus" w:cs="B Lotus" w:cstheme="majorBidi" w:eastAsiaTheme="majorEastAsia" w:hAnsi="B Lotus"/>
      <w:b/>
      <w:i/>
      <w:iCs/>
      <w:color w:themeColor="accent1" w:themeShade="BF" w:val="0F4761"/>
      <w:sz w:val="23"/>
      <w:szCs w:val="23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  <w:bidi/>
    </w:pPr>
    <w:rPr>
      <w:rFonts w:cs="B Lotus"/>
      <w:rFonts w:ascii="B Lotus" w:hAnsi="B Lotus"/>
      <w:i w:val="0"/>
      <w:sz w:val="20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9" Type="http://schemas.openxmlformats.org/officeDocument/2006/relationships/image" Target="media/rId9.png"/><Relationship Id="rId18" Type="http://schemas.openxmlformats.org/officeDocument/2006/relationships/image" Target="media/rId18.png"/><Relationship Id="rId21" Type="http://schemas.openxmlformats.org/officeDocument/2006/relationships/image" Target="media/rId21.png"/><Relationship Id="rId33" Type="http://schemas.openxmlformats.org/officeDocument/2006/relationships/image" Target="media/rId33.png"/><Relationship Id="rId24" Type="http://schemas.openxmlformats.org/officeDocument/2006/relationships/image" Target="media/rId24.png"/><Relationship Id="rId30" Type="http://schemas.openxmlformats.org/officeDocument/2006/relationships/image" Target="media/rId30.png"/><Relationship Id="rId27" Type="http://schemas.openxmlformats.org/officeDocument/2006/relationships/image" Target="media/rId27.png"/><Relationship Id="rId15" Type="http://schemas.openxmlformats.org/officeDocument/2006/relationships/image" Target="media/rId15.png"/><Relationship Id="rId36" Type="http://schemas.openxmlformats.org/officeDocument/2006/relationships/image" Target="media/rId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2026-06-01T12:25:03Z</dcterms:created>
  <dcterms:modified xsi:type="dcterms:W3CDTF">2026-06-01T12:25:03Z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