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</w:pPr>
      <w:r>
        <w:rPr>
          <w:b/>
          <w:bCs/>
          <w:rtl/>
          <w:lang w:val="fa"/>
        </w:rPr>
        <w:t xml:space="preserve">به</w:t>
      </w:r>
      <w:r>
        <w:rPr>
          <w:rtl/>
          <w:lang w:val="fa"/>
        </w:rPr>
        <w:t xml:space="preserve">: جنابِ آقای دکتر محمدرضا حاجی‌اسماعیلی، سردبیرِ محترمِ نشریه‌ی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پژوهش‌های زبان‌شناختیِ قرآن</w:t>
      </w:r>
      <w:r>
        <w:rPr>
          <w:rtl/>
          <w:lang w:val="fa"/>
        </w:rPr>
        <w:t xml:space="preserve">، دانشگاه اصفهان</w:t>
      </w:r>
    </w:p>
    <w:p>
      <w:pPr>
        <w:bidi/>
      </w:pPr>
      <w:r>
        <w:rPr>
          <w:b/>
          <w:bCs/>
          <w:rtl/>
          <w:lang w:val="fa"/>
        </w:rPr>
        <w:t xml:space="preserve">از</w:t>
      </w:r>
      <w:r>
        <w:rPr>
          <w:rtl/>
          <w:lang w:val="fa"/>
        </w:rPr>
        <w:t xml:space="preserve">: کریم جباری (نویسنده‌ی مسئول) و علی جباری</w:t>
      </w:r>
    </w:p>
    <w:p>
      <w:pPr>
        <w:bidi/>
      </w:pPr>
      <w:r>
        <w:rPr>
          <w:b/>
          <w:bCs/>
          <w:rtl/>
          <w:lang w:val="fa"/>
        </w:rPr>
        <w:t xml:space="preserve">موضوع</w:t>
      </w:r>
      <w:r>
        <w:rPr>
          <w:rtl/>
          <w:lang w:val="fa"/>
        </w:rPr>
        <w:t xml:space="preserve">: ارسالِ مقاله‌ی پژوهشی برای داوری</w:t>
      </w:r>
    </w:p>
    <w:p>
      <w:pPr>
        <w:bidi/>
      </w:pPr>
      <w:r>
        <w:rPr>
          <w:b/>
          <w:bCs/>
          <w:rtl/>
          <w:lang w:val="fa"/>
        </w:rPr>
        <w:t xml:space="preserve">تاریخ</w:t>
      </w:r>
      <w:r>
        <w:rPr>
          <w:rtl/>
          <w:lang w:val="fa"/>
        </w:rPr>
        <w:t xml:space="preserve">: ۱۹ اردیبهشت ۱۴۰۵ (۹ مه ۲۰۲۶)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rtl/>
          <w:lang w:val="fa"/>
        </w:rPr>
        <w:t xml:space="preserve">جنابِ آقای دکتر سردبیرِ محترمِ نشریه‌ی پژوهش‌های زبان‌شناختی قرآن،</w:t>
      </w:r>
    </w:p>
    <w:p>
      <w:pPr>
        <w:bidi/>
      </w:pPr>
      <w:r>
        <w:rPr>
          <w:rtl/>
          <w:lang w:val="fa"/>
        </w:rPr>
        <w:t xml:space="preserve">با سلام و احترام،</w:t>
      </w:r>
    </w:p>
    <w:p>
      <w:pPr>
        <w:bidi/>
      </w:pPr>
      <w:r>
        <w:rPr>
          <w:rtl/>
          <w:lang w:val="fa"/>
        </w:rPr>
        <w:t xml:space="preserve">به پیوست، مقاله‌ای با عنوانِ «اوجِ طیفِ خشم در قرآن کریم: قرائتی تطبیقی-تفسیری از مرحله‌های فعّال، متراکم، و پیامدی» (با زیرعنوانِ «بازخوانیِ غضب، غیظ، بَغی، طغیان و عتوّ در پرتوِ سنّتِ تفسیریِ شیعی-سنّی و میراثِ معناشناسیِ شناختیِ ایرانی-اسلامی»)، با حجمِ متنِ اصلی حدودِ ۷٬۸۹۰ کلمه (در محدوده‌ی مجازِ نشریه)، جهتِ بررسی و داوری در آن نشریه‌ی وزین تقدیم می‌گردد.</w:t>
      </w:r>
    </w:p>
    <w:p>
      <w:pPr>
        <w:bidi/>
      </w:pPr>
      <w:r>
        <w:rPr>
          <w:b/>
          <w:bCs/>
          <w:rtl/>
          <w:lang w:val="fa"/>
        </w:rPr>
        <w:t xml:space="preserve">زمینه و انگیزه‌ی ارسال به</w:t>
      </w:r>
      <w:r>
        <w:rPr>
          <w:b/>
          <w:bCs/>
          <w:rtl/>
          <w:lang w:val="fa"/>
        </w:rPr>
        <w:t xml:space="preserve"> </w:t>
      </w:r>
      <w:r>
        <w:rPr>
          <w:b/>
          <w:bCs/>
          <w:i/>
          <w:iCs/>
          <w:rtl/>
          <w:lang w:val="fa"/>
        </w:rPr>
        <w:t xml:space="preserve">پژوهش‌های زبان‌شناختیِ قرآن</w:t>
      </w:r>
      <w:r>
        <w:rPr>
          <w:rtl/>
          <w:lang w:val="fa"/>
        </w:rPr>
        <w:t xml:space="preserve">. سنّتِ تفسیریِ شیعی-سنّی، در پرداختن به سه‌گانه‌ی غضب-غیظ-بَغی، دستگاهِ معنایی‌ای ظریف را پرورانده که تا کنون، در پژوهش‌های ایرانیِ معاصر، عمدتاً به‌صورتِ تک‌واژه‌محور (نَریمانی و همکاران ۱۴۰۰؛ قاری‌زاده و همکاران ۱۴۰۲) بررسی شده است. مقاله‌ی حاضر می‌کوشد این سامانه را به‌مثابهِ یک هندسه‌ی معنایی-اخلاقیِ متّصل بازنماید و ازاین‌رو، با گستره‌ی موضوعی و مخاطبِ تخصصیِ نشریه‌ی شما هم‌خوانیِ مستقیم دارد.</w:t>
      </w:r>
    </w:p>
    <w:p>
      <w:pPr>
        <w:bidi/>
      </w:pPr>
      <w:r>
        <w:rPr>
          <w:b/>
          <w:bCs/>
          <w:rtl/>
          <w:lang w:val="fa"/>
        </w:rPr>
        <w:t xml:space="preserve">سه سهمِ کلیدیِ پژوهش</w:t>
      </w:r>
      <w:r>
        <w:rPr>
          <w:rtl/>
          <w:lang w:val="fa"/>
        </w:rPr>
        <w:t xml:space="preserve">:</w:t>
      </w:r>
    </w:p>
    <w:p>
      <w:pPr>
        <w:bidi/>
      </w:pPr>
      <w:r>
        <w:rPr>
          <w:rtl/>
          <w:lang w:val="fa"/>
        </w:rPr>
        <w:t xml:space="preserve">۱.</w:t>
      </w:r>
      <w:r>
        <w:rPr>
          <w:rtl/>
          <w:lang w:val="fa"/>
        </w:rPr>
        <w:t xml:space="preserve"> </w:t>
      </w:r>
      <w:r>
        <w:rPr>
          <w:b/>
          <w:bCs/>
          <w:rtl/>
          <w:lang w:val="fa"/>
        </w:rPr>
        <w:t xml:space="preserve">سهمِ روش‌شناختی-تفسیری</w:t>
      </w:r>
      <w:r>
        <w:rPr>
          <w:rtl/>
          <w:lang w:val="fa"/>
        </w:rPr>
        <w:t xml:space="preserve">: تحلیلی تطبیقی از سه‌گانه‌ی غضب-غیظ-بَغی در نُه تفسیرِ کانونی —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المیزانِ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طباطبایی،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الکشّافِ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زمخشری،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مجمع‌البیانِ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طبرسی،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التحریر و التنویرِ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ابن‌عاشور،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جامع‌البیانِ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طبری،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الجامعِ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قرطبی، تفسیرِ ابن‌کثیر،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فی ظِلال القرآنِ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سید قطب و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المنارِ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رشید رضا — با مراجعه‌ی موضعی به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لطائف الإشاراتِ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قشیری، در پرتوِ نظریه‌ی استعاره‌ی مفهومی.</w:t>
      </w:r>
    </w:p>
    <w:p>
      <w:pPr>
        <w:bidi/>
      </w:pPr>
      <w:r>
        <w:rPr>
          <w:rtl/>
          <w:lang w:val="fa"/>
        </w:rPr>
        <w:t xml:space="preserve">۲.</w:t>
      </w:r>
      <w:r>
        <w:rPr>
          <w:rtl/>
          <w:lang w:val="fa"/>
        </w:rPr>
        <w:t xml:space="preserve"> </w:t>
      </w:r>
      <w:r>
        <w:rPr>
          <w:b/>
          <w:bCs/>
          <w:rtl/>
          <w:lang w:val="fa"/>
        </w:rPr>
        <w:t xml:space="preserve">سهمِ بازخوانیِ میراث</w:t>
      </w:r>
      <w:r>
        <w:rPr>
          <w:rtl/>
          <w:lang w:val="fa"/>
        </w:rPr>
        <w:t xml:space="preserve">: گفت‌وگوی نظام‌مند با میراثِ معناشناسیِ شناختیِ ایرانی-اسلامیِ معاصر (قائمی‌نیا ۱۳۹۰، ۱۳۹۳؛ پاکتچی و افراشی ۱۳۹۹؛ نَریمانی و همکاران ۱۴۰۰؛ قاری‌زاده و همکاران ۱۴۰۲) و تثبیتِ آن در گفت‌وگویِ نظریِ بین‌المللی، با احترام به اصالت‌های آن.</w:t>
      </w:r>
    </w:p>
    <w:p>
      <w:pPr>
        <w:bidi/>
      </w:pPr>
      <w:r>
        <w:rPr>
          <w:rtl/>
          <w:lang w:val="fa"/>
        </w:rPr>
        <w:t xml:space="preserve">۳.</w:t>
      </w:r>
      <w:r>
        <w:rPr>
          <w:rtl/>
          <w:lang w:val="fa"/>
        </w:rPr>
        <w:t xml:space="preserve"> </w:t>
      </w:r>
      <w:r>
        <w:rPr>
          <w:b/>
          <w:bCs/>
          <w:rtl/>
          <w:lang w:val="fa"/>
        </w:rPr>
        <w:t xml:space="preserve">یافته‌ی نظریِ محوری</w:t>
      </w:r>
      <w:r>
        <w:rPr>
          <w:rtl/>
          <w:lang w:val="fa"/>
        </w:rPr>
        <w:t xml:space="preserve">: عملیاتی‌سازیِ علیتِ دوسویه در مرحله‌ی ۶ از طریقِ ممیّزیِ تفسیر-بنیادِ ۱۴۵ بسامد (با اعتبارسنجیِ کاپای کوهنِ ۰٫۷۹): ۲۶٪ خشم-خاستگاه، ۴۹٪ ساختار-خاستگاه (طمع، استکبار، عُلوّ فی الأرض)، ۲۵٪ ترکیبی — یافته‌ای هم‌سو با تأکیدِ کلاسیکِ المیزان بر «طغیانِ فرعونی به‌مثابهِ سابقِ خشم بر مغلوبان». افزون بر این، نشان می‌دهیم که سه‌گانه‌ی غیظ-کظم-تمیّز (آیه‌های ۳:۱۳۴، ۳:۱۱۹، ۶۷:۸) چهارگامِ کاملِ استعاره‌ی</w:t>
      </w:r>
      <w:r>
        <w:rPr>
          <w:rtl/>
          <w:lang w:val="fa"/>
        </w:rPr>
        <w:t xml:space="preserve"> </w:t>
      </w:r>
      <w:r>
        <w:rPr>
          <w:rStyle w:val="VerbatimChar"/>
          <w:rtl/>
          <w:lang w:val="fa"/>
        </w:rPr>
        <w:t xml:space="preserve">ANGER IS PRESSURIZED CONTAINER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را — که</w:t>
      </w:r>
      <w:r>
        <w:rPr>
          <w:rtl/>
          <w:lang w:val="fa"/>
        </w:rPr>
        <w:t xml:space="preserve"> </w:t>
      </w:r>
      <w:r>
        <w:rPr>
          <w:rStyle w:val="VerbatimChar"/>
          <w:rtl/>
          <w:lang w:val="fa"/>
        </w:rPr>
        <w:t xml:space="preserve">Lakoff &amp; Kövecses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در ۱۹۸۷ صورت‌بندی کردند — پیشاپیش عملیاتی ساخته است؛ تطبیقی شایانِ توجه با تعبیرِ المیزان: «الکَظم: حَبسُ الغَیظِ فی صَدرٍ ضَیِّقٍ کالحَبسِ المائِ فی السِّقاء».</w:t>
      </w:r>
    </w:p>
    <w:p>
      <w:pPr>
        <w:bidi/>
      </w:pPr>
      <w:r>
        <w:rPr>
          <w:b/>
          <w:bCs/>
          <w:rtl/>
          <w:lang w:val="fa"/>
        </w:rPr>
        <w:t xml:space="preserve">جایگاه‌گذاریِ روش‌شناختی</w:t>
      </w:r>
      <w:r>
        <w:rPr>
          <w:rtl/>
          <w:lang w:val="fa"/>
        </w:rPr>
        <w:t xml:space="preserve">. مقاله، روشِ معناشناسیِ میدانیِ ایزوتسو را با نظریه‌ی استعاره‌ی مفهومی تلفیق می‌کند و در تداومِ خطی پژوهشی است که قائمی‌نیا و پاکتچی در ایران بنیاد نهاده‌اند؛ در عینِ حال، با تمرکز بر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تطبیقِ نُه‌مفسّره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و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ممیّزیِ علّی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در مرحله‌ی پیامدی، گامی روش‌شناختیِ تازه برمی‌دارد.</w:t>
      </w:r>
    </w:p>
    <w:p>
      <w:pPr>
        <w:bidi/>
      </w:pPr>
      <w:r>
        <w:rPr>
          <w:b/>
          <w:bCs/>
          <w:rtl/>
          <w:lang w:val="fa"/>
        </w:rPr>
        <w:t xml:space="preserve">افشای پژوهشِ مرتبط (انطباق با اصولِ COPE/ICMJE)</w:t>
      </w:r>
      <w:r>
        <w:rPr>
          <w:rtl/>
          <w:lang w:val="fa"/>
        </w:rPr>
        <w:t xml:space="preserve">. هم‌زمان، پژوهشی مستقل به زبانِ انگلیسی با عنوانِ</w:t>
      </w:r>
      <w:r>
        <w:rPr>
          <w:rtl/>
          <w:lang w:val="fa"/>
        </w:rPr>
        <w:t xml:space="preserve"> </w:t>
      </w:r>
      <w:r>
        <w:rPr>
          <w:rStyle w:val="VerbatimChar"/>
          <w:rtl/>
          <w:lang w:val="fa"/>
        </w:rPr>
        <w:t xml:space="preserve">"The Phenomenology of the Anger Spectrum in the Qur'an"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(~۱۳٬۲۰۰ کلمه) به</w:t>
      </w:r>
      <w:r>
        <w:rPr>
          <w:rtl/>
          <w:lang w:val="fa"/>
        </w:rPr>
        <w:t xml:space="preserve"> </w:t>
      </w:r>
      <w:r>
        <w:rPr>
          <w:i/>
          <w:iCs/>
          <w:rtl/>
          <w:lang w:val="fa"/>
        </w:rPr>
        <w:t xml:space="preserve">Journal of Qurʾānic Studies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(انتشاراتِ دانشگاه ادینبرا، از سوی SOAS) ارسال می‌گردد. این دو پژوهش، آثاری مستقل‌اند که تنها در پشتوانه‌ی داده‌ایِ پیکره‌ای (QAC نسخه‌ی ۰٫۴، دوکس ۲۰۱۱) و خط‌لوله‌ی تحلیلیِ بازتولیدپذیر اشتراک دارند؛ به یکدیگر ارجاع نمی‌دهند و هیچ هم‌پوشانیِ محتوایی فراتر از این پایه‌ی مشترک ندارند. مقاله‌ی JQS، تحلیلِ کاملِ ۱۴-ریشه‌ای × ۶-مرحله‌ای را با روش‌شناسیِ محاسباتیِ پیشرفته (آزمونِ جایگشتیِ حافظِ حاشیه‌ها، فاصله‌های اطمینانِ بوت‌استرپی، تصحیحِ هولم-بنفرونی) ارائه می‌دهد؛ پژوهشِ حاضر، تحلیلِ تطبیقی-تفسیریِ متمرکز بر اوجِ پیوستار (مرحله‌های ۴-۶) با تعمیقِ گفت‌وگوی شیعی-سنّی و میراثِ معناشناسیِ شناختیِ ایرانی-اسلامی است. این دو پژوهش، مخاطبانِ پژوهشیِ متمایز را با امضای روش‌شناختیِ متمایز هدف گرفته‌اند.</w:t>
      </w:r>
    </w:p>
    <w:p>
      <w:pPr>
        <w:bidi/>
      </w:pPr>
      <w:r>
        <w:rPr>
          <w:b/>
          <w:bCs/>
          <w:rtl/>
          <w:lang w:val="fa"/>
        </w:rPr>
        <w:t xml:space="preserve">پیشنهادِ داورانِ مرتبط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(با احترام به اختیارِ تامِ هیئتِ تحریریه):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fa"/>
        </w:rPr>
        <w:t xml:space="preserve">جنابِ آقای دکتر علیرضا قائمی‌نیا (پژوهشگاهِ فرهنگ و اندیشه‌ی اسلامی) — معناشناسیِ شناختیِ قرآن و استعاره‌ی مفهومی.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fa"/>
        </w:rPr>
        <w:t xml:space="preserve">جنابِ آقای دکتر احمد پاکتچی (دانشگاه امام صادق علیه‌السلام) — معناشناسیِ تاریخی-تفسیریِ قرآن.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fa"/>
        </w:rPr>
        <w:t xml:space="preserve">سرکار خانم دکتر آزیتا افراشی (پژوهشگاهِ علومِ انسانی و مطالعاتِ فرهنگی) — زبان‌شناسیِ شناختی و استعاره.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  <w:lang w:val="fa"/>
        </w:rPr>
        <w:t xml:space="preserve">جنابِ آقای دکتر محمدعلی رضایی اصفهانی (جامعة المصطفی العالمیة، قم) — متخصصِ تفسیرِ تطبیقی و علومِ قرآن.</w:t>
      </w:r>
    </w:p>
    <w:p>
      <w:pPr>
        <w:bidi/>
      </w:pPr>
      <w:r>
        <w:rPr>
          <w:rtl/>
          <w:lang w:val="fa"/>
        </w:rPr>
        <w:t xml:space="preserve">این مقاله پیش از این در نشریه‌ی دیگری چاپ یا برای داوری ارسال نشده، و هر دو نویسنده در نگارش و بازنگریِ آن مشارکتِ معنادار داشته‌اند. هرگونه اصلاحیه‌ی پیشنهادیِ داوران، با کمالِ گشاده‌رویی پذیرفته خواهد شد.</w:t>
      </w:r>
    </w:p>
    <w:p>
      <w:pPr>
        <w:bidi/>
      </w:pPr>
      <w:r>
        <w:rPr>
          <w:rtl/>
          <w:lang w:val="fa"/>
        </w:rPr>
        <w:t xml:space="preserve">از توجه و وقتِ ارزشمندِ جنابعالی و هیئتِ تحریریه‌ی محترم، صمیمانه سپاس‌گزارم.</w:t>
      </w:r>
    </w:p>
    <w:p>
      <w:pPr>
        <w:bidi/>
      </w:pPr>
      <w:r>
        <w:rPr>
          <w:rtl/>
          <w:lang w:val="fa"/>
        </w:rPr>
        <w:t xml:space="preserve">با احترام و سپاسِ فراوان،</w:t>
      </w:r>
    </w:p>
    <w:p>
      <w:pPr>
        <w:bidi/>
      </w:pPr>
      <w:r>
        <w:rPr>
          <w:rtl/>
          <w:lang w:val="fa"/>
        </w:rPr>
        <w:t xml:space="preserve">کریم جباری (به نیابت از هر دو نویسنده)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گروهِ زبان و ادبیاتِ عرب، دانشکده‌ی ادبیات و علومِ انسانی، دانشگاه ارومیه، ارومیه، ایران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رایانامه:</w:t>
      </w:r>
      <w:r>
        <w:rPr>
          <w:rtl/>
          <w:lang w:val="fa"/>
        </w:rPr>
        <w:t xml:space="preserve"> </w:t>
      </w:r>
      <w:r>
        <w:rPr>
          <w:rStyle w:val="VerbatimChar"/>
          <w:rtl/>
          <w:lang w:val="fa"/>
        </w:rPr>
        <w:t xml:space="preserve">k.jabbary@urmia.ac.ir</w:t>
      </w:r>
      <w:r>
        <w:rPr>
          <w:rtl/>
          <w:lang w:val="fa"/>
        </w:rPr>
        <w:t xml:space="preserve"> </w:t>
      </w:r>
      <w:r>
        <w:rPr>
          <w:rtl/>
          <w:lang w:val="fa"/>
        </w:rPr>
        <w:t xml:space="preserve">(نویسنده‌ی مسئول) |</w:t>
      </w:r>
      <w:r>
        <w:rPr>
          <w:rtl/>
          <w:lang w:val="fa"/>
        </w:rPr>
        <w:t xml:space="preserve"> </w:t>
      </w:r>
      <w:r>
        <w:rPr>
          <w:rStyle w:val="VerbatimChar"/>
          <w:rtl/>
          <w:lang w:val="fa"/>
        </w:rPr>
        <w:t xml:space="preserve">a.jabbary@urmia.ac.ir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2026-05-13T21:12:51Z</dcterms:created>
  <dcterms:modified xsi:type="dcterms:W3CDTF">2026-05-13T21:12:51Z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