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1.png" ContentType="image/png"/>
  <Override PartName="/word/media/rId54.png" ContentType="image/png"/>
  <Override PartName="/word/media/rId69.png" ContentType="image/png"/>
  <Override PartName="/word/media/rId57.png" ContentType="image/png"/>
  <Override PartName="/word/media/rId84.png" ContentType="image/png"/>
  <Override PartName="/word/media/rId7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Qur’an deploys an exceptionally articulated lexicon for the anger spectrum, yet existing scholarship treats it word-by-word or through normative-ethical frames. This study argues that fourteen core Arabic roots (</w:t>
      </w:r>
      <w:r>
        <w:rPr>
          <w:i/>
          <w:iCs/>
        </w:rPr>
        <w:t xml:space="preserve">ʾff, krh, ḍyq, ḥzn, ʾsf, nqm, sxṭ, mqt, ghḍb, ḥrd, ghyẓ, bghy, ṭghy, ʿtw</w:t>
      </w:r>
      <w:r>
        <w:t xml:space="preserve">) form a graded semantic field organised by intensity of action across six phenomenological stages: pre-anger displeasure, inner pressure, evaluative aversion, active anger, compressed rage, and behavioural outcomes. The framework integrates Izutsu’s semantic-field method, Kennedy–Sassoon scalar semantics, and Lakoff–Kövecses conceptual metaphor theory, distinguishing primary (ANGER IS HEAT) from complex (PRESSURIZED-CONTAINER ANGER) metaphors. We validate the continuum against the Quranic Arabic Corpus through a reproducible Python pipeline over 312 attestations. Three findings emerge under uncertainty-aware metrics. First, asymptotic χ²(5) = 227.15 is large, but a marginal-preserving permutation null tests</w:t>
      </w:r>
      <w:r>
        <w:t xml:space="preserve"> </w:t>
      </w:r>
      <w:r>
        <w:rPr>
          <w:i/>
          <w:iCs/>
        </w:rPr>
        <w:t xml:space="preserve">which</w:t>
      </w:r>
      <w:r>
        <w:t xml:space="preserve"> </w:t>
      </w:r>
      <w:r>
        <w:t xml:space="preserve">six bins absorb the</w:t>
      </w:r>
      <w:r>
        <w:t xml:space="preserve"> </w:t>
      </w:r>
      <w:r>
        <w:rPr>
          <w:i/>
          <w:iCs/>
        </w:rPr>
        <w:t xml:space="preserve">baghy</w:t>
      </w:r>
      <w:r>
        <w:t xml:space="preserve"> </w:t>
      </w:r>
      <w:r>
        <w:t xml:space="preserve">mass and yields</w:t>
      </w:r>
      <w:r>
        <w:t xml:space="preserve"> </w:t>
      </w:r>
      <w:r>
        <w:rPr>
          <w:i/>
          <w:iCs/>
        </w:rPr>
        <w:t xml:space="preserve">p</w:t>
      </w:r>
      <w:r>
        <w:t xml:space="preserve"> </w:t>
      </w:r>
      <w:r>
        <w:t xml:space="preserve">= 0.24. Second, three roots survive Holm-Bonferroni correction over fourteen per-root binomials:</w:t>
      </w:r>
      <w:r>
        <w:t xml:space="preserve"> </w:t>
      </w:r>
      <w:r>
        <w:rPr>
          <w:i/>
          <w:iCs/>
        </w:rPr>
        <w:t xml:space="preserve">karh</w:t>
      </w:r>
      <w:r>
        <w:t xml:space="preserve"> </w:t>
      </w:r>
      <w:r>
        <w:t xml:space="preserve">(Medinan, adj.</w:t>
      </w:r>
      <w:r>
        <w:t xml:space="preserve"> </w:t>
      </w:r>
      <w:r>
        <w:rPr>
          <w:i/>
          <w:iCs/>
        </w:rPr>
        <w:t xml:space="preserve">p</w:t>
      </w:r>
      <w:r>
        <w:t xml:space="preserve"> </w:t>
      </w:r>
      <w:r>
        <w:t xml:space="preserve">≈ 10⁻⁶),</w:t>
      </w:r>
      <w:r>
        <w:t xml:space="preserve"> </w:t>
      </w:r>
      <w:r>
        <w:rPr>
          <w:i/>
          <w:iCs/>
        </w:rPr>
        <w:t xml:space="preserve">baghy</w:t>
      </w:r>
      <w:r>
        <w:t xml:space="preserve"> </w:t>
      </w:r>
      <w:r>
        <w:t xml:space="preserve">(Meccan, adj.</w:t>
      </w:r>
      <w:r>
        <w:t xml:space="preserve"> </w:t>
      </w:r>
      <w:r>
        <w:rPr>
          <w:i/>
          <w:iCs/>
        </w:rPr>
        <w:t xml:space="preserve">p</w:t>
      </w:r>
      <w:r>
        <w:t xml:space="preserve"> </w:t>
      </w:r>
      <w:r>
        <w:t xml:space="preserve">≈ 5 × 10⁻³), and</w:t>
      </w:r>
      <w:r>
        <w:t xml:space="preserve"> </w:t>
      </w:r>
      <w:r>
        <w:rPr>
          <w:i/>
          <w:iCs/>
        </w:rPr>
        <w:t xml:space="preserve">ghayẓ</w:t>
      </w:r>
      <w:r>
        <w:t xml:space="preserve"> </w:t>
      </w:r>
      <w:r>
        <w:t xml:space="preserve">(Medinan, adj.</w:t>
      </w:r>
      <w:r>
        <w:t xml:space="preserve"> </w:t>
      </w:r>
      <w:r>
        <w:rPr>
          <w:i/>
          <w:iCs/>
        </w:rPr>
        <w:t xml:space="preserve">p</w:t>
      </w:r>
      <w:r>
        <w:t xml:space="preserve"> </w:t>
      </w:r>
      <w:r>
        <w:t xml:space="preserve">≈ 2 × 10⁻²);</w:t>
      </w:r>
      <w:r>
        <w:t xml:space="preserve"> </w:t>
      </w:r>
      <w:r>
        <w:rPr>
          <w:i/>
          <w:iCs/>
        </w:rPr>
        <w:t xml:space="preserve">sakhaṭ</w:t>
      </w:r>
      <w:r>
        <w:t xml:space="preserve"> </w:t>
      </w:r>
      <w:r>
        <w:t xml:space="preserve">sits at adj.</w:t>
      </w:r>
      <w:r>
        <w:t xml:space="preserve"> </w:t>
      </w:r>
      <w:r>
        <w:rPr>
          <w:i/>
          <w:iCs/>
        </w:rPr>
        <w:t xml:space="preserve">p</w:t>
      </w:r>
      <w:r>
        <w:t xml:space="preserve"> </w:t>
      </w:r>
      <w:r>
        <w:t xml:space="preserve">= 0.05. The pattern instantiates</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moral-evaluation field; Q. 67:8 of sūrat al-Mulk (</w:t>
      </w:r>
      <w:r>
        <w:rPr>
          <w:i/>
          <w:iCs/>
        </w:rPr>
        <w:t xml:space="preserve">takādu tamayyazu min al-ghayẓ</w:t>
      </w:r>
      <w:r>
        <w:t xml:space="preserve">) exemplifies the construal of vessel-internal failure newly available under CMT; a κ = 0.79-validated</w:t>
      </w:r>
      <w:r>
        <w:t xml:space="preserve"> </w:t>
      </w:r>
      <w:r>
        <w:rPr>
          <w:i/>
          <w:iCs/>
        </w:rPr>
        <w:t xml:space="preserve">tafsīr</w:t>
      </w:r>
      <w:r>
        <w:t xml:space="preserve"> </w:t>
      </w:r>
      <w:r>
        <w:t xml:space="preserve">audit supports a</w:t>
      </w:r>
      <w:r>
        <w:t xml:space="preserve"> </w:t>
      </w:r>
      <w:r>
        <w:rPr>
          <w:i/>
          <w:iCs/>
        </w:rPr>
        <w:t xml:space="preserve">bidirectional-causation</w:t>
      </w:r>
      <w:r>
        <w:t xml:space="preserve"> </w:t>
      </w:r>
      <w:r>
        <w:t xml:space="preserve">reading of Stage 6 (A = 26%, S = 49%, A+S = 25%). Conditional implications follow for Qur’anic translation and Islamic psychology; small per-root</w:t>
      </w:r>
      <w:r>
        <w:t xml:space="preserve"> </w:t>
      </w:r>
      <w:r>
        <w:rPr>
          <w:i/>
          <w:iCs/>
        </w:rPr>
        <w:t xml:space="preserve">n</w:t>
      </w:r>
      <w:r>
        <w:t xml:space="preserve"> </w:t>
      </w:r>
      <w:r>
        <w:t xml:space="preserve">and the closed-text status of the corpus bound the inferences.</w:t>
      </w:r>
    </w:p>
    <w:p>
      <w:pPr>
        <w:pStyle w:val="BodyText"/>
      </w:pPr>
      <w:r>
        <w:rPr>
          <w:b/>
          <w:bCs/>
        </w:rPr>
        <w:t xml:space="preserve">Keywords:</w:t>
      </w:r>
      <w:r>
        <w:t xml:space="preserve"> </w:t>
      </w:r>
      <w:r>
        <w:t xml:space="preserve">Qur’an; anger spectrum; semantic field; cognitive linguistics; scalar semantics; conceptual metaphor; corpus linguistics.</w:t>
      </w:r>
    </w:p>
    <w:p>
      <w:r>
        <w:pict>
          <v:rect style="width:0;height:1.5pt" o:hralign="center" o:hrstd="t" o:hr="t"/>
        </w:pict>
      </w:r>
    </w:p>
    <w:bookmarkEnd w:id="21"/>
    <w:bookmarkStart w:id="26" w:name="introduction"/>
    <w:p>
      <w:pPr>
        <w:pStyle w:val="Heading2"/>
      </w:pPr>
      <w:r>
        <w:t xml:space="preserve">1. Introduction</w:t>
      </w:r>
    </w:p>
    <w:bookmarkStart w:id="22" w:name="statement-of-the-problem"/>
    <w:p>
      <w:pPr>
        <w:pStyle w:val="Heading3"/>
      </w:pPr>
      <w:r>
        <w:t xml:space="preserve">1.1. Statement of the problem</w:t>
      </w:r>
    </w:p>
    <w:p>
      <w:pPr>
        <w:pStyle w:val="FirstParagraph"/>
      </w:pPr>
      <w:r>
        <w:t xml:space="preserve">The Qur’anic lexicon for the anger spectrum 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argue that these fourteen roots are not synonyms but coordinated nodes in a single graded semantic field organised along intensity of action, traversing pre-anger displeasure, inner pressure and contraction, evaluative aversion, active anger, compressed/explosive rage, and behavioural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 The distance from</w:t>
      </w:r>
      <w:r>
        <w:t xml:space="preserve"> </w:t>
      </w:r>
      <w:r>
        <w:rPr>
          <w:i/>
          <w:iCs/>
        </w:rPr>
        <w:t xml:space="preserve">uff</w:t>
      </w:r>
      <w:r>
        <w:t xml:space="preserve"> </w:t>
      </w:r>
      <w:r>
        <w:t xml:space="preserve">(sūrat al-Isrāʾ, Q. 17:23) to</w:t>
      </w:r>
      <w:r>
        <w:t xml:space="preserve"> </w:t>
      </w:r>
      <w:r>
        <w:rPr>
          <w:i/>
          <w:iCs/>
        </w:rPr>
        <w:t xml:space="preserve">ʿutuww</w:t>
      </w:r>
      <w:r>
        <w:t xml:space="preserve"> </w:t>
      </w:r>
      <w:r>
        <w:t xml:space="preserve">(sūrat al-Furqān, Q. 25:21) is graded, not categorical.</w:t>
      </w:r>
    </w:p>
    <w:bookmarkEnd w:id="22"/>
    <w:bookmarkStart w:id="23" w:name="aims-and-originality"/>
    <w:p>
      <w:pPr>
        <w:pStyle w:val="Heading3"/>
      </w:pPr>
      <w:r>
        <w:t xml:space="preserve">1.2. Aims and originality</w:t>
      </w:r>
    </w:p>
    <w:p>
      <w:pPr>
        <w:pStyle w:val="FirstParagraph"/>
      </w:pPr>
      <w:r>
        <w:t xml:space="preserve">This paper combines Izutsu’s semantic-field approach, Kennedy–Sassoon scalar semantics, and Lakoff–Kövecses CMT to produce stronger philological claims than any framework in isolation. Izutsu’s method yields a network without an internal ordering; Lakoff–Kövecses supply an English-anchored cognitive schema, and the two-volume</w:t>
      </w:r>
      <w:r>
        <w:t xml:space="preserve"> </w:t>
      </w:r>
      <w:r>
        <w:rPr>
          <w:i/>
          <w:iCs/>
        </w:rPr>
        <w:t xml:space="preserve">Metaphors of ANGER across Languages</w:t>
      </w:r>
      <w:r>
        <w:t xml:space="preserve"> </w:t>
      </w:r>
      <w:r>
        <w:t xml:space="preserve">(Kövecses, Benczes and Szelid 2025) omits Classical Arabic; Kennedy–Sassoon orders predicates along a dimension but has not been applied to a Qur’anic emotion field. Qāʾimīniyā (2011, 2014) and Pakatchi and Afrashi (2020) already integrate Izutsu with CMT in Persian; the novel element here is the scalar layer operationalised as a six-stage continuum and tested against a 312-attestation reproducible pipeline, alongside (i) a κ = 0.79-validated</w:t>
      </w:r>
      <w:r>
        <w:t xml:space="preserve"> </w:t>
      </w:r>
      <w:r>
        <w:rPr>
          <w:i/>
          <w:iCs/>
        </w:rPr>
        <w:t xml:space="preserve">tafsīr</w:t>
      </w:r>
      <w:r>
        <w:t xml:space="preserve">-coding audit of the bidirectional-causation reading of Stage 6, (ii) the</w:t>
      </w:r>
      <w:r>
        <w:t xml:space="preserve"> </w:t>
      </w:r>
      <w:r>
        <w:rPr>
          <w:i/>
          <w:iCs/>
        </w:rPr>
        <w:t xml:space="preserve">kaẓm</w:t>
      </w:r>
      <w:r>
        <w:t xml:space="preserve">-as-tying-off-of-waterskin analysis of agent-internal containment, and (iii) the framing of Q. 67:8 of sūrat al-Mulk as an early and unusually transparent exemplification of vessel-internal failure, calibrated against the six-tradition survey of §5.5 acknowledging Job 32:19 (</w:t>
      </w:r>
      <w:r>
        <w:rPr>
          <w:i/>
          <w:iCs/>
        </w:rPr>
        <w:t xml:space="preserve">bāqaʿ</w:t>
      </w:r>
      <w:r>
        <w:t xml:space="preserve">) as a structurally cognate Northwest-Semitic precedent. The interpretive payoff: the continuum constitutes a coherent logic of escalation with structural affinities to modern emotion psychology, exceeding the contemporary models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bookmarkEnd w:id="23"/>
    <w:bookmarkStart w:id="24" w:name="prior-work-and-the-gap"/>
    <w:p>
      <w:pPr>
        <w:pStyle w:val="Heading3"/>
      </w:pPr>
      <w:r>
        <w:t xml:space="preserve">1.3. Prior work and the gap</w:t>
      </w:r>
    </w:p>
    <w:p>
      <w:pPr>
        <w:pStyle w:val="FirstParagraph"/>
      </w:pPr>
      <w:r>
        <w:t xml:space="preserve">Prior scholarship clusters into five lines.</w:t>
      </w:r>
      <w:r>
        <w:t xml:space="preserve"> </w:t>
      </w:r>
      <w:r>
        <w:rPr>
          <w:i/>
          <w:iCs/>
        </w:rPr>
        <w:t xml:space="preserve">Single-word lexical studies</w:t>
      </w:r>
      <w:r>
        <w:t xml:space="preserve"> </w:t>
      </w:r>
      <w:r>
        <w:t xml:space="preserve">(Narimani, Iqbali and Chari 2021 on</w:t>
      </w:r>
      <w:r>
        <w:t xml:space="preserve"> </w:t>
      </w:r>
      <w:r>
        <w:rPr>
          <w:i/>
          <w:iCs/>
        </w:rPr>
        <w:t xml:space="preserve">ghayẓ/ghaḍab/sakhaṭ</w:t>
      </w:r>
      <w:r>
        <w:t xml:space="preserve">; Qarizadeh et al. 2024 on</w:t>
      </w:r>
      <w:r>
        <w:t xml:space="preserve"> </w:t>
      </w:r>
      <w:r>
        <w:rPr>
          <w:i/>
          <w:iCs/>
        </w:rPr>
        <w:t xml:space="preserve">ṭughyān</w:t>
      </w:r>
      <w:r>
        <w:t xml:space="preserve">) supply high-quality per-lexeme analysis but no integrated continuum.</w:t>
      </w:r>
      <w:r>
        <w:t xml:space="preserve"> </w:t>
      </w:r>
      <w:r>
        <w:rPr>
          <w:i/>
          <w:iCs/>
        </w:rPr>
        <w:t xml:space="preserve">Semantic-field and cognitive-semantic studies</w:t>
      </w:r>
      <w:r>
        <w:t xml:space="preserve"> </w:t>
      </w:r>
      <w:r>
        <w:t xml:space="preserve">in the Izutsu tradition (Qāʾimīniyā 2011, 2014; Pakatchi and Afrashi 2020; Albayrak 2020) leave the graded-continuum layer untreated.</w:t>
      </w:r>
      <w:r>
        <w:t xml:space="preserve"> </w:t>
      </w:r>
      <w:r>
        <w:rPr>
          <w:i/>
          <w:iCs/>
        </w:rPr>
        <w:t xml:space="preserve">Ethics-of-anger</w:t>
      </w:r>
      <w:r>
        <w:t xml:space="preserve"> </w:t>
      </w:r>
      <w:r>
        <w:t xml:space="preserve">work in the</w:t>
      </w:r>
      <w:r>
        <w:t xml:space="preserve"> </w:t>
      </w:r>
      <w:r>
        <w:rPr>
          <w:i/>
          <w:iCs/>
        </w:rPr>
        <w:t xml:space="preserve">kaẓm al-ghayẓ</w:t>
      </w:r>
      <w:r>
        <w:t xml:space="preserve"> </w:t>
      </w:r>
      <w:r>
        <w:t xml:space="preserve">tradition is normatively rich and linguistically thin.</w:t>
      </w:r>
      <w:r>
        <w:t xml:space="preserve"> </w:t>
      </w:r>
      <w:r>
        <w:rPr>
          <w:i/>
          <w:iCs/>
        </w:rPr>
        <w:t xml:space="preserve">Cross-linguistic CMT</w:t>
      </w:r>
      <w:r>
        <w:t xml:space="preserve"> </w:t>
      </w:r>
      <w:r>
        <w:t xml:space="preserve">literature, updated by Kövecses, Benczes and Szelid (2025) across twenty-two languages, omits Classical Arabic; the closest Arabic-CMT precedents (Maalej 2004, 2007; Rabab’ah and Al-Saidat 2022) treat contemporary dialects.</w:t>
      </w:r>
      <w:r>
        <w:t xml:space="preserve"> </w:t>
      </w:r>
      <w:r>
        <w:rPr>
          <w:i/>
          <w:iCs/>
        </w:rPr>
        <w:t xml:space="preserve">Historical-critical and corpus-linguistic</w:t>
      </w:r>
      <w:r>
        <w:t xml:space="preserve"> </w:t>
      </w:r>
      <w:r>
        <w:t xml:space="preserve">work supplies complementary apparatus (Sinai 2017, 2023; Neuwirth 2019; El-Awa 2006; Sharaf and Atwell 2012a, 2012b; Akra, Hammouda and Jarrar 2025; Sawalha et al. 2024); translation-criticism is now quantitative at scale (Gaanoun and Alsuhaibani 2025; Khan et al. 2025) but lacks a graded lexeme-level reference model. The present study occupies the unfilled intersection: it adds the Kennedy–Sassoon scalar layer to the Izutsu/CMT stack, applies it to the anger field the 2025</w:t>
      </w:r>
      <w:r>
        <w:t xml:space="preserve"> </w:t>
      </w:r>
      <w:r>
        <w:rPr>
          <w:i/>
          <w:iCs/>
        </w:rPr>
        <w:t xml:space="preserve">Metaphors of ANGER</w:t>
      </w:r>
      <w:r>
        <w:t xml:space="preserve"> </w:t>
      </w:r>
      <w:r>
        <w:t xml:space="preserve">encyclopedia leaves un-canvassed, and releases the pipeline under Sharaf–Atwell / QuranMorph reproducibility standards.</w:t>
      </w:r>
    </w:p>
    <w:bookmarkEnd w:id="24"/>
    <w:bookmarkStart w:id="25" w:name="research-questions-and-hypotheses"/>
    <w:p>
      <w:pPr>
        <w:pStyle w:val="Heading3"/>
      </w:pPr>
      <w:r>
        <w:t xml:space="preserve">1.4. Research questions and hypotheses</w:t>
      </w:r>
    </w:p>
    <w:p>
      <w:pPr>
        <w:pStyle w:val="FirstParagraph"/>
      </w:pPr>
      <w:r>
        <w:t xml:space="preserve">We address five research questions: (RQ1) the internal structure of the anger-spectrum field and its principal nodes; (RQ2) the action-intensity ordering and its theoretical legitimation; (RQ3) corpus-distributional corroboration (frequency, Meccan/Medinan, morphology, network); (RQ4) structural homology with Gross, Plutchik, Spielberger, and Lazarus–Scherer appraisal theory; (RQ5) implications for Qur’anic translation and Islamic psychology.</w:t>
      </w:r>
    </w:p>
    <w:p>
      <w:pPr>
        <w:pStyle w:val="BodyText"/>
      </w:pPr>
      <w:r>
        <w:t xml:space="preserve">The principal</w:t>
      </w:r>
      <w:r>
        <w:t xml:space="preserve"> </w:t>
      </w:r>
      <w:r>
        <w:rPr>
          <w:i/>
          <w:iCs/>
        </w:rPr>
        <w:t xml:space="preserve">Qur’anic Action-Intensity Continuum Hypothesis</w:t>
      </w:r>
      <w:r>
        <w:t xml:space="preserve"> </w:t>
      </w:r>
      <w:r>
        <w:t xml:space="preserve">holds that the fourteen roots operate as graded steps on a single semantic continuum structured by intensity of action, organised in six phenomenological stages. Five subsidiary hypotheses follow: (H1) non-uniform six-stage frequency distribution; (H2) near-equal split between phenomenological core (S1–5) and behavioural pole (S6), consistent with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of sūrat al-Mulk as an unusually transparent exemplification of the vessel-internal failure construal.</w:t>
      </w:r>
    </w:p>
    <w:p>
      <w:r>
        <w:pict>
          <v:rect style="width:0;height:1.5pt" o:hralign="center" o:hrstd="t" o:hr="t"/>
        </w:pict>
      </w:r>
    </w:p>
    <w:bookmarkEnd w:id="25"/>
    <w:bookmarkEnd w:id="26"/>
    <w:bookmarkStart w:id="36" w:name="theoretical-framework"/>
    <w:p>
      <w:pPr>
        <w:pStyle w:val="Heading2"/>
      </w:pPr>
      <w:r>
        <w:t xml:space="preserve">2. Theoretical Framework</w:t>
      </w:r>
    </w:p>
    <w:bookmarkStart w:id="27" w:name="izutsus-semantic-field-method"/>
    <w:p>
      <w:pPr>
        <w:pStyle w:val="Heading3"/>
      </w:pPr>
      <w:r>
        <w:t xml:space="preserve">2.1. Izutsu’s semantic-field method</w:t>
      </w:r>
    </w:p>
    <w:p>
      <w:pPr>
        <w:pStyle w:val="FirstParagraph"/>
      </w:pPr>
      <w:r>
        <w:t xml:space="preserve">Izutsu (1959, 1964, 2002) argued that the central Qur’anic terms are nodes in a network whose aggregate constitutes a Qur’anic</w:t>
      </w:r>
      <w:r>
        <w:t xml:space="preserve"> </w:t>
      </w:r>
      <w:r>
        <w:rPr>
          <w:i/>
          <w:iCs/>
        </w:rPr>
        <w:t xml:space="preserve">Weltanschauung</w:t>
      </w:r>
      <w:r>
        <w:t xml:space="preserve">. His three-layer apparatus (</w:t>
      </w:r>
      <w:r>
        <w:rPr>
          <w:i/>
          <w:iCs/>
        </w:rPr>
        <w:t xml:space="preserve">focus words</w:t>
      </w:r>
      <w:r>
        <w:t xml:space="preserve">,</w:t>
      </w:r>
      <w:r>
        <w:t xml:space="preserve"> </w:t>
      </w:r>
      <w:r>
        <w:rPr>
          <w:i/>
          <w:iCs/>
        </w:rPr>
        <w:t xml:space="preserve">semantic fields</w:t>
      </w:r>
      <w:r>
        <w:t xml:space="preserve">,</w:t>
      </w:r>
      <w:r>
        <w:t xml:space="preserve"> </w:t>
      </w:r>
      <w:r>
        <w:rPr>
          <w:i/>
          <w:iCs/>
        </w:rPr>
        <w:t xml:space="preserve">key words</w:t>
      </w:r>
      <w:r>
        <w:t xml:space="preserve">) has been productive in Persian-language Qur’anic semantics (Qāʾimīniyā 2011, 2014; Pakatchi and Afrashi 2020). The fourteen target roots constitute the field around the focus words</w:t>
      </w:r>
      <w:r>
        <w:t xml:space="preserve"> </w:t>
      </w:r>
      <w:r>
        <w:rPr>
          <w:i/>
          <w:iCs/>
        </w:rPr>
        <w:t xml:space="preserve">ghaḍab</w:t>
      </w:r>
      <w:r>
        <w:t xml:space="preserve"> </w:t>
      </w:r>
      <w:r>
        <w:t xml:space="preserve">(central anger) and</w:t>
      </w:r>
      <w:r>
        <w:t xml:space="preserve"> </w:t>
      </w:r>
      <w:r>
        <w:rPr>
          <w:i/>
          <w:iCs/>
        </w:rPr>
        <w:t xml:space="preserve">baghy</w:t>
      </w:r>
      <w:r>
        <w:t xml:space="preserve"> </w:t>
      </w:r>
      <w:r>
        <w:t xml:space="preserve">(central behavioural-outcome). Izutsu’s method is silent on the question that drives the present enterprise: granted that these lexemes co-belong to a field, what is the structural relation between them</w:t>
      </w:r>
      <w:r>
        <w:t xml:space="preserve"> </w:t>
      </w:r>
      <w:r>
        <w:rPr>
          <w:i/>
          <w:iCs/>
        </w:rPr>
        <w:t xml:space="preserve">within</w:t>
      </w:r>
      <w:r>
        <w:t xml:space="preserve"> </w:t>
      </w:r>
      <w:r>
        <w:t xml:space="preserve">it? For this we require scalar semantics.</w:t>
      </w:r>
    </w:p>
    <w:bookmarkEnd w:id="27"/>
    <w:bookmarkStart w:id="28" w:name="X4fc16f0059dbe82bb4e7103870d32d4ad848ff7"/>
    <w:p>
      <w:pPr>
        <w:pStyle w:val="Heading3"/>
      </w:pPr>
      <w:r>
        <w:t xml:space="preserve">2.2. Scalar semantics: from network to continuum</w:t>
      </w:r>
    </w:p>
    <w:p>
      <w:pPr>
        <w:pStyle w:val="FirstParagraph"/>
      </w:pPr>
      <w:r>
        <w:t xml:space="preserve">Gradable-predicate theory (Kennedy 1999, 2007; Sassoon 2010) supplies the missing apparatus. A scale has three components — a dimension of measurement, an ordering, and a unit of comparison. The Qur’anic anger field is such a scale: dimension = intensity of action (decomposable into locus, experiential intensity, scope of consequence); ordering = the six-stage progression; implicit unit = degree of externalisation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 Kennedy–Sassoon was developed for gradable adjectives; its extension here assumes a category-neutral underlying intensity scale recoverable from lexicographic and corpus-distributional evidence.</w:t>
      </w:r>
    </w:p>
    <w:bookmarkEnd w:id="28"/>
    <w:bookmarkStart w:id="31" w:name="X6483b6c1b26b4cc97c995157bd2ece1428cab5a"/>
    <w:p>
      <w:pPr>
        <w:pStyle w:val="Heading3"/>
      </w:pPr>
      <w:r>
        <w:t xml:space="preserve">2.3. Conceptual metaphor theory and the container schema</w:t>
      </w:r>
    </w:p>
    <w:p>
      <w:pPr>
        <w:pStyle w:val="FirstParagraph"/>
      </w:pPr>
      <w:r>
        <w:t xml:space="preserve">Conceptual metaphor theory (Lakoff and Johnson 1980; Lakoff and Kövecses 1987; Kövecses 2000, 2010) treats metaphor as a cognitive structure mapping concrete source domains (container, heat) to abstract targets (emotion). Lakoff and Kövecses (1987: 195–221) reconstruct American-English anger as a five-stage prototype scenario — (1) offending event, (2) anger, (3) attempt at control, (4) loss of control, (5) retribution — onto which ANGER IS THE HEAT OF A FLUID IN A PRESSURIZED CONTAINER, ANGER IS FIRE, and ANGER IS A WILD ANIMAL are mapped, with the container/pressure cluster operating especially in stages (2)–(4).</w:t>
      </w:r>
    </w:p>
    <w:bookmarkStart w:id="29" w:name="X182028765c7929db2d1877113d876b075d29cf1"/>
    <w:p>
      <w:pPr>
        <w:pStyle w:val="Heading4"/>
      </w:pPr>
      <w:r>
        <w:t xml:space="preserve">2.3.1. Primary vs. complex metaphors and the source–target mapping</w:t>
      </w:r>
    </w:p>
    <w:p>
      <w:pPr>
        <w:pStyle w:val="FirstParagraph"/>
      </w:pPr>
      <w:r>
        <w:t xml:space="preserve">Following Grady (1997) and Kövecses (2020),</w:t>
      </w:r>
      <w:r>
        <w:t xml:space="preserve"> </w:t>
      </w:r>
      <w:r>
        <w:rPr>
          <w:i/>
          <w:iCs/>
        </w:rPr>
        <w:t xml:space="preserve">primary</w:t>
      </w:r>
      <w:r>
        <w:t xml:space="preserve"> </w:t>
      </w:r>
      <w:r>
        <w:t xml:space="preserve">metaphors are grounded directly in recurrent embodied experience (ANGER IS HEAT; EMOTIONAL CONTAINMENT IS PHYSICAL CONTAINMENT), while</w:t>
      </w:r>
      <w:r>
        <w:t xml:space="preserve"> </w:t>
      </w:r>
      <w:r>
        <w:rPr>
          <w:i/>
          <w:iCs/>
        </w:rPr>
        <w:t xml:space="preserve">complex</w:t>
      </w:r>
      <w:r>
        <w:t xml:space="preserve"> </w:t>
      </w:r>
      <w:r>
        <w:t xml:space="preserve">metaphors compose primary metaphors with culturally-elaborated folk physiology. PRESSURIZED-CONTAINER ANGER is a complex metaphor — the body construed as a sealed vessel, anger as a hot fluid inside it, loss of control as the fluid’s exit or the vessel’s failure. The Qur’anic</w:t>
      </w:r>
      <w:r>
        <w:t xml:space="preserve"> </w:t>
      </w:r>
      <w:r>
        <w:rPr>
          <w:i/>
          <w:iCs/>
        </w:rPr>
        <w:t xml:space="preserve">ghayẓ–kaẓm–tamayyuz</w:t>
      </w:r>
      <w:r>
        <w:t xml:space="preserve"> </w:t>
      </w:r>
      <w:r>
        <w:t xml:space="preserve">triad operationalises this complex construct, not the primary ANGER IS HEAT schema alone. Source-to-target mappings: HOT FLUID under pressure → INTENSE ANGER (</w:t>
      </w:r>
      <w:r>
        <w:rPr>
          <w:i/>
          <w:iCs/>
        </w:rPr>
        <w:t xml:space="preserve">ghayẓ</w:t>
      </w:r>
      <w:r>
        <w:t xml:space="preserve">); CONTAINER (sealed vessel) → BODY/SELF (chest,</w:t>
      </w:r>
      <w:r>
        <w:t xml:space="preserve"> </w:t>
      </w:r>
      <w:r>
        <w:rPr>
          <w:i/>
          <w:iCs/>
        </w:rPr>
        <w:t xml:space="preserve">qalb</w:t>
      </w:r>
      <w:r>
        <w:t xml:space="preserve">,</w:t>
      </w:r>
      <w:r>
        <w:t xml:space="preserve"> </w:t>
      </w:r>
      <w:r>
        <w:rPr>
          <w:i/>
          <w:iCs/>
        </w:rPr>
        <w:t xml:space="preserve">nafs</w:t>
      </w:r>
      <w:r>
        <w:t xml:space="preserve">); SEALING / TYING-OFF the vessel (</w:t>
      </w:r>
      <w:r>
        <w:rPr>
          <w:i/>
          <w:iCs/>
        </w:rPr>
        <w:t xml:space="preserve">kaẓm</w:t>
      </w:r>
      <w:r>
        <w:t xml:space="preserve"> </w:t>
      </w:r>
      <w:r>
        <w:t xml:space="preserve">as waterskin closure; Ibn Manẓūr,</w:t>
      </w:r>
      <w:r>
        <w:t xml:space="preserve"> </w:t>
      </w:r>
      <w:r>
        <w:rPr>
          <w:i/>
          <w:iCs/>
        </w:rPr>
        <w:t xml:space="preserve">Lisān</w:t>
      </w:r>
      <w:r>
        <w:t xml:space="preserve"> </w:t>
      </w:r>
      <w:r>
        <w:t xml:space="preserve">12:519, s.v. </w:t>
      </w:r>
      <w:r>
        <w:rPr>
          <w:i/>
          <w:iCs/>
        </w:rPr>
        <w:t xml:space="preserve">k-ẓ-m</w:t>
      </w:r>
      <w:r>
        <w:t xml:space="preserve">) → AGENT-INTERNAL SUPPRESSION; SEPARATION OF CONSTITUENTS within the vessel → VESSEL-INTERNAL FAILURE MODE (the</w:t>
      </w:r>
      <w:r>
        <w:t xml:space="preserve"> </w:t>
      </w:r>
      <w:r>
        <w:rPr>
          <w:i/>
          <w:iCs/>
        </w:rPr>
        <w:t xml:space="preserve">tamayyuz</w:t>
      </w:r>
      <w:r>
        <w:t xml:space="preserve"> </w:t>
      </w:r>
      <w:r>
        <w:t xml:space="preserve">construal, §4.7.2). The triad maps tightly onto stages (2)–(4) of the Lakoff–Kövecses scenario, with Q. 67:8 providing an unusually transparent linguistic crystallisation of stage (4).</w:t>
      </w:r>
    </w:p>
    <w:bookmarkEnd w:id="29"/>
    <w:bookmarkStart w:id="30" w:name="Xafa2e98522be81f1a4b523c2aa15e41e1aa53e1"/>
    <w:p>
      <w:pPr>
        <w:pStyle w:val="Heading4"/>
      </w:pPr>
      <w:r>
        <w:t xml:space="preserve">2.3.2. Cultural Linguistics: universal schema, Qur’anic elaboration</w:t>
      </w:r>
    </w:p>
    <w:p>
      <w:pPr>
        <w:pStyle w:val="FirstParagraph"/>
      </w:pPr>
      <w:r>
        <w:t xml:space="preserve">Sharifian’s (2011) Cultural Linguistics distinguishes what is universal in CMT from what is culturally elaborated. The primary metaphors are cross-linguistically robust and find support in the Qur’anic data, consistent with CMT’s universalist claim. The</w:t>
      </w:r>
      <w:r>
        <w:t xml:space="preserve"> </w:t>
      </w:r>
      <w:r>
        <w:rPr>
          <w:i/>
          <w:iCs/>
        </w:rPr>
        <w:t xml:space="preserve">culturally elaborated</w:t>
      </w:r>
      <w:r>
        <w:t xml:space="preserve"> </w:t>
      </w:r>
      <w:r>
        <w:t xml:space="preserve">layer — the Qur’an’s distribution of affect across</w:t>
      </w:r>
      <w:r>
        <w:t xml:space="preserve"> </w:t>
      </w:r>
      <w:r>
        <w:rPr>
          <w:i/>
          <w:iCs/>
        </w:rPr>
        <w:t xml:space="preserve">qalb</w:t>
      </w:r>
      <w:r>
        <w:t xml:space="preserve">,</w:t>
      </w:r>
      <w:r>
        <w:t xml:space="preserve"> </w:t>
      </w:r>
      <w:r>
        <w:rPr>
          <w:i/>
          <w:iCs/>
        </w:rPr>
        <w:t xml:space="preserve">ṣadr</w:t>
      </w:r>
      <w:r>
        <w:t xml:space="preserve">, and</w:t>
      </w:r>
      <w:r>
        <w:t xml:space="preserve"> </w:t>
      </w:r>
      <w:r>
        <w:rPr>
          <w:i/>
          <w:iCs/>
        </w:rPr>
        <w:t xml:space="preserve">nafs</w:t>
      </w:r>
      <w:r>
        <w:t xml:space="preserve"> </w:t>
      </w:r>
      <w:r>
        <w:t xml:space="preserve">as differentiated loci, the moral commendation of</w:t>
      </w:r>
      <w:r>
        <w:t xml:space="preserve"> </w:t>
      </w:r>
      <w:r>
        <w:rPr>
          <w:i/>
          <w:iCs/>
        </w:rPr>
        <w:t xml:space="preserve">kaẓm</w:t>
      </w:r>
      <w:r>
        <w:t xml:space="preserve"> </w:t>
      </w:r>
      <w:r>
        <w:t xml:space="preserve">in the</w:t>
      </w:r>
      <w:r>
        <w:t xml:space="preserve"> </w:t>
      </w:r>
      <w:r>
        <w:rPr>
          <w:i/>
          <w:iCs/>
        </w:rPr>
        <w:t xml:space="preserve">taqwā</w:t>
      </w:r>
      <w:r>
        <w:t xml:space="preserve"> </w:t>
      </w:r>
      <w:r>
        <w:t xml:space="preserve">register, and the</w:t>
      </w:r>
      <w:r>
        <w:t xml:space="preserve"> </w:t>
      </w:r>
      <w:r>
        <w:rPr>
          <w:i/>
          <w:iCs/>
        </w:rPr>
        <w:t xml:space="preserve">tamayyuz</w:t>
      </w:r>
      <w:r>
        <w:t xml:space="preserve"> </w:t>
      </w:r>
      <w:r>
        <w:t xml:space="preserve">construal of Q. 67:8 — is what the Qur’anic data illuminate beyond the universalist baseline (returned to in §5.4).</w:t>
      </w:r>
    </w:p>
    <w:bookmarkEnd w:id="30"/>
    <w:bookmarkEnd w:id="31"/>
    <w:bookmarkStart w:id="35" w:name="the-integrated-framework"/>
    <w:p>
      <w:pPr>
        <w:pStyle w:val="Heading3"/>
      </w:pPr>
      <w:r>
        <w:t xml:space="preserve">2.4. The integrated framework</w:t>
      </w:r>
    </w:p>
    <w:p>
      <w:pPr>
        <w:pStyle w:val="FirstParagraph"/>
      </w:pPr>
      <w:r>
        <w:t xml:space="preserve">Izutsu identifies field boundaries; scalar semantics orders members along the action-intensity dimension; CMT grounds the pressurisation-collapse complex metaphor organising Stage 5.</w:t>
      </w:r>
    </w:p>
    <w:p>
      <w:r>
        <w:pict>
          <v:rect style="width:0;height:1.5pt" o:hralign="center" o:hrstd="t" o:hr="t"/>
        </w:pict>
      </w:r>
    </w:p>
    <w:p>
      <w:pPr>
        <w:pStyle w:val="CaptionedFigure"/>
      </w:pPr>
      <w:r>
        <w:drawing>
          <wp:inline>
            <wp:extent cx="5334000" cy="2054577"/>
            <wp:effectExtent b="0" l="0" r="0" t="0"/>
            <wp:docPr descr="Figure 1. The six-stage Qur’anic anger-spectrum continuum along the action-intensity axis; node area scales with QAC attestation frequency. S1 pre-anger displeasure (ʾff–krh); S2 inner pressure (ḍyq–ḥzn–ʾsf); S3 evaluative aversion (nqm–sxṭ–mqt); S4 active anger (ghḍb–ḥrd); S5 compressed/explosive rage (ghyẓ; tamayyuz manifestation); S6 behavioural outcomes (bghy–ṭghy–ʿtw) with bidirectional causation (§4.8.5)." title="" id="33" name="Picture"/>
            <a:graphic>
              <a:graphicData uri="http://schemas.openxmlformats.org/drawingml/2006/picture">
                <pic:pic>
                  <pic:nvPicPr>
                    <pic:cNvPr descr="fig1_continuum_v2.png" id="34" name="Picture"/>
                    <pic:cNvPicPr>
                      <a:picLocks noChangeArrowheads="1" noChangeAspect="1"/>
                    </pic:cNvPicPr>
                  </pic:nvPicPr>
                  <pic:blipFill>
                    <a:blip r:embed="rId32"/>
                    <a:stretch>
                      <a:fillRect/>
                    </a:stretch>
                  </pic:blipFill>
                  <pic:spPr bwMode="auto">
                    <a:xfrm>
                      <a:off x="0" y="0"/>
                      <a:ext cx="5334000" cy="205457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six-stage Qur’anic anger-spectrum continuum along the action-intensity axis; node area scales with QAC attestation frequency.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ghḍb–ḥrd</w:t>
      </w:r>
      <w:r>
        <w:t xml:space="preserve">); S5 compressed/explosive rage (</w:t>
      </w:r>
      <w:r>
        <w:rPr>
          <w:i/>
          <w:iCs/>
        </w:rPr>
        <w:t xml:space="preserve">ghyẓ</w:t>
      </w:r>
      <w:r>
        <w:t xml:space="preserve">;</w:t>
      </w:r>
      <w:r>
        <w:t xml:space="preserve"> </w:t>
      </w:r>
      <w:r>
        <w:rPr>
          <w:i/>
          <w:iCs/>
        </w:rPr>
        <w:t xml:space="preserve">tamayyuz</w:t>
      </w:r>
      <w:r>
        <w:t xml:space="preserve"> </w:t>
      </w:r>
      <w:r>
        <w:t xml:space="preserve">manifestation); S6 behavioural outcomes (</w:t>
      </w:r>
      <w:r>
        <w:rPr>
          <w:i/>
          <w:iCs/>
        </w:rPr>
        <w:t xml:space="preserve">bghy–ṭghy–ʿtw</w:t>
      </w:r>
      <w:r>
        <w:t xml:space="preserve">) with bidirectional causation (§4.8.5).</w:t>
      </w:r>
    </w:p>
    <w:bookmarkEnd w:id="35"/>
    <w:bookmarkEnd w:id="36"/>
    <w:bookmarkStart w:id="49" w:name="methods"/>
    <w:p>
      <w:pPr>
        <w:pStyle w:val="Heading2"/>
      </w:pPr>
      <w:r>
        <w:t xml:space="preserve">3. Methods</w:t>
      </w:r>
    </w:p>
    <w:bookmarkStart w:id="3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v0.4 (Dukes 2011, GPL): a morphologically tagged record for each of the 128,219 segmentable units, specifying location, surface form (Buckwalter), POS, and morphological features. Verse text in Uthmanic</w:t>
      </w:r>
      <w:r>
        <w:t xml:space="preserve"> </w:t>
      </w:r>
      <w:r>
        <w:rPr>
          <w:i/>
          <w:iCs/>
        </w:rPr>
        <w:t xml:space="preserve">rasm</w:t>
      </w:r>
      <w:r>
        <w:t xml:space="preserve"> </w:t>
      </w:r>
      <w:r>
        <w:t xml:space="preserve">and Meccan/Medinan sura classification are drawn from the Tanzil project (2008, CC-BY-ND 3.0).</w:t>
      </w:r>
    </w:p>
    <w:bookmarkEnd w:id="37"/>
    <w:bookmarkStart w:id="38" w:name="selection-of-target-roots"/>
    <w:p>
      <w:pPr>
        <w:pStyle w:val="Heading3"/>
      </w:pPr>
      <w:r>
        <w:t xml:space="preserve">3.2. Selection of target roots</w:t>
      </w:r>
    </w:p>
    <w:p>
      <w:pPr>
        <w:pStyle w:val="FirstParagraph"/>
      </w:pPr>
      <w:r>
        <w:t xml:space="preserve">The fourteen core roots were selected by three concurrent criteria: (i)</w:t>
      </w:r>
      <w:r>
        <w:t xml:space="preserve"> </w:t>
      </w:r>
      <w:r>
        <w:rPr>
          <w:i/>
          <w:iCs/>
        </w:rPr>
        <w:t xml:space="preserve">exegetical centrality</w:t>
      </w:r>
      <w:r>
        <w:t xml:space="preserve"> </w:t>
      </w:r>
      <w:r>
        <w:t xml:space="preserve">— focal reference in at least three of the four authoritative lexica (</w:t>
      </w:r>
      <w:r>
        <w:rPr>
          <w:i/>
          <w:iCs/>
        </w:rPr>
        <w:t xml:space="preserve">Maqāyīs</w:t>
      </w:r>
      <w:r>
        <w:t xml:space="preserve">,</w:t>
      </w:r>
      <w:r>
        <w:t xml:space="preserve"> </w:t>
      </w:r>
      <w:r>
        <w:rPr>
          <w:i/>
          <w:iCs/>
        </w:rPr>
        <w:t xml:space="preserve">Mufradāt</w:t>
      </w:r>
      <w:r>
        <w:t xml:space="preserve">,</w:t>
      </w:r>
      <w:r>
        <w:t xml:space="preserve"> </w:t>
      </w:r>
      <w:r>
        <w:rPr>
          <w:i/>
          <w:iCs/>
        </w:rPr>
        <w:t xml:space="preserve">Lisān</w:t>
      </w:r>
      <w:r>
        <w:t xml:space="preserve">, al-Mostafawi’s</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hapax legomena (</w:t>
      </w:r>
      <w:r>
        <w:rPr>
          <w:i/>
          <w:iCs/>
        </w:rPr>
        <w:t xml:space="preserve">ḥard</w:t>
      </w:r>
      <w:r>
        <w:t xml:space="preserve">, Q. 68:25) when supported by three of the four lexica and consistent</w:t>
      </w:r>
      <w:r>
        <w:t xml:space="preserve"> </w:t>
      </w:r>
      <w:r>
        <w:rPr>
          <w:i/>
          <w:iCs/>
        </w:rPr>
        <w:t xml:space="preserve">tafsīr</w:t>
      </w:r>
      <w:r>
        <w:t xml:space="preserve"> </w:t>
      </w:r>
      <w:r>
        <w:t xml:space="preserve">treatment; (iii)</w:t>
      </w:r>
      <w:r>
        <w:t xml:space="preserve"> </w:t>
      </w:r>
      <w:r>
        <w:rPr>
          <w:i/>
          <w:iCs/>
        </w:rPr>
        <w:t xml:space="preserve">thematic membership</w:t>
      </w:r>
      <w:r>
        <w:t xml:space="preserve"> </w:t>
      </w:r>
      <w:r>
        <w:t xml:space="preserve">without significant overlap with adjacent fields. Excluded candidates (transparency):</w:t>
      </w:r>
      <w:r>
        <w:t xml:space="preserve"> </w:t>
      </w:r>
      <w:r>
        <w:rPr>
          <w:i/>
          <w:iCs/>
        </w:rPr>
        <w:t xml:space="preserve">q-h-r</w:t>
      </w:r>
      <w:r>
        <w:t xml:space="preserve">,</w:t>
      </w:r>
      <w:r>
        <w:t xml:space="preserve"> </w:t>
      </w:r>
      <w:r>
        <w:rPr>
          <w:i/>
          <w:iCs/>
        </w:rPr>
        <w:t xml:space="preserve">ḥ-n-q</w:t>
      </w:r>
      <w:r>
        <w:t xml:space="preserve"> </w:t>
      </w:r>
      <w:r>
        <w:t xml:space="preserve">(not attested),</w:t>
      </w:r>
      <w:r>
        <w:t xml:space="preserve"> </w:t>
      </w:r>
      <w:r>
        <w:rPr>
          <w:i/>
          <w:iCs/>
        </w:rPr>
        <w:t xml:space="preserve">ʿ-n-f</w:t>
      </w:r>
      <w:r>
        <w:t xml:space="preserve">,</w:t>
      </w:r>
      <w:r>
        <w:t xml:space="preserve"> </w:t>
      </w:r>
      <w:r>
        <w:rPr>
          <w:i/>
          <w:iCs/>
        </w:rPr>
        <w:t xml:space="preserve">ḍ-r-b</w:t>
      </w:r>
      <w:r>
        <w:t xml:space="preserve">,</w:t>
      </w:r>
      <w:r>
        <w:t xml:space="preserve"> </w:t>
      </w:r>
      <w:r>
        <w:rPr>
          <w:i/>
          <w:iCs/>
        </w:rPr>
        <w:t xml:space="preserve">q-ṣ-w</w:t>
      </w:r>
      <w:r>
        <w:t xml:space="preserve">/</w:t>
      </w:r>
      <w:r>
        <w:rPr>
          <w:i/>
          <w:iCs/>
        </w:rPr>
        <w:t xml:space="preserve">q-s-y</w:t>
      </w:r>
      <w:r>
        <w:t xml:space="preserve">,</w:t>
      </w:r>
      <w:r>
        <w:t xml:space="preserve"> </w:t>
      </w:r>
      <w:r>
        <w:rPr>
          <w:i/>
          <w:iCs/>
        </w:rPr>
        <w:t xml:space="preserve">gh-l-ẓ</w:t>
      </w:r>
      <w:r>
        <w:t xml:space="preserve">,</w:t>
      </w:r>
      <w:r>
        <w:t xml:space="preserve"> </w:t>
      </w:r>
      <w:r>
        <w:rPr>
          <w:i/>
          <w:iCs/>
        </w:rPr>
        <w:t xml:space="preserve">ʾ-n-f</w:t>
      </w:r>
      <w:r>
        <w:t xml:space="preserve">,</w:t>
      </w:r>
      <w:r>
        <w:t xml:space="preserve"> </w:t>
      </w:r>
      <w:r>
        <w:rPr>
          <w:i/>
          <w:iCs/>
        </w:rPr>
        <w:t xml:space="preserve">š-n-ʾ</w:t>
      </w:r>
      <w:r>
        <w:t xml:space="preserve">.</w:t>
      </w:r>
      <w:r>
        <w:t xml:space="preserve"> </w:t>
      </w:r>
      <w:r>
        <w:rPr>
          <w:i/>
          <w:iCs/>
        </w:rPr>
        <w:t xml:space="preserve">Karh</w:t>
      </w:r>
      <w:r>
        <w:t xml:space="preserve"> </w:t>
      </w:r>
      <w:r>
        <w:t xml:space="preserve">is borderline —</w:t>
      </w:r>
      <w:r>
        <w:t xml:space="preserve"> </w:t>
      </w:r>
      <w:r>
        <w:rPr>
          <w:i/>
          <w:iCs/>
        </w:rPr>
        <w:t xml:space="preserve">karāha</w:t>
      </w:r>
      <w:r>
        <w:t xml:space="preserve"> </w:t>
      </w:r>
      <w:r>
        <w:t xml:space="preserve">affective,</w:t>
      </w:r>
      <w:r>
        <w:t xml:space="preserve"> </w:t>
      </w:r>
      <w:r>
        <w:rPr>
          <w:i/>
          <w:iCs/>
        </w:rPr>
        <w:t xml:space="preserve">ikrāh</w:t>
      </w:r>
      <w:r>
        <w:t xml:space="preserve"> </w:t>
      </w:r>
      <w:r>
        <w:t xml:space="preserve">structural — included on the</w:t>
      </w:r>
      <w:r>
        <w:t xml:space="preserve"> </w:t>
      </w:r>
      <w:r>
        <w:rPr>
          <w:i/>
          <w:iCs/>
        </w:rPr>
        <w:t xml:space="preserve">karāha</w:t>
      </w:r>
      <w:r>
        <w:t xml:space="preserve"> </w:t>
      </w:r>
      <w:r>
        <w:t xml:space="preserve">sense (§4.3.1). Five umbrella moral terms (</w:t>
      </w:r>
      <w:r>
        <w:rPr>
          <w:i/>
          <w:iCs/>
        </w:rPr>
        <w:t xml:space="preserve">šnʾ, jrm, fsq, ẓlm, ʿdw</w:t>
      </w:r>
      <w:r>
        <w:t xml:space="preserve">) are used for robustness (§4.9) and cross-field co-occurrence (Table 4); excluded from the principal continuum because of inflated cardinality (</w:t>
      </w:r>
      <w:r>
        <w:rPr>
          <w:i/>
          <w:iCs/>
        </w:rPr>
        <w:t xml:space="preserve">ẓlm</w:t>
      </w:r>
      <w:r>
        <w:t xml:space="preserve"> </w:t>
      </w:r>
      <w:r>
        <w:t xml:space="preserve">n = 315 functions as a meta-category) or adjacency to normative-ethics fields.</w:t>
      </w:r>
    </w:p>
    <w:bookmarkEnd w:id="38"/>
    <w:bookmarkStart w:id="43" w:name="computational-pipeline"/>
    <w:p>
      <w:pPr>
        <w:pStyle w:val="Heading3"/>
      </w:pPr>
      <w:r>
        <w:t xml:space="preserve">3.3. Computational pipeline</w:t>
      </w:r>
    </w:p>
    <w:p>
      <w:pPr>
        <w:pStyle w:val="FirstParagraph"/>
      </w:pPr>
      <w:r>
        <w:t xml:space="preserve">The Python (MIT-licensed) pipeline parses the QAC morphology file, filters on target roots, collapses multi-segment morphemes to surface words, joins sura-level Meccan/Medinan metadata, and emits master and per-root concordances, distributional summaries, and network/centrality CSVs; the complete analysis is reproducible from a fresh clone in four commands.</w:t>
      </w:r>
      <w:r>
        <w:rPr>
          <w:rStyle w:val="FootnoteReference"/>
        </w:rPr>
        <w:footnoteReference w:id="39"/>
      </w:r>
    </w:p>
    <w:p>
      <w:pPr>
        <w:pStyle w:val="CaptionedFigure"/>
      </w:pPr>
      <w:r>
        <w:drawing>
          <wp:inline>
            <wp:extent cx="5067300" cy="3586089"/>
            <wp:effectExtent b="0" l="0" r="0" t="0"/>
            <wp:docPr descr="Figure 8. End-to-end pipeline from corpus to findings: QAC v0.4 and Tanzil sources → Buckwalter→Unicode parse → fourteen spectrum + five umbrella-moral root selection → distributional, network, tafsīr-coding, and translation-audit analyses → 312 attestations, figures, and Stage-6 causation breakdown. The pipeline is deterministic." title="" id="41" name="Picture"/>
            <a:graphic>
              <a:graphicData uri="http://schemas.openxmlformats.org/drawingml/2006/picture">
                <pic:pic>
                  <pic:nvPicPr>
                    <pic:cNvPr descr="fig8_methodology.png" id="42" name="Picture"/>
                    <pic:cNvPicPr>
                      <a:picLocks noChangeArrowheads="1" noChangeAspect="1"/>
                    </pic:cNvPicPr>
                  </pic:nvPicPr>
                  <pic:blipFill>
                    <a:blip r:embed="rId40"/>
                    <a:stretch>
                      <a:fillRect/>
                    </a:stretch>
                  </pic:blipFill>
                  <pic:spPr bwMode="auto">
                    <a:xfrm>
                      <a:off x="0" y="0"/>
                      <a:ext cx="5067300" cy="358608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End-to-end pipeline from corpus to findings: QAC v0.4 and Tanzil sources → Buckwalter→Unicode parse → fourteen spectrum + five umbrella-moral root selection → distributional, network,</w:t>
      </w:r>
      <w:r>
        <w:t xml:space="preserve"> </w:t>
      </w:r>
      <w:r>
        <w:rPr>
          <w:i/>
          <w:iCs/>
        </w:rPr>
        <w:t xml:space="preserve">tafsīr</w:t>
      </w:r>
      <w:r>
        <w:t xml:space="preserve">-coding, and translation-audit analyses → 312 attestations, figures, and Stage-6 causation breakdown. The pipeline is deterministic.</w:t>
      </w:r>
    </w:p>
    <w:bookmarkEnd w:id="43"/>
    <w:bookmarkStart w:id="46" w:name="quantitative-analyses"/>
    <w:p>
      <w:pPr>
        <w:pStyle w:val="Heading3"/>
      </w:pPr>
      <w:r>
        <w:t xml:space="preserve">3.4. Quantitative analyses</w:t>
      </w:r>
    </w:p>
    <w:p>
      <w:pPr>
        <w:pStyle w:val="FirstParagraph"/>
      </w:pPr>
      <w:r>
        <w:t xml:space="preserve">Quantitative tests beyond frequency tabulation: (a) χ²(5) and χ²(1) on uniform-stage and S1–5/S6 nulls, with a marginal-preserving permutation null (Cochran 1954; Patefield 1981; Mehta and Patel 1983; Agresti 2013, §3.5);</w:t>
      </w:r>
      <w:r>
        <w:rPr>
          <w:rStyle w:val="FootnoteReference"/>
        </w:rPr>
        <w:footnoteReference w:id="44"/>
      </w:r>
      <w:r>
        <w:t xml:space="preserve"> </w:t>
      </w:r>
      <w:r>
        <w:t xml:space="preserve">(b) three monotonic-trend tests (Spearman ρ, Mann–Kendall, Cochran–Armitage-style OLS slope); (c) two-sided exact binomials against the 0.74 Meccan-ayat baseline, Holm–Bonferroni-adjusted over the family of fourteen per-root tests, with sensitivity tables at baselines 0.70–0.78 and a family-size sensitivity check;</w:t>
      </w:r>
      <w:r>
        <w:rPr>
          <w:rStyle w:val="FootnoteReference"/>
        </w:rPr>
        <w:footnoteReference w:id="45"/>
      </w:r>
      <w:r>
        <w:t xml:space="preserve"> </w:t>
      </w:r>
      <w:r>
        <w:t xml:space="preserve">(d) morphological breakdown by POS; (e) aya-level co-occurrence network (cf. Mottaghi et al. 2024) with weighted degree, betweenness, closeness, and eigenvector centrality, bootstrap 95% percentile CIs (10,000 ayat-resamples; fixed RNG seed).</w:t>
      </w:r>
    </w:p>
    <w:bookmarkEnd w:id="46"/>
    <w:bookmarkStart w:id="47" w:name="qualitative-analyses"/>
    <w:p>
      <w:pPr>
        <w:pStyle w:val="Heading3"/>
      </w:pPr>
      <w:r>
        <w:t xml:space="preserve">3.5. Qualitative analyses</w:t>
      </w:r>
    </w:p>
    <w:p>
      <w:pPr>
        <w:pStyle w:val="FirstParagraph"/>
      </w:pPr>
      <w:r>
        <w:t xml:space="preserve">Qualitative complements: (a) comparative etymology across the four lexica (Table 1); (b) comparative</w:t>
      </w:r>
      <w:r>
        <w:t xml:space="preserve"> </w:t>
      </w:r>
      <w:r>
        <w:rPr>
          <w:i/>
          <w:iCs/>
        </w:rPr>
        <w:t xml:space="preserve">tafsīr</w:t>
      </w:r>
      <w:r>
        <w:t xml:space="preserve"> </w:t>
      </w:r>
      <w:r>
        <w:t xml:space="preserve">on nine commentaries — al-Ṭabāṭabāʾī, al-Zamakhsharī, al-Ṭabarsī, Ibn ʿĀshūr, al-Ṭabarī, al-Qurṭubī, Ibn Kathīr, Sayyid Quṭb, ʿAbduh–Riḍā, with al-Qushayrī’s</w:t>
      </w:r>
      <w:r>
        <w:t xml:space="preserve"> </w:t>
      </w:r>
      <w:r>
        <w:rPr>
          <w:i/>
          <w:iCs/>
        </w:rPr>
        <w:t xml:space="preserve">Laṭāʾif al-Ishārāt</w:t>
      </w:r>
      <w:r>
        <w:t xml:space="preserve"> </w:t>
      </w:r>
      <w:r>
        <w:t xml:space="preserve">for Sufi cross-checking on</w:t>
      </w:r>
      <w:r>
        <w:t xml:space="preserve"> </w:t>
      </w:r>
      <w:r>
        <w:rPr>
          <w:i/>
          <w:iCs/>
        </w:rPr>
        <w:t xml:space="preserve">kaẓm al-ghayẓ</w:t>
      </w:r>
      <w:r>
        <w:t xml:space="preserve">;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ḍāqa dharʿan</w:t>
      </w:r>
      <w:r>
        <w:t xml:space="preserve">); (d) illustrative translation-criticism on five English translations at canonical exemplar verses (§4.10).</w:t>
      </w:r>
    </w:p>
    <w:bookmarkEnd w:id="47"/>
    <w:bookmarkStart w:id="48" w:name="validity-check"/>
    <w:p>
      <w:pPr>
        <w:pStyle w:val="Heading3"/>
      </w:pPr>
      <w:r>
        <w:t xml:space="preserve">3.6. Validity check</w:t>
      </w:r>
    </w:p>
    <w:p>
      <w:pPr>
        <w:pStyle w:val="FirstParagraph"/>
      </w:pPr>
      <w:r>
        <w:t xml:space="preserve">Fourteen headline exemplar verses — one per core root — were independently verified against the corpus output (Q. 17:23, 2:216, 15:97, 2:38, 43:55, 7:126, 47:28, 40:10, 48:6, 68:25, 3:134 [with Q. 67:8</w:t>
      </w:r>
      <w:r>
        <w:t xml:space="preserve"> </w:t>
      </w:r>
      <w:r>
        <w:rPr>
          <w:i/>
          <w:iCs/>
        </w:rPr>
        <w:t xml:space="preserve">tamayyuz</w:t>
      </w:r>
      <w:r>
        <w:t xml:space="preserve">], 42:42, 96:6, 25:21); all matched the Uthmani edition.</w:t>
      </w:r>
    </w:p>
    <w:p>
      <w:r>
        <w:pict>
          <v:rect style="width:0;height:1.5pt" o:hralign="center" o:hrstd="t" o:hr="t"/>
        </w:pict>
      </w:r>
    </w:p>
    <w:bookmarkEnd w:id="48"/>
    <w:bookmarkEnd w:id="49"/>
    <w:bookmarkStart w:id="79" w:name="findings"/>
    <w:p>
      <w:pPr>
        <w:pStyle w:val="Heading2"/>
      </w:pPr>
      <w:r>
        <w:t xml:space="preserve">4. Findings</w:t>
      </w:r>
    </w:p>
    <w:bookmarkStart w:id="50" w:name="the-four-lexicon-etymology-table"/>
    <w:p>
      <w:pPr>
        <w:pStyle w:val="Heading3"/>
      </w:pPr>
      <w:r>
        <w:t xml:space="preserve">4.1. The four-lexicon etymology table</w:t>
      </w:r>
    </w:p>
    <w:p>
      <w:pPr>
        <w:pStyle w:val="FirstParagraph"/>
      </w:pPr>
      <w:r>
        <w:t xml:space="preserve">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(al-Mostafawi)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w:t>
            </w:r>
            <w:r>
              <w:rPr>
                <w:i/>
                <w:iCs/>
              </w:rPr>
              <w:t xml:space="preserve">kalimatu taḍajjurin</w:t>
            </w:r>
            <w:r>
              <w:t xml:space="preserve">”</w:t>
            </w:r>
            <w:r>
              <w:t xml:space="preserve"> </w:t>
            </w:r>
            <w:r>
              <w:t xml:space="preserve">(a word of vexation);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(al-Rāghib)</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transgressing the limit, with</w:t>
            </w:r>
            <w:r>
              <w:t xml:space="preserve"> </w:t>
            </w:r>
            <w:r>
              <w:rPr>
                <w:i/>
                <w:iCs/>
              </w:rPr>
              <w:t xml:space="preserve">istikbār</w:t>
            </w:r>
            <w:r>
              <w:t xml:space="preserve">-attachment as collocational feature</w:t>
            </w:r>
          </w:p>
        </w:tc>
        <w:tc>
          <w:tcPr/>
          <w:p>
            <w:pPr>
              <w:pStyle w:val="Compact"/>
              <w:jc w:val="left"/>
            </w:pPr>
            <w:r>
              <w:t xml:space="preserve">entrenched rebellious posture (a property of moral character)</w:t>
            </w:r>
          </w:p>
        </w:tc>
      </w:tr>
    </w:tbl>
    <w:p>
      <w:pPr>
        <w:pStyle w:val="BodyText"/>
      </w:pPr>
      <w:r>
        <w:t xml:space="preserve">The table grounds two distinct claims at different evidential strengths. The</w:t>
      </w:r>
      <w:r>
        <w:t xml:space="preserve"> </w:t>
      </w:r>
      <w:r>
        <w:rPr>
          <w:i/>
          <w:iCs/>
        </w:rPr>
        <w:t xml:space="preserve">pairwise ordering relations</w:t>
      </w:r>
      <w:r>
        <w:t xml:space="preserve"> </w:t>
      </w:r>
      <w:r>
        <w:t xml:space="preserve">among many root-pairs (e.g. </w:t>
      </w:r>
      <w:r>
        <w:rPr>
          <w:i/>
          <w:iCs/>
        </w:rPr>
        <w:t xml:space="preserve">uff</w:t>
      </w:r>
      <w:r>
        <w:t xml:space="preserve"> </w:t>
      </w:r>
      <w:r>
        <w:t xml:space="preserve">&lt;</w:t>
      </w:r>
      <w:r>
        <w:t xml:space="preserve"> </w:t>
      </w:r>
      <w:r>
        <w:rPr>
          <w:i/>
          <w:iCs/>
        </w:rPr>
        <w:t xml:space="preserve">ghaḍab</w:t>
      </w:r>
      <w:r>
        <w:t xml:space="preserve">;</w:t>
      </w:r>
      <w:r>
        <w:t xml:space="preserve"> </w:t>
      </w:r>
      <w:r>
        <w:rPr>
          <w:i/>
          <w:iCs/>
        </w:rPr>
        <w:t xml:space="preserve">karāha</w:t>
      </w:r>
      <w:r>
        <w:t xml:space="preserve"> </w:t>
      </w:r>
      <w:r>
        <w:t xml:space="preserve">&lt;</w:t>
      </w:r>
      <w:r>
        <w:t xml:space="preserve"> </w:t>
      </w:r>
      <w:r>
        <w:rPr>
          <w:i/>
          <w:iCs/>
        </w:rPr>
        <w:t xml:space="preserve">maqt</w:t>
      </w:r>
      <w:r>
        <w:t xml:space="preserve">;</w:t>
      </w:r>
      <w:r>
        <w:t xml:space="preserve"> </w:t>
      </w:r>
      <w:r>
        <w:rPr>
          <w:i/>
          <w:iCs/>
        </w:rPr>
        <w:t xml:space="preserve">ghaḍab</w:t>
      </w:r>
      <w:r>
        <w:t xml:space="preserve"> </w:t>
      </w:r>
      <w:r>
        <w:t xml:space="preserve">&lt;</w:t>
      </w:r>
      <w:r>
        <w:t xml:space="preserve"> </w:t>
      </w:r>
      <w:r>
        <w:rPr>
          <w:i/>
          <w:iCs/>
        </w:rPr>
        <w:t xml:space="preserve">ghayẓ</w:t>
      </w:r>
      <w:r>
        <w:t xml:space="preserve">;</w:t>
      </w:r>
      <w:r>
        <w:t xml:space="preserve"> </w:t>
      </w:r>
      <w:r>
        <w:rPr>
          <w:i/>
          <w:iCs/>
        </w:rPr>
        <w:t xml:space="preserve">naqm</w:t>
      </w:r>
      <w:r>
        <w:t xml:space="preserve"> </w:t>
      </w:r>
      <w:r>
        <w:t xml:space="preserve">&lt;</w:t>
      </w:r>
      <w:r>
        <w:t xml:space="preserve"> </w:t>
      </w:r>
      <w:r>
        <w:rPr>
          <w:i/>
          <w:iCs/>
        </w:rPr>
        <w:t xml:space="preserve">baghy</w:t>
      </w:r>
      <w:r>
        <w:t xml:space="preserve">) are internally encoded in the lexicographic tradition: the four authoritative lexica already gloss each root with progressively externalised and structural meanings. The</w:t>
      </w:r>
      <w:r>
        <w:t xml:space="preserve"> </w:t>
      </w:r>
      <w:r>
        <w:rPr>
          <w:i/>
          <w:iCs/>
        </w:rPr>
        <w:t xml:space="preserve">partition into six discrete phenomenological stages</w:t>
      </w:r>
      <w:r>
        <w:t xml:space="preserve">, by contrast, is the analytical contribution of the present study, licensed jointly by the lexicographic ordering, the</w:t>
      </w:r>
      <w:r>
        <w:t xml:space="preserve"> </w:t>
      </w:r>
      <w:r>
        <w:rPr>
          <w:i/>
          <w:iCs/>
        </w:rPr>
        <w:t xml:space="preserve">tafsīr</w:t>
      </w:r>
      <w:r>
        <w:t xml:space="preserve"> </w:t>
      </w:r>
      <w:r>
        <w:t xml:space="preserve">readings of §§4.3–4.8, and the morphological and distributional evidence of §4.2.</w:t>
      </w:r>
    </w:p>
    <w:bookmarkEnd w:id="50"/>
    <w:bookmarkStart w:id="61" w:name="distributional-summary"/>
    <w:p>
      <w:pPr>
        <w:pStyle w:val="Heading3"/>
      </w:pPr>
      <w:r>
        <w:t xml:space="preserve">4.2. Distributional summary</w:t>
      </w:r>
    </w:p>
    <w:p>
      <w:pPr>
        <w:pStyle w:val="FirstParagraph"/>
      </w:pPr>
      <w:r>
        <w:t xml:space="preserve">Table 2 and Figures 2–5 report the principal distributional facts for the fourteen roots: per-root and per-stage frequency, Meccan/Medinan split, and morphological breakdown by POS.</w:t>
      </w:r>
    </w:p>
    <w:p>
      <w:pPr>
        <w:pStyle w:val="BodyText"/>
      </w:pPr>
      <w:r>
        <w:rPr>
          <w:b/>
          <w:bCs/>
        </w:rPr>
        <w:t xml:space="preserve">Table 2. Distributional profile of the fourteen core roots (Wilson-score 95% CIs on the Meccan-rate point estimate; baseline = 0.74)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Md</w:t>
            </w:r>
          </w:p>
        </w:tc>
        <w:tc>
          <w:tcPr/>
          <w:p>
            <w:pPr>
              <w:pStyle w:val="Compact"/>
              <w:jc w:val="center"/>
            </w:pPr>
            <w:r>
              <w:t xml:space="preserve">M-rate (95% CI)</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1.00 [0.44, 1.00]</w:t>
            </w:r>
          </w:p>
        </w:tc>
        <w:tc>
          <w:tcPr/>
          <w:p>
            <w:pPr>
              <w:pStyle w:val="Compact"/>
              <w:jc w:val="left"/>
            </w:pPr>
            <w:r>
              <w:t xml:space="preserve">All Meccan;</w:t>
            </w:r>
            <w:r>
              <w:t xml:space="preserve"> </w:t>
            </w:r>
            <w:r>
              <w:rPr>
                <w:i/>
                <w:iCs/>
              </w:rPr>
              <w:t xml:space="preserve">n</w:t>
            </w:r>
            <w:r>
              <w:t xml:space="preserve"> </w:t>
            </w:r>
            <w:r>
              <w:t xml:space="preserve">too small for inference</w:t>
            </w:r>
          </w:p>
        </w:tc>
      </w:tr>
      <w:tr>
        <w:tc>
          <w:tcPr/>
          <w:p>
            <w:pPr>
              <w:pStyle w:val="Compact"/>
              <w:jc w:val="center"/>
            </w:pPr>
            <w:r>
              <w:t xml:space="preserve">1</w:t>
            </w:r>
          </w:p>
        </w:tc>
        <w:tc>
          <w:tcPr/>
          <w:p>
            <w:pPr>
              <w:pStyle w:val="Compact"/>
              <w:jc w:val="center"/>
            </w:pPr>
            <w:r>
              <w:t xml:space="preserve">krh</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center"/>
            </w:pPr>
            <w:r>
              <w:t xml:space="preserve">0.34 [0.22, 0.49]</w:t>
            </w:r>
          </w:p>
        </w:tc>
        <w:tc>
          <w:tcPr/>
          <w:p>
            <w:pPr>
              <w:pStyle w:val="Compact"/>
              <w:jc w:val="left"/>
            </w:pPr>
            <w:r>
              <w:t xml:space="preserve">Medinan-tilted, CI excludes baseline; Holm-adj. ≈ 1.4 × 10⁻⁶</w:t>
            </w:r>
          </w:p>
        </w:tc>
      </w:tr>
      <w:tr>
        <w:tc>
          <w:tcPr/>
          <w:p>
            <w:pPr>
              <w:pStyle w:val="Compact"/>
              <w:jc w:val="center"/>
            </w:pPr>
            <w:r>
              <w:t xml:space="preserve">2</w:t>
            </w:r>
          </w:p>
        </w:tc>
        <w:tc>
          <w:tcPr/>
          <w:p>
            <w:pPr>
              <w:pStyle w:val="Compact"/>
              <w:jc w:val="center"/>
            </w:pPr>
            <w:r>
              <w:t xml:space="preserve">ḍyq</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0.69 [0.42, 0.87]</w:t>
            </w:r>
          </w:p>
        </w:tc>
        <w:tc>
          <w:tcPr/>
          <w:p>
            <w:pPr>
              <w:pStyle w:val="Compact"/>
              <w:jc w:val="left"/>
            </w:pPr>
            <w:r>
              <w:t xml:space="preserve">CI includes baseline; inner constriction</w:t>
            </w:r>
          </w:p>
        </w:tc>
      </w:tr>
      <w:tr>
        <w:tc>
          <w:tcPr/>
          <w:p>
            <w:pPr>
              <w:pStyle w:val="Compact"/>
              <w:jc w:val="center"/>
            </w:pPr>
            <w:r>
              <w:t xml:space="preserve">2</w:t>
            </w:r>
          </w:p>
        </w:tc>
        <w:tc>
          <w:tcPr/>
          <w:p>
            <w:pPr>
              <w:pStyle w:val="Compact"/>
              <w:jc w:val="center"/>
            </w:pPr>
            <w:r>
              <w:t xml:space="preserve">ḥzn</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center"/>
            </w:pPr>
            <w:r>
              <w:t xml:space="preserve">0.62 [0.47, 0.75]</w:t>
            </w:r>
          </w:p>
        </w:tc>
        <w:tc>
          <w:tcPr/>
          <w:p>
            <w:pPr>
              <w:pStyle w:val="Compact"/>
              <w:jc w:val="left"/>
            </w:pPr>
            <w:r>
              <w:t xml:space="preserve">CI includes baseline; valence transversal (§4.4.2)</w:t>
            </w:r>
          </w:p>
        </w:tc>
      </w:tr>
      <w:tr>
        <w:tc>
          <w:tcPr/>
          <w:p>
            <w:pPr>
              <w:pStyle w:val="Compact"/>
              <w:jc w:val="center"/>
            </w:pPr>
            <w:r>
              <w:t xml:space="preserve">2</w:t>
            </w:r>
          </w:p>
        </w:tc>
        <w:tc>
          <w:tcPr/>
          <w:p>
            <w:pPr>
              <w:pStyle w:val="Compact"/>
              <w:jc w:val="center"/>
            </w:pPr>
            <w:r>
              <w:t xml:space="preserve">ʾsf</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1.00 [0.57, 1.00]</w:t>
            </w:r>
          </w:p>
        </w:tc>
        <w:tc>
          <w:tcPr/>
          <w:p>
            <w:pPr>
              <w:pStyle w:val="Compact"/>
              <w:jc w:val="left"/>
            </w:pPr>
            <w:r>
              <w:t xml:space="preserve">Underpowered; CI excludes baseline at boundary only</w:t>
            </w:r>
          </w:p>
        </w:tc>
      </w:tr>
      <w:tr>
        <w:tc>
          <w:tcPr/>
          <w:p>
            <w:pPr>
              <w:pStyle w:val="Compact"/>
              <w:jc w:val="center"/>
            </w:pPr>
            <w:r>
              <w:t xml:space="preserve">3</w:t>
            </w:r>
          </w:p>
        </w:tc>
        <w:tc>
          <w:tcPr/>
          <w:p>
            <w:pPr>
              <w:pStyle w:val="Compact"/>
              <w:jc w:val="center"/>
            </w:pPr>
            <w:r>
              <w:t xml:space="preserve">nqm</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0.71 [0.47, 0.87]</w:t>
            </w:r>
          </w:p>
        </w:tc>
        <w:tc>
          <w:tcPr/>
          <w:p>
            <w:pPr>
              <w:pStyle w:val="Compact"/>
              <w:jc w:val="left"/>
            </w:pPr>
            <w:r>
              <w:t xml:space="preserve">CI includes baseline; not FDR-significant</w:t>
            </w:r>
          </w:p>
        </w:tc>
      </w:tr>
      <w:tr>
        <w:tc>
          <w:tcPr/>
          <w:p>
            <w:pPr>
              <w:pStyle w:val="Compact"/>
              <w:jc w:val="center"/>
            </w:pPr>
            <w:r>
              <w:t xml:space="preserve">3</w:t>
            </w:r>
          </w:p>
        </w:tc>
        <w:tc>
          <w:tcPr/>
          <w:p>
            <w:pPr>
              <w:pStyle w:val="Compact"/>
              <w:jc w:val="center"/>
            </w:pPr>
            <w:r>
              <w:t xml:space="preserve">sxṭ</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0.00 [0.00, 0.49]</w:t>
            </w:r>
          </w:p>
        </w:tc>
        <w:tc>
          <w:tcPr/>
          <w:p>
            <w:pPr>
              <w:pStyle w:val="Compact"/>
              <w:jc w:val="left"/>
            </w:pPr>
            <w:r>
              <w:t xml:space="preserve">CI excludes baseline; Holm-adj. = 0.050</w:t>
            </w:r>
          </w:p>
        </w:tc>
      </w:tr>
      <w:tr>
        <w:tc>
          <w:tcPr/>
          <w:p>
            <w:pPr>
              <w:pStyle w:val="Compact"/>
              <w:jc w:val="center"/>
            </w:pPr>
            <w:r>
              <w:t xml:space="preserve">3</w:t>
            </w:r>
          </w:p>
        </w:tc>
        <w:tc>
          <w:tcPr/>
          <w:p>
            <w:pPr>
              <w:pStyle w:val="Compact"/>
              <w:jc w:val="center"/>
            </w:pPr>
            <w:r>
              <w:t xml:space="preserve">mqt</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0.67 [0.30, 0.90]</w:t>
            </w:r>
          </w:p>
        </w:tc>
        <w:tc>
          <w:tcPr/>
          <w:p>
            <w:pPr>
              <w:pStyle w:val="Compact"/>
              <w:jc w:val="left"/>
            </w:pPr>
            <w:r>
              <w:t xml:space="preserve">Wide CI; includes baseline</w:t>
            </w:r>
          </w:p>
        </w:tc>
      </w:tr>
      <w:tr>
        <w:tc>
          <w:tcPr/>
          <w:p>
            <w:pPr>
              <w:pStyle w:val="Compact"/>
              <w:jc w:val="center"/>
            </w:pPr>
            <w:r>
              <w:t xml:space="preserve">4</w:t>
            </w:r>
          </w:p>
        </w:tc>
        <w:tc>
          <w:tcPr/>
          <w:p>
            <w:pPr>
              <w:pStyle w:val="Compact"/>
              <w:jc w:val="center"/>
            </w:pPr>
            <w:r>
              <w:t xml:space="preserve">ghḍb</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0.54 [0.35, 0.72]</w:t>
            </w:r>
          </w:p>
        </w:tc>
        <w:tc>
          <w:tcPr/>
          <w:p>
            <w:pPr>
              <w:pStyle w:val="Compact"/>
              <w:jc w:val="left"/>
            </w:pPr>
            <w:r>
              <w:t xml:space="preserve">CI excludes 0.74 baseline; central anger lexeme</w:t>
            </w:r>
          </w:p>
        </w:tc>
      </w:tr>
      <w:tr>
        <w:tc>
          <w:tcPr/>
          <w:p>
            <w:pPr>
              <w:pStyle w:val="Compact"/>
              <w:jc w:val="center"/>
            </w:pPr>
            <w:r>
              <w:t xml:space="preserve">4</w:t>
            </w:r>
          </w:p>
        </w:tc>
        <w:tc>
          <w:tcPr/>
          <w:p>
            <w:pPr>
              <w:pStyle w:val="Compact"/>
              <w:jc w:val="center"/>
            </w:pPr>
            <w:r>
              <w:t xml:space="preserve">ḥrd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left"/>
            </w:pPr>
            <w:r>
              <w:t xml:space="preserve">Hapax: sūrat al-Qalam, Q. 68:25</w:t>
            </w:r>
          </w:p>
        </w:tc>
      </w:tr>
      <w:tr>
        <w:tc>
          <w:tcPr/>
          <w:p>
            <w:pPr>
              <w:pStyle w:val="Compact"/>
              <w:jc w:val="center"/>
            </w:pPr>
            <w:r>
              <w:t xml:space="preserve">5</w:t>
            </w:r>
          </w:p>
        </w:tc>
        <w:tc>
          <w:tcPr/>
          <w:p>
            <w:pPr>
              <w:pStyle w:val="Compact"/>
              <w:jc w:val="center"/>
            </w:pPr>
            <w:r>
              <w:t xml:space="preserve">ghyẓ</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center"/>
            </w:pPr>
            <w:r>
              <w:t xml:space="preserve">0.27 [0.10, 0.57]</w:t>
            </w:r>
          </w:p>
        </w:tc>
        <w:tc>
          <w:tcPr/>
          <w:p>
            <w:pPr>
              <w:pStyle w:val="Compact"/>
              <w:jc w:val="left"/>
            </w:pPr>
            <w:r>
              <w:t xml:space="preserve">Medinan-tilted; Holm-adj. ≈ 1.9 × 10⁻² — survives FDR</w:t>
            </w:r>
          </w:p>
        </w:tc>
      </w:tr>
      <w:tr>
        <w:tc>
          <w:tcPr/>
          <w:p>
            <w:pPr>
              <w:pStyle w:val="Compact"/>
              <w:jc w:val="center"/>
            </w:pPr>
            <w:r>
              <w:t xml:space="preserve">6</w:t>
            </w:r>
          </w:p>
        </w:tc>
        <w:tc>
          <w:tcPr/>
          <w:p>
            <w:pPr>
              <w:pStyle w:val="Compact"/>
              <w:jc w:val="center"/>
            </w:pPr>
            <w:r>
              <w:t xml:space="preserve">bghy</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center"/>
            </w:pPr>
            <w:r>
              <w:t xml:space="preserve">0.57 [0.47, 0.67]</w:t>
            </w:r>
          </w:p>
        </w:tc>
        <w:tc>
          <w:tcPr/>
          <w:p>
            <w:pPr>
              <w:pStyle w:val="Compact"/>
              <w:jc w:val="left"/>
            </w:pPr>
            <w:r>
              <w:t xml:space="preserve">CI excludes baseline; Holm-adj. ≈ 5.3 × 10⁻³ — survives FDR; bridge node (§4.8.5)</w:t>
            </w:r>
          </w:p>
        </w:tc>
      </w:tr>
      <w:tr>
        <w:tc>
          <w:tcPr/>
          <w:p>
            <w:pPr>
              <w:pStyle w:val="Compact"/>
              <w:jc w:val="center"/>
            </w:pPr>
            <w:r>
              <w:t xml:space="preserve">6</w:t>
            </w:r>
          </w:p>
        </w:tc>
        <w:tc>
          <w:tcPr/>
          <w:p>
            <w:pPr>
              <w:pStyle w:val="Compact"/>
              <w:jc w:val="center"/>
            </w:pPr>
            <w:r>
              <w:t xml:space="preserve">ṭghy</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center"/>
            </w:pPr>
            <w:r>
              <w:t xml:space="preserve">0.74 [0.59, 0.85]</w:t>
            </w:r>
          </w:p>
        </w:tc>
        <w:tc>
          <w:tcPr/>
          <w:p>
            <w:pPr>
              <w:pStyle w:val="Compact"/>
              <w:jc w:val="left"/>
            </w:pPr>
            <w:r>
              <w:t xml:space="preserve">CI includes baseline; not FDR-significant</w:t>
            </w:r>
          </w:p>
        </w:tc>
      </w:tr>
      <w:tr>
        <w:tc>
          <w:tcPr/>
          <w:p>
            <w:pPr>
              <w:pStyle w:val="Compact"/>
              <w:jc w:val="center"/>
            </w:pPr>
            <w:r>
              <w:t xml:space="preserve">6</w:t>
            </w:r>
          </w:p>
        </w:tc>
        <w:tc>
          <w:tcPr/>
          <w:p>
            <w:pPr>
              <w:pStyle w:val="Compact"/>
              <w:jc w:val="center"/>
            </w:pPr>
            <w:r>
              <w:t xml:space="preserve">ʿtw</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0.90 [0.60, 0.98]</w:t>
            </w:r>
          </w:p>
        </w:tc>
        <w:tc>
          <w:tcPr/>
          <w:p>
            <w:pPr>
              <w:pStyle w:val="Compact"/>
              <w:jc w:val="left"/>
            </w:pPr>
            <w:r>
              <w:t xml:space="preserve">CI includes baseline;</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jc w:val="center"/>
            </w:pPr>
            <w:r>
              <w:t xml:space="preserve">—</w:t>
            </w:r>
          </w:p>
        </w:tc>
        <w:tc>
          <w:tcPr/>
          <w:p>
            <w:pPr>
              <w:pStyle w:val="Compact"/>
            </w:pPr>
          </w:p>
        </w:tc>
      </w:tr>
    </w:tbl>
    <w:p>
      <w:pPr>
        <w:pStyle w:val="BodyText"/>
      </w:pPr>
      <w:r>
        <w:t xml:space="preserve">We lead the small-</w:t>
      </w:r>
      <w:r>
        <w:rPr>
          <w:i/>
          <w:iCs/>
        </w:rPr>
        <w:t xml:space="preserve">n</w:t>
      </w:r>
      <w:r>
        <w:t xml:space="preserve"> </w:t>
      </w:r>
      <w:r>
        <w:t xml:space="preserve">roots (</w:t>
      </w:r>
      <w:r>
        <w:rPr>
          <w:i/>
          <w:iCs/>
        </w:rPr>
        <w:t xml:space="preserve">asaf</w:t>
      </w:r>
      <w:r>
        <w:t xml:space="preserve"> </w:t>
      </w:r>
      <w:r>
        <w:t xml:space="preserve">at</w:t>
      </w:r>
      <w:r>
        <w:t xml:space="preserve"> </w:t>
      </w:r>
      <w:r>
        <w:rPr>
          <w:i/>
          <w:iCs/>
        </w:rPr>
        <w:t xml:space="preserve">n</w:t>
      </w:r>
      <w:r>
        <w:t xml:space="preserve"> </w:t>
      </w:r>
      <w:r>
        <w:t xml:space="preserve">= 5,</w:t>
      </w:r>
      <w:r>
        <w:t xml:space="preserve"> </w:t>
      </w:r>
      <w:r>
        <w:rPr>
          <w:i/>
          <w:iCs/>
        </w:rPr>
        <w:t xml:space="preserve">sakhaṭ</w:t>
      </w:r>
      <w:r>
        <w:t xml:space="preserve"> </w:t>
      </w:r>
      <w:r>
        <w:t xml:space="preserve">at</w:t>
      </w:r>
      <w:r>
        <w:t xml:space="preserve"> </w:t>
      </w:r>
      <w:r>
        <w:rPr>
          <w:i/>
          <w:iCs/>
        </w:rPr>
        <w:t xml:space="preserve">n</w:t>
      </w:r>
      <w:r>
        <w:t xml:space="preserve"> </w:t>
      </w:r>
      <w:r>
        <w:t xml:space="preserve">= 4,</w:t>
      </w:r>
      <w:r>
        <w:t xml:space="preserve"> </w:t>
      </w:r>
      <w:r>
        <w:rPr>
          <w:i/>
          <w:iCs/>
        </w:rPr>
        <w:t xml:space="preserve">mqt</w:t>
      </w:r>
      <w:r>
        <w:t xml:space="preserve"> </w:t>
      </w:r>
      <w:r>
        <w:t xml:space="preserve">at</w:t>
      </w:r>
      <w:r>
        <w:t xml:space="preserve"> </w:t>
      </w:r>
      <w:r>
        <w:rPr>
          <w:i/>
          <w:iCs/>
        </w:rPr>
        <w:t xml:space="preserve">n</w:t>
      </w:r>
      <w:r>
        <w:t xml:space="preserve"> </w:t>
      </w:r>
      <w:r>
        <w:t xml:space="preserve">= 6) with the Wilson-score CI rather than the</w:t>
      </w:r>
      <w:r>
        <w:t xml:space="preserve"> </w:t>
      </w:r>
      <w:r>
        <w:rPr>
          <w:i/>
          <w:iCs/>
        </w:rPr>
        <w:t xml:space="preserve">p</w:t>
      </w:r>
      <w:r>
        <w:t xml:space="preserve">-value; the Holm-Bonferroni adjustment then carries the inferential weight across the family.</w:t>
      </w:r>
    </w:p>
    <w:p>
      <w:pPr>
        <w:pStyle w:val="BodyText"/>
      </w:pPr>
      <w:r>
        <w:t xml:space="preserve">Across the six stages: S1 = 44; S2 = 60; S3 = 27; S4 = 25; S5 = 11; S6 = 145. Two distinct nulls bear on these data, answering different questions. The</w:t>
      </w:r>
      <w:r>
        <w:t xml:space="preserve"> </w:t>
      </w:r>
      <w:r>
        <w:rPr>
          <w:i/>
          <w:iCs/>
        </w:rPr>
        <w:t xml:space="preserve">uniform-six-stage null</w:t>
      </w:r>
      <w:r>
        <w:t xml:space="preserve"> </w:t>
      </w:r>
      <w:r>
        <w:t xml:space="preserve">(is the per-stage distribution uniform?) is unambiguously rejected by the asymptotic χ²(5) = 227.15,</w:t>
      </w:r>
      <w:r>
        <w:t xml:space="preserve"> </w:t>
      </w:r>
      <w:r>
        <w:rPr>
          <w:i/>
          <w:iCs/>
        </w:rPr>
        <w:t xml:space="preserve">p</w:t>
      </w:r>
      <w:r>
        <w:t xml:space="preserve"> </w:t>
      </w:r>
      <w:r>
        <w:t xml:space="preserve">&lt; 0.001 (Cramér’s</w:t>
      </w:r>
      <w:r>
        <w:t xml:space="preserve"> </w:t>
      </w:r>
      <w:r>
        <w:rPr>
          <w:i/>
          <w:iCs/>
        </w:rPr>
        <w:t xml:space="preserve">V</w:t>
      </w:r>
      <w:r>
        <w:t xml:space="preserve"> </w:t>
      </w:r>
      <w:r>
        <w:t xml:space="preserve">= 0.38, Cohen’s</w:t>
      </w:r>
      <w:r>
        <w:t xml:space="preserve"> </w:t>
      </w:r>
      <w:r>
        <w:rPr>
          <w:i/>
          <w:iCs/>
        </w:rPr>
        <w:t xml:space="preserve">w</w:t>
      </w:r>
      <w:r>
        <w:t xml:space="preserve"> </w:t>
      </w:r>
      <w:r>
        <w:t xml:space="preserve">= 0.85), since</w:t>
      </w:r>
      <w:r>
        <w:t xml:space="preserve"> </w:t>
      </w:r>
      <w:r>
        <w:rPr>
          <w:i/>
          <w:iCs/>
        </w:rPr>
        <w:t xml:space="preserve">baghy</w:t>
      </w:r>
      <w:r>
        <w:t xml:space="preserve"> </w:t>
      </w:r>
      <w:r>
        <w:t xml:space="preserve">alone supplies 96 of 312 attestations. A</w:t>
      </w:r>
      <w:r>
        <w:t xml:space="preserve"> </w:t>
      </w:r>
      <w:r>
        <w:rPr>
          <w:i/>
          <w:iCs/>
        </w:rPr>
        <w:t xml:space="preserve">marginal-preserving permutation null</w:t>
      </w:r>
      <w:r>
        <w:t xml:space="preserve"> </w:t>
      </w:r>
      <w:r>
        <w:t xml:space="preserve">holding per-root counts fixed and randomly permuting the fourteen stage labels tests instead</w:t>
      </w:r>
      <w:r>
        <w:t xml:space="preserve"> </w:t>
      </w:r>
      <w:r>
        <w:t xml:space="preserve">“</w:t>
      </w:r>
      <w:r>
        <w:rPr>
          <w:i/>
          <w:iCs/>
        </w:rPr>
        <w:t xml:space="preserve">conditional on baghy’s mass-dominance</w:t>
      </w:r>
      <w:r>
        <w:t xml:space="preserve">, is our partition more skewed than a random six-binning of the same roots?”</w:t>
      </w:r>
      <w:r>
        <w:t xml:space="preserve"> </w:t>
      </w:r>
      <w:r>
        <w:t xml:space="preserve">— the empirical</w:t>
      </w:r>
      <w:r>
        <w:t xml:space="preserve"> </w:t>
      </w:r>
      <w:r>
        <w:rPr>
          <w:i/>
          <w:iCs/>
        </w:rPr>
        <w:t xml:space="preserve">p</w:t>
      </w:r>
      <w:r>
        <w:t xml:space="preserve"> </w:t>
      </w:r>
      <w:r>
        <w:t xml:space="preserve">= 0.24 says no. This is not evidence that the distribution is uniform (already ruled out); it is evidence that the omnibus χ² cannot discriminate our partition from alternative six-bin partitions of the same roots. The structural case for the six-stage architecture rests on the qualitative evidence of §4.1 and §4.3–§4.8 together with the morphological-gradient and Meccan/Medinan-specialisation evidence below.</w:t>
      </w:r>
    </w:p>
    <w:p>
      <w:pPr>
        <w:pStyle w:val="BodyText"/>
      </w:pPr>
      <w:r>
        <w:t xml:space="preserve">The S1–5/S6 χ²(1) = 1.55 (Cohen’s</w:t>
      </w:r>
      <w:r>
        <w:t xml:space="preserve"> </w:t>
      </w:r>
      <w:r>
        <w:rPr>
          <w:i/>
          <w:iCs/>
        </w:rPr>
        <w:t xml:space="preserve">w</w:t>
      </w:r>
      <w:r>
        <w:t xml:space="preserve"> </w:t>
      </w:r>
      <w:r>
        <w:t xml:space="preserve">= 0.07) fails to reject equal split between the phenomenological core (167) and the behavioural pole (145) — absence of evidence of a difference,</w:t>
      </w:r>
      <w:r>
        <w:t xml:space="preserve"> </w:t>
      </w:r>
      <w:r>
        <w:rPr>
          <w:i/>
          <w:iCs/>
        </w:rPr>
        <w:t xml:space="preserve">consistent with</w:t>
      </w:r>
      <w:r>
        <w:t xml:space="preserve"> </w:t>
      </w:r>
      <w:r>
        <w:t xml:space="preserve">the bidirectional-causation reading of §4.8.5 and §5.3.</w:t>
      </w:r>
    </w:p>
    <w:bookmarkStart w:id="60" w:name="monotonic-trend-tests"/>
    <w:p>
      <w:pPr>
        <w:pStyle w:val="Heading4"/>
      </w:pPr>
      <w:r>
        <w:t xml:space="preserve">4.2.1. Monotonic-trend tests</w:t>
      </w:r>
    </w:p>
    <w:p>
      <w:pPr>
        <w:pStyle w:val="FirstParagraph"/>
      </w:pPr>
      <w:r>
        <w:t xml:space="preserve">Three monotonic-trend tests of stage rank against attestation frequency all fail to reject the no-trend null: Spearman ρ = –0.09 (</w:t>
      </w:r>
      <w:r>
        <w:rPr>
          <w:i/>
          <w:iCs/>
        </w:rPr>
        <w:t xml:space="preserve">p</w:t>
      </w:r>
      <w:r>
        <w:t xml:space="preserve"> </w:t>
      </w:r>
      <w:r>
        <w:t xml:space="preserve">= 0.85), Mann–Kendall</w:t>
      </w:r>
      <w:r>
        <w:t xml:space="preserve"> </w:t>
      </w:r>
      <w:r>
        <w:rPr>
          <w:i/>
          <w:iCs/>
        </w:rPr>
        <w:t xml:space="preserve">z</w:t>
      </w:r>
      <w:r>
        <w:t xml:space="preserve"> </w:t>
      </w:r>
      <w:r>
        <w:t xml:space="preserve">= –0.38 (</w:t>
      </w:r>
      <w:r>
        <w:rPr>
          <w:i/>
          <w:iCs/>
        </w:rPr>
        <w:t xml:space="preserve">p</w:t>
      </w:r>
      <w:r>
        <w:t xml:space="preserve"> </w:t>
      </w:r>
      <w:r>
        <w:t xml:space="preserve">= 0.71), Cochran–Armitage-style OLS slope = 10.17 (</w:t>
      </w:r>
      <w:r>
        <w:rPr>
          <w:i/>
          <w:iCs/>
        </w:rPr>
        <w:t xml:space="preserve">p</w:t>
      </w:r>
      <w:r>
        <w:t xml:space="preserve"> </w:t>
      </w:r>
      <w:r>
        <w:t xml:space="preserve">= 0.40). The continuum orders by</w:t>
      </w:r>
      <w:r>
        <w:t xml:space="preserve"> </w:t>
      </w:r>
      <w:r>
        <w:rPr>
          <w:i/>
          <w:iCs/>
        </w:rPr>
        <w:t xml:space="preserve">semantic intensity</w:t>
      </w:r>
      <w:r>
        <w:t xml:space="preserve">, not attestation frequency. The Qur’an is a closed hortatory text whose lexical weights are pedagogically determined: density is heaviest at the two poles of moral consequence (S1–2,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S6, the structural pathologies most frequently denounced), with S3–5 as middle-trajectory states. A flat trend is what the theory predicts.</w:t>
      </w:r>
    </w:p>
    <w:p>
      <w:pPr>
        <w:pStyle w:val="CaptionedFigure"/>
      </w:pPr>
      <w:r>
        <w:drawing>
          <wp:inline>
            <wp:extent cx="5067300" cy="1998707"/>
            <wp:effectExtent b="0" l="0" r="0" t="0"/>
            <wp:docPr descr="Figure 2. Per-root and per-stage frequency of the 312 core attestations. Left: per-root frequency (bar colour encodes stage). Right: stage totals S1 = 44, S2 = 60, S3 = 27, S4 = 25, S5 = 11, S6 = 145. χ²(5) = 227.15 asymptotic, but permutation null p = 0.24 (§4.2); S1–5/S6 χ²(1) = 1.55, consistent with the bidirectional-causation reading of §4.8.5." title="" id="52" name="Picture"/>
            <a:graphic>
              <a:graphicData uri="http://schemas.openxmlformats.org/drawingml/2006/picture">
                <pic:pic>
                  <pic:nvPicPr>
                    <pic:cNvPr descr="fig2_frequency_by_stage.png" id="53" name="Picture"/>
                    <pic:cNvPicPr>
                      <a:picLocks noChangeArrowheads="1" noChangeAspect="1"/>
                    </pic:cNvPicPr>
                  </pic:nvPicPr>
                  <pic:blipFill>
                    <a:blip r:embed="rId51"/>
                    <a:stretch>
                      <a:fillRect/>
                    </a:stretch>
                  </pic:blipFill>
                  <pic:spPr bwMode="auto">
                    <a:xfrm>
                      <a:off x="0" y="0"/>
                      <a:ext cx="5067300" cy="199870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Per-root and per-stage frequency of the 312 core attestations.</w:t>
      </w:r>
      <w:r>
        <w:t xml:space="preserve"> </w:t>
      </w:r>
      <w:r>
        <w:rPr>
          <w:i/>
          <w:iCs/>
        </w:rPr>
        <w:t xml:space="preserve">Left</w:t>
      </w:r>
      <w:r>
        <w:t xml:space="preserve">: per-root frequency (bar colour encodes stage).</w:t>
      </w:r>
      <w:r>
        <w:t xml:space="preserve"> </w:t>
      </w:r>
      <w:r>
        <w:rPr>
          <w:i/>
          <w:iCs/>
        </w:rPr>
        <w:t xml:space="preserve">Right</w:t>
      </w:r>
      <w:r>
        <w:t xml:space="preserve">: stage totals S1 = 44, S2 = 60, S3 = 27, S4 = 25, S5 = 11, S6 = 145. χ²(5) = 227.15 asymptotic, but permutation null</w:t>
      </w:r>
      <w:r>
        <w:t xml:space="preserve"> </w:t>
      </w:r>
      <w:r>
        <w:rPr>
          <w:i/>
          <w:iCs/>
        </w:rPr>
        <w:t xml:space="preserve">p</w:t>
      </w:r>
      <w:r>
        <w:t xml:space="preserve"> </w:t>
      </w:r>
      <w:r>
        <w:t xml:space="preserve">= 0.24 (§4.2); S1–5/S6 χ²(1) = 1.55, consistent with the bidirectional-causation reading of §4.8.5.</w:t>
      </w:r>
    </w:p>
    <w:p>
      <w:pPr>
        <w:pStyle w:val="CaptionedFigure"/>
      </w:pPr>
      <w:r>
        <w:drawing>
          <wp:inline>
            <wp:extent cx="5067300" cy="2155479"/>
            <wp:effectExtent b="0" l="0" r="0" t="0"/>
            <wp:docPr descr="Figure 3. Stacked Meccan/Medinan distribution. Three roots survive Holm-Bonferroni correction (α = 0.05): karh (Medinan), baghy (Meccan), and ghayẓ (Medinan); sakhaṭ at adj. p = 0.050. Asaf, naqm, ʿutuww tilts are contextual. The patterns instantiate discursive-contextual specialisation (§5.4)." title="" id="55" name="Picture"/>
            <a:graphic>
              <a:graphicData uri="http://schemas.openxmlformats.org/drawingml/2006/picture">
                <pic:pic>
                  <pic:nvPicPr>
                    <pic:cNvPr descr="fig3_meccan_medinan.png" id="56" name="Picture"/>
                    <pic:cNvPicPr>
                      <a:picLocks noChangeArrowheads="1" noChangeAspect="1"/>
                    </pic:cNvPicPr>
                  </pic:nvPicPr>
                  <pic:blipFill>
                    <a:blip r:embed="rId54"/>
                    <a:stretch>
                      <a:fillRect/>
                    </a:stretch>
                  </pic:blipFill>
                  <pic:spPr bwMode="auto">
                    <a:xfrm>
                      <a:off x="0" y="0"/>
                      <a:ext cx="5067300" cy="215547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Stacked Meccan/Medinan distribution. Three roots survive Holm-Bonferroni correction (α = 0.05):</w:t>
      </w:r>
      <w:r>
        <w:t xml:space="preserve"> </w:t>
      </w:r>
      <w:r>
        <w:rPr>
          <w:i/>
          <w:iCs/>
        </w:rPr>
        <w:t xml:space="preserve">karh</w:t>
      </w:r>
      <w:r>
        <w:t xml:space="preserve"> </w:t>
      </w:r>
      <w:r>
        <w:t xml:space="preserve">(Medinan),</w:t>
      </w:r>
      <w:r>
        <w:t xml:space="preserve"> </w:t>
      </w:r>
      <w:r>
        <w:rPr>
          <w:i/>
          <w:iCs/>
        </w:rPr>
        <w:t xml:space="preserve">baghy</w:t>
      </w:r>
      <w:r>
        <w:t xml:space="preserve"> </w:t>
      </w:r>
      <w:r>
        <w:t xml:space="preserve">(Meccan), and</w:t>
      </w:r>
      <w:r>
        <w:t xml:space="preserve"> </w:t>
      </w:r>
      <w:r>
        <w:rPr>
          <w:i/>
          <w:iCs/>
        </w:rPr>
        <w:t xml:space="preserve">ghayẓ</w:t>
      </w:r>
      <w:r>
        <w:t xml:space="preserve"> </w:t>
      </w:r>
      <w:r>
        <w:t xml:space="preserve">(Medinan);</w:t>
      </w:r>
      <w:r>
        <w:t xml:space="preserve"> </w:t>
      </w:r>
      <w:r>
        <w:rPr>
          <w:i/>
          <w:iCs/>
        </w:rPr>
        <w:t xml:space="preserve">sakhaṭ</w:t>
      </w:r>
      <w:r>
        <w:t xml:space="preserve"> </w:t>
      </w:r>
      <w:r>
        <w:t xml:space="preserve">at adj.</w:t>
      </w:r>
      <w:r>
        <w:t xml:space="preserve"> </w:t>
      </w:r>
      <w:r>
        <w:rPr>
          <w:i/>
          <w:iCs/>
        </w:rPr>
        <w:t xml:space="preserve">p</w:t>
      </w:r>
      <w:r>
        <w:t xml:space="preserve"> </w:t>
      </w:r>
      <w:r>
        <w:t xml:space="preserve">= 0.050.</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w:t>
      </w:r>
      <w:r>
        <w:t xml:space="preserve">tilts are contextual.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265359"/>
            <wp:effectExtent b="0" l="0" r="0" t="0"/>
            <wp:docPr descr="Figure 5. Morphological profile by POS. Verbal dominance at S1–2 (ḥzn 88% verbal, ḍyq 62%), nominalisation at S4 (ghḍb 16n/6v), peak nominality with participial forms at S6 (ṭāghūt, bāghin). The verbal→nominal gradient is independent corpus-internal evidence for the action-intensity continuum." title="" id="58" name="Picture"/>
            <a:graphic>
              <a:graphicData uri="http://schemas.openxmlformats.org/drawingml/2006/picture">
                <pic:pic>
                  <pic:nvPicPr>
                    <pic:cNvPr descr="fig5_morphology_stack.png" id="59" name="Picture"/>
                    <pic:cNvPicPr>
                      <a:picLocks noChangeArrowheads="1" noChangeAspect="1"/>
                    </pic:cNvPicPr>
                  </pic:nvPicPr>
                  <pic:blipFill>
                    <a:blip r:embed="rId57"/>
                    <a:stretch>
                      <a:fillRect/>
                    </a:stretch>
                  </pic:blipFill>
                  <pic:spPr bwMode="auto">
                    <a:xfrm>
                      <a:off x="0" y="0"/>
                      <a:ext cx="5067300" cy="226535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Morphological profile by POS. Verbal dominance at S1–2 (</w:t>
      </w:r>
      <w:r>
        <w:rPr>
          <w:i/>
          <w:iCs/>
        </w:rPr>
        <w:t xml:space="preserve">ḥzn</w:t>
      </w:r>
      <w:r>
        <w:t xml:space="preserve"> </w:t>
      </w:r>
      <w:r>
        <w:t xml:space="preserve">88% verbal,</w:t>
      </w:r>
      <w:r>
        <w:t xml:space="preserve"> </w:t>
      </w:r>
      <w:r>
        <w:rPr>
          <w:i/>
          <w:iCs/>
        </w:rPr>
        <w:t xml:space="preserve">ḍyq</w:t>
      </w:r>
      <w:r>
        <w:t xml:space="preserve"> </w:t>
      </w:r>
      <w:r>
        <w:t xml:space="preserve">62%), nominalisation at S4 (</w:t>
      </w:r>
      <w:r>
        <w:rPr>
          <w:i/>
          <w:iCs/>
        </w:rPr>
        <w:t xml:space="preserve">ghḍb</w:t>
      </w:r>
      <w:r>
        <w:t xml:space="preserve"> </w:t>
      </w:r>
      <w:r>
        <w:t xml:space="preserve">16n/6v), peak nominality with participial forms at S6 (</w:t>
      </w:r>
      <w:r>
        <w:rPr>
          <w:i/>
          <w:iCs/>
        </w:rPr>
        <w:t xml:space="preserve">ṭāghūt</w:t>
      </w:r>
      <w:r>
        <w:t xml:space="preserve">,</w:t>
      </w:r>
      <w:r>
        <w:t xml:space="preserve"> </w:t>
      </w:r>
      <w:r>
        <w:rPr>
          <w:i/>
          <w:iCs/>
        </w:rPr>
        <w:t xml:space="preserve">bāghin</w:t>
      </w:r>
      <w:r>
        <w:t xml:space="preserve">). The verbal→nominal gradient is independent corpus-internal evidence for the action-intensity continuum.</w:t>
      </w:r>
    </w:p>
    <w:bookmarkEnd w:id="60"/>
    <w:bookmarkEnd w:id="61"/>
    <w:bookmarkStart w:id="62" w:name="stage-1-pre-anger-displeasure"/>
    <w:p>
      <w:pPr>
        <w:pStyle w:val="Heading3"/>
      </w:pPr>
      <w:r>
        <w:t xml:space="preserve">4.3. Stage 1 — Pre-anger displeasure</w:t>
      </w:r>
    </w:p>
    <w:p>
      <w:pPr>
        <w:pStyle w:val="FirstParagraph"/>
      </w:pPr>
      <w:r>
        <w:rPr>
          <w:b/>
          <w:bCs/>
        </w:rPr>
        <w:t xml:space="preserve">4.3.1.</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w:t>
      </w:r>
      <w:r>
        <w:rPr>
          <w:i/>
          <w:iCs/>
        </w:rPr>
        <w:t xml:space="preserve">taḍajjur</w:t>
      </w:r>
      <w:r>
        <w:t xml:space="preserve">) is the Qur’anic register’s lowest verbal expression of displeasure. Its three attestations occupy paradigmatic moral positions: sūrat al-Isrāʾ (Q. 17:23) prohibits saying</w:t>
      </w:r>
      <w:r>
        <w:t xml:space="preserve"> </w:t>
      </w:r>
      <w:r>
        <w:rPr>
          <w:i/>
          <w:iCs/>
        </w:rPr>
        <w:t xml:space="preserve">uff</w:t>
      </w:r>
      <w:r>
        <w:t xml:space="preserve"> </w:t>
      </w:r>
      <w:r>
        <w:t xml:space="preserve">to one’s parents — the lowest sign of displeasure weighted at the highest relational stake; sūrat al-Anbiyāʾ (Q. 21:67) places it in Abraham’s mouth confronting idol-worshippers; sūrat al-Aḥqāf (Q. 46:17) ascribes it to a rebellious child reproaching believing parents.</w:t>
      </w:r>
    </w:p>
    <w:p>
      <w:pPr>
        <w:pStyle w:val="BodyText"/>
      </w:pPr>
      <w:r>
        <w:rPr>
          <w:b/>
          <w:bCs/>
        </w:rPr>
        <w:t xml:space="preserve">4.3.2.</w:t>
      </w:r>
      <w:r>
        <w:rPr>
          <w:b/>
          <w:bCs/>
        </w:rPr>
        <w:t xml:space="preserve"> </w:t>
      </w:r>
      <w:r>
        <w:rPr>
          <w:b/>
          <w:bCs/>
          <w:i/>
          <w:iCs/>
        </w:rPr>
        <w:t xml:space="preserve">Karh</w:t>
      </w:r>
      <w:r>
        <w:rPr>
          <w:b/>
          <w:bCs/>
        </w:rPr>
        <w:t xml:space="preserve"> </w:t>
      </w:r>
      <w:r>
        <w:rPr>
          <w:b/>
          <w:bCs/>
        </w:rPr>
        <w:t xml:space="preserve">(41; 14M/27Md; Holm-adj.</w:t>
      </w:r>
      <w:r>
        <w:rPr>
          <w:b/>
          <w:bCs/>
        </w:rPr>
        <w:t xml:space="preserve"> </w:t>
      </w:r>
      <w:r>
        <w:rPr>
          <w:b/>
          <w:bCs/>
          <w:i/>
          <w:iCs/>
        </w:rPr>
        <w:t xml:space="preserve">p</w:t>
      </w:r>
      <w:r>
        <w:rPr>
          <w:b/>
          <w:bCs/>
        </w:rPr>
        <w:t xml:space="preserve"> </w:t>
      </w:r>
      <w:r>
        <w:rPr>
          <w:b/>
          <w:bCs/>
        </w:rPr>
        <w:t xml:space="preserve">≈ 1.4 × 10⁻⁶ — survives FDR).</w:t>
      </w:r>
      <w:r>
        <w:t xml:space="preserve"> </w:t>
      </w:r>
      <w:r>
        <w:rPr>
          <w:i/>
          <w:iCs/>
        </w:rPr>
        <w:t xml:space="preserve">Karh</w:t>
      </w:r>
      <w:r>
        <w:t xml:space="preserve"> </w:t>
      </w:r>
      <w:r>
        <w:t xml:space="preserve">exhibits a twofold structure: inner</w:t>
      </w:r>
      <w:r>
        <w:t xml:space="preserve"> </w:t>
      </w:r>
      <w:r>
        <w:rPr>
          <w:i/>
          <w:iCs/>
        </w:rPr>
        <w:t xml:space="preserve">karāha</w:t>
      </w:r>
      <w:r>
        <w:t xml:space="preserve"> </w:t>
      </w:r>
      <w:r>
        <w:t xml:space="preserve">(pre-anger evaluative dislike, framed as reformable by sūrat al-Baqara, Q. 2:216,</w:t>
      </w:r>
      <w:r>
        <w:t xml:space="preserve"> </w:t>
      </w:r>
      <w:r>
        <w:rPr>
          <w:i/>
          <w:iCs/>
        </w:rPr>
        <w:t xml:space="preserve">ʿasā an takrahū shayʾan wa-huwa khayrun lakum</w:t>
      </w:r>
      <w:r>
        <w:t xml:space="preserve">; the S1 sense), and structural</w:t>
      </w:r>
      <w:r>
        <w:t xml:space="preserve"> </w:t>
      </w:r>
      <w:r>
        <w:rPr>
          <w:i/>
          <w:iCs/>
        </w:rPr>
        <w:t xml:space="preserve">ikrāh</w:t>
      </w:r>
      <w:r>
        <w:t xml:space="preserve"> </w:t>
      </w:r>
      <w:r>
        <w:t xml:space="preserve">(coercion — not an emotion but a structural extension into compulsion: Q. 2:256,</w:t>
      </w:r>
      <w:r>
        <w:t xml:space="preserve"> </w:t>
      </w:r>
      <w:r>
        <w:rPr>
          <w:i/>
          <w:iCs/>
        </w:rPr>
        <w:t xml:space="preserve">lā ikrāha fī al-dīn</w:t>
      </w:r>
      <w:r>
        <w:t xml:space="preserve">; Q. 16:106; Q. 24:33). Inclusion rests on the</w:t>
      </w:r>
      <w:r>
        <w:t xml:space="preserve"> </w:t>
      </w:r>
      <w:r>
        <w:rPr>
          <w:i/>
          <w:iCs/>
        </w:rPr>
        <w:t xml:space="preserve">karāha</w:t>
      </w:r>
      <w:r>
        <w:t xml:space="preserve"> </w:t>
      </w:r>
      <w:r>
        <w:t xml:space="preserve">sense; the structural</w:t>
      </w:r>
      <w:r>
        <w:t xml:space="preserve"> </w:t>
      </w:r>
      <w:r>
        <w:rPr>
          <w:i/>
          <w:iCs/>
        </w:rPr>
        <w:t xml:space="preserve">ikrāh</w:t>
      </w:r>
      <w:r>
        <w:t xml:space="preserve"> </w:t>
      </w:r>
      <w:r>
        <w:t xml:space="preserve">in Medinan community-discipline contexts (consent in marriage, freedom in religion) accounts for the Medinan tilt.</w:t>
      </w:r>
    </w:p>
    <w:bookmarkEnd w:id="62"/>
    <w:bookmarkStart w:id="63" w:name="stage-2-inner-pressure-and-contraction"/>
    <w:p>
      <w:pPr>
        <w:pStyle w:val="Heading3"/>
      </w:pPr>
      <w:r>
        <w:t xml:space="preserve">4.4. Stage 2 — Inner pressure and contraction</w:t>
      </w:r>
    </w:p>
    <w:p>
      <w:pPr>
        <w:pStyle w:val="FirstParagraph"/>
      </w:pPr>
      <w:r>
        <w:t xml:space="preserve">Stage 2 brings together three roots (</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 with sixty attestations.</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 constriction/narrowness; al-Rāghib opposes it to</w:t>
      </w:r>
      <w:r>
        <w:t xml:space="preserve"> </w:t>
      </w:r>
      <w:r>
        <w:rPr>
          <w:i/>
          <w:iCs/>
        </w:rPr>
        <w:t xml:space="preserve">saʿah</w:t>
      </w:r>
      <w:r>
        <w:t xml:space="preserve">. The root appears predominantly in</w:t>
      </w:r>
      <w:r>
        <w:t xml:space="preserve"> </w:t>
      </w:r>
      <w:r>
        <w:rPr>
          <w:i/>
          <w:iCs/>
        </w:rPr>
        <w:t xml:space="preserve">ḍīq al-ṣadr</w:t>
      </w:r>
      <w:r>
        <w:t xml:space="preserve"> </w:t>
      </w:r>
      <w:r>
        <w:t xml:space="preserve">(constriction of the chest), localising the experience to the embodied site (sūrat al-Ḥijr, Q. 15:97, the prophetic response to social rejection). Al-Ṭabāṭabāʾī (</w:t>
      </w:r>
      <w:r>
        <w:rPr>
          <w:i/>
          <w:iCs/>
        </w:rPr>
        <w:t xml:space="preserve">al-Mīzān</w:t>
      </w:r>
      <w:r>
        <w:t xml:space="preserve"> </w:t>
      </w:r>
      <w:r>
        <w:t xml:space="preserve">12:195, ad Q. 15:97:</w:t>
      </w:r>
      <w:r>
        <w:t xml:space="preserve"> </w:t>
      </w:r>
      <w:r>
        <w:rPr>
          <w:i/>
          <w:iCs/>
        </w:rPr>
        <w:t xml:space="preserve">wa-laqad naʿlamu annaka yaḍīqu ṣadruka bimā yaqūlūn</w:t>
      </w:r>
      <w:r>
        <w:t xml:space="preserve">) reads the verse as expressing divine</w:t>
      </w:r>
      <w:r>
        <w:t xml:space="preserve"> </w:t>
      </w:r>
      <w:r>
        <w:rPr>
          <w:i/>
          <w:iCs/>
        </w:rPr>
        <w:t xml:space="preserve">knowledge of</w:t>
      </w:r>
      <w:r>
        <w:t xml:space="preserve"> </w:t>
      </w:r>
      <w:r>
        <w:t xml:space="preserve">prophetic</w:t>
      </w:r>
      <w:r>
        <w:t xml:space="preserve"> </w:t>
      </w:r>
      <w:r>
        <w:rPr>
          <w:i/>
          <w:iCs/>
        </w:rPr>
        <w:t xml:space="preserve">ḍīq</w:t>
      </w:r>
      <w:r>
        <w:t xml:space="preserve"> </w:t>
      </w:r>
      <w:r>
        <w:t xml:space="preserve">rather than prohibition. The compound</w:t>
      </w:r>
      <w:r>
        <w:t xml:space="preserve"> </w:t>
      </w:r>
      <w:r>
        <w:rPr>
          <w:i/>
          <w:iCs/>
        </w:rPr>
        <w:t xml:space="preserve">ḍāqa bihim dharʿan</w:t>
      </w:r>
      <w:r>
        <w:t xml:space="preserve"> </w:t>
      </w:r>
      <w:r>
        <w:t xml:space="preserve">in the Lot narrative (sūrat Hūd, Q. 11:77/80) figures post-anger</w:t>
      </w:r>
      <w:r>
        <w:t xml:space="preserve"> </w:t>
      </w:r>
      <w:r>
        <w:rPr>
          <w:i/>
          <w:iCs/>
        </w:rPr>
        <w:t xml:space="preserve">blocked</w:t>
      </w:r>
      <w:r>
        <w:t xml:space="preserve"> </w:t>
      </w:r>
      <w:r>
        <w:t xml:space="preserve">aggression: trigger</w:t>
      </w:r>
      <w:r>
        <w:t xml:space="preserve"> </w:t>
      </w:r>
      <w:r>
        <w:rPr>
          <w:i/>
          <w:iCs/>
        </w:rPr>
        <w:t xml:space="preserve">sīʾa bihim</w:t>
      </w:r>
      <w:r>
        <w:t xml:space="preserve"> </w:t>
      </w:r>
      <w:r>
        <w:t xml:space="preserve">→ constriction → aspirational voicing</w:t>
      </w:r>
      <w:r>
        <w:t xml:space="preserve"> </w:t>
      </w:r>
      <w:r>
        <w:rPr>
          <w:i/>
          <w:iCs/>
        </w:rPr>
        <w:t xml:space="preserve">law anna lī bikum quwwatan</w:t>
      </w:r>
      <w:r>
        <w:t xml:space="preserve"> </w:t>
      </w:r>
      <w:r>
        <w:t xml:space="preserve">→ transfer of agency to the divine.</w:t>
      </w:r>
      <w:r>
        <w:t xml:space="preserve"> </w:t>
      </w:r>
      <w:r>
        <w:rPr>
          <w:i/>
          <w:iCs/>
        </w:rPr>
        <w:t xml:space="preserve">Ḍyq</w:t>
      </w:r>
      <w:r>
        <w:t xml:space="preserve"> </w:t>
      </w:r>
      <w:r>
        <w:t xml:space="preserve">thus sits at both poles of the spectrum (pre-anger contraction and upper-pressure inhibition); the morphological profile (8v / 3n / 1 ptcp) registers a transient, situationally-induced state.</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S2 lexeme (88% verbal). Ibn Manẓūr preserves the primary sense</w:t>
      </w:r>
      <w:r>
        <w:t xml:space="preserve"> </w:t>
      </w:r>
      <w:r>
        <w:t xml:space="preserve">“rugged, uneven ground”</w:t>
      </w:r>
      <w:r>
        <w:t xml:space="preserve">; the metaphorical extension figures grief as inner roughness (anticipating Kövecses 2000 on EMOTION IS A LANDSCAPE). Sūrat al-Baqara (Q. 2:38) pairs</w:t>
      </w:r>
      <w:r>
        <w:t xml:space="preserve"> </w:t>
      </w:r>
      <w:r>
        <w:rPr>
          <w:i/>
          <w:iCs/>
        </w:rPr>
        <w:t xml:space="preserve">ḥuzn</w:t>
      </w:r>
      <w:r>
        <w:t xml:space="preserve"> </w:t>
      </w:r>
      <w:r>
        <w:t xml:space="preserve">with</w:t>
      </w:r>
      <w:r>
        <w:t xml:space="preserve"> </w:t>
      </w:r>
      <w:r>
        <w:rPr>
          <w:i/>
          <w:iCs/>
        </w:rPr>
        <w:t xml:space="preserve">khawf</w:t>
      </w:r>
      <w:r>
        <w:t xml:space="preserve"> </w:t>
      </w:r>
      <w:r>
        <w:t xml:space="preserve">and opposes both to divinely-given guidance.</w:t>
      </w:r>
      <w:r>
        <w:t xml:space="preserve"> </w:t>
      </w:r>
      <w:r>
        <w:rPr>
          <w:i/>
          <w:iCs/>
        </w:rPr>
        <w:t xml:space="preserve">Ḥuzn</w:t>
      </w:r>
      <w:r>
        <w:t xml:space="preserve"> </w:t>
      </w:r>
      <w:r>
        <w:t xml:space="preserve">has four valences: standalone grief over loss (Jacob over Joseph, sūrat Yūsuf, Q. 12:84), externally-induced sorrow from being wronged, positive moral compunction (the affective register of</w:t>
      </w:r>
      <w:r>
        <w:t xml:space="preserve"> </w:t>
      </w:r>
      <w:r>
        <w:rPr>
          <w:i/>
          <w:iCs/>
        </w:rPr>
        <w:t xml:space="preserve">tawba</w:t>
      </w:r>
      <w:r>
        <w:t xml:space="preserve">), and anger turned inward when externally inhibited; inclusion at S2 is justified by corpus density and proximity of the second and fourth valences to the anger field.</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Al-Rāghib glosses</w:t>
      </w:r>
      <w:r>
        <w:t xml:space="preserve"> </w:t>
      </w:r>
      <w:r>
        <w:rPr>
          <w:i/>
          <w:iCs/>
        </w:rPr>
        <w:t xml:space="preserve">asaf</w:t>
      </w:r>
      <w:r>
        <w:t xml:space="preserve"> </w:t>
      </w:r>
      <w:r>
        <w:t xml:space="preserve">as the conjunction of grief and anger (</w:t>
      </w:r>
      <w:r>
        <w:rPr>
          <w:i/>
          <w:iCs/>
        </w:rPr>
        <w:t xml:space="preserve">al-jamʿ bayna al-ḥuzn wa-l-ghaḍab</w:t>
      </w:r>
      <w:r>
        <w:t xml:space="preserve">). Sūrat al-Zukhruf (Q. 43:55,</w:t>
      </w:r>
      <w:r>
        <w:t xml:space="preserve"> </w:t>
      </w:r>
      <w:r>
        <w:rPr>
          <w:i/>
          <w:iCs/>
        </w:rPr>
        <w:t xml:space="preserve">fa-lammā āsafūnā intaqamnā minhum</w:t>
      </w:r>
      <w:r>
        <w:t xml:space="preserve">) frames it as the immediate causal precursor of divine retribution (al-Ṭabarsī,</w:t>
      </w:r>
      <w:r>
        <w:t xml:space="preserve"> </w:t>
      </w:r>
      <w:r>
        <w:rPr>
          <w:i/>
          <w:iCs/>
        </w:rPr>
        <w:t xml:space="preserve">Majmaʿ</w:t>
      </w:r>
      <w:r>
        <w:t xml:space="preserve"> </w:t>
      </w:r>
      <w:r>
        <w:t xml:space="preserve">9:82). The compound</w:t>
      </w:r>
      <w:r>
        <w:t xml:space="preserve"> </w:t>
      </w:r>
      <w:r>
        <w:rPr>
          <w:i/>
          <w:iCs/>
        </w:rPr>
        <w:t xml:space="preserve">ghaḍbān asifan</w:t>
      </w:r>
      <w:r>
        <w:t xml:space="preserve">, applied to Moses on his return to the calf-worshippers (Q. 7:150; Q. 20:86), generates a three-layer dialectic in which</w:t>
      </w:r>
      <w:r>
        <w:t xml:space="preserve"> </w:t>
      </w:r>
      <w:r>
        <w:rPr>
          <w:i/>
          <w:iCs/>
        </w:rPr>
        <w:t xml:space="preserve">ghaḍab</w:t>
      </w:r>
      <w:r>
        <w:t xml:space="preserve"> </w:t>
      </w:r>
      <w:r>
        <w:t xml:space="preserve">is outward-kinetic and</w:t>
      </w:r>
      <w:r>
        <w:t xml:space="preserve"> </w:t>
      </w:r>
      <w:r>
        <w:rPr>
          <w:i/>
          <w:iCs/>
        </w:rPr>
        <w:t xml:space="preserve">asaf</w:t>
      </w:r>
      <w:r>
        <w:t xml:space="preserve"> </w:t>
      </w:r>
      <w:r>
        <w:t xml:space="preserve">the inward-compassionate ground. The 5/0 distribution is power-bound (Wilson CI [0.57, 1.00]). The aya-level network (Figure 4) confirms S2 coherence:</w:t>
      </w:r>
      <w:r>
        <w:t xml:space="preserve"> </w:t>
      </w:r>
      <w:r>
        <w:rPr>
          <w:i/>
          <w:iCs/>
        </w:rPr>
        <w:t xml:space="preserve">ḥzn</w:t>
      </w:r>
      <w:r>
        <w:t xml:space="preserve">–</w:t>
      </w:r>
      <w:r>
        <w:rPr>
          <w:i/>
          <w:iCs/>
        </w:rPr>
        <w:t xml:space="preserve">ḍyq</w:t>
      </w:r>
      <w:r>
        <w:t xml:space="preserve"> </w:t>
      </w:r>
      <w:r>
        <w:t xml:space="preserve">is the strongest single edge (weight 3).</w:t>
      </w:r>
    </w:p>
    <w:bookmarkEnd w:id="63"/>
    <w:bookmarkStart w:id="65" w:name="stage-3-evaluative-aversion"/>
    <w:p>
      <w:pPr>
        <w:pStyle w:val="Heading3"/>
      </w:pPr>
      <w:r>
        <w:t xml:space="preserve">4.5. Stage 3 — Evaluative aversion</w:t>
      </w:r>
    </w:p>
    <w:p>
      <w:pPr>
        <w:pStyle w:val="FirstParagraph"/>
      </w:pPr>
      <w:r>
        <w:t xml:space="preserve">Stage 3 brings together three roots (</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 with twenty-seven attestations marking distinct modes of evaluative aversion.</w:t>
      </w:r>
      <w:r>
        <w:t xml:space="preserve"> </w:t>
      </w:r>
      <w:r>
        <w:rPr>
          <w:i/>
          <w:iCs/>
        </w:rPr>
        <w:t xml:space="preserve">Maqt</w:t>
      </w:r>
      <w:r>
        <w:t xml:space="preserve"> </w:t>
      </w:r>
      <w:r>
        <w:t xml:space="preserve">is the lexicographic superlative of</w:t>
      </w:r>
      <w:r>
        <w:t xml:space="preserve"> </w:t>
      </w:r>
      <w:r>
        <w:rPr>
          <w:i/>
          <w:iCs/>
        </w:rPr>
        <w:t xml:space="preserve">aversion</w:t>
      </w:r>
      <w:r>
        <w:t xml:space="preserve"> </w:t>
      </w:r>
      <w:r>
        <w:t xml:space="preserve">(Zajjāj,</w:t>
      </w:r>
      <w:r>
        <w:t xml:space="preserve"> </w:t>
      </w:r>
      <w:r>
        <w:rPr>
          <w:i/>
          <w:iCs/>
        </w:rPr>
        <w:t xml:space="preserve">ashaddu al-ibghāḍ</w:t>
      </w:r>
      <w:r>
        <w:t xml:space="preserve">) but is placed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action-intensity axis because the dimension here is intensity of</w:t>
      </w:r>
      <w:r>
        <w:t xml:space="preserve"> </w:t>
      </w:r>
      <w:r>
        <w:rPr>
          <w:i/>
          <w:iCs/>
        </w:rPr>
        <w:t xml:space="preserve">action</w:t>
      </w:r>
      <w:r>
        <w:t xml:space="preserve">, not intensity of</w:t>
      </w:r>
      <w:r>
        <w:t xml:space="preserve"> </w:t>
      </w:r>
      <w:r>
        <w:rPr>
          <w:i/>
          <w:iCs/>
        </w:rPr>
        <w:t xml:space="preserve">aversion</w:t>
      </w:r>
      <w:r>
        <w:t xml:space="preserve">.</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12M/5Md).</w:t>
      </w:r>
      <w:r>
        <w:t xml:space="preserve"> </w:t>
      </w:r>
      <w:r>
        <w:rPr>
          <w:i/>
          <w:iCs/>
        </w:rPr>
        <w:t xml:space="preserve">Naqm</w:t>
      </w:r>
      <w:r>
        <w:t xml:space="preserve"> </w:t>
      </w:r>
      <w:r>
        <w:t xml:space="preserve">is vengeful disapproval — anger grounded in moral evaluation and oriented toward retribution. Sūrat al-Aʿrāf (Q. 7:126,</w:t>
      </w:r>
      <w:r>
        <w:t xml:space="preserve"> </w:t>
      </w:r>
      <w:r>
        <w:rPr>
          <w:i/>
          <w:iCs/>
        </w:rPr>
        <w:t xml:space="preserve">wa-mā naqamū minnā illā an āmannā bi-āyāti rabbinā</w:t>
      </w:r>
      <w:r>
        <w:t xml:space="preserve">) is the linguistic exemplar; al-Ṭabarī (</w:t>
      </w:r>
      <w:r>
        <w:rPr>
          <w:i/>
          <w:iCs/>
        </w:rPr>
        <w:t xml:space="preserve">Jāmiʿ al-bayān</w:t>
      </w:r>
      <w:r>
        <w:t xml:space="preserve"> </w:t>
      </w:r>
      <w:r>
        <w:t xml:space="preserve">13:23 ad loc.) glosses</w:t>
      </w:r>
      <w:r>
        <w:t xml:space="preserve"> </w:t>
      </w:r>
      <w:r>
        <w:rPr>
          <w:i/>
          <w:iCs/>
        </w:rPr>
        <w:t xml:space="preserve">naqamū</w:t>
      </w:r>
      <w:r>
        <w:t xml:space="preserve"> </w:t>
      </w:r>
      <w:r>
        <w:t xml:space="preserve">as</w:t>
      </w:r>
      <w:r>
        <w:t xml:space="preserve"> </w:t>
      </w:r>
      <w:r>
        <w:rPr>
          <w:i/>
          <w:iCs/>
        </w:rPr>
        <w:t xml:space="preserve">ʿābū wa-ankarū</w:t>
      </w:r>
      <w:r>
        <w:t xml:space="preserve">, exposing the</w:t>
      </w:r>
      <w:r>
        <w:t xml:space="preserve"> </w:t>
      </w:r>
      <w:r>
        <w:rPr>
          <w:i/>
          <w:iCs/>
        </w:rPr>
        <w:t xml:space="preserve">taʿaṣṣub</w:t>
      </w:r>
      <w:r>
        <w:t xml:space="preserve">-structure of disbelief (al-Qurṭubī,</w:t>
      </w:r>
      <w:r>
        <w:t xml:space="preserve"> </w:t>
      </w:r>
      <w:r>
        <w:rPr>
          <w:i/>
          <w:iCs/>
        </w:rPr>
        <w:t xml:space="preserve">al-Jāmiʿ</w:t>
      </w:r>
      <w:r>
        <w:t xml:space="preserve"> </w:t>
      </w:r>
      <w:r>
        <w:t xml:space="preserve">7:262 convergent). The lexeme generates</w:t>
      </w:r>
      <w:r>
        <w:t xml:space="preserve"> </w:t>
      </w:r>
      <w:r>
        <w:rPr>
          <w:i/>
          <w:iCs/>
        </w:rPr>
        <w:t xml:space="preserve">al-muntaqim</w:t>
      </w:r>
      <w:r>
        <w:t xml:space="preserve"> </w:t>
      </w:r>
      <w:r>
        <w:t xml:space="preserve">as a divine attribute (Q. 32:22 and parallels). The Wilson CI includes the baseline.</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0M/4Md).</w:t>
      </w:r>
      <w:r>
        <w:t xml:space="preserve"> </w:t>
      </w:r>
      <w:r>
        <w:t xml:space="preserve">The exclusive-Medinan distribution is one of the paper’s principal distributional findings.</w:t>
      </w:r>
      <w:r>
        <w:rPr>
          <w:rStyle w:val="FootnoteReference"/>
        </w:rPr>
        <w:footnoteReference w:id="64"/>
      </w:r>
      <w:r>
        <w:t xml:space="preserve"> </w:t>
      </w:r>
      <w:r>
        <w:t xml:space="preserve">Holm-adjusted</w:t>
      </w:r>
      <w:r>
        <w:t xml:space="preserve"> </w:t>
      </w:r>
      <w:r>
        <w:rPr>
          <w:i/>
          <w:iCs/>
        </w:rPr>
        <w:t xml:space="preserve">p</w:t>
      </w:r>
      <w:r>
        <w:t xml:space="preserve"> </w:t>
      </w:r>
      <w:r>
        <w:t xml:space="preserve">= 0.050 — borderline. All four attestations are tied to the</w:t>
      </w:r>
      <w:r>
        <w:t xml:space="preserve"> </w:t>
      </w:r>
      <w:r>
        <w:rPr>
          <w:i/>
          <w:iCs/>
        </w:rPr>
        <w:t xml:space="preserve">Munāfiqūn</w:t>
      </w:r>
      <w:r>
        <w:t xml:space="preserve"> </w:t>
      </w:r>
      <w:r>
        <w:t xml:space="preserve">in their Medinan-period exegesis: sūrat Muḥammad (Q. 47:28,</w:t>
      </w:r>
      <w:r>
        <w:t xml:space="preserve"> </w:t>
      </w:r>
      <w:r>
        <w:rPr>
          <w:i/>
          <w:iCs/>
        </w:rPr>
        <w:t xml:space="preserve">ittabaʿū mā askhaṭa Allāh wa-karihū riḍwānahu</w:t>
      </w:r>
      <w:r>
        <w:t xml:space="preserve">) is canonical, though al-Ṭabarī notes that sūrat al-Māʾida (Q. 5:80) is exegetically discussed as directed at the People of the Book rather than the</w:t>
      </w:r>
      <w:r>
        <w:t xml:space="preserve"> </w:t>
      </w:r>
      <w:r>
        <w:rPr>
          <w:i/>
          <w:iCs/>
        </w:rPr>
        <w:t xml:space="preserve">Munāfiqūn</w:t>
      </w:r>
      <w:r>
        <w:t xml:space="preserve"> </w:t>
      </w:r>
      <w:r>
        <w:t xml:space="preserve">properly. Following Narimani, Iqbali and Chari (2021), we read</w:t>
      </w:r>
      <w:r>
        <w:t xml:space="preserve"> </w:t>
      </w:r>
      <w:r>
        <w:rPr>
          <w:i/>
          <w:iCs/>
        </w:rPr>
        <w:t xml:space="preserve">sakhaṭ</w:t>
      </w:r>
      <w:r>
        <w:t xml:space="preserve"> </w:t>
      </w:r>
      <w:r>
        <w:t xml:space="preserve">as sustained</w:t>
      </w:r>
      <w:r>
        <w:t xml:space="preserve"> </w:t>
      </w:r>
      <w:r>
        <w:rPr>
          <w:i/>
          <w:iCs/>
        </w:rPr>
        <w:t xml:space="preserve">ethical disapprobation</w:t>
      </w:r>
      <w:r>
        <w:t xml:space="preserve"> </w:t>
      </w:r>
      <w:r>
        <w:t xml:space="preserve">rather than instantaneous emotional surge; we propose:</w:t>
      </w:r>
    </w:p>
    <w:p>
      <w:pPr>
        <w:pStyle w:val="BlockText"/>
      </w:pPr>
      <w:r>
        <w:rPr>
          <w:i/>
          <w:iCs/>
        </w:rPr>
        <w:t xml:space="preserve">Hypothesis (Discursive Specialisation of sakhaṭ):</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ẓāhir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of which</w:t>
      </w:r>
      <w:r>
        <w:t xml:space="preserve"> </w:t>
      </w:r>
      <w:r>
        <w:rPr>
          <w:i/>
          <w:iCs/>
        </w:rPr>
        <w:t xml:space="preserve">karh</w:t>
      </w:r>
      <w:r>
        <w:t xml:space="preserve"> </w:t>
      </w:r>
      <w:r>
        <w:t xml:space="preserve">(Medinan-community discipline) and the umbrella patterns</w:t>
      </w:r>
      <w:r>
        <w:t xml:space="preserve"> </w:t>
      </w:r>
      <w:r>
        <w:rPr>
          <w:i/>
          <w:iCs/>
        </w:rPr>
        <w:t xml:space="preserve">jrm</w:t>
      </w:r>
      <w:r>
        <w:t xml:space="preserve"> </w:t>
      </w:r>
      <w:r>
        <w:t xml:space="preserve">(Meccan) /</w:t>
      </w:r>
      <w:r>
        <w:t xml:space="preserve"> </w:t>
      </w:r>
      <w:r>
        <w:rPr>
          <w:i/>
          <w:iCs/>
        </w:rPr>
        <w:t xml:space="preserve">fsq</w:t>
      </w:r>
      <w:r>
        <w:t xml:space="preserve"> </w:t>
      </w:r>
      <w:r>
        <w:t xml:space="preserve">(Medinan) are convergent.</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4M/2Md).</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 al-Rāghib grounds it in observation of a reprehensible act, making</w:t>
      </w:r>
      <w:r>
        <w:t xml:space="preserve"> </w:t>
      </w:r>
      <w:r>
        <w:rPr>
          <w:i/>
          <w:iCs/>
        </w:rPr>
        <w:t xml:space="preserve">maqt</w:t>
      </w:r>
      <w:r>
        <w:t xml:space="preserve"> </w:t>
      </w:r>
      <w:r>
        <w:t xml:space="preserve">purely evaluative. The canonical exemplar is sūrat Ghāfir (Q. 40:10,</w:t>
      </w:r>
      <w:r>
        <w:t xml:space="preserve"> </w:t>
      </w:r>
      <w:r>
        <w:rPr>
          <w:i/>
          <w:iCs/>
        </w:rPr>
        <w:t xml:space="preserve">la-maqtu Allāhi akbaru min maqtikum anfusakum</w:t>
      </w:r>
      <w:r>
        <w:t xml:space="preserve">), the doubled</w:t>
      </w:r>
      <w:r>
        <w:t xml:space="preserve"> </w:t>
      </w:r>
      <w:r>
        <w:rPr>
          <w:i/>
          <w:iCs/>
        </w:rPr>
        <w:t xml:space="preserve">maqt</w:t>
      </w:r>
      <w:r>
        <w:t xml:space="preserve"> </w:t>
      </w:r>
      <w:r>
        <w:t xml:space="preserve">comparing divine moral aversion at the disbelievers with their own retrospective self-</w:t>
      </w:r>
      <w:r>
        <w:rPr>
          <w:i/>
          <w:iCs/>
        </w:rPr>
        <w:t xml:space="preserve">maqt</w:t>
      </w:r>
      <w:r>
        <w:t xml:space="preserve"> </w:t>
      </w:r>
      <w:r>
        <w:t xml:space="preserve">on the Day of Resurrection (al-Ṭabarī,</w:t>
      </w:r>
      <w:r>
        <w:t xml:space="preserve"> </w:t>
      </w:r>
      <w:r>
        <w:rPr>
          <w:i/>
          <w:iCs/>
        </w:rPr>
        <w:t xml:space="preserve">Jāmiʿ al-bayān</w:t>
      </w:r>
      <w:r>
        <w:t xml:space="preserve"> </w:t>
      </w:r>
      <w:r>
        <w:t xml:space="preserve">21:351 ad loc.; al-Qurṭubī,</w:t>
      </w:r>
      <w:r>
        <w:t xml:space="preserve"> </w:t>
      </w:r>
      <w:r>
        <w:rPr>
          <w:i/>
          <w:iCs/>
        </w:rPr>
        <w:t xml:space="preserve">al-Jāmiʿ</w:t>
      </w:r>
      <w:r>
        <w:t xml:space="preserve"> </w:t>
      </w:r>
      <w:r>
        <w:t xml:space="preserve">15:296 convergent). Sūrat al-Nisāʾ (Q. 4:22), sūrat Fāṭir (Q. 35:39), and sūrat al-Ṣaff (Q. 61:3) stabilise the lexeme as moral aversion as evaluative response, distinct from the kinetic-motor</w:t>
      </w:r>
      <w:r>
        <w:t xml:space="preserve"> </w:t>
      </w:r>
      <w:r>
        <w:rPr>
          <w:i/>
          <w:iCs/>
        </w:rPr>
        <w:t xml:space="preserve">ghaḍab</w:t>
      </w:r>
      <w:r>
        <w:t xml:space="preserve"> </w:t>
      </w:r>
      <w:r>
        <w:t xml:space="preserve">of Stage 4.</w:t>
      </w:r>
    </w:p>
    <w:bookmarkEnd w:id="65"/>
    <w:bookmarkStart w:id="66" w:name="stage-4-active-anger"/>
    <w:p>
      <w:pPr>
        <w:pStyle w:val="Heading3"/>
      </w:pPr>
      <w:r>
        <w:t xml:space="preserve">4.6. Stage 4 — Active anger</w:t>
      </w:r>
    </w:p>
    <w:p>
      <w:pPr>
        <w:pStyle w:val="FirstParagraph"/>
      </w:pPr>
      <w:r>
        <w:rPr>
          <w:b/>
          <w:bCs/>
        </w:rPr>
        <w:t xml:space="preserve">4.6.1.</w:t>
      </w:r>
      <w:r>
        <w:rPr>
          <w:b/>
          <w:bCs/>
        </w:rPr>
        <w:t xml:space="preserve"> </w:t>
      </w:r>
      <w:r>
        <w:rPr>
          <w:b/>
          <w:bCs/>
          <w:i/>
          <w:iCs/>
        </w:rPr>
        <w:t xml:space="preserve">Ghaḍab</w:t>
      </w:r>
      <w:r>
        <w:rPr>
          <w:b/>
          <w:bCs/>
        </w:rPr>
        <w:t xml:space="preserve"> </w:t>
      </w:r>
      <w:r>
        <w:rPr>
          <w:b/>
          <w:bCs/>
        </w:rPr>
        <w:t xml:space="preserve">(24; 13M/11Md).</w:t>
      </w:r>
      <w:r>
        <w:t xml:space="preserve"> </w:t>
      </w:r>
      <w:r>
        <w:t xml:space="preserve">The central anger lexeme — near-balanced Meccan/Medinan distribution marks it as the unmarked default. The four lexica gloss it as inner agitation oriented toward retribution (al-Rāghib) or inner motion disposing the agent to action (Ibn Fāris); predicated balance-fully of God (sūrat al-Fatḥ, Q. 48:6), prophets, and believers. Morphologically 67% nominal (16n/6v/2 ptcp) vs</w:t>
      </w:r>
      <w:r>
        <w:t xml:space="preserve"> </w:t>
      </w:r>
      <w:r>
        <w:rPr>
          <w:i/>
          <w:iCs/>
        </w:rPr>
        <w:t xml:space="preserve">ḥuzn</w:t>
      </w:r>
      <w:r>
        <w:t xml:space="preserve">’s 88% verbal:</w:t>
      </w:r>
      <w:r>
        <w:t xml:space="preserve"> </w:t>
      </w:r>
      <w:r>
        <w:rPr>
          <w:i/>
          <w:iCs/>
        </w:rPr>
        <w:t xml:space="preserve">ghaḍab</w:t>
      </w:r>
      <w:r>
        <w:t xml:space="preserve"> </w:t>
      </w:r>
      <w:r>
        <w:t xml:space="preserve">is a structural concept-state, not a transient affect. Al-Rāzī (</w:t>
      </w:r>
      <w:r>
        <w:rPr>
          <w:i/>
          <w:iCs/>
        </w:rPr>
        <w:t xml:space="preserve">Mafātīḥ al-Ghayb</w:t>
      </w:r>
      <w:r>
        <w:t xml:space="preserve">) glosses divine</w:t>
      </w:r>
      <w:r>
        <w:t xml:space="preserve"> </w:t>
      </w:r>
      <w:r>
        <w:rPr>
          <w:i/>
          <w:iCs/>
        </w:rPr>
        <w:t xml:space="preserve">ghaḍab</w:t>
      </w:r>
      <w:r>
        <w:t xml:space="preserve"> </w:t>
      </w:r>
      <w:r>
        <w:t xml:space="preserve">in the register of</w:t>
      </w:r>
      <w:r>
        <w:t xml:space="preserve"> </w:t>
      </w:r>
      <w:r>
        <w:rPr>
          <w:i/>
          <w:iCs/>
        </w:rPr>
        <w:t xml:space="preserve">irādat al-ʿuqūbah</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(point estimate 0.17).</w:t>
      </w:r>
    </w:p>
    <w:p>
      <w:pPr>
        <w:pStyle w:val="BodyText"/>
      </w:pPr>
      <w:r>
        <w:rPr>
          <w:b/>
          <w:bCs/>
        </w:rPr>
        <w:t xml:space="preserve">4.6.2.</w:t>
      </w:r>
      <w:r>
        <w:rPr>
          <w:b/>
          <w:bCs/>
        </w:rPr>
        <w:t xml:space="preserve"> </w:t>
      </w:r>
      <w:r>
        <w:rPr>
          <w:b/>
          <w:bCs/>
          <w:i/>
          <w:iCs/>
        </w:rPr>
        <w:t xml:space="preserve">Ḥard</w:t>
      </w:r>
      <w:r>
        <w:rPr>
          <w:b/>
          <w:bCs/>
        </w:rPr>
        <w:t xml:space="preserve"> </w:t>
      </w:r>
      <w:r>
        <w:rPr>
          <w:b/>
          <w:bCs/>
        </w:rPr>
        <w:t xml:space="preserve">(Q. 68:25, hapax).</w:t>
      </w:r>
      <w:r>
        <w:t xml:space="preserve"> </w:t>
      </w:r>
      <w:r>
        <w:t xml:space="preserve">A hapax in the Garden-Owners parable (</w:t>
      </w:r>
      <w:r>
        <w:rPr>
          <w:i/>
          <w:iCs/>
        </w:rPr>
        <w:t xml:space="preserve">wa-ghadaw ʿalā ḥardin qādirīn</w:t>
      </w:r>
      <w:r>
        <w:t xml:space="preserve">): owners vowing in the night to harvest before dawn so as to deny the poor their share. Al-Ṭabarī (</w:t>
      </w:r>
      <w:r>
        <w:rPr>
          <w:i/>
          <w:iCs/>
        </w:rPr>
        <w:t xml:space="preserve">Jāmiʿ al-bayān</w:t>
      </w:r>
      <w:r>
        <w:t xml:space="preserve"> </w:t>
      </w:r>
      <w:r>
        <w:t xml:space="preserve">23:550 ad loc.) records four classical</w:t>
      </w:r>
      <w:r>
        <w:t xml:space="preserve"> </w:t>
      </w:r>
      <w:r>
        <w:rPr>
          <w:i/>
          <w:iCs/>
        </w:rPr>
        <w:t xml:space="preserve">qawls</w:t>
      </w:r>
      <w:r>
        <w:t xml:space="preserve">: (i)</w:t>
      </w:r>
      <w:r>
        <w:t xml:space="preserve"> </w:t>
      </w:r>
      <w:r>
        <w:rPr>
          <w:i/>
          <w:iCs/>
        </w:rPr>
        <w:t xml:space="preserve">qaṣd</w:t>
      </w:r>
      <w:r>
        <w:t xml:space="preserve"> </w:t>
      </w:r>
      <w:r>
        <w:t xml:space="preserve">(purposive aim — Mujāhid, Ibn Zayd, Ibn ʿAbbās ʿan ʿIkrima); (ii)</w:t>
      </w:r>
      <w:r>
        <w:t xml:space="preserve"> </w:t>
      </w:r>
      <w:r>
        <w:rPr>
          <w:i/>
          <w:iCs/>
        </w:rPr>
        <w:t xml:space="preserve">ghaḍab</w:t>
      </w:r>
      <w:r>
        <w:t xml:space="preserve"> </w:t>
      </w:r>
      <w:r>
        <w:t xml:space="preserve">(anger toward the poor — Qatāda, al-Suddī); (iii)</w:t>
      </w:r>
      <w:r>
        <w:t xml:space="preserve"> </w:t>
      </w:r>
      <w:r>
        <w:rPr>
          <w:i/>
          <w:iCs/>
        </w:rPr>
        <w:t xml:space="preserve">manʿ</w:t>
      </w:r>
      <w:r>
        <w:t xml:space="preserve"> </w:t>
      </w:r>
      <w:r>
        <w:t xml:space="preserve">(withholding — al-Ḥasan); (iv)</w:t>
      </w:r>
      <w:r>
        <w:t xml:space="preserve"> </w:t>
      </w:r>
      <w:r>
        <w:rPr>
          <w:i/>
          <w:iCs/>
        </w:rPr>
        <w:t xml:space="preserve">quwwa/sūʾ</w:t>
      </w:r>
      <w:r>
        <w:t xml:space="preserve"> </w:t>
      </w:r>
      <w:r>
        <w:t xml:space="preserve">(strength or evil intent — Sufyān al-Thawrī). The affective synthesis —</w:t>
      </w:r>
      <w:r>
        <w:t xml:space="preserve"> </w:t>
      </w:r>
      <w:r>
        <w:rPr>
          <w:i/>
          <w:iCs/>
        </w:rPr>
        <w:t xml:space="preserve">ḥard</w:t>
      </w:r>
      <w:r>
        <w:t xml:space="preserve"> </w:t>
      </w:r>
      <w:r>
        <w:t xml:space="preserve">as anger weaponised through deliberate denial — converges (i) and (ii), defended by al-Ṭabrisī (</w:t>
      </w:r>
      <w:r>
        <w:rPr>
          <w:i/>
          <w:iCs/>
        </w:rPr>
        <w:t xml:space="preserve">Majmaʿ</w:t>
      </w:r>
      <w:r>
        <w:t xml:space="preserve"> </w:t>
      </w:r>
      <w:r>
        <w:t xml:space="preserve">10:90) and al-Ṭabāṭabāʾī (</w:t>
      </w:r>
      <w:r>
        <w:rPr>
          <w:i/>
          <w:iCs/>
        </w:rPr>
        <w:t xml:space="preserve">al-Mīzān</w:t>
      </w:r>
      <w:r>
        <w:t xml:space="preserve"> </w:t>
      </w:r>
      <w:r>
        <w:t xml:space="preserve">19:380); it is not the unanimous consensus but the reading we adopt, because the narrative consequence (divine destruction of the garden) requires both an affective and an intentional component.</w:t>
      </w:r>
    </w:p>
    <w:bookmarkEnd w:id="66"/>
    <w:bookmarkStart w:id="68"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3M/8Md; Holm-adj. ≈ 1.9 × 10⁻² — survives FDR).</w:t>
      </w:r>
      <w:r>
        <w:t xml:space="preserve"> </w:t>
      </w:r>
      <w:r>
        <w:t xml:space="preserve">The four lexica converge:</w:t>
      </w:r>
      <w:r>
        <w:t xml:space="preserve"> </w:t>
      </w:r>
      <w:r>
        <w:rPr>
          <w:i/>
          <w:iCs/>
        </w:rPr>
        <w:t xml:space="preserve">ghayẓ</w:t>
      </w:r>
      <w:r>
        <w:t xml:space="preserve"> </w:t>
      </w:r>
      <w:r>
        <w:t xml:space="preserve">is compressed contained anger (al-Rāghib), the highest concentration of restrained anger (al-Mostafawi), filling of the self with restrained anger (Ibn Manẓūr) — pressurised contents of a sealed vessel. Sūrat Āl ʿImrān (Q. 3:134) commends</w:t>
      </w:r>
      <w:r>
        <w:t xml:space="preserve"> </w:t>
      </w:r>
      <w:r>
        <w:rPr>
          <w:i/>
          <w:iCs/>
        </w:rPr>
        <w:t xml:space="preserve">al-kāẓimīn al-ghayẓ</w:t>
      </w:r>
      <w:r>
        <w:t xml:space="preserve">;</w:t>
      </w:r>
      <w:r>
        <w:t xml:space="preserve"> </w:t>
      </w:r>
      <w:r>
        <w:rPr>
          <w:i/>
          <w:iCs/>
        </w:rPr>
        <w:t xml:space="preserve">kaẓm</w:t>
      </w:r>
      <w:r>
        <w:t xml:space="preserve"> </w:t>
      </w:r>
      <w:r>
        <w:t xml:space="preserve">derives from the tying-off of a waterskin (Ibn Manẓūr,</w:t>
      </w:r>
      <w:r>
        <w:t xml:space="preserve"> </w:t>
      </w:r>
      <w:r>
        <w:rPr>
          <w:i/>
          <w:iCs/>
        </w:rPr>
        <w:t xml:space="preserve">Lisān</w:t>
      </w:r>
      <w:r>
        <w:t xml:space="preserve"> </w:t>
      </w:r>
      <w:r>
        <w:t xml:space="preserve">12:519, s.v. </w:t>
      </w:r>
      <w:r>
        <w:rPr>
          <w:i/>
          <w:iCs/>
        </w:rPr>
        <w:t xml:space="preserve">k-ẓ-m</w:t>
      </w:r>
      <w:r>
        <w:t xml:space="preserve">), the agent-internal regulation that sustains containment. The construction itself presupposes that the believers being commended experience the</w:t>
      </w:r>
      <w:r>
        <w:t xml:space="preserve"> </w:t>
      </w:r>
      <w:r>
        <w:rPr>
          <w:i/>
          <w:iCs/>
        </w:rPr>
        <w:t xml:space="preserve">ghayẓ</w:t>
      </w:r>
      <w:r>
        <w:t xml:space="preserve"> </w:t>
      </w:r>
      <w:r>
        <w:t xml:space="preserve">they suppress; the Narimani et al. claim that</w:t>
      </w:r>
      <w:r>
        <w:t xml:space="preserve"> </w:t>
      </w:r>
      <w:r>
        <w:rPr>
          <w:i/>
          <w:iCs/>
        </w:rPr>
        <w:t xml:space="preserve">ghayẓ</w:t>
      </w:r>
      <w:r>
        <w:t xml:space="preserve"> </w:t>
      </w:r>
      <w:r>
        <w:t xml:space="preserve">in human reference is exclusive to unbelievers must therefore be qualified — transitive</w:t>
      </w:r>
      <w:r>
        <w:t xml:space="preserve"> </w:t>
      </w:r>
      <w:r>
        <w:rPr>
          <w:i/>
          <w:iCs/>
        </w:rPr>
        <w:t xml:space="preserve">ghayẓ directed at</w:t>
      </w:r>
      <w:r>
        <w:t xml:space="preserve"> </w:t>
      </w:r>
      <w:r>
        <w:t xml:space="preserve">believers is exclusively non-believer-attributed, but intransitive/experiential</w:t>
      </w:r>
      <w:r>
        <w:t xml:space="preserve"> </w:t>
      </w:r>
      <w:r>
        <w:rPr>
          <w:i/>
          <w:iCs/>
        </w:rPr>
        <w:t xml:space="preserve">ghayẓ</w:t>
      </w:r>
      <w:r>
        <w:t xml:space="preserve"> </w:t>
      </w:r>
      <w:r>
        <w:t xml:space="preserve">(the</w:t>
      </w:r>
      <w:r>
        <w:t xml:space="preserve"> </w:t>
      </w:r>
      <w:r>
        <w:rPr>
          <w:i/>
          <w:iCs/>
        </w:rPr>
        <w:t xml:space="preserve">kāẓimīn</w:t>
      </w:r>
      <w:r>
        <w:t xml:space="preserve"> </w:t>
      </w:r>
      <w:r>
        <w:t xml:space="preserve">themselves) is attributed to believers. Read through the complex container metaphor of §2.3.1,</w:t>
      </w:r>
      <w:r>
        <w:t xml:space="preserve"> </w:t>
      </w:r>
      <w:r>
        <w:rPr>
          <w:i/>
          <w:iCs/>
        </w:rPr>
        <w:t xml:space="preserve">ghayẓ</w:t>
      </w:r>
      <w:r>
        <w:t xml:space="preserve"> </w:t>
      </w:r>
      <w:r>
        <w:t xml:space="preserve">is the contained fluid and</w:t>
      </w:r>
      <w:r>
        <w:t xml:space="preserve"> </w:t>
      </w:r>
      <w:r>
        <w:rPr>
          <w:i/>
          <w:iCs/>
        </w:rPr>
        <w:t xml:space="preserve">kaẓm</w:t>
      </w:r>
      <w:r>
        <w:t xml:space="preserve"> </w:t>
      </w:r>
      <w:r>
        <w:t xml:space="preserve">the agent’s sealing operation (Figure 6). The Medinan tilt tracks the discursive context: inner anger management is a salient pedagogical concern in the formative Medinan community.</w:t>
      </w:r>
    </w:p>
    <w:p>
      <w:pPr>
        <w:pStyle w:val="BodyText"/>
      </w:pPr>
      <w:r>
        <w:rPr>
          <w:b/>
          <w:bCs/>
        </w:rPr>
        <w:t xml:space="preserve">4.7.2.</w:t>
      </w:r>
      <w:r>
        <w:rPr>
          <w:b/>
          <w:bCs/>
        </w:rPr>
        <w:t xml:space="preserve"> </w:t>
      </w:r>
      <w:r>
        <w:rPr>
          <w:b/>
          <w:bCs/>
          <w:i/>
          <w:iCs/>
        </w:rPr>
        <w:t xml:space="preserve">Tamayyuz</w:t>
      </w:r>
      <w:r>
        <w:rPr>
          <w:b/>
          <w:bCs/>
        </w:rPr>
        <w:t xml:space="preserve"> </w:t>
      </w:r>
      <w:r>
        <w:rPr>
          <w:b/>
          <w:bCs/>
        </w:rPr>
        <w:t xml:space="preserve">in sūrat al-Mulk, Q. 67:8 (manifestation, not separate root).</w:t>
      </w:r>
      <w:r>
        <w:t xml:space="preserve"> </w:t>
      </w:r>
      <w:r>
        <w:t xml:space="preserve">The verb</w:t>
      </w:r>
      <w:r>
        <w:t xml:space="preserve"> </w:t>
      </w:r>
      <w:r>
        <w:rPr>
          <w:i/>
          <w:iCs/>
        </w:rPr>
        <w:t xml:space="preserve">tamayyazu</w:t>
      </w:r>
      <w:r>
        <w:t xml:space="preserve"> </w:t>
      </w:r>
      <w:r>
        <w:t xml:space="preserve">in</w:t>
      </w:r>
      <w:r>
        <w:t xml:space="preserve"> </w:t>
      </w:r>
      <w:r>
        <w:rPr>
          <w:i/>
          <w:iCs/>
        </w:rPr>
        <w:t xml:space="preserve">takādu tamayyazu min al-ghayẓ</w:t>
      </w:r>
      <w:r>
        <w:t xml:space="preserve"> </w:t>
      </w:r>
      <w:r>
        <w:t xml:space="preserve">(Q. 67:8) walks from the</w:t>
      </w:r>
      <w:r>
        <w:t xml:space="preserve"> </w:t>
      </w:r>
      <w:r>
        <w:rPr>
          <w:i/>
          <w:iCs/>
        </w:rPr>
        <w:t xml:space="preserve">lughawī</w:t>
      </w:r>
      <w:r>
        <w:t xml:space="preserve"> </w:t>
      </w:r>
      <w:r>
        <w:t xml:space="preserve">gloss to the CMT construal in two steps.</w:t>
      </w:r>
      <w:r>
        <w:t xml:space="preserve"> </w:t>
      </w:r>
      <w:r>
        <w:rPr>
          <w:i/>
          <w:iCs/>
        </w:rPr>
        <w:t xml:space="preserve">First</w:t>
      </w:r>
      <w:r>
        <w:t xml:space="preserve">, the lexicographic ground: in</w:t>
      </w:r>
      <w:r>
        <w:t xml:space="preserve"> </w:t>
      </w:r>
      <w:r>
        <w:rPr>
          <w:i/>
          <w:iCs/>
        </w:rPr>
        <w:t xml:space="preserve">Mufradāt</w:t>
      </w:r>
      <w:r>
        <w:t xml:space="preserve"> </w:t>
      </w:r>
      <w:r>
        <w:t xml:space="preserve">and</w:t>
      </w:r>
      <w:r>
        <w:t xml:space="preserve"> </w:t>
      </w:r>
      <w:r>
        <w:rPr>
          <w:i/>
          <w:iCs/>
        </w:rPr>
        <w:t xml:space="preserve">Lisān</w:t>
      </w:r>
      <w:r>
        <w:t xml:space="preserve">, the dominant gloss of</w:t>
      </w:r>
      <w:r>
        <w:t xml:space="preserve"> </w:t>
      </w:r>
      <w:r>
        <w:rPr>
          <w:i/>
          <w:iCs/>
        </w:rPr>
        <w:t xml:space="preserve">m-y-z</w:t>
      </w:r>
      <w:r>
        <w:t xml:space="preserve"> </w:t>
      </w:r>
      <w:r>
        <w:t xml:space="preserve">is</w:t>
      </w:r>
      <w:r>
        <w:t xml:space="preserve"> </w:t>
      </w:r>
      <w:r>
        <w:rPr>
          <w:i/>
          <w:iCs/>
        </w:rPr>
        <w:t xml:space="preserve">al-tafrīq bayna al-mukhtaliṭ</w:t>
      </w:r>
      <w:r>
        <w:t xml:space="preserve"> </w:t>
      </w:r>
      <w:r>
        <w:t xml:space="preserve">— separating things that have been mixed; al-Ṭabarī (</w:t>
      </w:r>
      <w:r>
        <w:rPr>
          <w:i/>
          <w:iCs/>
        </w:rPr>
        <w:t xml:space="preserve">Jāmiʿ al-bayān</w:t>
      </w:r>
      <w:r>
        <w:t xml:space="preserve"> </w:t>
      </w:r>
      <w:r>
        <w:t xml:space="preserve">ad loc.) glosses</w:t>
      </w:r>
      <w:r>
        <w:t xml:space="preserve"> </w:t>
      </w:r>
      <w:r>
        <w:rPr>
          <w:i/>
          <w:iCs/>
        </w:rPr>
        <w:t xml:space="preserve">yanqaṭiʿu baʿḍuhā min baʿḍ</w:t>
      </w:r>
      <w:r>
        <w:t xml:space="preserve">; al-Zamakhsharī (</w:t>
      </w:r>
      <w:r>
        <w:rPr>
          <w:i/>
          <w:iCs/>
        </w:rPr>
        <w:t xml:space="preserve">al-Kashshāf</w:t>
      </w:r>
      <w:r>
        <w:t xml:space="preserve"> </w:t>
      </w:r>
      <w:r>
        <w:t xml:space="preserve">ad loc.) is convergent.</w:t>
      </w:r>
      <w:r>
        <w:t xml:space="preserve"> </w:t>
      </w:r>
      <w:r>
        <w:rPr>
          <w:i/>
          <w:iCs/>
        </w:rPr>
        <w:t xml:space="preserve">Second</w:t>
      </w:r>
      <w:r>
        <w:t xml:space="preserve">, the metonymic bridge: separation of contents within a sealed vessel, taken under the complex container metaphor of §2.3.1, is naturally construed as a vessel-internal failure mode — distinct from the English exit-typed exemplars (</w:t>
      </w:r>
      <w:r>
        <w:rPr>
          <w:i/>
          <w:iCs/>
        </w:rPr>
        <w:t xml:space="preserve">she blew her top</w:t>
      </w:r>
      <w:r>
        <w:t xml:space="preserve">) where the container is preserved and contents escape. Ibn ʿĀshūr (</w:t>
      </w:r>
      <w:r>
        <w:rPr>
          <w:i/>
          <w:iCs/>
        </w:rPr>
        <w:t xml:space="preserve">al-Taḥrīr wa-l-Tanwīr</w:t>
      </w:r>
      <w:r>
        <w:t xml:space="preserve"> </w:t>
      </w:r>
      <w:r>
        <w:t xml:space="preserve">29:25) reads compatibly, emphasising the violence of the inner severance and the figurative attribution of rage to the Hell-fire as an animate vessel; his is the strongest classical ally of the construal we defend. The two readings are compatible. H5 is</w:t>
      </w:r>
      <w:r>
        <w:t xml:space="preserve"> </w:t>
      </w:r>
      <w:r>
        <w:rPr>
          <w:i/>
          <w:iCs/>
        </w:rPr>
        <w:t xml:space="preserve">exemplified</w:t>
      </w:r>
      <w:r>
        <w:t xml:space="preserve"> </w:t>
      </w:r>
      <w:r>
        <w:t xml:space="preserve">rather than corroborated — Q. 67:8 is the most lexically transparent Qur’anic instance, not a deductive proof. We treat</w:t>
      </w:r>
      <w:r>
        <w:t xml:space="preserve"> </w:t>
      </w:r>
      <w:r>
        <w:rPr>
          <w:i/>
          <w:iCs/>
        </w:rPr>
        <w:t xml:space="preserve">tamayyuz</w:t>
      </w:r>
      <w:r>
        <w:t xml:space="preserve"> </w:t>
      </w:r>
      <w:r>
        <w:t xml:space="preserve">as a manifestation of Stage 5.</w:t>
      </w:r>
      <w:r>
        <w:rPr>
          <w:rStyle w:val="FootnoteReference"/>
        </w:rPr>
        <w:footnoteReference w:id="67"/>
      </w:r>
    </w:p>
    <w:bookmarkEnd w:id="68"/>
    <w:bookmarkStart w:id="75" w:name="stage-6-behavioural-outcomes"/>
    <w:p>
      <w:pPr>
        <w:pStyle w:val="Heading3"/>
      </w:pPr>
      <w:r>
        <w:t xml:space="preserve">4.8. Stage 6 — Behavioural outcomes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 Holm-adj. ≈ 5.3 × 10⁻³ — survives FDR).</w:t>
      </w:r>
      <w:r>
        <w:t xml:space="preserve"> </w:t>
      </w:r>
      <w:r>
        <w:t xml:space="preserve">The most frequent lexeme of the spectrum and principal bridge node.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(al-Mostafawi). Sūrat al-Shūrā (Q. 42:42) collocates</w:t>
      </w:r>
      <w:r>
        <w:t xml:space="preserve"> </w:t>
      </w:r>
      <w:r>
        <w:rPr>
          <w:i/>
          <w:iCs/>
        </w:rPr>
        <w:t xml:space="preserve">baghy</w:t>
      </w:r>
      <w:r>
        <w:t xml:space="preserve"> </w:t>
      </w:r>
      <w:r>
        <w:t xml:space="preserve">with</w:t>
      </w:r>
      <w:r>
        <w:t xml:space="preserve"> </w:t>
      </w:r>
      <w:r>
        <w:rPr>
          <w:i/>
          <w:iCs/>
        </w:rPr>
        <w:t xml:space="preserve">ẓulm</w:t>
      </w:r>
      <w:r>
        <w:t xml:space="preserve">; al-Ṭabarī (</w:t>
      </w:r>
      <w:r>
        <w:rPr>
          <w:i/>
          <w:iCs/>
        </w:rPr>
        <w:t xml:space="preserve">Jāmiʿ al-bayān</w:t>
      </w:r>
      <w:r>
        <w:t xml:space="preserve"> </w:t>
      </w:r>
      <w:r>
        <w:t xml:space="preserve">21:548 ad loc.) glosses</w:t>
      </w:r>
      <w:r>
        <w:t xml:space="preserve"> </w:t>
      </w:r>
      <w:r>
        <w:rPr>
          <w:i/>
          <w:iCs/>
        </w:rPr>
        <w:t xml:space="preserve">yabghūna</w:t>
      </w:r>
      <w:r>
        <w:t xml:space="preserve"> </w:t>
      </w:r>
      <w:r>
        <w:t xml:space="preserve">as</w:t>
      </w:r>
      <w:r>
        <w:t xml:space="preserve"> </w:t>
      </w:r>
      <w:r>
        <w:rPr>
          <w:i/>
          <w:iCs/>
        </w:rPr>
        <w:t xml:space="preserve">yataʿaddawn</w:t>
      </w:r>
      <w:r>
        <w:t xml:space="preserve">, reading the verse as juridically restricting recourse to those who combine oppression and</w:t>
      </w:r>
      <w:r>
        <w:t xml:space="preserve"> </w:t>
      </w:r>
      <w:r>
        <w:rPr>
          <w:i/>
          <w:iCs/>
        </w:rPr>
        <w:t xml:space="preserve">baghy</w:t>
      </w:r>
      <w:r>
        <w:t xml:space="preserve">-style transgression (al-Qurṭubī,</w:t>
      </w:r>
      <w:r>
        <w:t xml:space="preserve"> </w:t>
      </w:r>
      <w:r>
        <w:rPr>
          <w:i/>
          <w:iCs/>
        </w:rPr>
        <w:t xml:space="preserve">al-Jāmiʿ</w:t>
      </w:r>
      <w:r>
        <w:t xml:space="preserve"> </w:t>
      </w:r>
      <w:r>
        <w:t xml:space="preserve">16:36, convergent). Ibn ʿĀshūr (</w:t>
      </w:r>
      <w:r>
        <w:rPr>
          <w:i/>
          <w:iCs/>
        </w:rPr>
        <w:t xml:space="preserve">al-Taḥrīr</w:t>
      </w:r>
      <w:r>
        <w:t xml:space="preserve"> </w:t>
      </w:r>
      <w:r>
        <w:t xml:space="preserve">25:126) clarifies:</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but</w:t>
      </w:r>
      <w:r>
        <w:t xml:space="preserve"> </w:t>
      </w:r>
      <w:r>
        <w:rPr>
          <w:i/>
          <w:iCs/>
        </w:rPr>
        <w:t xml:space="preserve">baghy</w:t>
      </w:r>
      <w:r>
        <w:t xml:space="preserve"> </w:t>
      </w:r>
      <w:r>
        <w:t xml:space="preserve">is specific to non-rightful aggression against another whereas</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w:t>
      </w:r>
      <w:r>
        <w:t xml:space="preserve"> </w:t>
      </w:r>
      <w:r>
        <w:rPr>
          <w:i/>
          <w:iCs/>
        </w:rPr>
        <w:t xml:space="preserve">Baghy</w:t>
      </w:r>
      <w:r>
        <w:t xml:space="preserve"> </w:t>
      </w:r>
      <w:r>
        <w:t xml:space="preserve">attains the highest point-estimate closeness centrality (0.55) and shared-highest betweenness (0.15) with</w:t>
      </w:r>
      <w:r>
        <w:t xml:space="preserve"> </w:t>
      </w:r>
      <w:r>
        <w:rPr>
          <w:i/>
          <w:iCs/>
        </w:rPr>
        <w:t xml:space="preserve">ghaḍab</w:t>
      </w:r>
      <w:r>
        <w:t xml:space="preserve"> </w:t>
      </w:r>
      <w:r>
        <w:t xml:space="preserve">and</w:t>
      </w:r>
      <w:r>
        <w:t xml:space="preserve"> </w:t>
      </w:r>
      <w:r>
        <w:rPr>
          <w:i/>
          <w:iCs/>
        </w:rPr>
        <w:t xml:space="preserve">asaf</w:t>
      </w:r>
      <w:r>
        <w:t xml:space="preserve">. Bootstrap 95% percentile CIs (10,000 ayat-resamples) are wide — for</w:t>
      </w:r>
      <w:r>
        <w:t xml:space="preserve"> </w:t>
      </w:r>
      <w:r>
        <w:rPr>
          <w:i/>
          <w:iCs/>
        </w:rPr>
        <w:t xml:space="preserve">baghy</w:t>
      </w:r>
      <w:r>
        <w:t xml:space="preserve">: betweenness ∈ [0.00, 0.31]; closeness ∈ [0.23, 0.84]; eigenvector ∈ [0.00, 0.68] — reflecting the small graph (14 nodes). On strict non-overlap, no node’s centrality is significantly greater than another’s. What is</w:t>
      </w:r>
      <w:r>
        <w:t xml:space="preserve"> </w:t>
      </w:r>
      <w:r>
        <w:rPr>
          <w:i/>
          <w:iCs/>
        </w:rPr>
        <w:t xml:space="preserve">robust</w:t>
      </w:r>
      <w:r>
        <w:t xml:space="preserve"> </w:t>
      </w:r>
      <w:r>
        <w:t xml:space="preserve">at the aggregate level is cross-field connectivity to the umbrella moral terms (Table 4):</w:t>
      </w:r>
      <w:r>
        <w:t xml:space="preserve"> </w:t>
      </w:r>
      <w:r>
        <w:rPr>
          <w:i/>
          <w:iCs/>
        </w:rPr>
        <w:t xml:space="preserve">baghy</w:t>
      </w:r>
      <w:r>
        <w:t xml:space="preserve"> </w:t>
      </w:r>
      <w:r>
        <w:t xml:space="preserve">shows sixteen aya-level co-occurrences with</w:t>
      </w:r>
      <w:r>
        <w:t xml:space="preserve"> </w:t>
      </w:r>
      <w:r>
        <w:rPr>
          <w:i/>
          <w:iCs/>
        </w:rPr>
        <w:t xml:space="preserve">ẓlm/jrm/fsq/ʿdw/šnʾ</w:t>
      </w:r>
      <w:r>
        <w:t xml:space="preserve"> </w:t>
      </w:r>
      <w:r>
        <w:t xml:space="preserve">combined, an integer-count pattern independent of centrality ranking.</w:t>
      </w:r>
    </w:p>
    <w:p>
      <w:pPr>
        <w:pStyle w:val="BodyText"/>
      </w:pPr>
      <w:r>
        <w:rPr>
          <w:b/>
          <w:bCs/>
        </w:rPr>
        <w:t xml:space="preserve">Table 4. Cross-field co-occurrence of spectrum roots with umbrella moral terms (aya-level)</w:t>
      </w:r>
      <w:r>
        <w:t xml:space="preserve"> </w:t>
      </w:r>
      <w:r>
        <w:t xml:space="preserve">— ties for the four newly-incorporated roots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are sparse and omitted.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ghḍb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ghyẓ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bghy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ṭghy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Of the total cross-field ties, nineteen (~53%) involve</w:t>
      </w:r>
      <w:r>
        <w:t xml:space="preserve"> </w:t>
      </w:r>
      <w:r>
        <w:rPr>
          <w:i/>
          <w:iCs/>
        </w:rPr>
        <w:t xml:space="preserve">baghy</w:t>
      </w:r>
      <w:r>
        <w:t xml:space="preserve"> </w:t>
      </w:r>
      <w:r>
        <w:t xml:space="preserve">— the principal lexical bridge between the anger field and the wider moral-evaluation field.</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29M/10Md).</w:t>
      </w:r>
      <w:r>
        <w:t xml:space="preserve"> </w:t>
      </w:r>
      <w:r>
        <w:t xml:space="preserve">Root</w:t>
      </w:r>
      <w:r>
        <w:t xml:space="preserve"> </w:t>
      </w:r>
      <w:r>
        <w:rPr>
          <w:i/>
          <w:iCs/>
        </w:rPr>
        <w:t xml:space="preserve">ṭ-gh-y</w:t>
      </w:r>
      <w:r>
        <w:t xml:space="preserve"> </w:t>
      </w:r>
      <w:r>
        <w:t xml:space="preserve">derives from water flooding past its banks. Sūrat al-ʿAlaq (Q. 96:6–7,</w:t>
      </w:r>
      <w:r>
        <w:t xml:space="preserve"> </w:t>
      </w:r>
      <w:r>
        <w:rPr>
          <w:i/>
          <w:iCs/>
        </w:rPr>
        <w:t xml:space="preserve">kallā inna l-insāna la-yaṭghā an raʾāhu staghnā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an appraisal-theoretic claim congruent with Roseman’s (1996) other-caused / motive-inconsistent / high-control pattern for defiance. Qarizadeh et al. (2024) note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9M/1Md; Holm-adj.</w:t>
      </w:r>
      <w:r>
        <w:rPr>
          <w:b/>
          <w:bCs/>
        </w:rPr>
        <w:t xml:space="preserve"> </w:t>
      </w:r>
      <w:r>
        <w:rPr>
          <w:b/>
          <w:bCs/>
          <w:i/>
          <w:iCs/>
        </w:rPr>
        <w:t xml:space="preserve">p</w:t>
      </w:r>
      <w:r>
        <w:rPr>
          <w:b/>
          <w:bCs/>
        </w:rPr>
        <w:t xml:space="preserve"> </w:t>
      </w:r>
      <w:r>
        <w:rPr>
          <w:b/>
          <w:bCs/>
        </w:rPr>
        <w:t xml:space="preserve">= 1.00 — not FDR-significant).</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Sūrat al-Furqān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The 9/1 split tracks the lexeme’s rhetorical function as terminal designation for Nūḥ-, ʿĀd-, Thamūd-, and Pharaonic-people narratives but is not distinguishable from the baseline under the binomial.</w:t>
      </w:r>
    </w:p>
    <w:p>
      <w:pPr>
        <w:pStyle w:val="BodyText"/>
      </w:pPr>
      <w:r>
        <w:rPr>
          <w:b/>
          <w:bCs/>
        </w:rPr>
        <w:t xml:space="preserve">4.8.5. Bidirectional causation and a</w:t>
      </w:r>
      <w:r>
        <w:rPr>
          <w:b/>
          <w:bCs/>
        </w:rPr>
        <w:t xml:space="preserve"> </w:t>
      </w:r>
      <w:r>
        <w:rPr>
          <w:b/>
          <w:bCs/>
          <w:i/>
          <w:iCs/>
        </w:rPr>
        <w:t xml:space="preserve">tafsīr</w:t>
      </w:r>
      <w:r>
        <w:rPr>
          <w:b/>
          <w:bCs/>
        </w:rPr>
        <w:t xml:space="preserve">-grounded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sūrat al-Anʿām, Q. 6:21);</w:t>
      </w:r>
      <w:r>
        <w:t xml:space="preserve"> </w:t>
      </w:r>
      <w:r>
        <w:rPr>
          <w:i/>
          <w:iCs/>
        </w:rPr>
        <w:t xml:space="preserve">ṭughyān</w:t>
      </w:r>
      <w:r>
        <w:t xml:space="preserve"> </w:t>
      </w:r>
      <w:r>
        <w:t xml:space="preserve">— paradigmatically Pharaonic (sūrat al-Nāziʿāt, Q. 79:17) — is rooted in structural arrogance; sūrat al-Shuʿarāʾ (Q. 26:55,</w:t>
      </w:r>
      <w:r>
        <w:t xml:space="preserve"> </w:t>
      </w:r>
      <w:r>
        <w:rPr>
          <w:i/>
          <w:iCs/>
        </w:rPr>
        <w:t xml:space="preserve">innahum lanā la-ghāʾiẓūn</w:t>
      </w:r>
      <w:r>
        <w:t xml:space="preserve">) reverses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bidirectional.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 </w:t>
      </w:r>
      <w:r>
        <w:t xml:space="preserve">under a three-label codebook:</w:t>
      </w:r>
      <w:r>
        <w:t xml:space="preserve"> </w:t>
      </w:r>
      <w:r>
        <w:rPr>
          <w:b/>
          <w:bCs/>
        </w:rPr>
        <w:t xml:space="preserve">A</w:t>
      </w:r>
      <w:r>
        <w:t xml:space="preserve"> </w:t>
      </w:r>
      <w:r>
        <w:t xml:space="preserve">(anger-origin: immediate exegetical antecedent is an anger-type affective state),</w:t>
      </w:r>
      <w:r>
        <w:t xml:space="preserve"> </w:t>
      </w:r>
      <w:r>
        <w:rPr>
          <w:b/>
          <w:bCs/>
        </w:rPr>
        <w:t xml:space="preserve">S</w:t>
      </w:r>
      <w:r>
        <w:t xml:space="preserve"> </w:t>
      </w:r>
      <w:r>
        <w:t xml:space="preserve">(structural-origin: antecedent is</w:t>
      </w:r>
      <w:r>
        <w:t xml:space="preserve"> </w:t>
      </w:r>
      <w:r>
        <w:rPr>
          <w:i/>
          <w:iCs/>
        </w:rPr>
        <w:t xml:space="preserve">istikbār</w:t>
      </w:r>
      <w:r>
        <w:t xml:space="preserve">/</w:t>
      </w:r>
      <w:r>
        <w:rPr>
          <w:i/>
          <w:iCs/>
        </w:rPr>
        <w:t xml:space="preserve">ʿulw</w:t>
      </w:r>
      <w:r>
        <w:t xml:space="preserve">/greed without explicit anger antecedent), or</w:t>
      </w:r>
      <w:r>
        <w:t xml:space="preserve"> </w:t>
      </w:r>
      <w:r>
        <w:rPr>
          <w:b/>
          <w:bCs/>
        </w:rPr>
        <w:t xml:space="preserve">A+S</w:t>
      </w:r>
      <w:r>
        <w:t xml:space="preserve"> </w:t>
      </w:r>
      <w:r>
        <w:t xml:space="preserve">(both present).</w:t>
      </w:r>
    </w:p>
    <w:p>
      <w:pPr>
        <w:pStyle w:val="BodyText"/>
      </w:pPr>
      <w:r>
        <w:rPr>
          <w:i/>
          <w:iCs/>
        </w:rPr>
        <w:t xml:space="preserve">Coding protocol.</w:t>
      </w:r>
      <w:r>
        <w:t xml:space="preserve"> </w:t>
      </w:r>
      <w:r>
        <w:t xml:space="preserve">Two independent graduate-level coders (the corresponding author and an Arabic-literature graduate trained on the codebook with commentary excerpts) coded all 145 attestations: (i) not blinded to root identity (root is intrinsic to the textual context); (ii) blinded to the bidirectional-causation hypothesis at the coding stage; (iii) attestation order randomised per coder via fixed RNG seed (</w:t>
      </w:r>
      <w:r>
        <w:rPr>
          <w:rStyle w:val="VerbatimChar"/>
        </w:rPr>
        <w:t xml:space="preserve">np.random.default_rng(20260509)</w:t>
      </w:r>
      <w:r>
        <w:t xml:space="preserve">); (iv) disagreements (n = 14) reconciled in joint session against the four commentaries, with original-pass codings used for κ. Cohen’s κ = 0.79 —</w:t>
      </w:r>
      <w:r>
        <w:t xml:space="preserve"> </w:t>
      </w:r>
      <w:r>
        <w:rPr>
          <w:i/>
          <w:iCs/>
        </w:rPr>
        <w:t xml:space="preserve">substantial</w:t>
      </w:r>
      <w:r>
        <w:t xml:space="preserve"> </w:t>
      </w:r>
      <w:r>
        <w:t xml:space="preserve">agreement (Landis and Koch 1977); per-label κ (A = 0.82, S = 0.78, A+S = 0.74), per-root κ (</w:t>
      </w:r>
      <w:r>
        <w:rPr>
          <w:i/>
          <w:iCs/>
        </w:rPr>
        <w:t xml:space="preserve">baghy</w:t>
      </w:r>
      <w:r>
        <w:t xml:space="preserve"> </w:t>
      </w:r>
      <w:r>
        <w:t xml:space="preserve">0.81,</w:t>
      </w:r>
      <w:r>
        <w:t xml:space="preserve"> </w:t>
      </w:r>
      <w:r>
        <w:rPr>
          <w:i/>
          <w:iCs/>
        </w:rPr>
        <w:t xml:space="preserve">ṭughyān</w:t>
      </w:r>
      <w:r>
        <w:t xml:space="preserve"> </w:t>
      </w:r>
      <w:r>
        <w:t xml:space="preserve">0.77,</w:t>
      </w:r>
      <w:r>
        <w:t xml:space="preserve"> </w:t>
      </w:r>
      <w:r>
        <w:rPr>
          <w:i/>
          <w:iCs/>
        </w:rPr>
        <w:t xml:space="preserve">ʿutuww</w:t>
      </w:r>
      <w:r>
        <w:t xml:space="preserve"> </w:t>
      </w:r>
      <w:r>
        <w:t xml:space="preserve">0.70), 3 × 3 confusion matrix, and full codebook are deposited at</w:t>
      </w:r>
      <w:r>
        <w:t xml:space="preserve"> </w:t>
      </w:r>
      <w:r>
        <w:rPr>
          <w:rStyle w:val="VerbatimChar"/>
        </w:rPr>
        <w:t xml:space="preserve">data/concordance/stage6_*.{csv,md}</w:t>
      </w:r>
      <w:r>
        <w:t xml:space="preserve">.</w:t>
      </w:r>
    </w:p>
    <w:p>
      <w:pPr>
        <w:pStyle w:val="BodyText"/>
      </w:pPr>
      <w:r>
        <w:rPr>
          <w:i/>
          <w:iCs/>
        </w:rPr>
        <w:t xml:space="preserve">Results.</w:t>
      </w:r>
      <w:r>
        <w:t xml:space="preserve"> </w:t>
      </w:r>
      <w:r>
        <w:t xml:space="preserve">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χ²(1) on A-only (S1–5 = 167 vs. anger-derived S6 = 38) = 81.4,</w:t>
      </w:r>
      <w:r>
        <w:t xml:space="preserve"> </w:t>
      </w:r>
      <w:r>
        <w:rPr>
          <w:i/>
          <w:iCs/>
        </w:rPr>
        <w:t xml:space="preserve">p</w:t>
      </w:r>
      <w:r>
        <w:t xml:space="preserve"> </w:t>
      </w:r>
      <w:r>
        <w:t xml:space="preserve">&lt; 0.001 — the phenomenological core dominates anger-derived outcomes ~4.4×. The full-S6 near-balance is therefore explained: S-attestations belong to an adjacent moral-anthropological field of</w:t>
      </w:r>
      <w:r>
        <w:t xml:space="preserve"> </w:t>
      </w:r>
      <w:r>
        <w:rPr>
          <w:i/>
          <w:iCs/>
        </w:rPr>
        <w:t xml:space="preserve">ẓulm-istikbār-ʿulw</w:t>
      </w:r>
      <w:r>
        <w:t xml:space="preserv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8603"/>
            <wp:effectExtent b="0" l="0" r="0" t="0"/>
            <wp:docPr descr="Figure 4. Aya-level co-occurrence network; edges weighted by shared-ayat count. Strongest edge ḥzn–ḍyq (weight 3) corpus-validates the S2 grouping. Baghy anchors the right cluster with edges to ẓlm/jrm/fsq. Transitive structure (no direct S1→S6 edges) is consistent with both the action-intensity gradient and the bidirectional S6 reading (§4.8.5)." title="" id="70" name="Picture"/>
            <a:graphic>
              <a:graphicData uri="http://schemas.openxmlformats.org/drawingml/2006/picture">
                <pic:pic>
                  <pic:nvPicPr>
                    <pic:cNvPr descr="fig4_cooccurrence.png" id="71" name="Picture"/>
                    <pic:cNvPicPr>
                      <a:picLocks noChangeArrowheads="1" noChangeAspect="1"/>
                    </pic:cNvPicPr>
                  </pic:nvPicPr>
                  <pic:blipFill>
                    <a:blip r:embed="rId69"/>
                    <a:stretch>
                      <a:fillRect/>
                    </a:stretch>
                  </pic:blipFill>
                  <pic:spPr bwMode="auto">
                    <a:xfrm>
                      <a:off x="0" y="0"/>
                      <a:ext cx="5067300" cy="431860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Aya-level co-occurrence network; edges weighted by shared-ayat count. Strongest edge</w:t>
      </w:r>
      <w:r>
        <w:t xml:space="preserve"> </w:t>
      </w:r>
      <w:r>
        <w:rPr>
          <w:i/>
          <w:iCs/>
        </w:rPr>
        <w:t xml:space="preserve">ḥzn–ḍyq</w:t>
      </w:r>
      <w:r>
        <w:t xml:space="preserve"> </w:t>
      </w:r>
      <w:r>
        <w:t xml:space="preserve">(weight 3) corpus-validates the S2 grouping.</w:t>
      </w:r>
      <w:r>
        <w:t xml:space="preserve"> </w:t>
      </w:r>
      <w:r>
        <w:rPr>
          <w:i/>
          <w:iCs/>
        </w:rPr>
        <w:t xml:space="preserve">Baghy</w:t>
      </w:r>
      <w:r>
        <w:t xml:space="preserve"> </w:t>
      </w:r>
      <w:r>
        <w:t xml:space="preserve">anchors the right cluster with edges to</w:t>
      </w:r>
      <w:r>
        <w:t xml:space="preserve"> </w:t>
      </w:r>
      <w:r>
        <w:rPr>
          <w:i/>
          <w:iCs/>
        </w:rPr>
        <w:t xml:space="preserve">ẓlm/jrm/fsq</w:t>
      </w:r>
      <w:r>
        <w:t xml:space="preserve">. Transitive structure (no direct S1→S6 edges) is consistent with both the action-intensity gradient and the bidirectional S6 reading (§4.8.5).</w:t>
      </w:r>
    </w:p>
    <w:p>
      <w:pPr>
        <w:pStyle w:val="CaptionedFigure"/>
      </w:pPr>
      <w:r>
        <w:drawing>
          <wp:inline>
            <wp:extent cx="5067300" cy="1762866"/>
            <wp:effectExtent b="0" l="0" r="0" t="0"/>
            <wp:docPr descr="Figure 7. Three centrality measures with bootstrap 95% percentile CIs on the co-occurrence graph (weighted degree, betweenness, closeness). Baghy leads on closeness (0.55, CI [0.23, 0.84]) and shares highest betweenness (0.15, CI [0.00, 0.31]) with ghaḍab and asaf. Wide CIs reflect the small graph; bridging-role claim consistent with point estimates but qualified by bootstrap (§4.8.2)." title="" id="73" name="Picture"/>
            <a:graphic>
              <a:graphicData uri="http://schemas.openxmlformats.org/drawingml/2006/picture">
                <pic:pic>
                  <pic:nvPicPr>
                    <pic:cNvPr descr="fig7_centrality.png" id="74" name="Picture"/>
                    <pic:cNvPicPr>
                      <a:picLocks noChangeArrowheads="1" noChangeAspect="1"/>
                    </pic:cNvPicPr>
                  </pic:nvPicPr>
                  <pic:blipFill>
                    <a:blip r:embed="rId72"/>
                    <a:stretch>
                      <a:fillRect/>
                    </a:stretch>
                  </pic:blipFill>
                  <pic:spPr bwMode="auto">
                    <a:xfrm>
                      <a:off x="0" y="0"/>
                      <a:ext cx="5067300" cy="176286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Three centrality measures with bootstrap 95% percentile CIs on the co-occurrence graph (weighted degree, betweenness, closeness).</w:t>
      </w:r>
      <w:r>
        <w:t xml:space="preserve"> </w:t>
      </w:r>
      <w:r>
        <w:rPr>
          <w:i/>
          <w:iCs/>
        </w:rPr>
        <w:t xml:space="preserve">Baghy</w:t>
      </w:r>
      <w:r>
        <w:t xml:space="preserve"> </w:t>
      </w:r>
      <w:r>
        <w:t xml:space="preserve">leads on closeness (0.55, CI [0.23, 0.84]) and shares 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Wide CIs reflect the small graph; bridging-role claim consistent with point estimates but qualified by bootstrap (§4.8.2).</w:t>
      </w:r>
    </w:p>
    <w:bookmarkEnd w:id="75"/>
    <w:bookmarkStart w:id="76" w:name="X4791f1e2d81ade18609274a5c9deda1b1b9a973"/>
    <w:p>
      <w:pPr>
        <w:pStyle w:val="Heading3"/>
      </w:pPr>
      <w:r>
        <w:t xml:space="preserve">4.9. Robustness checks: the umbrella moral terms</w:t>
      </w:r>
    </w:p>
    <w:p>
      <w:pPr>
        <w:pStyle w:val="FirstParagraph"/>
      </w:pPr>
      <w:r>
        <w:t xml:space="preserve">The five umbrella roots (Table 5) confirm that the spectrum’s structure is not artefactual. 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identified for</w:t>
      </w:r>
      <w:r>
        <w:t xml:space="preserve"> </w:t>
      </w:r>
      <w:r>
        <w:rPr>
          <w:i/>
          <w:iCs/>
        </w:rPr>
        <w:t xml:space="preserve">sakhaṭ</w:t>
      </w:r>
      <w:r>
        <w:t xml:space="preserve"> </w:t>
      </w:r>
      <w:r>
        <w:t xml:space="preserve">and</w:t>
      </w:r>
      <w:r>
        <w:t xml:space="preserve"> </w:t>
      </w:r>
      <w:r>
        <w:rPr>
          <w:i/>
          <w:iCs/>
        </w:rPr>
        <w:t xml:space="preserve">karh</w:t>
      </w:r>
      <w:r>
        <w:t xml:space="preserve"> </w:t>
      </w:r>
      <w:r>
        <w:t xml:space="preserve">— the umbrella analysis confirms a general phenomenon.</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Md</w:t>
            </w:r>
          </w:p>
        </w:tc>
        <w:tc>
          <w:tcPr/>
          <w:p>
            <w:pPr>
              <w:pStyle w:val="Compact"/>
              <w:jc w:val="center"/>
            </w:pPr>
            <w:r>
              <w:t xml:space="preserve">Binomial</w:t>
            </w:r>
            <w:r>
              <w:t xml:space="preserve"> </w:t>
            </w:r>
            <w:r>
              <w:rPr>
                <w:i/>
                <w:iCs/>
              </w:rPr>
              <w:t xml:space="preserve">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rPr>
                <w:i/>
                <w:iCs/>
              </w:rPr>
              <w:t xml:space="preserve">n</w:t>
            </w:r>
            <w:r>
              <w:t xml:space="preserve"> </w:t>
            </w:r>
            <w:r>
              <w:t xml:space="preserve">too small</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 discipline</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mutual antagonism</w:t>
            </w:r>
          </w:p>
        </w:tc>
      </w:tr>
    </w:tbl>
    <w:bookmarkEnd w:id="76"/>
    <w:bookmarkStart w:id="77" w:name="X0a8ca5faca760997a17be007a684b8b7ff32874"/>
    <w:p>
      <w:pPr>
        <w:pStyle w:val="Heading3"/>
      </w:pPr>
      <w:r>
        <w:t xml:space="preserve">4.10. Comparative translation: an illustrative observation</w:t>
      </w:r>
    </w:p>
    <w:p>
      <w:pPr>
        <w:pStyle w:val="FirstParagraph"/>
      </w:pPr>
      <w:r>
        <w:t xml:space="preserve">A four-verse, five-translation sample (Table 6) illustrates the levelling pattern:</w:t>
      </w:r>
      <w:r>
        <w:t xml:space="preserve"> </w:t>
      </w:r>
      <w:r>
        <w:rPr>
          <w:i/>
          <w:iCs/>
        </w:rPr>
        <w:t xml:space="preserve">ghayẓ</w:t>
      </w:r>
      <w:r>
        <w:t xml:space="preserve"> </w:t>
      </w:r>
      <w:r>
        <w:t xml:space="preserve">(Q. 3:134) is rendered 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routinely used also for</w:t>
      </w:r>
      <w:r>
        <w:t xml:space="preserve"> </w:t>
      </w:r>
      <w:r>
        <w:rPr>
          <w:i/>
          <w:iCs/>
        </w:rPr>
        <w:t xml:space="preserve">ghaḍab</w:t>
      </w:r>
      <w:r>
        <w:t xml:space="preserve">, with the containment differentia carried only by the contextual verb of restraint;</w:t>
      </w:r>
      <w:r>
        <w:t xml:space="preserve"> </w:t>
      </w:r>
      <w:r>
        <w:rPr>
          <w:i/>
          <w:iCs/>
        </w:rPr>
        <w:t xml:space="preserve">tamayyuz</w:t>
      </w:r>
      <w:r>
        <w:t xml:space="preserve"> </w:t>
      </w:r>
      <w:r>
        <w:t xml:space="preserve">(Q. 67:8) is rendered unevenly, with only Arberry’s</w:t>
      </w:r>
      <w:r>
        <w:t xml:space="preserve"> </w:t>
      </w:r>
      <w:r>
        <w:t xml:space="preserve">“well-nigh bursts asunder”</w:t>
      </w:r>
      <w:r>
        <w:t xml:space="preserve"> </w:t>
      </w:r>
      <w:r>
        <w:t xml:space="preserve">preserving the structural-disintegration component. The sample is illustrative; a stratified evaluation across ~30 verses with multi-rater coding is left to future work.</w:t>
      </w:r>
    </w:p>
    <w:p>
      <w:pPr>
        <w:pStyle w:val="BodyText"/>
      </w:pPr>
      <w:r>
        <w:rPr>
          <w:b/>
          <w:bCs/>
        </w:rPr>
        <w:t xml:space="preserve">Table 6. Translation of four canonical verses across five English translations</w:t>
      </w:r>
      <w:r>
        <w:t xml:space="preserve"> </w:t>
      </w:r>
      <w:r>
        <w:t xml:space="preserve">(illustrative sample)</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ghayẓ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bookmarkEnd w:id="77"/>
    <w:bookmarkStart w:id="78" w:name="Xf60b8da9607272df4b115223f31daec651d107b"/>
    <w:p>
      <w:pPr>
        <w:pStyle w:val="Heading3"/>
      </w:pPr>
      <w:r>
        <w:t xml:space="preserve">4.11. Summary of computational corroboration (Supplementary §S1–S4)</w:t>
      </w:r>
    </w:p>
    <w:p>
      <w:pPr>
        <w:pStyle w:val="FirstParagraph"/>
      </w:pPr>
      <w:r>
        <w:t xml:space="preserve">Four NLP analyses extend the main pipeline over the same 312 attestations; full detail at</w:t>
      </w:r>
      <w:r>
        <w:t xml:space="preserve"> </w:t>
      </w:r>
      <w:r>
        <w:rPr>
          <w:rStyle w:val="VerbatimChar"/>
        </w:rPr>
        <w:t xml:space="preserve">paper/english/supplementary.md</w:t>
      </w:r>
      <w:r>
        <w:t xml:space="preserve">.</w:t>
      </w:r>
      <w:r>
        <w:t xml:space="preserve"> </w:t>
      </w:r>
      <w:r>
        <w:rPr>
          <w:b/>
          <w:bCs/>
        </w:rPr>
        <w:t xml:space="preserve">S1 (cross-translation semantic drift)</w:t>
      </w:r>
      <w:r>
        <w:t xml:space="preserve"> </w:t>
      </w:r>
      <w:r>
        <w:t xml:space="preserve">with multilingual MPNet over ten parallel renderings recovers three drift bands mapping onto the spectrum (affective-core lexemes drift &lt; 0.20, evaluative-aversion and containment-pressure lexemes &gt; 0.22,</w:t>
      </w:r>
      <w:r>
        <w:t xml:space="preserve"> </w:t>
      </w:r>
      <w:r>
        <w:rPr>
          <w:i/>
          <w:iCs/>
        </w:rPr>
        <w:t xml:space="preserve">ṭughyān</w:t>
      </w:r>
      <w:r>
        <w:t xml:space="preserve"> </w:t>
      </w:r>
      <w:r>
        <w:t xml:space="preserve">topping non-hapax) — convergent with §4.10.</w:t>
      </w:r>
      <w:r>
        <w:t xml:space="preserve"> </w:t>
      </w:r>
      <w:r>
        <w:rPr>
          <w:b/>
          <w:bCs/>
        </w:rPr>
        <w:t xml:space="preserve">S2 (CAMeLBERT-CA clustering)</w:t>
      </w:r>
      <w:r>
        <w:t xml:space="preserve"> </w:t>
      </w:r>
      <w:r>
        <w:t xml:space="preserve">yields silhouette = −0.082, NMI = 0.077 against the six-stage labelling; a Monte-Carlo baseline (10,000 random 6-partitions of the fourteen roots into stages of the observed sizes) gives mean random NMI ≈ 0.094 [0.041, 0.156]. The observed NMI sits below the random mean — this is a clear null in which the model clusters by root identity, and the spectrum adds analytical structure beyond the language model’s distributional view.</w:t>
      </w:r>
      <w:r>
        <w:t xml:space="preserve"> </w:t>
      </w:r>
      <w:r>
        <w:rPr>
          <w:b/>
          <w:bCs/>
        </w:rPr>
        <w:t xml:space="preserve">S3 (PMI-weighted network)</w:t>
      </w:r>
      <w:r>
        <w:t xml:space="preserve"> </w:t>
      </w:r>
      <w:r>
        <w:t xml:space="preserve">corrects raw-count artefacts:</w:t>
      </w:r>
      <w:r>
        <w:t xml:space="preserve"> </w:t>
      </w:r>
      <w:r>
        <w:rPr>
          <w:i/>
          <w:iCs/>
        </w:rPr>
        <w:t xml:space="preserve">asaf</w:t>
      </w:r>
      <w:r>
        <w:t xml:space="preserve">–</w:t>
      </w:r>
      <w:r>
        <w:rPr>
          <w:i/>
          <w:iCs/>
        </w:rPr>
        <w:t xml:space="preserve">ghaḍab</w:t>
      </w:r>
      <w:r>
        <w:t xml:space="preserve"> </w:t>
      </w:r>
      <w:r>
        <w:t xml:space="preserve">(npmi = 0.59) emerges as the strongest signal and</w:t>
      </w:r>
      <w:r>
        <w:t xml:space="preserve"> </w:t>
      </w:r>
      <w:r>
        <w:rPr>
          <w:i/>
          <w:iCs/>
        </w:rPr>
        <w:t xml:space="preserve">baghy</w:t>
      </w:r>
      <w:r>
        <w:t xml:space="preserve">’s raw-count dominance is shown to be partly a frequency artefact.</w:t>
      </w:r>
      <w:r>
        <w:t xml:space="preserve"> </w:t>
      </w:r>
      <w:r>
        <w:rPr>
          <w:b/>
          <w:bCs/>
        </w:rPr>
        <w:t xml:space="preserve">S4 (Nöldekean diachronic null)</w:t>
      </w:r>
      <w:r>
        <w:t xml:space="preserve"> </w:t>
      </w:r>
      <w:r>
        <w:t xml:space="preserve">finds Spearman ρ = −0.157; R² ≈ 0.025 explains &lt; 3% of variance — a diachronic effect statistically detectable (</w:t>
      </w:r>
      <w:r>
        <w:rPr>
          <w:i/>
          <w:iCs/>
        </w:rPr>
        <w:t xml:space="preserve">p</w:t>
      </w:r>
      <w:r>
        <w:t xml:space="preserve"> </w:t>
      </w:r>
      <w:r>
        <w:t xml:space="preserve">= 0.006) but substantively a null, consistent with the claim that the taxonomy organises by intensity, not chronology.</w:t>
      </w:r>
    </w:p>
    <w:p>
      <w:r>
        <w:pict>
          <v:rect style="width:0;height:1.5pt" o:hralign="center" o:hrstd="t" o:hr="t"/>
        </w:pict>
      </w:r>
    </w:p>
    <w:bookmarkEnd w:id="78"/>
    <w:bookmarkEnd w:id="79"/>
    <w:bookmarkStart w:id="90" w:name="discussion"/>
    <w:p>
      <w:pPr>
        <w:pStyle w:val="Heading2"/>
      </w:pPr>
      <w:r>
        <w:t xml:space="preserve">5. Discussion</w:t>
      </w:r>
    </w:p>
    <w:bookmarkStart w:id="80" w:name="the-integrated-logic-of-escalation"/>
    <w:p>
      <w:pPr>
        <w:pStyle w:val="Heading3"/>
      </w:pPr>
      <w:r>
        <w:t xml:space="preserve">5.1. The integrated logic of escalation</w:t>
      </w:r>
    </w:p>
    <w:p>
      <w:pPr>
        <w:pStyle w:val="FirstParagraph"/>
      </w:pPr>
      <w:r>
        <w:t xml:space="preserve">The findings cohere into a single structural claim: the Qur’anic anger lexicon encodes a logic of escalation along three dimensions — locus (inner → outer), intensity (low → high), and scope (individual → structural). In compact form:</w:t>
      </w:r>
      <w:r>
        <w:t xml:space="preserve"> </w:t>
      </w:r>
      <w:r>
        <w:rPr>
          <w:i/>
          <w:iCs/>
        </w:rPr>
        <w:t xml:space="preserve">Pre-anger displeasure → Inner pressure → Evaluative aversion → Active anger → Compressed rage → Behavioural outcomes (with caveats)</w:t>
      </w:r>
      <w:r>
        <w:t xml:space="preserve">. The arrows index conditional intensification at each step where regulation may succeed or fail. Stage 6 is distinctive: the move into behavioural outcomes is not a deterministic escalation from anger but is influenced by independent vectors (greed,</w:t>
      </w:r>
      <w:r>
        <w:t xml:space="preserve"> </w:t>
      </w:r>
      <w:r>
        <w:rPr>
          <w:i/>
          <w:iCs/>
        </w:rPr>
        <w:t xml:space="preserve">istikbār</w:t>
      </w:r>
      <w:r>
        <w:t xml:space="preserve">, structural arrogance), which is why the near-balance between S1–5 and S6 is theoretically informative rather than paradoxical.</w:t>
      </w:r>
    </w:p>
    <w:bookmarkEnd w:id="80"/>
    <w:bookmarkStart w:id="81" w:name="X72b516463d2c03e5f485bcfe86cd728b07c29e4"/>
    <w:p>
      <w:pPr>
        <w:pStyle w:val="Heading3"/>
      </w:pPr>
      <w:r>
        <w:t xml:space="preserve">5.2. Convergence with contemporary emotion psychology</w:t>
      </w:r>
    </w:p>
    <w:p>
      <w:pPr>
        <w:pStyle w:val="FirstParagraph"/>
      </w:pPr>
      <w:r>
        <w:t xml:space="preserve">The continuum maps onto four families of contemporary emotion theory at points of structural convergence, sufficient to ground the Islamic-psychology implications of §5.7 and to identify where the Qur’anic lexicon extends the contemporary models.</w:t>
      </w:r>
    </w:p>
    <w:p>
      <w:pPr>
        <w:pStyle w:val="BodyText"/>
      </w:pPr>
      <w:r>
        <w:rPr>
          <w:b/>
          <w:bCs/>
        </w:rPr>
        <w:t xml:space="preserve">Gross’s process model.</w:t>
      </w:r>
      <w:r>
        <w:t xml:space="preserve"> </w:t>
      </w:r>
      <w:r>
        <w:t xml:space="preserve">Gross (1998, 2014, 2015) partitions emotion regulation into five sequential strategies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w:t>
      </w:r>
      <w:r>
        <w:t xml:space="preserve"> </w:t>
      </w:r>
      <w:r>
        <w:rPr>
          <w:i/>
          <w:iCs/>
        </w:rPr>
        <w:t xml:space="preserve">response modulation</w:t>
      </w:r>
      <w:r>
        <w:t xml:space="preserve">). The Qur’anic continuum cross-cuts this typology rather than mapping one-to-one: situation selection is forward-looking and so does not match the S1 lexemes, which are reactions to a present trigger.</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is better located at cognitive change / response-tendency modulation in nuce.</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implicates situation modification and attentional deployment.</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is paradigmatically cognitive change.</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lies at the response-selection threshold.</w:t>
      </w:r>
      <w:r>
        <w:t xml:space="preserve"> </w:t>
      </w:r>
      <w:r>
        <w:rPr>
          <w:b/>
          <w:bCs/>
        </w:rPr>
        <w:t xml:space="preserve">S5</w:t>
      </w:r>
      <w:r>
        <w:t xml:space="preserve"> </w:t>
      </w:r>
      <w:r>
        <w:t xml:space="preserve">is response modulation with two sub-strategies:</w:t>
      </w:r>
      <w:r>
        <w:t xml:space="preserve"> </w:t>
      </w:r>
      <w:r>
        <w:rPr>
          <w:i/>
          <w:iCs/>
        </w:rPr>
        <w:t xml:space="preserve">kaẓm</w:t>
      </w:r>
      <w:r>
        <w:t xml:space="preserve"> </w:t>
      </w:r>
      <w:r>
        <w:t xml:space="preserve">(Q. 3:134) is closest to</w:t>
      </w:r>
      <w:r>
        <w:t xml:space="preserve"> </w:t>
      </w:r>
      <w:r>
        <w:rPr>
          <w:i/>
          <w:iCs/>
        </w:rPr>
        <w:t xml:space="preserve">expressive suppression</w:t>
      </w:r>
      <w:r>
        <w:t xml:space="preserve">, but the Qur’anic moral commendation of</w:t>
      </w:r>
      <w:r>
        <w:t xml:space="preserve"> </w:t>
      </w:r>
      <w:r>
        <w:rPr>
          <w:i/>
          <w:iCs/>
        </w:rPr>
        <w:t xml:space="preserve">kāẓimīn al-ghayẓ</w:t>
      </w:r>
      <w:r>
        <w:t xml:space="preserve"> </w:t>
      </w:r>
      <w:r>
        <w:t xml:space="preserve">need not entail the physiological costs Gross associates with suppression, and Sufi readings (al-Qushayrī’s</w:t>
      </w:r>
      <w:r>
        <w:t xml:space="preserve"> </w:t>
      </w:r>
      <w:r>
        <w:rPr>
          <w:i/>
          <w:iCs/>
        </w:rPr>
        <w:t xml:space="preserve">Laṭāʾif al-Ishārāt</w:t>
      </w:r>
      <w:r>
        <w:t xml:space="preserve"> </w:t>
      </w:r>
      <w:r>
        <w:t xml:space="preserve">ad loc.) tilt the construct toward</w:t>
      </w:r>
      <w:r>
        <w:t xml:space="preserve"> </w:t>
      </w:r>
      <w:r>
        <w:rPr>
          <w:i/>
          <w:iCs/>
        </w:rPr>
        <w:t xml:space="preserve">cognitive reappraisal</w:t>
      </w:r>
      <w:r>
        <w:t xml:space="preserve"> </w:t>
      </w:r>
      <w:r>
        <w:t xml:space="preserve">in the</w:t>
      </w:r>
      <w:r>
        <w:t xml:space="preserve"> </w:t>
      </w:r>
      <w:r>
        <w:rPr>
          <w:i/>
          <w:iCs/>
        </w:rPr>
        <w:t xml:space="preserve">taqwā</w:t>
      </w:r>
      <w:r>
        <w:t xml:space="preserve"> </w:t>
      </w:r>
      <w:r>
        <w:t xml:space="preserve">frame; we do not read</w:t>
      </w:r>
      <w:r>
        <w:t xml:space="preserve"> </w:t>
      </w:r>
      <w:r>
        <w:rPr>
          <w:i/>
          <w:iCs/>
        </w:rPr>
        <w:t xml:space="preserve">kāẓim al-ghayẓ</w:t>
      </w:r>
      <w:r>
        <w:t xml:space="preserve"> </w:t>
      </w:r>
      <w:r>
        <w:t xml:space="preserve">as unambiguously expressive-suppression.</w:t>
      </w:r>
      <w:r>
        <w:t xml:space="preserve"> </w:t>
      </w:r>
      <w:r>
        <w:rPr>
          <w:i/>
          <w:iCs/>
        </w:rPr>
        <w:t xml:space="preserve">Tamayyuz</w:t>
      </w:r>
      <w:r>
        <w:t xml:space="preserve"> </w:t>
      </w:r>
      <w:r>
        <w:t xml:space="preserve">figures the failure mode regardless.</w:t>
      </w:r>
      <w:r>
        <w:t xml:space="preserve"> </w:t>
      </w:r>
      <w:r>
        <w:rPr>
          <w:b/>
          <w:bCs/>
        </w:rPr>
        <w:t xml:space="preserve">S6</w:t>
      </w:r>
      <w:r>
        <w:t xml:space="preserve"> </w:t>
      </w:r>
      <w:r>
        <w:t xml:space="preserve">lies beyond the episode-bounded scope of Gross’s model — structural-moral pathologies of personhood, with the §4.8.5 bidirectional-causation caveat.</w:t>
      </w:r>
    </w:p>
    <w:p>
      <w:pPr>
        <w:pStyle w:val="BodyText"/>
      </w:pPr>
      <w:r>
        <w:rPr>
          <w:b/>
          <w:bCs/>
        </w:rPr>
        <w:t xml:space="preserve">Plutchik; Spielberger.</w:t>
      </w:r>
      <w:r>
        <w:t xml:space="preserve"> </w:t>
      </w:r>
      <w:r>
        <w:t xml:space="preserve">Plutchik’s (1980, 2001) three-level escalation (annoyance → anger → rage) is refined by the Qur’anic continuum, which partitions annoyance into vocal irritation (</w:t>
      </w:r>
      <w:r>
        <w:rPr>
          <w:i/>
          <w:iCs/>
        </w:rPr>
        <w:t xml:space="preserve">uff</w:t>
      </w:r>
      <w:r>
        <w:t xml:space="preserve">, S1), inner aversion (</w:t>
      </w:r>
      <w:r>
        <w:rPr>
          <w:i/>
          <w:iCs/>
        </w:rPr>
        <w:t xml:space="preserve">karāha</w:t>
      </w:r>
      <w:r>
        <w:t xml:space="preserve">, S1), and inner pressure (S2) — three stages where Plutchik has one label — and inserts compressed rage (</w:t>
      </w:r>
      <w:r>
        <w:rPr>
          <w:i/>
          <w:iCs/>
        </w:rPr>
        <w:t xml:space="preserve">ghayẓ</w:t>
      </w:r>
      <w:r>
        <w:t xml:space="preserve">, S5) between anger (≈ S4</w:t>
      </w:r>
      <w:r>
        <w:t xml:space="preserve"> </w:t>
      </w:r>
      <w:r>
        <w:rPr>
          <w:i/>
          <w:iCs/>
        </w:rPr>
        <w:t xml:space="preserve">ghaḍab</w:t>
      </w:r>
      <w:r>
        <w:t xml:space="preserve">) and terminal rage. Spielberger’s STAXI-2 (1999) trichotomy of</w:t>
      </w:r>
      <w:r>
        <w:t xml:space="preserve"> </w:t>
      </w:r>
      <w:r>
        <w:rPr>
          <w:i/>
          <w:iCs/>
        </w:rPr>
        <w:t xml:space="preserve">trait</w:t>
      </w:r>
      <w:r>
        <w:t xml:space="preserve">,</w:t>
      </w:r>
      <w:r>
        <w:t xml:space="preserve"> </w:t>
      </w:r>
      <w:r>
        <w:rPr>
          <w:i/>
          <w:iCs/>
        </w:rPr>
        <w:t xml:space="preserve">state</w:t>
      </w:r>
      <w:r>
        <w:t xml:space="preserve">, and</w:t>
      </w:r>
      <w:r>
        <w:t xml:space="preserve"> </w:t>
      </w:r>
      <w:r>
        <w:rPr>
          <w:i/>
          <w:iCs/>
        </w:rPr>
        <w:t xml:space="preserve">control</w:t>
      </w:r>
      <w:r>
        <w:t xml:space="preserve"> </w:t>
      </w:r>
      <w:r>
        <w:t xml:space="preserve">is realised at the lexical surface: trait-like sustained states (</w:t>
      </w:r>
      <w:r>
        <w:rPr>
          <w:i/>
          <w:iCs/>
        </w:rPr>
        <w:t xml:space="preserve">ḥuzn</w:t>
      </w:r>
      <w:r>
        <w:t xml:space="preserve">,</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and</w:t>
      </w:r>
      <w:r>
        <w:t xml:space="preserve"> </w:t>
      </w:r>
      <w:r>
        <w:rPr>
          <w:i/>
          <w:iCs/>
        </w:rPr>
        <w:t xml:space="preserve">kaẓm</w:t>
      </w:r>
      <w:r>
        <w:t xml:space="preserve"> </w:t>
      </w:r>
      <w:r>
        <w:t xml:space="preserve">(Q. 3:134) as the Qur’anic anger-control lexeme, operationally close to Spielberger’s anger-in / suppression construct but with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1986; Lazarus 1991; Scherer 2001, 2005; Roseman 1996) holds that emotional response is determined not by stimulus alone but by cognitive</w:t>
      </w:r>
      <w:r>
        <w:t xml:space="preserve"> </w:t>
      </w:r>
      <w:r>
        <w:rPr>
          <w:i/>
          <w:iCs/>
        </w:rPr>
        <w:t xml:space="preserve">appraisal</w:t>
      </w:r>
      <w:r>
        <w:t xml:space="preserve"> </w:t>
      </w:r>
      <w:r>
        <w:t xml:space="preserve">along defined dimensions. Scherer’s component-process model specifies four sequential checks; the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Sūrat al-ʿAlaq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On Roseman’s (1996) appraisal structure, defiance and contempt are</w:t>
      </w:r>
      <w:r>
        <w:t xml:space="preserve"> </w:t>
      </w:r>
      <w:r>
        <w:rPr>
          <w:i/>
          <w:iCs/>
        </w:rPr>
        <w:t xml:space="preserve">other-caused</w:t>
      </w:r>
      <w:r>
        <w:t xml:space="preserve"> </w:t>
      </w:r>
      <w:r>
        <w:t xml:space="preserve">and</w:t>
      </w:r>
      <w:r>
        <w:t xml:space="preserve"> </w:t>
      </w:r>
      <w:r>
        <w:rPr>
          <w:i/>
          <w:iCs/>
        </w:rPr>
        <w:t xml:space="preserve">motive-inconsistent</w:t>
      </w:r>
      <w:r>
        <w:t xml:space="preserve"> </w:t>
      </w:r>
      <w:r>
        <w:t xml:space="preserve">(the agent rebels against an other-imposed normative constraint perceived as inconsistent with the agent’s self-conception).</w:t>
      </w:r>
      <w:r>
        <w:t xml:space="preserve"> </w:t>
      </w:r>
      <w:r>
        <w:rPr>
          <w:i/>
          <w:iCs/>
        </w:rPr>
        <w:t xml:space="preserve">Ṭughyān</w:t>
      </w:r>
      <w:r>
        <w:t xml:space="preserve"> </w:t>
      </w:r>
      <w:r>
        <w:t xml:space="preserve">on</w:t>
      </w:r>
      <w:r>
        <w:t xml:space="preserve"> </w:t>
      </w:r>
      <w:r>
        <w:rPr>
          <w:i/>
          <w:iCs/>
        </w:rPr>
        <w:t xml:space="preserve">istighnāʾ</w:t>
      </w:r>
      <w:r>
        <w:t xml:space="preserve"> </w:t>
      </w:r>
      <w:r>
        <w:t xml:space="preserve">fits this pattern: the divine command is the other-caused, motive-inconsistent constraint that</w:t>
      </w:r>
      <w:r>
        <w:t xml:space="preserve"> </w:t>
      </w:r>
      <w:r>
        <w:rPr>
          <w:i/>
          <w:iCs/>
        </w:rPr>
        <w:t xml:space="preserve">istighnāʾ</w:t>
      </w:r>
      <w:r>
        <w:t xml:space="preserve"> </w:t>
      </w:r>
      <w:r>
        <w:t xml:space="preserve">construes as dispensable. The Qur’anic lexicon thus encodes — as architectural design rather than theoretical statement — appraisal-theoretic insights that contemporary emotion science reached independently.</w:t>
      </w:r>
    </w:p>
    <w:bookmarkEnd w:id="81"/>
    <w:bookmarkStart w:id="82"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S1–3 combined. The revised fourteen-root inventory (167 / 145) corrects that picture: the expanded phenomenological vocabulary brings the lower stages into balance with Stage 6, consistent with both a richer affective lexicon and the bidirectional causal relation between Stage-6 lexemes and anger. In Fauconnier and Turner’s (2002: 17–57) terms, Stage 6 operates as a conceptual blend whose input spaces are wrong-doing-as-supremacism and anger-as-pressure.</w:t>
      </w:r>
    </w:p>
    <w:bookmarkEnd w:id="82"/>
    <w:bookmarkStart w:id="83" w:name="X49c8ef03dd048972660f596292de06fe0bc9a52"/>
    <w:p>
      <w:pPr>
        <w:pStyle w:val="Heading3"/>
      </w:pPr>
      <w:r>
        <w:t xml:space="preserve">5.4. Discursive-contextual specialisation and Cultural Linguistics</w:t>
      </w:r>
    </w:p>
    <w:p>
      <w:pPr>
        <w:pStyle w:val="FirstParagraph"/>
      </w:pPr>
      <w:r>
        <w:t xml:space="preserve">The FDR-surviving tilts of</w:t>
      </w:r>
      <w:r>
        <w:t xml:space="preserve"> </w:t>
      </w:r>
      <w:r>
        <w:rPr>
          <w:i/>
          <w:iCs/>
        </w:rPr>
        <w:t xml:space="preserve">karh</w:t>
      </w:r>
      <w:r>
        <w:t xml:space="preserve"> </w:t>
      </w:r>
      <w:r>
        <w:t xml:space="preserve">(Medinan),</w:t>
      </w:r>
      <w:r>
        <w:t xml:space="preserve"> </w:t>
      </w:r>
      <w:r>
        <w:rPr>
          <w:i/>
          <w:iCs/>
        </w:rPr>
        <w:t xml:space="preserve">baghy</w:t>
      </w:r>
      <w:r>
        <w:t xml:space="preserve"> </w:t>
      </w:r>
      <w:r>
        <w:t xml:space="preserve">(Meccan),</w:t>
      </w:r>
      <w:r>
        <w:t xml:space="preserve"> </w:t>
      </w:r>
      <w:r>
        <w:rPr>
          <w:i/>
          <w:iCs/>
        </w:rPr>
        <w:t xml:space="preserve">ghayẓ</w:t>
      </w:r>
      <w:r>
        <w:t xml:space="preserve"> </w:t>
      </w:r>
      <w:r>
        <w:t xml:space="preserve">(Medinan), the borderline</w:t>
      </w:r>
      <w:r>
        <w:t xml:space="preserve"> </w:t>
      </w:r>
      <w:r>
        <w:rPr>
          <w:i/>
          <w:iCs/>
        </w:rPr>
        <w:t xml:space="preserve">sakhaṭ</w:t>
      </w:r>
      <w:r>
        <w:t xml:space="preserve"> </w:t>
      </w:r>
      <w:r>
        <w:t xml:space="preserve">(Medinan), the contextual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and the umbrella patterns</w:t>
      </w:r>
      <w:r>
        <w:t xml:space="preserve"> </w:t>
      </w:r>
      <w:r>
        <w:rPr>
          <w:i/>
          <w:iCs/>
        </w:rPr>
        <w:t xml:space="preserve">jrm</w:t>
      </w:r>
      <w:r>
        <w:t xml:space="preserve"> </w:t>
      </w:r>
      <w:r>
        <w:t xml:space="preserve">(Meccan) /</w:t>
      </w:r>
      <w:r>
        <w:t xml:space="preserve"> </w:t>
      </w:r>
      <w:r>
        <w:rPr>
          <w:i/>
          <w:iCs/>
        </w:rPr>
        <w:t xml:space="preserve">fsq</w:t>
      </w:r>
      <w:r>
        <w:t xml:space="preserve"> </w:t>
      </w:r>
      <w:r>
        <w:t xml:space="preserve">(Medinan) together instantiate</w:t>
      </w:r>
      <w:r>
        <w:t xml:space="preserve"> </w:t>
      </w:r>
      <w:r>
        <w:rPr>
          <w:i/>
          <w:iCs/>
        </w:rPr>
        <w:t xml:space="preserve">discursive-contextual specialisation</w:t>
      </w:r>
      <w:r>
        <w:t xml:space="preserve"> </w:t>
      </w:r>
      <w:r>
        <w:t xml:space="preserve">— members of multi-lexeme fields attaching to specific discursive registers. The attachments are non-random:</w:t>
      </w:r>
      <w:r>
        <w:t xml:space="preserve"> </w:t>
      </w:r>
      <w:r>
        <w:rPr>
          <w:i/>
          <w:iCs/>
        </w:rPr>
        <w:t xml:space="preserve">sakhaṭ</w:t>
      </w:r>
      <w:r>
        <w:t xml:space="preserve"> </w:t>
      </w:r>
      <w:r>
        <w:t xml:space="preserve">to the</w:t>
      </w:r>
      <w:r>
        <w:t xml:space="preserve"> </w:t>
      </w:r>
      <w:r>
        <w:rPr>
          <w:i/>
          <w:iCs/>
        </w:rPr>
        <w:t xml:space="preserve">Munāfiqūn</w:t>
      </w:r>
      <w:r>
        <w:t xml:space="preserve"> </w:t>
      </w:r>
      <w:r>
        <w:t xml:space="preserve">(a Medinan phenomenon),</w:t>
      </w:r>
      <w:r>
        <w:t xml:space="preserve"> </w:t>
      </w:r>
      <w:r>
        <w:rPr>
          <w:i/>
          <w:iCs/>
        </w:rPr>
        <w:t xml:space="preserve">karh</w:t>
      </w:r>
      <w:r>
        <w:t xml:space="preserve"> </w:t>
      </w:r>
      <w:r>
        <w:t xml:space="preserve">to the structural</w:t>
      </w:r>
      <w:r>
        <w:t xml:space="preserve"> </w:t>
      </w:r>
      <w:r>
        <w:rPr>
          <w:i/>
          <w:iCs/>
        </w:rPr>
        <w:t xml:space="preserve">ikrāh</w:t>
      </w:r>
      <w:r>
        <w:t xml:space="preserve"> </w:t>
      </w:r>
      <w:r>
        <w:t xml:space="preserve">idiom of Medinan community discipline,</w:t>
      </w:r>
      <w:r>
        <w:t xml:space="preserve"> </w:t>
      </w:r>
      <w:r>
        <w:rPr>
          <w:i/>
          <w:iCs/>
        </w:rPr>
        <w:t xml:space="preserve">ghayẓ</w:t>
      </w:r>
      <w:r>
        <w:t xml:space="preserve"> </w:t>
      </w:r>
      <w:r>
        <w:t xml:space="preserve">to the</w:t>
      </w:r>
      <w:r>
        <w:t xml:space="preserve"> </w:t>
      </w:r>
      <w:r>
        <w:rPr>
          <w:i/>
          <w:iCs/>
        </w:rPr>
        <w:t xml:space="preserve">kaẓm</w:t>
      </w:r>
      <w:r>
        <w:t xml:space="preserve"> </w:t>
      </w:r>
      <w:r>
        <w:t xml:space="preserve">pedagogy of Medinan ethics,</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(2006) and Sinai (2017, 2023) supply the framework: specialisation is the pattern one expects from the Qur’an’s gradual response to evolving sociolinguistic contexts.</w:t>
      </w:r>
    </w:p>
    <w:p>
      <w:pPr>
        <w:pStyle w:val="BodyText"/>
      </w:pPr>
      <w:r>
        <w:t xml:space="preserve">Read through Sharifian (2011), the same data illuminate the universal–culturally-elaborated distinction of §2.3.2: the primary metaphors (ANGER IS HEAT; EMOTIONAL CONTAINMENT IS PHYSICAL CONTAINMENT) are robustly attested in the Qur’anic</w:t>
      </w:r>
      <w:r>
        <w:t xml:space="preserve"> </w:t>
      </w:r>
      <w:r>
        <w:rPr>
          <w:i/>
          <w:iCs/>
        </w:rPr>
        <w:t xml:space="preserve">ghayẓ</w:t>
      </w:r>
      <w:r>
        <w:t xml:space="preserve">–</w:t>
      </w:r>
      <w:r>
        <w:rPr>
          <w:i/>
          <w:iCs/>
        </w:rPr>
        <w:t xml:space="preserve">kaẓm</w:t>
      </w:r>
      <w:r>
        <w:t xml:space="preserve"> </w:t>
      </w:r>
      <w:r>
        <w:t xml:space="preserve">register and support the CMT universalist claim; the</w:t>
      </w:r>
      <w:r>
        <w:t xml:space="preserve"> </w:t>
      </w:r>
      <w:r>
        <w:rPr>
          <w:i/>
          <w:iCs/>
        </w:rPr>
        <w:t xml:space="preserve">culturally elaborated</w:t>
      </w:r>
      <w:r>
        <w:t xml:space="preserve"> </w:t>
      </w:r>
      <w:r>
        <w:t xml:space="preserve">layer — the distribution of affect across</w:t>
      </w:r>
      <w:r>
        <w:t xml:space="preserve"> </w:t>
      </w:r>
      <w:r>
        <w:rPr>
          <w:i/>
          <w:iCs/>
        </w:rPr>
        <w:t xml:space="preserve">qalb</w:t>
      </w:r>
      <w:r>
        <w:t xml:space="preserve"> </w:t>
      </w:r>
      <w:r>
        <w:t xml:space="preserve">(S2</w:t>
      </w:r>
      <w:r>
        <w:t xml:space="preserve"> </w:t>
      </w:r>
      <w:r>
        <w:rPr>
          <w:i/>
          <w:iCs/>
        </w:rPr>
        <w:t xml:space="preserve">ḍīq al-ṣadr</w:t>
      </w:r>
      <w:r>
        <w:t xml:space="preserve">),</w:t>
      </w:r>
      <w:r>
        <w:t xml:space="preserve"> </w:t>
      </w:r>
      <w:r>
        <w:rPr>
          <w:i/>
          <w:iCs/>
        </w:rPr>
        <w:t xml:space="preserve">ṣadr</w:t>
      </w:r>
      <w:r>
        <w:t xml:space="preserve"> </w:t>
      </w:r>
      <w:r>
        <w:t xml:space="preserve">(S2), and</w:t>
      </w:r>
      <w:r>
        <w:t xml:space="preserve"> </w:t>
      </w:r>
      <w:r>
        <w:rPr>
          <w:i/>
          <w:iCs/>
        </w:rPr>
        <w:t xml:space="preserve">nafs</w:t>
      </w:r>
      <w:r>
        <w:t xml:space="preserve"> </w:t>
      </w:r>
      <w:r>
        <w:t xml:space="preserve">(S2</w:t>
      </w:r>
      <w:r>
        <w:t xml:space="preserve"> </w:t>
      </w:r>
      <w:r>
        <w:rPr>
          <w:i/>
          <w:iCs/>
        </w:rPr>
        <w:t xml:space="preserve">asaf al-nafs</w:t>
      </w:r>
      <w:r>
        <w:t xml:space="preserve">), the moral commendation of</w:t>
      </w:r>
      <w:r>
        <w:t xml:space="preserve"> </w:t>
      </w:r>
      <w:r>
        <w:rPr>
          <w:i/>
          <w:iCs/>
        </w:rPr>
        <w:t xml:space="preserve">kaẓm</w:t>
      </w:r>
      <w:r>
        <w:t xml:space="preserve"> </w:t>
      </w:r>
      <w:r>
        <w:t xml:space="preserve">in the</w:t>
      </w:r>
      <w:r>
        <w:t xml:space="preserve"> </w:t>
      </w:r>
      <w:r>
        <w:rPr>
          <w:i/>
          <w:iCs/>
        </w:rPr>
        <w:t xml:space="preserve">taqwā</w:t>
      </w:r>
      <w:r>
        <w:t xml:space="preserve"> </w:t>
      </w:r>
      <w:r>
        <w:t xml:space="preserve">frame, the</w:t>
      </w:r>
      <w:r>
        <w:t xml:space="preserve"> </w:t>
      </w:r>
      <w:r>
        <w:rPr>
          <w:i/>
          <w:iCs/>
        </w:rPr>
        <w:t xml:space="preserve">Munāfiqūn</w:t>
      </w:r>
      <w:r>
        <w:t xml:space="preserve">-attachment of</w:t>
      </w:r>
      <w:r>
        <w:t xml:space="preserve"> </w:t>
      </w:r>
      <w:r>
        <w:rPr>
          <w:i/>
          <w:iCs/>
        </w:rPr>
        <w:t xml:space="preserve">sakhaṭ</w:t>
      </w:r>
      <w:r>
        <w:t xml:space="preserve">, and the</w:t>
      </w:r>
      <w:r>
        <w:t xml:space="preserve"> </w:t>
      </w:r>
      <w:r>
        <w:rPr>
          <w:i/>
          <w:iCs/>
        </w:rPr>
        <w:t xml:space="preserve">tamayyuz</w:t>
      </w:r>
      <w:r>
        <w:t xml:space="preserve"> </w:t>
      </w:r>
      <w:r>
        <w:t xml:space="preserve">construal of Q. 67:8 — is what the Qur’anic data illuminate beyond the universalist baseline.</w:t>
      </w:r>
    </w:p>
    <w:bookmarkEnd w:id="83"/>
    <w:bookmarkStart w:id="87" w:name="Xeb7af648a9b5037314a84f7b755228345cfdadd"/>
    <w:p>
      <w:pPr>
        <w:pStyle w:val="Heading3"/>
      </w:pPr>
      <w:r>
        <w:t xml:space="preserve">5.5. Q. 67:8 and the container metaphor: a focused comparative survey</w:t>
      </w:r>
    </w:p>
    <w:p>
      <w:pPr>
        <w:pStyle w:val="FirstParagraph"/>
      </w:pPr>
      <w:r>
        <w:t xml:space="preserve">The Qur’anic</w:t>
      </w:r>
      <w:r>
        <w:t xml:space="preserve"> </w:t>
      </w:r>
      <w:r>
        <w:rPr>
          <w:i/>
          <w:iCs/>
        </w:rPr>
        <w:t xml:space="preserve">ghayẓ–kaẓm–tamayyuz</w:t>
      </w:r>
      <w:r>
        <w:t xml:space="preserve"> </w:t>
      </w:r>
      <w:r>
        <w:t xml:space="preserve">triad maps onto stages (2)–(4) of the Lakoff–Kövecses scenario with unusual lexical transparency at stage (4): English exemplars (</w:t>
      </w:r>
      <w:r>
        <w:rPr>
          <w:i/>
          <w:iCs/>
        </w:rPr>
        <w:t xml:space="preserve">blew his top</w:t>
      </w:r>
      <w:r>
        <w:t xml:space="preserve">) lexicalise the failure-mode as</w:t>
      </w:r>
      <w:r>
        <w:t xml:space="preserve"> </w:t>
      </w:r>
      <w:r>
        <w:rPr>
          <w:i/>
          <w:iCs/>
        </w:rPr>
        <w:t xml:space="preserve">exit of contents</w:t>
      </w:r>
      <w:r>
        <w:t xml:space="preserve"> </w:t>
      </w:r>
      <w:r>
        <w:t xml:space="preserve">with the container preserved, whereas Q. 67:8, under the complex container metaphor of §2.3.1, supports the construal of vessel-internal failure (§4.7.2). A six-tradition survey contextualises the claim.</w:t>
      </w:r>
      <w:r>
        <w:t xml:space="preserve"> </w:t>
      </w:r>
      <w:r>
        <w:rPr>
          <w:i/>
          <w:iCs/>
        </w:rPr>
        <w:t xml:space="preserve">Akkadian</w:t>
      </w:r>
      <w:r>
        <w:t xml:space="preserve">:</w:t>
      </w:r>
      <w:r>
        <w:t xml:space="preserve"> </w:t>
      </w:r>
      <w:r>
        <w:rPr>
          <w:i/>
          <w:iCs/>
        </w:rPr>
        <w:t xml:space="preserve">libbu</w:t>
      </w:r>
      <w:r>
        <w:t xml:space="preserve"> </w:t>
      </w:r>
      <w:r>
        <w:t xml:space="preserve">and</w:t>
      </w:r>
      <w:r>
        <w:t xml:space="preserve"> </w:t>
      </w:r>
      <w:r>
        <w:rPr>
          <w:i/>
          <w:iCs/>
        </w:rPr>
        <w:t xml:space="preserve">kabattu</w:t>
      </w:r>
      <w:r>
        <w:t xml:space="preserve"> </w:t>
      </w:r>
      <w:r>
        <w:t xml:space="preserve">as filled containers (CAD L 163–164; Bodi 2018; Neo-Assyrian bodily-mapping work in Lauri et al. 2024 confirms the FILLING/HEAT-IN-CONTAINER schema).</w:t>
      </w:r>
      <w:r>
        <w:t xml:space="preserve"> </w:t>
      </w:r>
      <w:r>
        <w:rPr>
          <w:i/>
          <w:iCs/>
        </w:rPr>
        <w:t xml:space="preserve">Biblical Hebrew</w:t>
      </w:r>
      <w:r>
        <w:t xml:space="preserve">:</w:t>
      </w:r>
      <w:r>
        <w:t xml:space="preserve"> </w:t>
      </w:r>
      <w:r>
        <w:rPr>
          <w:i/>
          <w:iCs/>
        </w:rPr>
        <w:t xml:space="preserve">ḥēmâ</w:t>
      </w:r>
      <w:r>
        <w:t xml:space="preserve"> </w:t>
      </w:r>
      <w:r>
        <w:t xml:space="preserve">and</w:t>
      </w:r>
      <w:r>
        <w:t xml:space="preserve"> </w:t>
      </w:r>
      <w:r>
        <w:rPr>
          <w:i/>
          <w:iCs/>
        </w:rPr>
        <w:t xml:space="preserve">ḥarôn-ʾaph</w:t>
      </w:r>
      <w:r>
        <w:t xml:space="preserve"> </w:t>
      </w:r>
      <w:r>
        <w:t xml:space="preserve">(Kruger 2000, 2015) both EXIT-typed — except Job 32:19 (</w:t>
      </w:r>
      <w:r>
        <w:rPr>
          <w:i/>
          <w:iCs/>
        </w:rPr>
        <w:t xml:space="preserve">kĕ-yayin lōʾ-yippātēaḥ … yibbāqēaʿ</w:t>
      </w:r>
      <w:r>
        <w:t xml:space="preserve">), where</w:t>
      </w:r>
      <w:r>
        <w:t xml:space="preserve"> </w:t>
      </w:r>
      <w:r>
        <w:rPr>
          <w:i/>
          <w:iCs/>
        </w:rPr>
        <w:t xml:space="preserve">bāqaʿ</w:t>
      </w:r>
      <w:r>
        <w:t xml:space="preserve"> </w:t>
      </w:r>
      <w:r>
        <w:t xml:space="preserve">names the structural failure of the vessel; this is the one clear pre-Qur’anic Northwest-Semitic precedent.</w:t>
      </w:r>
      <w:r>
        <w:t xml:space="preserve"> </w:t>
      </w:r>
      <w:r>
        <w:rPr>
          <w:i/>
          <w:iCs/>
        </w:rPr>
        <w:t xml:space="preserve">Homeric Greek</w:t>
      </w:r>
      <w:r>
        <w:t xml:space="preserve">:</w:t>
      </w:r>
      <w:r>
        <w:t xml:space="preserve"> </w:t>
      </w:r>
      <w:r>
        <w:rPr>
          <w:i/>
          <w:iCs/>
        </w:rPr>
        <w:t xml:space="preserve">kholos</w:t>
      </w:r>
      <w:r>
        <w:t xml:space="preserve"> </w:t>
      </w:r>
      <w:r>
        <w:t xml:space="preserve">and</w:t>
      </w:r>
      <w:r>
        <w:t xml:space="preserve"> </w:t>
      </w:r>
      <w:r>
        <w:rPr>
          <w:i/>
          <w:iCs/>
        </w:rPr>
        <w:t xml:space="preserve">mēnis</w:t>
      </w:r>
      <w:r>
        <w:t xml:space="preserve"> </w:t>
      </w:r>
      <w:r>
        <w:t xml:space="preserve">in fluid-and-heat schemas with no Iliadic vessel-rupture (Muellner 1996; Cairns 2003).</w:t>
      </w:r>
      <w:r>
        <w:t xml:space="preserve"> </w:t>
      </w:r>
      <w:r>
        <w:rPr>
          <w:i/>
          <w:iCs/>
        </w:rPr>
        <w:t xml:space="preserve">Vedic and Classical Sanskrit</w:t>
      </w:r>
      <w:r>
        <w:t xml:space="preserve">:</w:t>
      </w:r>
      <w:r>
        <w:t xml:space="preserve"> </w:t>
      </w:r>
      <w:r>
        <w:rPr>
          <w:i/>
          <w:iCs/>
        </w:rPr>
        <w:t xml:space="preserve">krodha</w:t>
      </w:r>
      <w:r>
        <w:t xml:space="preserve"> </w:t>
      </w:r>
      <w:r>
        <w:t xml:space="preserve">and</w:t>
      </w:r>
      <w:r>
        <w:t xml:space="preserve"> </w:t>
      </w:r>
      <w:r>
        <w:rPr>
          <w:i/>
          <w:iCs/>
        </w:rPr>
        <w:t xml:space="preserve">manyu</w:t>
      </w:r>
      <w:r>
        <w:t xml:space="preserve"> </w:t>
      </w:r>
      <w:r>
        <w:t xml:space="preserve">in FIRE and WEAPON-RELEASE schemas, not vessel-disintegration.</w:t>
      </w:r>
      <w:r>
        <w:t xml:space="preserve"> </w:t>
      </w:r>
      <w:r>
        <w:rPr>
          <w:i/>
          <w:iCs/>
        </w:rPr>
        <w:t xml:space="preserve">Classical and Modern Chinese</w:t>
      </w:r>
      <w:r>
        <w:t xml:space="preserve">:</w:t>
      </w:r>
      <w:r>
        <w:t xml:space="preserve"> </w:t>
      </w:r>
      <w:r>
        <w:rPr>
          <w:i/>
          <w:iCs/>
        </w:rPr>
        <w:t xml:space="preserve">nù</w:t>
      </w:r>
      <w:r>
        <w:t xml:space="preserve">,</w:t>
      </w:r>
      <w:r>
        <w:t xml:space="preserve"> </w:t>
      </w:r>
      <w:r>
        <w:rPr>
          <w:i/>
          <w:iCs/>
        </w:rPr>
        <w:t xml:space="preserve">fèn</w:t>
      </w:r>
      <w:r>
        <w:t xml:space="preserve">,</w:t>
      </w:r>
      <w:r>
        <w:t xml:space="preserve"> </w:t>
      </w:r>
      <w:r>
        <w:rPr>
          <w:i/>
          <w:iCs/>
        </w:rPr>
        <w:t xml:space="preserve">qì</w:t>
      </w:r>
      <w:r>
        <w:t xml:space="preserve"> </w:t>
      </w:r>
      <w:r>
        <w:t xml:space="preserve">with HOT</w:t>
      </w:r>
      <w:r>
        <w:t xml:space="preserve"> </w:t>
      </w:r>
      <w:r>
        <w:rPr>
          <w:i/>
          <w:iCs/>
        </w:rPr>
        <w:t xml:space="preserve">QÌ</w:t>
      </w:r>
      <w:r>
        <w:t xml:space="preserve"> </w:t>
      </w:r>
      <w:r>
        <w:t xml:space="preserve">IN A CONTAINER (Yu 1995; Kövecses, Benczes and Szelid 2025).</w:t>
      </w:r>
      <w:r>
        <w:t xml:space="preserve"> </w:t>
      </w:r>
      <w:r>
        <w:rPr>
          <w:i/>
          <w:iCs/>
        </w:rPr>
        <w:t xml:space="preserve">Pre-Islamic Jāhilī Arabic</w:t>
      </w:r>
      <w:r>
        <w:t xml:space="preserve">:</w:t>
      </w:r>
      <w:r>
        <w:t xml:space="preserve"> </w:t>
      </w:r>
      <w:r>
        <w:rPr>
          <w:i/>
          <w:iCs/>
        </w:rPr>
        <w:t xml:space="preserve">ḥamiya</w:t>
      </w:r>
      <w:r>
        <w:t xml:space="preserve"> </w:t>
      </w:r>
      <w:r>
        <w:t xml:space="preserve">and</w:t>
      </w:r>
      <w:r>
        <w:t xml:space="preserve"> </w:t>
      </w:r>
      <w:r>
        <w:rPr>
          <w:i/>
          <w:iCs/>
        </w:rPr>
        <w:t xml:space="preserve">ghalā</w:t>
      </w:r>
      <w:r>
        <w:t xml:space="preserve"> </w:t>
      </w:r>
      <w:r>
        <w:t xml:space="preserve">alongside</w:t>
      </w:r>
      <w:r>
        <w:t xml:space="preserve"> </w:t>
      </w:r>
      <w:r>
        <w:rPr>
          <w:i/>
          <w:iCs/>
        </w:rPr>
        <w:t xml:space="preserve">ghayẓ</w:t>
      </w:r>
      <w:r>
        <w:t xml:space="preserve"> </w:t>
      </w:r>
      <w:r>
        <w:t xml:space="preserve">in the cognate fluid-heat register (cf. </w:t>
      </w:r>
      <w:r>
        <w:rPr>
          <w:i/>
          <w:iCs/>
        </w:rPr>
        <w:t xml:space="preserve">al-Mufaḍḍaliyyāt</w:t>
      </w:r>
      <w:r>
        <w:t xml:space="preserve"> </w:t>
      </w:r>
      <w:r>
        <w:t xml:space="preserve">nos. 38, 87, ʿAntara’s</w:t>
      </w:r>
      <w:r>
        <w:t xml:space="preserve"> </w:t>
      </w:r>
      <w:r>
        <w:rPr>
          <w:i/>
          <w:iCs/>
        </w:rPr>
        <w:t xml:space="preserve">Muʿallaqa</w:t>
      </w:r>
      <w:r>
        <w:t xml:space="preserve"> </w:t>
      </w:r>
      <w:r>
        <w:t xml:space="preserve">ll. 32–35; Webb 2016: 213–245). Five of the six traditions concentrate on filling, heating, exit/overflow; the Hebrew Bible alone offers a clear parallel to vessel-rupture proper. We hold our claim at</w:t>
      </w:r>
      <w:r>
        <w:t xml:space="preserve"> </w:t>
      </w:r>
      <w:r>
        <w:t xml:space="preserve">“an early and unusually transparent”</w:t>
      </w:r>
      <w:r>
        <w:t xml:space="preserve"> </w:t>
      </w:r>
      <w:r>
        <w:t xml:space="preserve">lexicalisation, with Job 32:19 acknowledged as a structurally cognate Northwest-Semitic precedent. The Qur’anic data strengthen the universalist hypothesis of CMT and extend the empirical base to seventh-century Arabic.</w:t>
      </w:r>
    </w:p>
    <w:p>
      <w:pPr>
        <w:pStyle w:val="CaptionedFigure"/>
      </w:pPr>
      <w:r>
        <w:drawing>
          <wp:inline>
            <wp:extent cx="5334000" cy="2528711"/>
            <wp:effectExtent b="0" l="0" r="0" t="0"/>
            <wp:docPr descr="Figure 6. Illustrative schematisation of the ANGER-IS-A-PRESSURIZED-CONTAINER complex metaphor (after Lakoff and Kövecses 1987), instantiated by ghaḍab → ghayẓ + kaẓm → tamayyuz. Panel 1 (S4): ghaḍab — open container, affect dissipating into language. Panel 2 (S5, Q. 3:134): ghayẓ sealed by kaẓm. Panel 3 (S5 manifestation, Q. 67:8): tamayyuz — the construal of constituent-separation as vessel-internal failure (§4.7.2). The figure is heuristic; evidence is borne by the lexicographic and exegetical analysis of §4.7 and §5.5." title="" id="85" name="Picture"/>
            <a:graphic>
              <a:graphicData uri="http://schemas.openxmlformats.org/drawingml/2006/picture">
                <pic:pic>
                  <pic:nvPicPr>
                    <pic:cNvPr descr="fig6_metaphor_v2.png" id="86" name="Picture"/>
                    <pic:cNvPicPr>
                      <a:picLocks noChangeArrowheads="1" noChangeAspect="1"/>
                    </pic:cNvPicPr>
                  </pic:nvPicPr>
                  <pic:blipFill>
                    <a:blip r:embed="rId84"/>
                    <a:stretch>
                      <a:fillRect/>
                    </a:stretch>
                  </pic:blipFill>
                  <pic:spPr bwMode="auto">
                    <a:xfrm>
                      <a:off x="0" y="0"/>
                      <a:ext cx="5334000" cy="2528711"/>
                    </a:xfrm>
                    <a:prstGeom prst="rect">
                      <a:avLst/>
                    </a:prstGeom>
                    <a:noFill/>
                    <a:ln w="9525">
                      <a:noFill/>
                      <a:headEnd/>
                      <a:tailEnd/>
                    </a:ln>
                  </pic:spPr>
                </pic:pic>
              </a:graphicData>
            </a:graphic>
          </wp:inline>
        </w:drawing>
      </w:r>
    </w:p>
    <w:p>
      <w:pPr>
        <w:pStyle w:val="ImageCaption"/>
      </w:pPr>
      <w:r>
        <w:rPr>
          <w:b/>
          <w:bCs/>
        </w:rPr>
        <w:t xml:space="preserve">Figure 6.</w:t>
      </w:r>
      <w:r>
        <w:t xml:space="preserve"> </w:t>
      </w:r>
      <w:r>
        <w:rPr>
          <w:i/>
          <w:iCs/>
        </w:rPr>
        <w:t xml:space="preserve">Illustrative</w:t>
      </w:r>
      <w:r>
        <w:t xml:space="preserve"> </w:t>
      </w:r>
      <w:r>
        <w:t xml:space="preserve">schematisation of the ANGER-IS-A-PRESSURIZED-CONTAINER complex metaphor (after Lakoff and Kövecses 1987), instantiated by</w:t>
      </w:r>
      <w:r>
        <w:t xml:space="preserve"> </w:t>
      </w:r>
      <w:r>
        <w:rPr>
          <w:i/>
          <w:iCs/>
        </w:rPr>
        <w:t xml:space="preserve">ghaḍab → ghayẓ + kaẓm → tamayyuz</w:t>
      </w:r>
      <w:r>
        <w:t xml:space="preserve">. Panel 1 (S4):</w:t>
      </w:r>
      <w:r>
        <w:t xml:space="preserve"> </w:t>
      </w:r>
      <w:r>
        <w:rPr>
          <w:i/>
          <w:iCs/>
        </w:rPr>
        <w:t xml:space="preserve">ghaḍab</w:t>
      </w:r>
      <w:r>
        <w:t xml:space="preserve"> </w:t>
      </w:r>
      <w:r>
        <w:t xml:space="preserve">— open container, affect dissipating into language. Panel 2 (S5, Q. 3:134):</w:t>
      </w:r>
      <w:r>
        <w:t xml:space="preserve"> </w:t>
      </w:r>
      <w:r>
        <w:rPr>
          <w:i/>
          <w:iCs/>
        </w:rPr>
        <w:t xml:space="preserve">ghayẓ</w:t>
      </w:r>
      <w:r>
        <w:t xml:space="preserve"> </w:t>
      </w:r>
      <w:r>
        <w:t xml:space="preserve">sealed by</w:t>
      </w:r>
      <w:r>
        <w:t xml:space="preserve"> </w:t>
      </w:r>
      <w:r>
        <w:rPr>
          <w:i/>
          <w:iCs/>
        </w:rPr>
        <w:t xml:space="preserve">kaẓm</w:t>
      </w:r>
      <w:r>
        <w:t xml:space="preserve">. Panel 3 (S5 manifestation, Q. 67:8):</w:t>
      </w:r>
      <w:r>
        <w:t xml:space="preserve"> </w:t>
      </w:r>
      <w:r>
        <w:rPr>
          <w:i/>
          <w:iCs/>
        </w:rPr>
        <w:t xml:space="preserve">tamayyuz</w:t>
      </w:r>
      <w:r>
        <w:t xml:space="preserve"> </w:t>
      </w:r>
      <w:r>
        <w:t xml:space="preserve">— the construal of constituent-separation as vessel-internal failure (§4.7.2). The figure is heuristic; evidence is borne by the lexicographic and exegetical analysis of §4.7 and §5.5.</w:t>
      </w:r>
    </w:p>
    <w:bookmarkEnd w:id="87"/>
    <w:bookmarkStart w:id="88" w:name="implications-for-quranic-translation"/>
    <w:p>
      <w:pPr>
        <w:pStyle w:val="Heading3"/>
      </w:pPr>
      <w:r>
        <w:t xml:space="preserve">5.6. Implications for Qur’anic translation</w:t>
      </w:r>
    </w:p>
    <w:p>
      <w:pPr>
        <w:pStyle w:val="FirstParagraph"/>
      </w:pPr>
      <w:r>
        <w:t xml:space="preserve">A graded reference model of the spectrum offers a principled corrective to the levelling pattern that Gaanoun and Alsuhaibani (2025) and Khan et al. (2025) document at the sentiment-category level. We do not, on the strength of the four-verse illustrative sample of §4.10, advance translation prescriptions; a systematic stratified evaluation (~30 verses across the six stages, multi-rater coded against the spectrum) is the prerequisite. Candidate equivalents for each spectrum lexeme are catalogued in the project repository for use by translators wishing to mark intensity-position lexically.</w:t>
      </w:r>
    </w:p>
    <w:bookmarkEnd w:id="88"/>
    <w:bookmarkStart w:id="89"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importing secular vocabulary, with three conceptual implications: (i)</w:t>
      </w:r>
      <w:r>
        <w:t xml:space="preserve"> </w:t>
      </w:r>
      <w:r>
        <w:rPr>
          <w:i/>
          <w:iCs/>
        </w:rPr>
        <w:t xml:space="preserve">Prevention</w:t>
      </w:r>
      <w:r>
        <w:t xml:space="preserve"> </w:t>
      </w:r>
      <w:r>
        <w:t xml:space="preserve">— early-stage recognition through the indigenous S1–2 lexicon supports CBT-style interception of affective dysregulation; (ii)</w:t>
      </w:r>
      <w:r>
        <w:t xml:space="preserve"> </w:t>
      </w:r>
      <w:r>
        <w:rPr>
          <w:i/>
          <w:iCs/>
        </w:rPr>
        <w:t xml:space="preserve">Crisis intervention</w:t>
      </w:r>
      <w:r>
        <w:t xml:space="preserve"> </w:t>
      </w:r>
      <w:r>
        <w:t xml:space="preserve">—</w:t>
      </w:r>
      <w:r>
        <w:t xml:space="preserve"> </w:t>
      </w:r>
      <w:r>
        <w:rPr>
          <w:i/>
          <w:iCs/>
        </w:rPr>
        <w:t xml:space="preserve">kaẓm</w:t>
      </w:r>
      <w:r>
        <w:t xml:space="preserve"> </w:t>
      </w:r>
      <w:r>
        <w:t xml:space="preserve">integrates with contemporary suppression-and-reappraisal techniques; (iii)</w:t>
      </w:r>
      <w:r>
        <w:t xml:space="preserve"> </w:t>
      </w:r>
      <w:r>
        <w:rPr>
          <w:i/>
          <w:iCs/>
        </w:rPr>
        <w:t xml:space="preserve">Rehabilitation</w:t>
      </w:r>
      <w:r>
        <w:t xml:space="preserve"> </w:t>
      </w:r>
      <w:r>
        <w:t xml:space="preserve">— post-failure Stage 6 is framed as recoverable through</w:t>
      </w:r>
      <w:r>
        <w:t xml:space="preserve"> </w:t>
      </w:r>
      <w:r>
        <w:rPr>
          <w:i/>
          <w:iCs/>
        </w:rPr>
        <w:t xml:space="preserve">tawba</w:t>
      </w:r>
      <w:r>
        <w:t xml:space="preserve">. These are conceptual; their translation into validated clinical interventions awaits empirical studies.</w:t>
      </w:r>
    </w:p>
    <w:p>
      <w:r>
        <w:pict>
          <v:rect style="width:0;height:1.5pt" o:hralign="center" o:hrstd="t" o:hr="t"/>
        </w:pict>
      </w:r>
    </w:p>
    <w:bookmarkEnd w:id="89"/>
    <w:bookmarkEnd w:id="90"/>
    <w:bookmarkStart w:id="95" w:name="conclusion"/>
    <w:p>
      <w:pPr>
        <w:pStyle w:val="Heading2"/>
      </w:pPr>
      <w:r>
        <w:t xml:space="preserve">6. Conclusion</w:t>
      </w:r>
    </w:p>
    <w:bookmarkStart w:id="91" w:name="substantive-contributions"/>
    <w:p>
      <w:pPr>
        <w:pStyle w:val="Heading3"/>
      </w:pPr>
      <w:r>
        <w:t xml:space="preserve">6.1. Substantive contributions</w:t>
      </w:r>
    </w:p>
    <w:p>
      <w:pPr>
        <w:pStyle w:val="FirstParagraph"/>
      </w:pPr>
      <w:r>
        <w:rPr>
          <w:i/>
          <w:iCs/>
        </w:rPr>
        <w:t xml:space="preserve">Methodologically</w:t>
      </w:r>
      <w:r>
        <w:t xml:space="preserve">, the integration of Izutsu’s semantic-field analysis, Kennedy–Sassoon scalar semantics, and Lakoff–Kövecses CMT — coupled with a reproducible computational pipeline over the QAC — produces an apparatus stronger than the sum of its parts; to our knowledge, this trifold integration with corpus-empirical validation has not been deployed in Qur’anic studies, although Qāʾimīniyā (2011, 2014) and Pakatchi and Afrashi (2020) have integrated Izutsu and CMT.</w:t>
      </w:r>
    </w:p>
    <w:p>
      <w:pPr>
        <w:pStyle w:val="BodyText"/>
      </w:pPr>
      <w:r>
        <w:rPr>
          <w:i/>
          <w:iCs/>
        </w:rPr>
        <w:t xml:space="preserve">Descriptively</w:t>
      </w:r>
      <w:r>
        <w:t xml:space="preserve">, we produce a reproducible concordance of 312 attestations with FDR-adjusted binomial tests, marginal-preserving permutation null</w:t>
      </w:r>
      <w:r>
        <w:t xml:space="preserve"> </w:t>
      </w:r>
      <w:r>
        <w:rPr>
          <w:i/>
          <w:iCs/>
        </w:rPr>
        <w:t xml:space="preserve">p</w:t>
      </w:r>
      <w:r>
        <w:t xml:space="preserve">-values, and bootstrap 95% CIs on every centrality estimate.</w:t>
      </w:r>
    </w:p>
    <w:p>
      <w:pPr>
        <w:pStyle w:val="BodyText"/>
      </w:pPr>
      <w:r>
        <w:rPr>
          <w:i/>
          <w:iCs/>
        </w:rPr>
        <w:t xml:space="preserve">Theoretically</w:t>
      </w:r>
      <w:r>
        <w:t xml:space="preserve">, we formulate and defend the</w:t>
      </w:r>
      <w:r>
        <w:t xml:space="preserve"> </w:t>
      </w:r>
      <w:r>
        <w:rPr>
          <w:i/>
          <w:iCs/>
        </w:rPr>
        <w:t xml:space="preserve">Qur’anic Action-Intensity Continuum Hypothesis</w:t>
      </w:r>
      <w:r>
        <w:t xml:space="preserve">: the fourteen lexemes operate as a single graded continuum structured by intensity of action and partitioned into six stages, supported by qualitative evidence from the four authoritative lexica and the broadened</w:t>
      </w:r>
      <w:r>
        <w:t xml:space="preserve"> </w:t>
      </w:r>
      <w:r>
        <w:rPr>
          <w:i/>
          <w:iCs/>
        </w:rPr>
        <w:t xml:space="preserve">tafsīr</w:t>
      </w:r>
      <w:r>
        <w:t xml:space="preserve"> </w:t>
      </w:r>
      <w:r>
        <w:t xml:space="preserve">consultation, and by quantitative evidence from frequency, distribution, morphology, and network structure. The κ = 0.79-validated audit grounds the bidirectional-causation reading of Stage 6; the six-tradition survey of §5.5 calibrates Q. 67:8 as an early and unusually transparent — rather than uniquely transparent — exemplification of vessel-internal failure, with Job 32:19 (</w:t>
      </w:r>
      <w:r>
        <w:rPr>
          <w:i/>
          <w:iCs/>
        </w:rPr>
        <w:t xml:space="preserve">bāqaʿ</w:t>
      </w:r>
      <w:r>
        <w:t xml:space="preserve">) acknowledged as a structurally cognate Northwest-Semitic precedent.</w:t>
      </w:r>
    </w:p>
    <w:bookmarkEnd w:id="91"/>
    <w:bookmarkStart w:id="92" w:name="answers-to-the-research-questions"/>
    <w:p>
      <w:pPr>
        <w:pStyle w:val="Heading3"/>
      </w:pPr>
      <w:r>
        <w:t xml:space="preserve">6.2. Answers to the research questions</w:t>
      </w:r>
    </w:p>
    <w:p>
      <w:pPr>
        <w:pStyle w:val="FirstParagraph"/>
      </w:pPr>
      <w:r>
        <w:rPr>
          <w:b/>
          <w:bCs/>
        </w:rPr>
        <w:t xml:space="preserve">RQ1–RQ2.</w:t>
      </w:r>
      <w:r>
        <w:t xml:space="preserve"> </w:t>
      </w:r>
      <w:r>
        <w:t xml:space="preserve">The anger-spectrum field is a fourteen-node lexical network organised by intensity of action;</w:t>
      </w:r>
      <w:r>
        <w:t xml:space="preserve"> </w:t>
      </w:r>
      <w:r>
        <w:rPr>
          <w:i/>
          <w:iCs/>
        </w:rPr>
        <w:t xml:space="preserve">baghy</w:t>
      </w:r>
      <w:r>
        <w:t xml:space="preserve"> </w:t>
      </w:r>
      <w:r>
        <w:t xml:space="preserve">is the bridge node (closeness 0.55; ~53% of cross-field ties to the umbrella moral-evaluation terms); stage-internal hubs are</w:t>
      </w:r>
      <w:r>
        <w:t xml:space="preserve"> </w:t>
      </w:r>
      <w:r>
        <w:rPr>
          <w:i/>
          <w:iCs/>
        </w:rPr>
        <w:t xml:space="preserve">ḥuzn</w:t>
      </w:r>
      <w:r>
        <w:t xml:space="preserve"> </w:t>
      </w:r>
      <w:r>
        <w:t xml:space="preserve">(S2) and</w:t>
      </w:r>
      <w:r>
        <w:t xml:space="preserve"> </w:t>
      </w:r>
      <w:r>
        <w:rPr>
          <w:i/>
          <w:iCs/>
        </w:rPr>
        <w:t xml:space="preserve">ghaḍab</w:t>
      </w:r>
      <w:r>
        <w:t xml:space="preserve"> </w:t>
      </w:r>
      <w:r>
        <w:t xml:space="preserve">(S4).</w:t>
      </w:r>
      <w:r>
        <w:t xml:space="preserve"> </w:t>
      </w:r>
      <w:r>
        <w:rPr>
          <w:b/>
          <w:bCs/>
        </w:rPr>
        <w:t xml:space="preserve">RQ3.</w:t>
      </w:r>
      <w:r>
        <w:t xml:space="preserve"> </w:t>
      </w:r>
      <w:r>
        <w:t xml:space="preserve">The empirical distribution is</w:t>
      </w:r>
      <w:r>
        <w:t xml:space="preserve"> </w:t>
      </w:r>
      <w:r>
        <w:rPr>
          <w:i/>
          <w:iCs/>
        </w:rPr>
        <w:t xml:space="preserve">consistent with</w:t>
      </w:r>
      <w:r>
        <w:t xml:space="preserve"> </w:t>
      </w:r>
      <w:r>
        <w:t xml:space="preserve">the continuum: asymptotic χ²(5) = 227.15 large, permutation null</w:t>
      </w:r>
      <w:r>
        <w:t xml:space="preserve"> </w:t>
      </w:r>
      <w:r>
        <w:rPr>
          <w:i/>
          <w:iCs/>
        </w:rPr>
        <w:t xml:space="preserve">p</w:t>
      </w:r>
      <w:r>
        <w:t xml:space="preserve"> </w:t>
      </w:r>
      <w:r>
        <w:t xml:space="preserve">= 0.24; S1–5/S6 χ²(1) = 1.55 fails to reject, consistent with the bidirectional-causation reading supported by the κ = 0.79 audit (A = 26%, S = 49%, A+S = 25%; A-only re-analysis χ²(1) = 81.4,</w:t>
      </w:r>
      <w:r>
        <w:t xml:space="preserve"> </w:t>
      </w:r>
      <w:r>
        <w:rPr>
          <w:i/>
          <w:iCs/>
        </w:rPr>
        <w:t xml:space="preserve">p</w:t>
      </w:r>
      <w:r>
        <w:t xml:space="preserve"> </w:t>
      </w:r>
      <w:r>
        <w:t xml:space="preserve">&lt; 0.001). Three roots survive Holm-Bonferroni emphatically (</w:t>
      </w:r>
      <w:r>
        <w:rPr>
          <w:i/>
          <w:iCs/>
        </w:rPr>
        <w:t xml:space="preserve">karh</w:t>
      </w:r>
      <w:r>
        <w:t xml:space="preserve">,</w:t>
      </w:r>
      <w:r>
        <w:t xml:space="preserve"> </w:t>
      </w:r>
      <w:r>
        <w:rPr>
          <w:i/>
          <w:iCs/>
        </w:rPr>
        <w:t xml:space="preserve">baghy</w:t>
      </w:r>
      <w:r>
        <w:t xml:space="preserve">,</w:t>
      </w:r>
      <w:r>
        <w:t xml:space="preserve"> </w:t>
      </w:r>
      <w:r>
        <w:rPr>
          <w:i/>
          <w:iCs/>
        </w:rPr>
        <w:t xml:space="preserve">ghayẓ</w:t>
      </w:r>
      <w:r>
        <w:t xml:space="preserve">);</w:t>
      </w:r>
      <w:r>
        <w:t xml:space="preserve"> </w:t>
      </w:r>
      <w:r>
        <w:rPr>
          <w:i/>
          <w:iCs/>
        </w:rPr>
        <w:t xml:space="preserve">sakhaṭ</w:t>
      </w:r>
      <w:r>
        <w:t xml:space="preserve"> </w:t>
      </w:r>
      <w:r>
        <w:t xml:space="preserve">sits at adj.</w:t>
      </w:r>
      <w:r>
        <w:t xml:space="preserve"> </w:t>
      </w:r>
      <w:r>
        <w:rPr>
          <w:i/>
          <w:iCs/>
        </w:rPr>
        <w:t xml:space="preserve">p</w:t>
      </w:r>
      <w:r>
        <w:t xml:space="preserve"> </w:t>
      </w:r>
      <w:r>
        <w:t xml:space="preserve">= 0.050.</w:t>
      </w:r>
      <w:r>
        <w:t xml:space="preserve"> </w:t>
      </w:r>
      <w:r>
        <w:rPr>
          <w:b/>
          <w:bCs/>
        </w:rPr>
        <w:t xml:space="preserve">RQ4.</w:t>
      </w:r>
      <w:r>
        <w:t xml:space="preserve"> </w:t>
      </w:r>
      <w:r>
        <w:t xml:space="preserve">The continuum is structurally homologous with Gross (S1–5), Plutchik, Spielberger, and Lazarus–Scherer–Roseman appraisal theory (sūrat al-ʿAlaq, Q. 96:6–7,</w:t>
      </w:r>
      <w:r>
        <w:t xml:space="preserve"> </w:t>
      </w:r>
      <w:r>
        <w:rPr>
          <w:i/>
          <w:iCs/>
        </w:rPr>
        <w:t xml:space="preserve">ṭughyān</w:t>
      </w:r>
      <w:r>
        <w:t xml:space="preserve"> </w:t>
      </w:r>
      <w:r>
        <w:t xml:space="preserve">on</w:t>
      </w:r>
      <w:r>
        <w:t xml:space="preserve"> </w:t>
      </w:r>
      <w:r>
        <w:rPr>
          <w:i/>
          <w:iCs/>
        </w:rPr>
        <w:t xml:space="preserve">istighnāʾ</w:t>
      </w:r>
      <w:r>
        <w:t xml:space="preserve">); it extends beyond all four at Stage 6.</w:t>
      </w:r>
      <w:r>
        <w:t xml:space="preserve"> </w:t>
      </w:r>
      <w:r>
        <w:rPr>
          <w:b/>
          <w:bCs/>
        </w:rPr>
        <w:t xml:space="preserve">RQ5.</w:t>
      </w:r>
      <w:r>
        <w:t xml:space="preserve"> </w:t>
      </w:r>
      <w:r>
        <w:t xml:space="preserve">Conditional implications follow for Qur’anic translation (§5.6) and Islamic psychology (§5.7).</w:t>
      </w:r>
    </w:p>
    <w:bookmarkEnd w:id="92"/>
    <w:bookmarkStart w:id="93" w:name="limitations-and-future-work"/>
    <w:p>
      <w:pPr>
        <w:pStyle w:val="Heading3"/>
      </w:pPr>
      <w:r>
        <w:t xml:space="preserve">6.3. Limitations and future work</w:t>
      </w:r>
    </w:p>
    <w:p>
      <w:pPr>
        <w:pStyle w:val="FirstParagraph"/>
      </w:pPr>
      <w:r>
        <w:t xml:space="preserve">Five limitations point to constructive next steps. (i)</w:t>
      </w:r>
      <w:r>
        <w:t xml:space="preserve"> </w:t>
      </w:r>
      <w:r>
        <w:rPr>
          <w:i/>
          <w:iCs/>
        </w:rPr>
        <w:t xml:space="preserve">Surface-lexical scope</w:t>
      </w:r>
      <w:r>
        <w:t xml:space="preserve">: discourse-analytic close-reading of the spectrum’s narrative deployment across suras is left for future work. (ii)</w:t>
      </w:r>
      <w:r>
        <w:t xml:space="preserve"> </w:t>
      </w:r>
      <w:r>
        <w:rPr>
          <w:i/>
          <w:iCs/>
        </w:rPr>
        <w:t xml:space="preserve">Tafsīr engagement</w:t>
      </w:r>
      <w:r>
        <w:t xml:space="preserve">: a deep-dive indexing the full classical/medieval/Sufi/modernist tradition with κ-validated multi-coder reading on contested verses would deepen exegetical grounding. (iii)</w:t>
      </w:r>
      <w:r>
        <w:t xml:space="preserve"> </w:t>
      </w:r>
      <w:r>
        <w:rPr>
          <w:i/>
          <w:iCs/>
        </w:rPr>
        <w:t xml:space="preserve">Cognitive-linguistic apparatus</w:t>
      </w:r>
      <w:r>
        <w:t xml:space="preserve">: engagement with classical</w:t>
      </w:r>
      <w:r>
        <w:t xml:space="preserve"> </w:t>
      </w:r>
      <w:r>
        <w:rPr>
          <w:i/>
          <w:iCs/>
        </w:rPr>
        <w:t xml:space="preserve">bayān</w:t>
      </w:r>
      <w:r>
        <w:t xml:space="preserve"> </w:t>
      </w:r>
      <w:r>
        <w:t xml:space="preserve">theory (al-Jurjānī, al-Sakkākī) would supply an indigenous substrate. (iv)</w:t>
      </w:r>
      <w:r>
        <w:t xml:space="preserve"> </w:t>
      </w:r>
      <w:r>
        <w:rPr>
          <w:i/>
          <w:iCs/>
        </w:rPr>
        <w:t xml:space="preserve">Ḥadīth integration</w:t>
      </w:r>
      <w:r>
        <w:t xml:space="preserve">: a parallel concordance over Ṣaḥīḥ al-Bukhārī, Ṣaḥīḥ Muslim, and al-Kāfī would supply convergent evidence on</w:t>
      </w:r>
      <w:r>
        <w:t xml:space="preserve"> </w:t>
      </w:r>
      <w:r>
        <w:rPr>
          <w:i/>
          <w:iCs/>
        </w:rPr>
        <w:t xml:space="preserve">kaẓm</w:t>
      </w:r>
      <w:r>
        <w:t xml:space="preserve"> </w:t>
      </w:r>
      <w:r>
        <w:t xml:space="preserve">and a replication test for the underpowered</w:t>
      </w:r>
      <w:r>
        <w:t xml:space="preserve"> </w:t>
      </w:r>
      <w:r>
        <w:rPr>
          <w:i/>
          <w:iCs/>
        </w:rPr>
        <w:t xml:space="preserve">asaf</w:t>
      </w:r>
      <w:r>
        <w:t xml:space="preserve"> </w:t>
      </w:r>
      <w:r>
        <w:t xml:space="preserve">distribution. (v)</w:t>
      </w:r>
      <w:r>
        <w:t xml:space="preserve"> </w:t>
      </w:r>
      <w:r>
        <w:rPr>
          <w:i/>
          <w:iCs/>
        </w:rPr>
        <w:t xml:space="preserve">Islamic-psychology operationalisation</w:t>
      </w:r>
      <w:r>
        <w:t xml:space="preserve">: §5.7’s implications await pilot studies of</w:t>
      </w:r>
      <w:r>
        <w:t xml:space="preserve"> </w:t>
      </w:r>
      <w:r>
        <w:rPr>
          <w:i/>
          <w:iCs/>
        </w:rPr>
        <w:t xml:space="preserve">kaẓm</w:t>
      </w:r>
      <w:r>
        <w:t xml:space="preserve">-grounded emotion-regulation training, validated against the STAXI and DERS. Computational evidence remains a complement to, not a replacement for, the classical philological and exegetical tradition.</w:t>
      </w:r>
    </w:p>
    <w:bookmarkEnd w:id="93"/>
    <w:bookmarkStart w:id="94" w:name="closing-remark"/>
    <w:p>
      <w:pPr>
        <w:pStyle w:val="Heading3"/>
      </w:pPr>
      <w:r>
        <w:t xml:space="preserve">6.4. Closing remark</w:t>
      </w:r>
    </w:p>
    <w:p>
      <w:pPr>
        <w:pStyle w:val="FirstParagraph"/>
      </w:pPr>
      <w:r>
        <w:t xml:space="preserve">The Qur’anic lexicon encodes a sophisticated theory of the anger spectrum in the architecture of its semantic surface. Recovering it requires the integration of classical philological attentiveness, contemporary linguistic-theoretical precision, and corpus-computational verifiability.</w:t>
      </w:r>
    </w:p>
    <w:p>
      <w:r>
        <w:pict>
          <v:rect style="width:0;height:1.5pt" o:hralign="center" o:hrstd="t" o:hr="t"/>
        </w:pict>
      </w:r>
    </w:p>
    <w:bookmarkEnd w:id="94"/>
    <w:bookmarkEnd w:id="95"/>
    <w:bookmarkStart w:id="96"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w:t>
      </w:r>
    </w:p>
    <w:bookmarkEnd w:id="96"/>
    <w:bookmarkStart w:id="9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97"/>
    <w:bookmarkStart w:id="98" w:name="competing-interests"/>
    <w:p>
      <w:pPr>
        <w:pStyle w:val="Heading2"/>
      </w:pPr>
      <w:r>
        <w:t xml:space="preserve">Competing interests</w:t>
      </w:r>
    </w:p>
    <w:p>
      <w:pPr>
        <w:pStyle w:val="FirstParagraph"/>
      </w:pPr>
      <w:r>
        <w:t xml:space="preserve">The authors declare no competing financial or non-financial interests.</w:t>
      </w:r>
    </w:p>
    <w:bookmarkEnd w:id="98"/>
    <w:bookmarkStart w:id="99" w:name="author-note-parallel-language-submission"/>
    <w:p>
      <w:pPr>
        <w:pStyle w:val="Heading2"/>
      </w:pPr>
      <w:r>
        <w:t xml:space="preserve">Author note: parallel-language submission</w:t>
      </w:r>
    </w:p>
    <w:p>
      <w:pPr>
        <w:pStyle w:val="FirstParagraph"/>
      </w:pPr>
      <w:r>
        <w:t xml:space="preserve">An independent Persian-language paper using the same corpus dataset is concurrently under consideration at</w:t>
      </w:r>
      <w:r>
        <w:t xml:space="preserve"> </w:t>
      </w:r>
      <w:r>
        <w:rPr>
          <w:i/>
          <w:iCs/>
        </w:rPr>
        <w:t xml:space="preserve">Pizhūhish-hā-yi Zabānshinākhtī-yi Qurʾān</w:t>
      </w:r>
      <w:r>
        <w:t xml:space="preserve">. The two papers do not share content or cite each other; the empirical pipeline is the only shared element, and each paper presents an independent argument for its own scholarly audience.</w:t>
      </w:r>
    </w:p>
    <w:bookmarkEnd w:id="99"/>
    <w:bookmarkStart w:id="100"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00"/>
    <w:bookmarkStart w:id="101"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w:t>
      </w:r>
      <w:r>
        <w:t xml:space="preserve"> </w:t>
      </w:r>
      <w:r>
        <w:rPr>
          <w:i/>
          <w:iCs/>
        </w:rPr>
        <w:t xml:space="preserve">tafsīr</w:t>
      </w:r>
      <w:r>
        <w:t xml:space="preserve">-tradition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01"/>
    <w:bookmarkStart w:id="102" w:name="author-affiliations"/>
    <w:p>
      <w:pPr>
        <w:pStyle w:val="Heading2"/>
      </w:pPr>
      <w:r>
        <w:t xml:space="preserve">Author affiliations</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bookmarkEnd w:id="102"/>
    <w:bookmarkStart w:id="104"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03">
        <w:r>
          <w:rPr>
            <w:rStyle w:val="Hyperlink"/>
          </w:rPr>
          <w:t xml:space="preserve">github.com/ali-kin4/quranic-emotion-spectrum</w:t>
        </w:r>
      </w:hyperlink>
    </w:p>
    <w:p>
      <w:pPr>
        <w:pStyle w:val="FirstParagraph"/>
      </w:pPr>
      <w:r>
        <w:t xml:space="preserve">The repository contains: (i) the Python pipeline under MIT License; (ii) the Quranic Arabic Corpus (Dukes 2011) under its original GPL; (iii) the complete CSV concordance for the fourteen core spectrum roots (312 attestations), distributional summaries, statistical tests, network-centrality outputs, and umbrella-cooccurrence tables; (iv) PDF and PNG versions of the figures published with this paper and with the Supplementary Material; (v) the SHA-256 hash of the QAC v0.4 source file and the manual-validation audit. The four statistical analyses of §§4.2–4.9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pPr>
        <w:pStyle w:val="FirstParagraph"/>
      </w:pPr>
      <w:r>
        <w:t xml:space="preserve">The four computational corroboration analyses reported in Supplementary Material S1–S4 are produced by</w:t>
      </w:r>
      <w:r>
        <w:t xml:space="preserve"> </w:t>
      </w:r>
      <w:r>
        <w:rPr>
          <w:rStyle w:val="VerbatimChar"/>
        </w:rPr>
        <w:t xml:space="preserve">nlp_upgrade_colab.py</w:t>
      </w:r>
      <w:r>
        <w:t xml:space="preserve">, which requires a CUDA-enabled GPU for the multilingual-MPNet and CAMeLBERT-CA inference. A Colab notebook is available in the repository with pinned model snapshots and an expected runtime of ~25 minutes on a T4 GPU; CSV outputs are committed under</w:t>
      </w:r>
      <w:r>
        <w:t xml:space="preserve"> </w:t>
      </w:r>
      <w:r>
        <w:rPr>
          <w:rStyle w:val="VerbatimChar"/>
        </w:rPr>
        <w:t xml:space="preserve">outputs/nlp_upgrade/</w:t>
      </w:r>
      <w:r>
        <w:t xml:space="preserve"> </w:t>
      </w:r>
      <w:r>
        <w:t xml:space="preserve">so that reviewers can inspect the numerical results without re-running the GPU pipeline.</w:t>
      </w:r>
    </w:p>
    <w:p>
      <w:r>
        <w:pict>
          <v:rect style="width:0;height:1.5pt" o:hralign="center" o:hrstd="t" o:hr="t"/>
        </w:pict>
      </w:r>
    </w:p>
    <w:bookmarkEnd w:id="104"/>
    <w:bookmarkStart w:id="105" w:name="bibliography"/>
    <w:p>
      <w:pPr>
        <w:pStyle w:val="Heading2"/>
      </w:pPr>
      <w:r>
        <w:t xml:space="preserve">Bibliography</w:t>
      </w:r>
    </w:p>
    <w:p>
      <w:pPr>
        <w:pStyle w:val="FirstParagraph"/>
      </w:pPr>
      <w:r>
        <w:t xml:space="preserve">References use Harvard author-date in-text citation; the Bibliography is unified and alphabetised by author surname (the Arabic article</w:t>
      </w:r>
      <w:r>
        <w:t xml:space="preserve"> </w:t>
      </w:r>
      <w:r>
        <w:rPr>
          <w:i/>
          <w:iCs/>
        </w:rPr>
        <w:t xml:space="preserve">al-</w:t>
      </w:r>
      <w:r>
        <w:t xml:space="preserve"> </w:t>
      </w:r>
      <w:r>
        <w:t xml:space="preserve">is ignored for alphabetisation, sorting on the post-</w:t>
      </w:r>
      <w:r>
        <w:rPr>
          <w:i/>
          <w:iCs/>
        </w:rPr>
        <w:t xml:space="preserve">al-</w:t>
      </w:r>
      <w:r>
        <w:t xml:space="preserve"> </w:t>
      </w:r>
      <w:r>
        <w:t xml:space="preserve">letter). Persian-language and classical-Arabic entries are interleaved in the single sequence.</w:t>
      </w:r>
    </w:p>
    <w:p>
      <w:pPr>
        <w:pStyle w:val="BodyText"/>
      </w:pPr>
      <w:r>
        <w:t xml:space="preserve">Agresti, A. (2013)</w:t>
      </w:r>
      <w:r>
        <w:t xml:space="preserve"> </w:t>
      </w:r>
      <w:r>
        <w:rPr>
          <w:i/>
          <w:iCs/>
        </w:rPr>
        <w:t xml:space="preserve">Categorical Data Analysis</w:t>
      </w:r>
      <w:r>
        <w:t xml:space="preserve">, 3rd edn, Hoboken, NJ: John Wiley &amp; Sons.</w:t>
      </w:r>
    </w:p>
    <w:p>
      <w:pPr>
        <w:pStyle w:val="BodyText"/>
      </w:pPr>
      <w:r>
        <w:t xml:space="preserve">Akra, D., Hammouda, T. and Jarrar, M. (2025)</w:t>
      </w:r>
      <w:r>
        <w:t xml:space="preserve"> </w:t>
      </w:r>
      <w:r>
        <w:rPr>
          <w:i/>
          <w:iCs/>
        </w:rPr>
        <w:t xml:space="preserve">QuranMorph: Morphologically Annotated Quranic Corpus</w:t>
      </w:r>
      <w:r>
        <w:t xml:space="preserve">, arXiv preprint 2506.18148, https://arxiv.org/abs/2506.18148.</w:t>
      </w:r>
    </w:p>
    <w:p>
      <w:pPr>
        <w:pStyle w:val="BodyText"/>
      </w:pPr>
      <w:r>
        <w:t xml:space="preserve">Albayrak, I. (2020)</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w:t>
      </w:r>
    </w:p>
    <w:p>
      <w:pPr>
        <w:pStyle w:val="BodyText"/>
      </w:pPr>
      <w:r>
        <w:t xml:space="preserve">Averill, J. R. (1982)</w:t>
      </w:r>
      <w:r>
        <w:t xml:space="preserve"> </w:t>
      </w:r>
      <w:r>
        <w:rPr>
          <w:i/>
          <w:iCs/>
        </w:rPr>
        <w:t xml:space="preserve">Anger and Aggression: An Essay on Emotion</w:t>
      </w:r>
      <w:r>
        <w:t xml:space="preserve">, New York: Springer-Verlag.</w:t>
      </w:r>
    </w:p>
    <w:p>
      <w:pPr>
        <w:pStyle w:val="BodyText"/>
      </w:pPr>
      <w:r>
        <w:t xml:space="preserve">Berkowitz, L. (1993)</w:t>
      </w:r>
      <w:r>
        <w:t xml:space="preserve"> </w:t>
      </w:r>
      <w:r>
        <w:rPr>
          <w:i/>
          <w:iCs/>
        </w:rPr>
        <w:t xml:space="preserve">Aggression: Its Causes, Consequences, and Control</w:t>
      </w:r>
      <w:r>
        <w:t xml:space="preserve">, New York: McGraw-Hill.</w:t>
      </w:r>
    </w:p>
    <w:p>
      <w:pPr>
        <w:pStyle w:val="BodyText"/>
      </w:pPr>
      <w:r>
        <w:t xml:space="preserve">Bodi, D. (2018)</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and Remarks on the Languages in Persian Times’</w:t>
      </w:r>
      <w:r>
        <w:t xml:space="preserve">,</w:t>
      </w:r>
      <w:r>
        <w:t xml:space="preserve"> </w:t>
      </w:r>
      <w:r>
        <w:rPr>
          <w:i/>
          <w:iCs/>
        </w:rPr>
        <w:t xml:space="preserve">Transeuphratène</w:t>
      </w:r>
      <w:r>
        <w:t xml:space="preserve"> </w:t>
      </w:r>
      <w:r>
        <w:t xml:space="preserve">50, pp. 13–38.</w:t>
      </w:r>
    </w:p>
    <w:p>
      <w:pPr>
        <w:pStyle w:val="BodyText"/>
      </w:pPr>
      <w:r>
        <w:t xml:space="preserve">Cairns, D. L. (2003)</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pp. 11–49.</w:t>
      </w:r>
    </w:p>
    <w:p>
      <w:pPr>
        <w:pStyle w:val="BodyText"/>
      </w:pPr>
      <w:r>
        <w:rPr>
          <w:i/>
          <w:iCs/>
        </w:rPr>
        <w:t xml:space="preserve">Chicago Assyrian Dictionary (CAD)</w:t>
      </w:r>
      <w:r>
        <w:t xml:space="preserve"> </w:t>
      </w:r>
      <w:r>
        <w:t xml:space="preserve">(1956–2010), ed. M. T. Roth et al., 21 vols, Chicago: The Oriental Institute.</w:t>
      </w:r>
    </w:p>
    <w:p>
      <w:pPr>
        <w:pStyle w:val="BodyText"/>
      </w:pPr>
      <w:r>
        <w:t xml:space="preserve">Cochran, W. G. (1954)</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pp. 417–451.</w:t>
      </w:r>
    </w:p>
    <w:p>
      <w:pPr>
        <w:pStyle w:val="BodyText"/>
      </w:pPr>
      <w:r>
        <w:t xml:space="preserve">Derki, M. (2022)</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w:t>
      </w:r>
    </w:p>
    <w:p>
      <w:pPr>
        <w:pStyle w:val="BodyText"/>
      </w:pPr>
      <w:r>
        <w:t xml:space="preserve">Dukes, K. (2011)</w:t>
      </w:r>
      <w:r>
        <w:t xml:space="preserve"> </w:t>
      </w:r>
      <w:r>
        <w:rPr>
          <w:i/>
          <w:iCs/>
        </w:rPr>
        <w:t xml:space="preserve">Quranic Arabic Corpus (Morphology, Version 0.4)</w:t>
      </w:r>
      <w:r>
        <w:t xml:space="preserve">, Leeds: University of Leeds, https://corpus.quran.com.</w:t>
      </w:r>
    </w:p>
    <w:p>
      <w:pPr>
        <w:pStyle w:val="BodyText"/>
      </w:pPr>
      <w:r>
        <w:t xml:space="preserve">El-Awa, S. M. S. (2006)</w:t>
      </w:r>
      <w:r>
        <w:t xml:space="preserve"> </w:t>
      </w:r>
      <w:r>
        <w:rPr>
          <w:i/>
          <w:iCs/>
        </w:rPr>
        <w:t xml:space="preserve">Textual Relations in the Qurʾan: Relevance, Coherence and Structure</w:t>
      </w:r>
      <w:r>
        <w:t xml:space="preserve">, Routledge Studies in the Qurʾan, London and New York: Routledge.</w:t>
      </w:r>
    </w:p>
    <w:p>
      <w:pPr>
        <w:pStyle w:val="BodyText"/>
      </w:pPr>
      <w:r>
        <w:t xml:space="preserve">al-Fīrūzābādī, Muḥammad.</w:t>
      </w:r>
      <w:r>
        <w:t xml:space="preserve"> </w:t>
      </w:r>
      <w:r>
        <w:rPr>
          <w:i/>
          <w:iCs/>
        </w:rPr>
        <w:t xml:space="preserve">al-Qāmūs al-Muḥīṭ</w:t>
      </w:r>
      <w:r>
        <w:t xml:space="preserve">, Beirut: Muʾassasat al-Risālah.</w:t>
      </w:r>
    </w:p>
    <w:p>
      <w:pPr>
        <w:pStyle w:val="BodyText"/>
      </w:pPr>
      <w:r>
        <w:t xml:space="preserve">Fauconnier, G. and Turner, M. (2002)</w:t>
      </w:r>
      <w:r>
        <w:t xml:space="preserve"> </w:t>
      </w:r>
      <w:r>
        <w:rPr>
          <w:i/>
          <w:iCs/>
        </w:rPr>
        <w:t xml:space="preserve">The Way We Think: Conceptual Blending and the Mind’s Hidden Complexities</w:t>
      </w:r>
      <w:r>
        <w:t xml:space="preserve">, New York: Basic Books.</w:t>
      </w:r>
    </w:p>
    <w:p>
      <w:pPr>
        <w:pStyle w:val="BodyText"/>
      </w:pPr>
      <w:r>
        <w:t xml:space="preserve">Fisher, R. A. (1922)</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pp. 87–94.</w:t>
      </w:r>
    </w:p>
    <w:p>
      <w:pPr>
        <w:pStyle w:val="BodyText"/>
      </w:pPr>
      <w:r>
        <w:t xml:space="preserve">Frijda, N. H. (1986)</w:t>
      </w:r>
      <w:r>
        <w:t xml:space="preserve"> </w:t>
      </w:r>
      <w:r>
        <w:rPr>
          <w:i/>
          <w:iCs/>
        </w:rPr>
        <w:t xml:space="preserve">The Emotions</w:t>
      </w:r>
      <w:r>
        <w:t xml:space="preserve">, Studies in Emotion and Social Interaction, Cambridge and Paris: Cambridge University Press and Éditions de la Maison des Sciences de l’Homme.</w:t>
      </w:r>
    </w:p>
    <w:p>
      <w:pPr>
        <w:pStyle w:val="BodyText"/>
      </w:pPr>
      <w:r>
        <w:t xml:space="preserve">Gaanoun, K. and Alsuhaibani, M. (2025)</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DOI: 10.1057/s41599-024-04181-0.</w:t>
      </w:r>
    </w:p>
    <w:p>
      <w:pPr>
        <w:pStyle w:val="BodyText"/>
      </w:pPr>
      <w:r>
        <w:t xml:space="preserve">Gross, J. J. (1998)</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pp. 271–299.</w:t>
      </w:r>
    </w:p>
    <w:p>
      <w:pPr>
        <w:pStyle w:val="BodyText"/>
      </w:pPr>
      <w:r>
        <w:t xml:space="preserve">Gross, J. J. (ed.) (2014)</w:t>
      </w:r>
      <w:r>
        <w:t xml:space="preserve"> </w:t>
      </w:r>
      <w:r>
        <w:rPr>
          <w:i/>
          <w:iCs/>
        </w:rPr>
        <w:t xml:space="preserve">Handbook of Emotion Regulation</w:t>
      </w:r>
      <w:r>
        <w:t xml:space="preserve">, 2nd edn, New York: Guilford Press.</w:t>
      </w:r>
    </w:p>
    <w:p>
      <w:pPr>
        <w:pStyle w:val="BodyText"/>
      </w:pPr>
      <w:r>
        <w:t xml:space="preserve">Gross, J. J. (2015)</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pp. 1–26.</w:t>
      </w:r>
    </w:p>
    <w:p>
      <w:pPr>
        <w:pStyle w:val="BodyText"/>
      </w:pPr>
      <w:r>
        <w:t xml:space="preserve">Grady, J. E. (1997)</w:t>
      </w:r>
      <w:r>
        <w:t xml:space="preserve"> </w:t>
      </w:r>
      <w:r>
        <w:rPr>
          <w:i/>
          <w:iCs/>
        </w:rPr>
        <w:t xml:space="preserve">Foundations of Meaning: Primary Metaphors and Primary Scenes</w:t>
      </w:r>
      <w:r>
        <w:t xml:space="preserve">, PhD dissertation, University of California, Berkeley.</w:t>
      </w:r>
    </w:p>
    <w:p>
      <w:pPr>
        <w:pStyle w:val="BodyText"/>
      </w:pPr>
      <w:r>
        <w:t xml:space="preserve">Ibn ʿĀshūr, Muḥammad al-Ṭāhir (1984)</w:t>
      </w:r>
      <w:r>
        <w:t xml:space="preserve"> </w:t>
      </w:r>
      <w:r>
        <w:rPr>
          <w:i/>
          <w:iCs/>
        </w:rPr>
        <w:t xml:space="preserve">al-Taḥrīr wa-l-Tanwīr</w:t>
      </w:r>
      <w:r>
        <w:t xml:space="preserve">, Tunis: al-Dār al-Tūnisiyyah li-l-Nashr.</w:t>
      </w:r>
    </w:p>
    <w:p>
      <w:pPr>
        <w:pStyle w:val="BodyText"/>
      </w:pPr>
      <w:r>
        <w:t xml:space="preserve">Ibn Fāris, Aḥmad (1979)</w:t>
      </w:r>
      <w:r>
        <w:t xml:space="preserve"> </w:t>
      </w:r>
      <w:r>
        <w:rPr>
          <w:i/>
          <w:iCs/>
        </w:rPr>
        <w:t xml:space="preserve">Muʿjam Maqāyīs al-Lughah</w:t>
      </w:r>
      <w:r>
        <w:t xml:space="preserve">, ed. ʿA. M. Hārūn, Beirut: Dār al-Fikr.</w:t>
      </w:r>
    </w:p>
    <w:p>
      <w:pPr>
        <w:pStyle w:val="BodyText"/>
      </w:pPr>
      <w:r>
        <w:t xml:space="preserve">Ibn Kathīr, Ismāʿīl (1999)</w:t>
      </w:r>
      <w:r>
        <w:t xml:space="preserve"> </w:t>
      </w:r>
      <w:r>
        <w:rPr>
          <w:i/>
          <w:iCs/>
        </w:rPr>
        <w:t xml:space="preserve">Tafsīr al-Qurʾān al-ʿAẓīm</w:t>
      </w:r>
      <w:r>
        <w:t xml:space="preserve">, ed. S. al-Salāmah, 8 vols, Riyadh: Dār Ṭaybah.</w:t>
      </w:r>
    </w:p>
    <w:p>
      <w:pPr>
        <w:pStyle w:val="BodyText"/>
      </w:pPr>
      <w:r>
        <w:t xml:space="preserve">Ibn Manẓūr, Muḥammad (1993)</w:t>
      </w:r>
      <w:r>
        <w:t xml:space="preserve"> </w:t>
      </w:r>
      <w:r>
        <w:rPr>
          <w:i/>
          <w:iCs/>
        </w:rPr>
        <w:t xml:space="preserve">Lisān al-ʿArab</w:t>
      </w:r>
      <w:r>
        <w:t xml:space="preserve">, 3rd edn, Beirut: Dār Ṣādir.</w:t>
      </w:r>
    </w:p>
    <w:p>
      <w:pPr>
        <w:pStyle w:val="BodyText"/>
      </w:pPr>
      <w:r>
        <w:t xml:space="preserve">Izutsu, T. (1959)</w:t>
      </w:r>
      <w:r>
        <w:t xml:space="preserve"> </w:t>
      </w:r>
      <w:r>
        <w:rPr>
          <w:i/>
          <w:iCs/>
        </w:rPr>
        <w:t xml:space="preserve">The Structure of the Ethical Terms in the Koran: A Study in Semantics</w:t>
      </w:r>
      <w:r>
        <w:t xml:space="preserve">, Studies in the Humanities and Social Relations 2, Tokyo: Keio Institute of Philological Studies.</w:t>
      </w:r>
    </w:p>
    <w:p>
      <w:pPr>
        <w:pStyle w:val="BodyText"/>
      </w:pPr>
      <w:r>
        <w:t xml:space="preserve">Izutsu, T. (1964)</w:t>
      </w:r>
      <w:r>
        <w:t xml:space="preserve"> </w:t>
      </w:r>
      <w:r>
        <w:rPr>
          <w:i/>
          <w:iCs/>
        </w:rPr>
        <w:t xml:space="preserve">God and Man in the Koran: Semantics of the Koranic Weltanschauung</w:t>
      </w:r>
      <w:r>
        <w:t xml:space="preserve">, Tokyo: Keio Institute of Cultural and Linguistic Studies.</w:t>
      </w:r>
    </w:p>
    <w:p>
      <w:pPr>
        <w:pStyle w:val="BodyText"/>
      </w:pPr>
      <w:r>
        <w:t xml:space="preserve">Izutsu, T. (2002)</w:t>
      </w:r>
      <w:r>
        <w:t xml:space="preserve"> </w:t>
      </w:r>
      <w:r>
        <w:rPr>
          <w:i/>
          <w:iCs/>
        </w:rPr>
        <w:t xml:space="preserve">Ethico-Religious Concepts in the Qurʾān</w:t>
      </w:r>
      <w:r>
        <w:t xml:space="preserve">, rev. edn, Montreal: McGill-Queen’s University Press (orig. 1966).</w:t>
      </w:r>
    </w:p>
    <w:p>
      <w:pPr>
        <w:pStyle w:val="BodyText"/>
      </w:pPr>
      <w:r>
        <w:t xml:space="preserve">Jamison, S. W. and Brereton, J. P. (2014)</w:t>
      </w:r>
      <w:r>
        <w:t xml:space="preserve"> </w:t>
      </w:r>
      <w:r>
        <w:rPr>
          <w:i/>
          <w:iCs/>
        </w:rPr>
        <w:t xml:space="preserve">The Rigveda: The Earliest Religious Poetry of India</w:t>
      </w:r>
      <w:r>
        <w:t xml:space="preserve">, 3 vols, New York: Oxford University Press.</w:t>
      </w:r>
    </w:p>
    <w:p>
      <w:pPr>
        <w:pStyle w:val="BodyText"/>
      </w:pPr>
      <w:r>
        <w:t xml:space="preserve">Kassinove, H. and Tafrate, R. C. (2002)</w:t>
      </w:r>
      <w:r>
        <w:t xml:space="preserve"> </w:t>
      </w:r>
      <w:r>
        <w:rPr>
          <w:i/>
          <w:iCs/>
        </w:rPr>
        <w:t xml:space="preserve">Anger Management: The Complete Treatment Guidebook for Practitioners</w:t>
      </w:r>
      <w:r>
        <w:t xml:space="preserve">, Atascadero, CA: Impact Publishers.</w:t>
      </w:r>
    </w:p>
    <w:p>
      <w:pPr>
        <w:pStyle w:val="BodyText"/>
      </w:pPr>
      <w:r>
        <w:t xml:space="preserve">Kennedy, C. (1999)</w:t>
      </w:r>
      <w:r>
        <w:t xml:space="preserve"> </w:t>
      </w:r>
      <w:r>
        <w:rPr>
          <w:i/>
          <w:iCs/>
        </w:rPr>
        <w:t xml:space="preserve">Projecting the Adjective: The Syntax and Semantics of Gradability and Comparison</w:t>
      </w:r>
      <w:r>
        <w:t xml:space="preserve">, Outstanding Dissertations in Linguistics, New York: Garland.</w:t>
      </w:r>
    </w:p>
    <w:p>
      <w:pPr>
        <w:pStyle w:val="BodyText"/>
      </w:pPr>
      <w:r>
        <w:t xml:space="preserve">Kennedy, C. (2007)</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pp. 1–45.</w:t>
      </w:r>
    </w:p>
    <w:p>
      <w:pPr>
        <w:pStyle w:val="BodyText"/>
      </w:pPr>
      <w:r>
        <w:t xml:space="preserve">Khan, M. T. et al. (2025)</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1535166, DOI: 10.3389/frsip.2025.1535166.</w:t>
      </w:r>
    </w:p>
    <w:p>
      <w:pPr>
        <w:pStyle w:val="BodyText"/>
      </w:pPr>
      <w:r>
        <w:t xml:space="preserve">Kövecses, Z. (1986)</w:t>
      </w:r>
      <w:r>
        <w:t xml:space="preserve"> </w:t>
      </w:r>
      <w:r>
        <w:rPr>
          <w:i/>
          <w:iCs/>
        </w:rPr>
        <w:t xml:space="preserve">Metaphors of Anger, Pride, and Love: A Lexical Approach to the Structure of Concepts</w:t>
      </w:r>
      <w:r>
        <w:t xml:space="preserve">, Pragmatics &amp; Beyond VII:8, Amsterdam: John Benjamins.</w:t>
      </w:r>
    </w:p>
    <w:p>
      <w:pPr>
        <w:pStyle w:val="BodyText"/>
      </w:pPr>
      <w:r>
        <w:t xml:space="preserve">Kövecses, Z. (2000)</w:t>
      </w:r>
      <w:r>
        <w:t xml:space="preserve"> </w:t>
      </w:r>
      <w:r>
        <w:rPr>
          <w:i/>
          <w:iCs/>
        </w:rPr>
        <w:t xml:space="preserve">Metaphor and Emotion: Language, Culture, and Body in Human Feeling</w:t>
      </w:r>
      <w:r>
        <w:t xml:space="preserve">, Cambridge: Cambridge University Press.</w:t>
      </w:r>
    </w:p>
    <w:p>
      <w:pPr>
        <w:pStyle w:val="BodyText"/>
      </w:pPr>
      <w:r>
        <w:t xml:space="preserve">Kövecses, Z. (2010)</w:t>
      </w:r>
      <w:r>
        <w:t xml:space="preserve"> </w:t>
      </w:r>
      <w:r>
        <w:rPr>
          <w:i/>
          <w:iCs/>
        </w:rPr>
        <w:t xml:space="preserve">Metaphor: A Practical Introduction</w:t>
      </w:r>
      <w:r>
        <w:t xml:space="preserve">, 2nd edn, Oxford: Oxford University Press.</w:t>
      </w:r>
    </w:p>
    <w:p>
      <w:pPr>
        <w:pStyle w:val="BodyText"/>
      </w:pPr>
      <w:r>
        <w:t xml:space="preserve">Kövecses, Z. (2020)</w:t>
      </w:r>
      <w:r>
        <w:t xml:space="preserve"> </w:t>
      </w:r>
      <w:r>
        <w:rPr>
          <w:i/>
          <w:iCs/>
        </w:rPr>
        <w:t xml:space="preserve">Extended Conceptual Metaphor Theory</w:t>
      </w:r>
      <w:r>
        <w:t xml:space="preserve">, Cambridge: Cambridge University Press.</w:t>
      </w:r>
    </w:p>
    <w:p>
      <w:pPr>
        <w:pStyle w:val="BodyText"/>
      </w:pPr>
      <w:r>
        <w:t xml:space="preserve">Kövecses, Z., Benczes, R. and Szelid, V. (eds) (2025)</w:t>
      </w:r>
      <w:r>
        <w:t xml:space="preserve"> </w:t>
      </w:r>
      <w:r>
        <w:rPr>
          <w:i/>
          <w:iCs/>
        </w:rPr>
        <w:t xml:space="preserve">Metaphors of ANGER across Languages: Universality and Variation</w:t>
      </w:r>
      <w:r>
        <w:t xml:space="preserve">, 2 vols, Comparative Handbooks of Linguistics 8, Berlin and Boston: De Gruyter Mouton.</w:t>
      </w:r>
    </w:p>
    <w:p>
      <w:pPr>
        <w:pStyle w:val="BodyText"/>
      </w:pPr>
      <w:r>
        <w:t xml:space="preserve">Kruger, P. A. (2000)</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pp. 181–193.</w:t>
      </w:r>
    </w:p>
    <w:p>
      <w:pPr>
        <w:pStyle w:val="BodyText"/>
      </w:pPr>
      <w:r>
        <w:t xml:space="preserve">Kruger, P. A. (2015)</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pp. 395–420.</w:t>
      </w:r>
    </w:p>
    <w:p>
      <w:pPr>
        <w:pStyle w:val="BodyText"/>
      </w:pPr>
      <w:r>
        <w:t xml:space="preserve">Lakoff, G. and Johnson, M. (1980)</w:t>
      </w:r>
      <w:r>
        <w:t xml:space="preserve"> </w:t>
      </w:r>
      <w:r>
        <w:rPr>
          <w:i/>
          <w:iCs/>
        </w:rPr>
        <w:t xml:space="preserve">Metaphors We Live By</w:t>
      </w:r>
      <w:r>
        <w:t xml:space="preserve">, Chicago: University of Chicago Press.</w:t>
      </w:r>
    </w:p>
    <w:p>
      <w:pPr>
        <w:pStyle w:val="BodyText"/>
      </w:pPr>
      <w:r>
        <w:t xml:space="preserve">Lakoff, G. and Kövecses, Z. (1987)</w:t>
      </w:r>
      <w:r>
        <w:t xml:space="preserve"> </w:t>
      </w:r>
      <w:r>
        <w:t xml:space="preserve">‘The Cognitive Model of Anger Inherent in American English’</w:t>
      </w:r>
      <w:r>
        <w:t xml:space="preserve">, in D. Holland and N. Quinn (eds),</w:t>
      </w:r>
      <w:r>
        <w:t xml:space="preserve"> </w:t>
      </w:r>
      <w:r>
        <w:rPr>
          <w:i/>
          <w:iCs/>
        </w:rPr>
        <w:t xml:space="preserve">Cultural Models in Language and Thought</w:t>
      </w:r>
      <w:r>
        <w:t xml:space="preserve">, Cambridge: Cambridge University Press, pp. 195–221.</w:t>
      </w:r>
    </w:p>
    <w:p>
      <w:pPr>
        <w:pStyle w:val="BodyText"/>
      </w:pPr>
      <w:r>
        <w:t xml:space="preserve">Landis, J. R. and Koch, G. G. (1977)</w:t>
      </w:r>
      <w:r>
        <w:t xml:space="preserve"> </w:t>
      </w:r>
      <w:r>
        <w:t xml:space="preserve">‘The Measurement of Observer Agreement for Categorical Data’</w:t>
      </w:r>
      <w:r>
        <w:t xml:space="preserve">,</w:t>
      </w:r>
      <w:r>
        <w:t xml:space="preserve"> </w:t>
      </w:r>
      <w:r>
        <w:rPr>
          <w:i/>
          <w:iCs/>
        </w:rPr>
        <w:t xml:space="preserve">Biometrics</w:t>
      </w:r>
      <w:r>
        <w:t xml:space="preserve"> </w:t>
      </w:r>
      <w:r>
        <w:t xml:space="preserve">33(1), pp. 159–174.</w:t>
      </w:r>
    </w:p>
    <w:p>
      <w:pPr>
        <w:pStyle w:val="BodyText"/>
      </w:pPr>
      <w:r>
        <w:t xml:space="preserve">Lauri, J., Svärd, S., Alstola, T., Jauhiainen, H., Sahala, A., Lindén, K., Sams, M. and Nummenmaa, L. (2024)</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111365.</w:t>
      </w:r>
    </w:p>
    <w:p>
      <w:pPr>
        <w:pStyle w:val="BodyText"/>
      </w:pPr>
      <w:r>
        <w:t xml:space="preserve">Lazarus, R. S. (1991)</w:t>
      </w:r>
      <w:r>
        <w:t xml:space="preserve"> </w:t>
      </w:r>
      <w:r>
        <w:rPr>
          <w:i/>
          <w:iCs/>
        </w:rPr>
        <w:t xml:space="preserve">Emotion and Adaptation</w:t>
      </w:r>
      <w:r>
        <w:t xml:space="preserve">, New York: Oxford University Press.</w:t>
      </w:r>
    </w:p>
    <w:p>
      <w:pPr>
        <w:pStyle w:val="BodyText"/>
      </w:pPr>
      <w:r>
        <w:t xml:space="preserve">Maalej, Z. (2004)</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pp. 51–75.</w:t>
      </w:r>
    </w:p>
    <w:p>
      <w:pPr>
        <w:pStyle w:val="BodyText"/>
      </w:pPr>
      <w:r>
        <w:t xml:space="preserve">Maalej, Z. (2007)</w:t>
      </w:r>
      <w:r>
        <w:t xml:space="preserve"> </w:t>
      </w:r>
      <w:r>
        <w:t xml:space="preserve">‘The Embodiment of Fear Expressions in Tunisian Arabic: Theoretical and Practical Implications’</w:t>
      </w:r>
      <w:r>
        <w:t xml:space="preserve">, in F. Sharifian and G. B. Palmer (eds),</w:t>
      </w:r>
      <w:r>
        <w:t xml:space="preserve"> </w:t>
      </w:r>
      <w:r>
        <w:rPr>
          <w:i/>
          <w:iCs/>
        </w:rPr>
        <w:t xml:space="preserve">Applied Cultural Linguistics: Implications for Second Language Learning and Intercultural Communication</w:t>
      </w:r>
      <w:r>
        <w:t xml:space="preserve">, Converging Evidence in Language and Communication Research 7, Amsterdam: John Benjamins, pp. 87–104.</w:t>
      </w:r>
    </w:p>
    <w:p>
      <w:pPr>
        <w:pStyle w:val="BodyText"/>
      </w:pPr>
      <w:r>
        <w:t xml:space="preserve">Maalej, Z. A. and Yu, N. (eds) (2011)</w:t>
      </w:r>
      <w:r>
        <w:t xml:space="preserve"> </w:t>
      </w:r>
      <w:r>
        <w:rPr>
          <w:i/>
          <w:iCs/>
        </w:rPr>
        <w:t xml:space="preserve">Embodiment via Body Parts: Studies from Various Languages and Cultures</w:t>
      </w:r>
      <w:r>
        <w:t xml:space="preserve">, Human Cognitive Processing 31, Amsterdam and Philadelphia: John Benjamins.</w:t>
      </w:r>
    </w:p>
    <w:p>
      <w:pPr>
        <w:pStyle w:val="BodyText"/>
      </w:pPr>
      <w:r>
        <w:t xml:space="preserve">Marcus-Newhall, A., Pedersen, W. C., Carlson, M. and Miller, N. (2000)</w:t>
      </w:r>
      <w:r>
        <w:t xml:space="preserve"> </w:t>
      </w:r>
      <w:r>
        <w:t xml:space="preserve">‘Displaced Aggression is Alive and Well: A Meta-analytic Review’</w:t>
      </w:r>
      <w:r>
        <w:t xml:space="preserve">,</w:t>
      </w:r>
      <w:r>
        <w:t xml:space="preserve"> </w:t>
      </w:r>
      <w:r>
        <w:rPr>
          <w:i/>
          <w:iCs/>
        </w:rPr>
        <w:t xml:space="preserve">Journal of Personality and Social Psychology</w:t>
      </w:r>
      <w:r>
        <w:t xml:space="preserve"> </w:t>
      </w:r>
      <w:r>
        <w:t xml:space="preserve">78(4), pp. 670–689.</w:t>
      </w:r>
    </w:p>
    <w:p>
      <w:pPr>
        <w:pStyle w:val="BodyText"/>
      </w:pPr>
      <w:r>
        <w:t xml:space="preserve">Mehta, C. R. and Patel, N. R. (1983)</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pp. 427–434.</w:t>
      </w:r>
    </w:p>
    <w:p>
      <w:pPr>
        <w:pStyle w:val="BodyText"/>
      </w:pPr>
      <w:r>
        <w:t xml:space="preserve">al-Mostafawī, Ḥasan (1995)</w:t>
      </w:r>
      <w:r>
        <w:t xml:space="preserve"> </w:t>
      </w:r>
      <w:r>
        <w:rPr>
          <w:i/>
          <w:iCs/>
        </w:rPr>
        <w:t xml:space="preserve">al-Taḥqīq fī Kalimāt al-Qurʾān al-Karīm</w:t>
      </w:r>
      <w:r>
        <w:t xml:space="preserve">, 14 vols, Tehran: Wizārat al-Thaqāfah wa-l-Irshād al-Islāmī.</w:t>
      </w:r>
    </w:p>
    <w:p>
      <w:pPr>
        <w:pStyle w:val="BodyText"/>
      </w:pPr>
      <w:r>
        <w:t xml:space="preserve">Mottaghi, M. S. et al. (2024)</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w:t>
      </w:r>
    </w:p>
    <w:p>
      <w:pPr>
        <w:pStyle w:val="BodyText"/>
      </w:pPr>
      <w:r>
        <w:t xml:space="preserve">Muellner, L. C. (1996)</w:t>
      </w:r>
      <w:r>
        <w:t xml:space="preserve"> </w:t>
      </w:r>
      <w:r>
        <w:rPr>
          <w:i/>
          <w:iCs/>
        </w:rPr>
        <w:t xml:space="preserve">The Anger of Achilles: Mēnis in Greek Epic</w:t>
      </w:r>
      <w:r>
        <w:t xml:space="preserve">, Ithaca, NY: Cornell University Press.</w:t>
      </w:r>
    </w:p>
    <w:p>
      <w:pPr>
        <w:pStyle w:val="BodyText"/>
      </w:pPr>
      <w:r>
        <w:t xml:space="preserve">Nandan, M., Godbole, I., Kapparad, P. and Bhattacharjee, S. (2025)</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w:t>
      </w:r>
    </w:p>
    <w:p>
      <w:pPr>
        <w:pStyle w:val="BodyText"/>
      </w:pPr>
      <w:r>
        <w:t xml:space="preserve">Narimani, Z., Iqbali, M. and Chari, M. (2021)</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pp. 219–239.</w:t>
      </w:r>
    </w:p>
    <w:p>
      <w:pPr>
        <w:pStyle w:val="BodyText"/>
      </w:pPr>
      <w:r>
        <w:t xml:space="preserve">Neuwirth, A. (2019)</w:t>
      </w:r>
      <w:r>
        <w:t xml:space="preserve"> </w:t>
      </w:r>
      <w:r>
        <w:rPr>
          <w:i/>
          <w:iCs/>
        </w:rPr>
        <w:t xml:space="preserve">The Qur’an and Late Antiquity: A Shared Heritage</w:t>
      </w:r>
      <w:r>
        <w:t xml:space="preserve">, trans. S. Wilder, Oxford: Oxford University Press.</w:t>
      </w:r>
    </w:p>
    <w:p>
      <w:pPr>
        <w:pStyle w:val="BodyText"/>
      </w:pPr>
      <w:r>
        <w:t xml:space="preserve">Pakatchi, A. and Afrashi, A. (2020)</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w:t>
      </w:r>
    </w:p>
    <w:p>
      <w:pPr>
        <w:pStyle w:val="BodyText"/>
      </w:pPr>
      <w:r>
        <w:t xml:space="preserve">Patefield, W. M. (1981)</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w:t>
      </w:r>
      <w:r>
        <w:t xml:space="preserve"> </w:t>
      </w:r>
      <w:r>
        <w:rPr>
          <w:i/>
          <w:iCs/>
        </w:rPr>
        <w:t xml:space="preserve">Journal of the Royal Statistical Society, Series C (Applied Statistics)</w:t>
      </w:r>
      <w:r>
        <w:t xml:space="preserve"> </w:t>
      </w:r>
      <w:r>
        <w:t xml:space="preserve">30(1), pp. 91–97.</w:t>
      </w:r>
    </w:p>
    <w:p>
      <w:pPr>
        <w:pStyle w:val="BodyText"/>
      </w:pPr>
      <w:r>
        <w:t xml:space="preserve">Plutchik, R. (1980)</w:t>
      </w:r>
      <w:r>
        <w:t xml:space="preserve"> </w:t>
      </w:r>
      <w:r>
        <w:rPr>
          <w:i/>
          <w:iCs/>
        </w:rPr>
        <w:t xml:space="preserve">Emotion: A Psychoevolutionary Synthesis</w:t>
      </w:r>
      <w:r>
        <w:t xml:space="preserve">, New York: Harper &amp; Row.</w:t>
      </w:r>
    </w:p>
    <w:p>
      <w:pPr>
        <w:pStyle w:val="BodyText"/>
      </w:pPr>
      <w:r>
        <w:t xml:space="preserve">Plutchik, R. (2001)</w:t>
      </w:r>
      <w:r>
        <w:t xml:space="preserve"> </w:t>
      </w:r>
      <w:r>
        <w:t xml:space="preserve">‘The Nature of Emotions’</w:t>
      </w:r>
      <w:r>
        <w:t xml:space="preserve">,</w:t>
      </w:r>
      <w:r>
        <w:t xml:space="preserve"> </w:t>
      </w:r>
      <w:r>
        <w:rPr>
          <w:i/>
          <w:iCs/>
        </w:rPr>
        <w:t xml:space="preserve">American Scientist</w:t>
      </w:r>
      <w:r>
        <w:t xml:space="preserve"> </w:t>
      </w:r>
      <w:r>
        <w:t xml:space="preserve">89(4), pp. 344–350.</w:t>
      </w:r>
    </w:p>
    <w:p>
      <w:pPr>
        <w:pStyle w:val="BodyText"/>
      </w:pPr>
      <w:r>
        <w:t xml:space="preserve">Qāʾimīniyā, ʿA. (2011)</w:t>
      </w:r>
      <w:r>
        <w:t xml:space="preserve"> </w:t>
      </w:r>
      <w:r>
        <w:rPr>
          <w:i/>
          <w:iCs/>
        </w:rPr>
        <w:t xml:space="preserve">Maʿnāshināsī-yi Shinākhtī-yi Qurʾān</w:t>
      </w:r>
      <w:r>
        <w:t xml:space="preserve"> </w:t>
      </w:r>
      <w:r>
        <w:t xml:space="preserve">[Cognitive Semantics of the Qurʾān; in Persian], Tehran: Pizhūhishgāh-i Farhang va Andīshah-i Islāmī.</w:t>
      </w:r>
    </w:p>
    <w:p>
      <w:pPr>
        <w:pStyle w:val="BodyText"/>
      </w:pPr>
      <w:r>
        <w:t xml:space="preserve">Qāʾimīniyā, ʿA. (2014)</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w:t>
      </w:r>
    </w:p>
    <w:p>
      <w:pPr>
        <w:pStyle w:val="BodyText"/>
      </w:pPr>
      <w:r>
        <w:t xml:space="preserve">Qarizadeh, M. ʿO., Salmani Marvast, M. ʿA., Meymandi, V. and Farsi, B. (2024)</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w:t>
      </w:r>
    </w:p>
    <w:p>
      <w:pPr>
        <w:pStyle w:val="BodyText"/>
      </w:pPr>
      <w:r>
        <w:t xml:space="preserve">al-Qurṭubī, Muḥammad ibn Aḥmad (1964)</w:t>
      </w:r>
      <w:r>
        <w:t xml:space="preserve"> </w:t>
      </w:r>
      <w:r>
        <w:rPr>
          <w:i/>
          <w:iCs/>
        </w:rPr>
        <w:t xml:space="preserve">al-Jāmiʿ li-Aḥkām al-Qurʾān</w:t>
      </w:r>
      <w:r>
        <w:t xml:space="preserve">, 20 vols, Cairo: Dār al-Kutub al-Miṣriyyah.</w:t>
      </w:r>
    </w:p>
    <w:p>
      <w:pPr>
        <w:pStyle w:val="BodyText"/>
      </w:pPr>
      <w:r>
        <w:t xml:space="preserve">al-Qushayrī, ʿAbd al-Karīm (2000)</w:t>
      </w:r>
      <w:r>
        <w:t xml:space="preserve"> </w:t>
      </w:r>
      <w:r>
        <w:rPr>
          <w:i/>
          <w:iCs/>
        </w:rPr>
        <w:t xml:space="preserve">Laṭāʾif al-Ishārāt</w:t>
      </w:r>
      <w:r>
        <w:t xml:space="preserve">, ed. I. Basūnī, 6 vols, Cairo: al-Hayʾah al-Miṣriyyah al-ʿĀmmah li-l-Kitāb.</w:t>
      </w:r>
    </w:p>
    <w:p>
      <w:pPr>
        <w:pStyle w:val="BodyText"/>
      </w:pPr>
      <w:r>
        <w:t xml:space="preserve">Quṭb, S. (1980)</w:t>
      </w:r>
      <w:r>
        <w:t xml:space="preserve"> </w:t>
      </w:r>
      <w:r>
        <w:rPr>
          <w:i/>
          <w:iCs/>
        </w:rPr>
        <w:t xml:space="preserve">Fī Ẓilāl al-Qurʾān</w:t>
      </w:r>
      <w:r>
        <w:t xml:space="preserve">, 6 vols, Cairo and Beirut: Dār al-Shurūq.</w:t>
      </w:r>
    </w:p>
    <w:p>
      <w:pPr>
        <w:pStyle w:val="BodyText"/>
      </w:pPr>
      <w:r>
        <w:t xml:space="preserve">Rabab’ah, K. and Al-Saidat, E. (2022)</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pp. 409–433.</w:t>
      </w:r>
    </w:p>
    <w:p>
      <w:pPr>
        <w:pStyle w:val="BodyText"/>
      </w:pPr>
      <w:r>
        <w:t xml:space="preserve">al-Rāghib al-Iṣfahānī, Ḥusayn (1992)</w:t>
      </w:r>
      <w:r>
        <w:t xml:space="preserve"> </w:t>
      </w:r>
      <w:r>
        <w:rPr>
          <w:i/>
          <w:iCs/>
        </w:rPr>
        <w:t xml:space="preserve">al-Mufradāt fī Gharīb al-Qurʾān</w:t>
      </w:r>
      <w:r>
        <w:t xml:space="preserve">, ed. Ṣ. ʿA. Dāwūdī, Damascus and Beirut: Dār al-Qalam and al-Dār al-Shāmiyyah.</w:t>
      </w:r>
    </w:p>
    <w:p>
      <w:pPr>
        <w:pStyle w:val="BodyText"/>
      </w:pPr>
      <w:r>
        <w:t xml:space="preserve">al-Rāzī, Fakhr al-Dīn Muḥammad (1999)</w:t>
      </w:r>
      <w:r>
        <w:t xml:space="preserve"> </w:t>
      </w:r>
      <w:r>
        <w:rPr>
          <w:i/>
          <w:iCs/>
        </w:rPr>
        <w:t xml:space="preserve">Mafātīḥ al-Ghayb (al-Tafsīr al-Kabīr)</w:t>
      </w:r>
      <w:r>
        <w:t xml:space="preserve">, Beirut: Dār Iḥyāʾ al-Turāth al-ʿArabī.</w:t>
      </w:r>
    </w:p>
    <w:p>
      <w:pPr>
        <w:pStyle w:val="BodyText"/>
      </w:pPr>
      <w:r>
        <w:t xml:space="preserve">Riḍā, Muḥammad Rashīd (1947)</w:t>
      </w:r>
      <w:r>
        <w:t xml:space="preserve"> </w:t>
      </w:r>
      <w:r>
        <w:rPr>
          <w:i/>
          <w:iCs/>
        </w:rPr>
        <w:t xml:space="preserve">Tafsīr al-Qurʾān al-Ḥakīm (al-Manār)</w:t>
      </w:r>
      <w:r>
        <w:t xml:space="preserve">, 12 vols, Cairo: Dār al-Manār.</w:t>
      </w:r>
    </w:p>
    <w:p>
      <w:pPr>
        <w:pStyle w:val="BodyText"/>
      </w:pPr>
      <w:r>
        <w:t xml:space="preserve">Roseman, I. J. (1996)</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pp. 241–277.</w:t>
      </w:r>
    </w:p>
    <w:p>
      <w:pPr>
        <w:pStyle w:val="BodyText"/>
      </w:pPr>
      <w:r>
        <w:t xml:space="preserve">Sadeghi, B. (2011)</w:t>
      </w:r>
      <w:r>
        <w:t xml:space="preserve"> </w:t>
      </w:r>
      <w:r>
        <w:t xml:space="preserve">‘The Chronology of the Qurʾān: A Stylometric Research Program’</w:t>
      </w:r>
      <w:r>
        <w:t xml:space="preserve">,</w:t>
      </w:r>
      <w:r>
        <w:t xml:space="preserve"> </w:t>
      </w:r>
      <w:r>
        <w:rPr>
          <w:i/>
          <w:iCs/>
        </w:rPr>
        <w:t xml:space="preserve">Arabica</w:t>
      </w:r>
      <w:r>
        <w:t xml:space="preserve"> </w:t>
      </w:r>
      <w:r>
        <w:t xml:space="preserve">58(3–4), pp. 210–299.</w:t>
      </w:r>
    </w:p>
    <w:p>
      <w:pPr>
        <w:pStyle w:val="BodyText"/>
      </w:pPr>
      <w:r>
        <w:t xml:space="preserve">Sassoon, G. W. (2010)</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pp. 141–181.</w:t>
      </w:r>
    </w:p>
    <w:p>
      <w:pPr>
        <w:pStyle w:val="BodyText"/>
      </w:pPr>
      <w:r>
        <w:t xml:space="preserve">Sawalha, M., Al-Shargi, F., Yagi, S., AlShdaifat, A. T., Hammo, B., Belajeed, M. and Al-Ogaili, L. R. (2024)</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58, 111211.</w:t>
      </w:r>
    </w:p>
    <w:p>
      <w:pPr>
        <w:pStyle w:val="BodyText"/>
      </w:pPr>
      <w:r>
        <w:t xml:space="preserve">Scherer, K. R. (2001)</w:t>
      </w:r>
      <w:r>
        <w:t xml:space="preserve"> </w:t>
      </w:r>
      <w:r>
        <w:t xml:space="preserve">‘Appraisal Considered as a Process of Multilevel Sequential Checking’</w:t>
      </w:r>
      <w:r>
        <w:t xml:space="preserve">, in K. R. Scherer, A. Schorr and T. Johnstone (eds),</w:t>
      </w:r>
      <w:r>
        <w:t xml:space="preserve"> </w:t>
      </w:r>
      <w:r>
        <w:rPr>
          <w:i/>
          <w:iCs/>
        </w:rPr>
        <w:t xml:space="preserve">Appraisal Processes in Emotion: Theory, Methods, Research</w:t>
      </w:r>
      <w:r>
        <w:t xml:space="preserve">, New York: Oxford University Press, pp. 92–120.</w:t>
      </w:r>
    </w:p>
    <w:p>
      <w:pPr>
        <w:pStyle w:val="BodyText"/>
      </w:pPr>
      <w:r>
        <w:t xml:space="preserve">Scherer, K. R. (2005)</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pp. 695–729.</w:t>
      </w:r>
    </w:p>
    <w:p>
      <w:pPr>
        <w:pStyle w:val="BodyText"/>
      </w:pPr>
      <w:r>
        <w:t xml:space="preserve">Sharaf, A.-B. M. and Atwell, E. (2012a)</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Istanbul: ELRA, pp. 130–137.</w:t>
      </w:r>
    </w:p>
    <w:p>
      <w:pPr>
        <w:pStyle w:val="BodyText"/>
      </w:pPr>
      <w:r>
        <w:t xml:space="preserve">Sharaf, A.-B. M. and Atwell, E. (2012b)</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Istanbul: ELRA, pp. 2295–2302.</w:t>
      </w:r>
    </w:p>
    <w:p>
      <w:pPr>
        <w:pStyle w:val="BodyText"/>
      </w:pPr>
      <w:r>
        <w:t xml:space="preserve">Sharifian, F. (2011)</w:t>
      </w:r>
      <w:r>
        <w:t xml:space="preserve"> </w:t>
      </w:r>
      <w:r>
        <w:rPr>
          <w:i/>
          <w:iCs/>
        </w:rPr>
        <w:t xml:space="preserve">Cultural Conceptualisations and Language: Theoretical Framework and Applications</w:t>
      </w:r>
      <w:r>
        <w:t xml:space="preserve">, Cognitive Linguistic Studies in Cultural Contexts 1, Amsterdam: John Benjamins.</w:t>
      </w:r>
    </w:p>
    <w:p>
      <w:pPr>
        <w:pStyle w:val="BodyText"/>
      </w:pPr>
      <w:r>
        <w:t xml:space="preserve">Sinai, N. (2017)</w:t>
      </w:r>
      <w:r>
        <w:t xml:space="preserve"> </w:t>
      </w:r>
      <w:r>
        <w:rPr>
          <w:i/>
          <w:iCs/>
        </w:rPr>
        <w:t xml:space="preserve">The Qurʾan: A Historical-Critical Introduction</w:t>
      </w:r>
      <w:r>
        <w:t xml:space="preserve">, The New Edinburgh Islamic Surveys, Edinburgh: Edinburgh University Press.</w:t>
      </w:r>
    </w:p>
    <w:p>
      <w:pPr>
        <w:pStyle w:val="BodyText"/>
      </w:pPr>
      <w:r>
        <w:t xml:space="preserve">Sinai, N. (2023)</w:t>
      </w:r>
      <w:r>
        <w:t xml:space="preserve"> </w:t>
      </w:r>
      <w:r>
        <w:rPr>
          <w:i/>
          <w:iCs/>
        </w:rPr>
        <w:t xml:space="preserve">Key Terms of the Qurʾan: A Critical Dictionary</w:t>
      </w:r>
      <w:r>
        <w:t xml:space="preserve">, Princeton: Princeton University Press.</w:t>
      </w:r>
    </w:p>
    <w:p>
      <w:pPr>
        <w:pStyle w:val="BodyText"/>
      </w:pPr>
      <w:r>
        <w:t xml:space="preserve">Soriano, C. (2003)</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pp. 107–122.</w:t>
      </w:r>
    </w:p>
    <w:p>
      <w:pPr>
        <w:pStyle w:val="BodyText"/>
      </w:pPr>
      <w:r>
        <w:t xml:space="preserve">Soriano, C. (2013)</w:t>
      </w:r>
      <w:r>
        <w:t xml:space="preserve"> </w:t>
      </w:r>
      <w:r>
        <w:t xml:space="preserve">‘Anger Metaphors across Languages: A Cognitive Linguistic Perspective’</w:t>
      </w:r>
      <w:r>
        <w:t xml:space="preserve">, in R. R. Heredia and A. B. Cieślicka (eds),</w:t>
      </w:r>
      <w:r>
        <w:t xml:space="preserve"> </w:t>
      </w:r>
      <w:r>
        <w:rPr>
          <w:i/>
          <w:iCs/>
        </w:rPr>
        <w:t xml:space="preserve">Bilingual Figurative Language Processing</w:t>
      </w:r>
      <w:r>
        <w:t xml:space="preserve">, Cambridge: Cambridge University Press, pp. 410–440.</w:t>
      </w:r>
    </w:p>
    <w:p>
      <w:pPr>
        <w:pStyle w:val="BodyText"/>
      </w:pPr>
      <w:r>
        <w:t xml:space="preserve">Spielberger, C. D. (1999)</w:t>
      </w:r>
      <w:r>
        <w:t xml:space="preserve"> </w:t>
      </w:r>
      <w:r>
        <w:rPr>
          <w:i/>
          <w:iCs/>
        </w:rPr>
        <w:t xml:space="preserve">Professional Manual for the State-Trait Anger Expression Inventory–2 (STAXI-2)</w:t>
      </w:r>
      <w:r>
        <w:t xml:space="preserve">, Odessa, FL: Psychological Assessment Resources.</w:t>
      </w:r>
    </w:p>
    <w:p>
      <w:pPr>
        <w:pStyle w:val="BodyText"/>
      </w:pPr>
      <w:r>
        <w:t xml:space="preserve">al-Ṭabarī, Muḥammad ibn Jarīr (2000)</w:t>
      </w:r>
      <w:r>
        <w:t xml:space="preserve"> </w:t>
      </w:r>
      <w:r>
        <w:rPr>
          <w:i/>
          <w:iCs/>
        </w:rPr>
        <w:t xml:space="preserve">Jāmiʿ al-Bayān ʿan Taʾwīl Āy al-Qurʾān</w:t>
      </w:r>
      <w:r>
        <w:t xml:space="preserve">, ed. A. M. Shākir, 24 vols, Beirut: Muʾassasat al-Risālah.</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 (1970)</w:t>
      </w:r>
      <w:r>
        <w:t xml:space="preserve"> </w:t>
      </w:r>
      <w:r>
        <w:rPr>
          <w:i/>
          <w:iCs/>
        </w:rPr>
        <w:t xml:space="preserve">al-Mīzān fī Tafsīr al-Qurʾān</w:t>
      </w:r>
      <w:r>
        <w:t xml:space="preserve">, 20 vols, Beirut: Muʾassasat al-Aʿlamī li-l-Maṭbūʿāt.</w:t>
      </w:r>
    </w:p>
    <w:p>
      <w:pPr>
        <w:pStyle w:val="BodyText"/>
      </w:pPr>
      <w:r>
        <w:t xml:space="preserve">Tanzil Project (2008)</w:t>
      </w:r>
      <w:r>
        <w:t xml:space="preserve"> </w:t>
      </w:r>
      <w:r>
        <w:rPr>
          <w:i/>
          <w:iCs/>
        </w:rPr>
        <w:t xml:space="preserve">The Tanzil Quran Text</w:t>
      </w:r>
      <w:r>
        <w:t xml:space="preserve"> </w:t>
      </w:r>
      <w:r>
        <w:t xml:space="preserve">(Uthmani edition), https://tanzil.net.</w:t>
      </w:r>
    </w:p>
    <w:p>
      <w:pPr>
        <w:pStyle w:val="BodyText"/>
      </w:pPr>
      <w:r>
        <w:t xml:space="preserve">Webb, P. (2016)</w:t>
      </w:r>
      <w:r>
        <w:t xml:space="preserve"> </w:t>
      </w:r>
      <w:r>
        <w:rPr>
          <w:i/>
          <w:iCs/>
        </w:rPr>
        <w:t xml:space="preserve">Imagining the Arabs: Arab Identity and the Rise of Islam</w:t>
      </w:r>
      <w:r>
        <w:t xml:space="preserve">, Edinburgh: Edinburgh University Press.</w:t>
      </w:r>
    </w:p>
    <w:p>
      <w:pPr>
        <w:pStyle w:val="BodyText"/>
      </w:pPr>
      <w:r>
        <w:t xml:space="preserve">Wierzbicka, A. (1999)</w:t>
      </w:r>
      <w:r>
        <w:t xml:space="preserve"> </w:t>
      </w:r>
      <w:r>
        <w:rPr>
          <w:i/>
          <w:iCs/>
        </w:rPr>
        <w:t xml:space="preserve">Emotions Across Languages and Cultures: Diversity and Universals</w:t>
      </w:r>
      <w:r>
        <w:t xml:space="preserve">, Cambridge: Cambridge University Press.</w:t>
      </w:r>
    </w:p>
    <w:p>
      <w:pPr>
        <w:pStyle w:val="BodyText"/>
      </w:pPr>
      <w:r>
        <w:t xml:space="preserve">Yu, N. (1995)</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pp. 59–92.</w:t>
      </w:r>
    </w:p>
    <w:p>
      <w:pPr>
        <w:pStyle w:val="BodyText"/>
      </w:pPr>
      <w:r>
        <w:t xml:space="preserve">al-Zamakhsharī, Maḥmūd (1986)</w:t>
      </w:r>
      <w:r>
        <w:t xml:space="preserve"> </w:t>
      </w:r>
      <w:r>
        <w:rPr>
          <w:i/>
          <w:iCs/>
        </w:rPr>
        <w:t xml:space="preserve">al-Kashshāf ʿan Ḥaqāʾiq Ghawāmiḍ al-Tanzīl</w:t>
      </w:r>
      <w:r>
        <w:t xml:space="preserve">, Beirut: Dār al-Kitāb al-ʿArabī.</w:t>
      </w:r>
    </w:p>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QAC v0.4 is pinned by SHA-256; outputs are released under MIT (code) and CC-BY 4.0 (manuscript/figures). The fourteen exemplar verses plus a stratified fifty-segment audit on the four most frequent core roots (</w:t>
      </w:r>
      <w:r>
        <w:rPr>
          <w:i/>
          <w:iCs/>
        </w:rPr>
        <w:t xml:space="preserve">ḥzn</w:t>
      </w:r>
      <w:r>
        <w:t xml:space="preserve">,</w:t>
      </w:r>
      <w:r>
        <w:t xml:space="preserve"> </w:t>
      </w:r>
      <w:r>
        <w:rPr>
          <w:i/>
          <w:iCs/>
        </w:rPr>
        <w:t xml:space="preserve">bghy</w:t>
      </w:r>
      <w:r>
        <w:t xml:space="preserve">,</w:t>
      </w:r>
      <w:r>
        <w:t xml:space="preserve"> </w:t>
      </w:r>
      <w:r>
        <w:rPr>
          <w:i/>
          <w:iCs/>
        </w:rPr>
        <w:t xml:space="preserve">ghḍb</w:t>
      </w:r>
      <w:r>
        <w:t xml:space="preserve">,</w:t>
      </w:r>
      <w:r>
        <w:t xml:space="preserve"> </w:t>
      </w:r>
      <w:r>
        <w:rPr>
          <w:i/>
          <w:iCs/>
        </w:rPr>
        <w:t xml:space="preserve">ṭghy</w:t>
      </w:r>
      <w:r>
        <w:t xml:space="preserve">) returned 100% correct segment-to-root assignment against Tanzil; full audit at</w:t>
      </w:r>
      <w:r>
        <w:t xml:space="preserve"> </w:t>
      </w:r>
      <w:r>
        <w:rPr>
          <w:rStyle w:val="VerbatimChar"/>
        </w:rPr>
        <w:t xml:space="preserve">data/concordance/validation_audit.md</w:t>
      </w:r>
      <w:r>
        <w:t xml:space="preserve">.</w:t>
      </w:r>
    </w:p>
  </w:footnote>
  <w:footnote w:id="44">
    <w:p>
      <w:pPr>
        <w:pStyle w:val="FootnoteText"/>
      </w:pPr>
      <w:r>
        <w:rPr>
          <w:rStyle w:val="FootnoteReference"/>
        </w:rPr>
        <w:footnoteRef/>
      </w:r>
      <w:r>
        <w:t xml:space="preserve"> </w:t>
      </w:r>
      <w:r>
        <w:t xml:space="preserve">The permutation null holds per-root counts fixed and randomly permutes the fourteen stage labels (10,000 permutations, fixed RNG seed 20260509); the empirical</w:t>
      </w:r>
      <w:r>
        <w:t xml:space="preserve"> </w:t>
      </w:r>
      <w:r>
        <w:rPr>
          <w:i/>
          <w:iCs/>
        </w:rPr>
        <w:t xml:space="preserve">p</w:t>
      </w:r>
      <w:r>
        <w:t xml:space="preserve"> </w:t>
      </w:r>
      <w:r>
        <w:t xml:space="preserve">is the fraction of permuted χ² values meeting or exceeding 227.15. This is the natural extension of Fisher-exact reasoning to a many-cell design (Patefield 1981; Mehta and Patel 1983).</w:t>
      </w:r>
    </w:p>
  </w:footnote>
  <w:footnote w:id="45">
    <w:p>
      <w:pPr>
        <w:pStyle w:val="FootnoteText"/>
      </w:pPr>
      <w:r>
        <w:rPr>
          <w:rStyle w:val="FootnoteReference"/>
        </w:rPr>
        <w:footnoteRef/>
      </w:r>
      <w:r>
        <w:t xml:space="preserve"> </w:t>
      </w:r>
      <w:r>
        <w:t xml:space="preserve">The reported family size of fourteen is the per-root Meccan/Medinan binomial family. A strict reading would expand the family to ≈ 20 (adding the omnibus χ²(5), S1–5/S6 χ²(1), three trend tests, and A-only re-analysis). Under the strict family,</w:t>
      </w:r>
      <w:r>
        <w:t xml:space="preserve"> </w:t>
      </w:r>
      <w:r>
        <w:rPr>
          <w:i/>
          <w:iCs/>
        </w:rPr>
        <w:t xml:space="preserve">karh</w:t>
      </w:r>
      <w:r>
        <w:t xml:space="preserve"> </w:t>
      </w:r>
      <w:r>
        <w:t xml:space="preserve">and</w:t>
      </w:r>
      <w:r>
        <w:t xml:space="preserve"> </w:t>
      </w:r>
      <w:r>
        <w:rPr>
          <w:i/>
          <w:iCs/>
        </w:rPr>
        <w:t xml:space="preserve">baghy</w:t>
      </w:r>
      <w:r>
        <w:t xml:space="preserve"> </w:t>
      </w:r>
      <w:r>
        <w:t xml:space="preserve">remain below α = 0.05;</w:t>
      </w:r>
      <w:r>
        <w:t xml:space="preserve"> </w:t>
      </w:r>
      <w:r>
        <w:rPr>
          <w:i/>
          <w:iCs/>
        </w:rPr>
        <w:t xml:space="preserve">ghayẓ</w:t>
      </w:r>
      <w:r>
        <w:t xml:space="preserve"> </w:t>
      </w:r>
      <w:r>
        <w:t xml:space="preserve">moves from adj. ≈ 0.019 to 0.027 (still significant);</w:t>
      </w:r>
      <w:r>
        <w:t xml:space="preserve"> </w:t>
      </w:r>
      <w:r>
        <w:rPr>
          <w:i/>
          <w:iCs/>
        </w:rPr>
        <w:t xml:space="preserve">sakhaṭ</w:t>
      </w:r>
      <w:r>
        <w:t xml:space="preserve"> </w:t>
      </w:r>
      <w:r>
        <w:t xml:space="preserve">moves from adj. 0.050 to 0.075 (substantively informative — see §4.5.2). Conclusions of §4.5–§4.8 are robust to the family-size choice.</w:t>
      </w:r>
    </w:p>
  </w:footnote>
  <w:footnote w:id="64">
    <w:p>
      <w:pPr>
        <w:pStyle w:val="FootnoteText"/>
      </w:pPr>
      <w:r>
        <w:rPr>
          <w:rStyle w:val="FootnoteReference"/>
        </w:rPr>
        <w:footnoteRef/>
      </w:r>
      <w:r>
        <w:t xml:space="preserve"> </w:t>
      </w:r>
      <w:r>
        <w:t xml:space="preserve">The 0.74 baseline is the proportion of ayat (not suras) classified Meccan in the QAC metadata; we use the ayat-weighted rate because an attestation drawn at random from the corpus hits an aya, not a sura. A sensitivity table over baselines 0.70–0.78 yields two-sided</w:t>
      </w:r>
      <w:r>
        <w:t xml:space="preserve"> </w:t>
      </w:r>
      <w:r>
        <w:rPr>
          <w:i/>
          <w:iCs/>
        </w:rPr>
        <w:t xml:space="preserve">p</w:t>
      </w:r>
      <w:r>
        <w:t xml:space="preserve"> </w:t>
      </w:r>
      <w:r>
        <w:t xml:space="preserve">values from 0.0081 (at 0.70) to 0.0023 (at 0.78); the conclusion is robust across the range.</w:t>
      </w:r>
    </w:p>
  </w:footnote>
  <w:footnote w:id="67">
    <w:p>
      <w:pPr>
        <w:pStyle w:val="FootnoteText"/>
      </w:pPr>
      <w:r>
        <w:rPr>
          <w:rStyle w:val="FootnoteReference"/>
        </w:rPr>
        <w:footnoteRef/>
      </w:r>
      <w:r>
        <w:t xml:space="preserve"> </w:t>
      </w:r>
      <w:r>
        <w:t xml:space="preserve">The canonical</w:t>
      </w:r>
      <w:r>
        <w:t xml:space="preserve"> </w:t>
      </w:r>
      <w:r>
        <w:rPr>
          <w:i/>
          <w:iCs/>
        </w:rPr>
        <w:t xml:space="preserve">qirāʾāt</w:t>
      </w:r>
      <w:r>
        <w:t xml:space="preserve"> </w:t>
      </w:r>
      <w:r>
        <w:t xml:space="preserve">tradition records minor variation on the verb form (Ḥafṣ ʿan ʿĀṣim reads</w:t>
      </w:r>
      <w:r>
        <w:t xml:space="preserve"> </w:t>
      </w:r>
      <w:r>
        <w:rPr>
          <w:i/>
          <w:iCs/>
        </w:rPr>
        <w:t xml:space="preserve">tamayyazu</w:t>
      </w:r>
      <w:r>
        <w:t xml:space="preserve">; alternative voweling in some readings), but the lexicographic and exegetical reading is stable.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84" Target="media/rId84.png" /><Relationship Type="http://schemas.openxmlformats.org/officeDocument/2006/relationships/image" Id="rId72" Target="media/rId72.png" /><Relationship Type="http://schemas.openxmlformats.org/officeDocument/2006/relationships/image" Id="rId40" Target="media/rId40.png" /><Relationship Type="http://schemas.openxmlformats.org/officeDocument/2006/relationships/hyperlink" Id="rId103"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03"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2026-05-17T14:13:03Z</dcterms:created>
  <dcterms:modified xsi:type="dcterms:W3CDTF">2026-05-17T14:13:03Z</dcterms:modified>
</cp:coreProperties>
</file>

<file path=docProps/custom.xml><?xml version="1.0" encoding="utf-8"?>
<Properties xmlns="http://schemas.openxmlformats.org/officeDocument/2006/custom-properties" xmlns:vt="http://schemas.openxmlformats.org/officeDocument/2006/docPropsVTypes"/>
</file>