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Override PartName="/word/media/rId47.png" ContentType="image/png"/>
  <Override PartName="/word/media/rId50.png" ContentType="image/png"/>
  <Override PartName="/word/media/rId63.png" ContentType="image/png"/>
  <Override PartName="/word/media/rId53.png" ContentType="image/png"/>
  <Override PartName="/word/media/rId78.jpg" ContentType="image/jpeg"/>
  <Override PartName="/word/media/rId66.png" ContentType="image/pn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Integrating Izutsu’s semantic-field approach, Kennedy–Sassoon scalar semantics, and Lakoff–Kövecses conceptual metaphor theory, we validate the continuum against the Quranic Arabic Corpus through a reproducible Python pipeline over 312 attestations. Three findings emerge under uncertainty-aware metrics. First, the asymptotic χ²(5) = 227.15 is large but a marginal-preserving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Second, three roots survive Holm-Bonferroni correction over the family of fourteen per-root binomials:</w:t>
      </w:r>
      <w:r>
        <w:t xml:space="preserve"> </w:t>
      </w:r>
      <w:r>
        <w:rPr>
          <w:i/>
          <w:iCs/>
        </w:rPr>
        <w:t xml:space="preserve">karh</w:t>
      </w:r>
      <w:r>
        <w:t xml:space="preserve"> </w:t>
      </w:r>
      <w:r>
        <w:t xml:space="preserve">(Medinan-tilted, adj.</w:t>
      </w:r>
      <w:r>
        <w:t xml:space="preserve"> </w:t>
      </w:r>
      <w:r>
        <w:rPr>
          <w:i/>
          <w:iCs/>
        </w:rPr>
        <w:t xml:space="preserve">p</w:t>
      </w:r>
      <w:r>
        <w:t xml:space="preserve"> </w:t>
      </w:r>
      <w:r>
        <w:t xml:space="preserve">≈ 10⁻⁶),</w:t>
      </w:r>
      <w:r>
        <w:t xml:space="preserve"> </w:t>
      </w:r>
      <w:r>
        <w:rPr>
          <w:i/>
          <w:iCs/>
        </w:rPr>
        <w:t xml:space="preserve">baghy</w:t>
      </w:r>
      <w:r>
        <w:t xml:space="preserve"> </w:t>
      </w:r>
      <w:r>
        <w:t xml:space="preserve">(Meccan-tilted, adj.</w:t>
      </w:r>
      <w:r>
        <w:t xml:space="preserve"> </w:t>
      </w:r>
      <w:r>
        <w:rPr>
          <w:i/>
          <w:iCs/>
        </w:rPr>
        <w:t xml:space="preserve">p</w:t>
      </w:r>
      <w:r>
        <w:t xml:space="preserve"> </w:t>
      </w:r>
      <w:r>
        <w:t xml:space="preserve">≈ 5 × 10⁻³), and</w:t>
      </w:r>
      <w:r>
        <w:t xml:space="preserve"> </w:t>
      </w:r>
      <w:r>
        <w:rPr>
          <w:i/>
          <w:iCs/>
        </w:rPr>
        <w:t xml:space="preserve">ghayẓ</w:t>
      </w:r>
      <w:r>
        <w:t xml:space="preserve"> </w:t>
      </w:r>
      <w:r>
        <w:t xml:space="preserve">(Medinan-tilted, adj.</w:t>
      </w:r>
      <w:r>
        <w:t xml:space="preserve"> </w:t>
      </w:r>
      <w:r>
        <w:rPr>
          <w:i/>
          <w:iCs/>
        </w:rPr>
        <w:t xml:space="preserve">p</w:t>
      </w:r>
      <w:r>
        <w:t xml:space="preserve"> </w:t>
      </w:r>
      <w:r>
        <w:t xml:space="preserve">≈ 2 × 10⁻²);</w:t>
      </w:r>
      <w:r>
        <w:t xml:space="preserve"> </w:t>
      </w:r>
      <w:r>
        <w:rPr>
          <w:i/>
          <w:iCs/>
        </w:rPr>
        <w:t xml:space="preserve">sakhaṭ</w:t>
      </w:r>
      <w:r>
        <w:t xml:space="preserve"> </w:t>
      </w:r>
      <w:r>
        <w:t xml:space="preserve">(exclusively Medinan) sits at adj.</w:t>
      </w:r>
      <w:r>
        <w:t xml:space="preserve"> </w:t>
      </w:r>
      <w:r>
        <w:rPr>
          <w:i/>
          <w:iCs/>
        </w:rPr>
        <w:t xml:space="preserve">p</w:t>
      </w:r>
      <w:r>
        <w:t xml:space="preserve"> </w:t>
      </w:r>
      <w:r>
        <w:t xml:space="preserve">= 0.05, just below the conventional threshold. The pattern instantiates</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of sūrat al-Mulk (</w:t>
      </w:r>
      <w:r>
        <w:rPr>
          <w:i/>
          <w:iCs/>
        </w:rPr>
        <w:t xml:space="preserve">takādu tamayyazu min al-ġayẓ</w:t>
      </w:r>
      <w:r>
        <w:t xml:space="preserve">) is an unusually transparent instance of</w:t>
      </w:r>
      <w:r>
        <w:t xml:space="preserve"> </w:t>
      </w:r>
      <w:r>
        <w:t xml:space="preserve">“container collapse”</w:t>
      </w:r>
      <w:r>
        <w:t xml:space="preserve">; a κ = 0.79-validated</w:t>
      </w:r>
      <w:r>
        <w:t xml:space="preserve"> </w:t>
      </w:r>
      <w:r>
        <w:rPr>
          <w:i/>
          <w:iCs/>
        </w:rPr>
        <w:t xml:space="preserve">tafsīr</w:t>
      </w:r>
      <w:r>
        <w:t xml:space="preserve"> </w:t>
      </w:r>
      <w:r>
        <w:t xml:space="preserve">audit supports a</w:t>
      </w:r>
      <w:r>
        <w:t xml:space="preserve"> </w:t>
      </w:r>
      <w:r>
        <w:rPr>
          <w:i/>
          <w:iCs/>
        </w:rPr>
        <w:t xml:space="preserve">bidirectional-causation</w:t>
      </w:r>
      <w:r>
        <w:t xml:space="preserve"> </w:t>
      </w:r>
      <w:r>
        <w:t xml:space="preserve">reading of Stage 6 (A = 26%, S = 49%, A+S = 25%). Implications follow, conditionally,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corpus linguistics.</w:t>
      </w:r>
    </w:p>
    <w:p>
      <w:r>
        <w:pict>
          <v:rect style="width:0;height:1.5pt" o:hralign="center" o:hrstd="t" o:hr="t"/>
        </w:pict>
      </w:r>
    </w:p>
    <w:bookmarkEnd w:id="21"/>
    <w:bookmarkStart w:id="26" w:name="introduction"/>
    <w:p>
      <w:pPr>
        <w:pStyle w:val="Heading2"/>
      </w:pPr>
      <w:r>
        <w:t xml:space="preserve">1. Introduction</w:t>
      </w:r>
    </w:p>
    <w:bookmarkStart w:id="22"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hypothesis that these fourteen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and the divine response. The distance from</w:t>
      </w:r>
      <w:r>
        <w:t xml:space="preserve"> </w:t>
      </w:r>
      <w:r>
        <w:rPr>
          <w:i/>
          <w:iCs/>
        </w:rPr>
        <w:t xml:space="preserve">uff</w:t>
      </w:r>
      <w:r>
        <w:t xml:space="preserve"> </w:t>
      </w:r>
      <w:r>
        <w:t xml:space="preserve">(sūrat al-Isrāʾ, Q. 17:23) to</w:t>
      </w:r>
      <w:r>
        <w:t xml:space="preserve"> </w:t>
      </w:r>
      <w:r>
        <w:rPr>
          <w:i/>
          <w:iCs/>
        </w:rPr>
        <w:t xml:space="preserve">ʿutuww</w:t>
      </w:r>
      <w:r>
        <w:t xml:space="preserve"> </w:t>
      </w:r>
      <w:r>
        <w:t xml:space="preserve">(sūrat al-Furqān, Q. 25:21) is graded rather than categorical.</w:t>
      </w:r>
    </w:p>
    <w:bookmarkEnd w:id="22"/>
    <w:bookmarkStart w:id="23"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semantic-field approach (Izutsu 1959, 1964, 2002), scalar-semantic ordering in the Kennedy–Sassoon tradition (Kennedy 1999, 2007; Sassoon 2010), and conceptual-metaphor theory in the Lakoff–Kövecses tradition (Lakoff and Johnson 1980; Lakoff and Kövecses 1987; Kövecses 2000, 2010) produces stronger philological claims than any of the three frameworks in isolation. Izutsu’s field method yields a network of mutually defining lexemes around focus words but does not generate an ordering relation</w:t>
      </w:r>
      <w:r>
        <w:t xml:space="preserve"> </w:t>
      </w:r>
      <w:r>
        <w:rPr>
          <w:i/>
          <w:iCs/>
        </w:rPr>
        <w:t xml:space="preserve">within</w:t>
      </w:r>
      <w:r>
        <w:t xml:space="preserve"> </w:t>
      </w:r>
      <w:r>
        <w:t xml:space="preserve">the network; Lakoff and Kövecses (1987) supply a cognitive-metaphor schema anchored lexicographically in</w:t>
      </w:r>
      <w:r>
        <w:t xml:space="preserve"> </w:t>
      </w:r>
      <w:r>
        <w:rPr>
          <w:i/>
          <w:iCs/>
        </w:rPr>
        <w:t xml:space="preserve">English</w:t>
      </w:r>
      <w:r>
        <w:t xml:space="preserve">, and the two-volume</w:t>
      </w:r>
      <w:r>
        <w:t xml:space="preserve"> </w:t>
      </w:r>
      <w:r>
        <w:rPr>
          <w:i/>
          <w:iCs/>
        </w:rPr>
        <w:t xml:space="preserve">Metaphors of ANGER across Languages</w:t>
      </w:r>
      <w:r>
        <w:t xml:space="preserve"> </w:t>
      </w:r>
      <w:r>
        <w:t xml:space="preserve">(Kövecses, Benczes and Szelid 2025) — twenty-two languages from Mandarin to Yoruba —</w:t>
      </w:r>
      <w:r>
        <w:t xml:space="preserve"> </w:t>
      </w:r>
      <w:r>
        <w:rPr>
          <w:i/>
          <w:iCs/>
        </w:rPr>
        <w:t xml:space="preserve">omits Classical Arabic entirely</w:t>
      </w:r>
      <w:r>
        <w:t xml:space="preserve">. Kennedy–Sassoon orders predicates along a dimension and a unit but has not been applied to a Qur’anic emotion field. Qāʾimīniyā (2011, 2014) and Pakatchi and Afrashi (2020) already integrate Izutsu with CMT in Persian; the</w:t>
      </w:r>
      <w:r>
        <w:t xml:space="preserve"> </w:t>
      </w:r>
      <w:r>
        <w:rPr>
          <w:i/>
          <w:iCs/>
        </w:rPr>
        <w:t xml:space="preserve">novel</w:t>
      </w:r>
      <w:r>
        <w:t xml:space="preserve"> </w:t>
      </w:r>
      <w:r>
        <w:t xml:space="preserve">element here is the Kennedy–Sassoon scalar layer operationalised as a six-stage action-intensity continuum tested against a 312-attestation reproducible pipeline, alongside (i) a κ = 0.79-validated</w:t>
      </w:r>
      <w:r>
        <w:t xml:space="preserve"> </w:t>
      </w:r>
      <w:r>
        <w:rPr>
          <w:i/>
          <w:iCs/>
        </w:rPr>
        <w:t xml:space="preserve">tafsīr</w:t>
      </w:r>
      <w:r>
        <w:t xml:space="preserve">-coding audit of the bidirectional-causation reading of Stage 6, (ii) the</w:t>
      </w:r>
      <w:r>
        <w:t xml:space="preserve"> </w:t>
      </w:r>
      <w:r>
        <w:rPr>
          <w:i/>
          <w:iCs/>
        </w:rPr>
        <w:t xml:space="preserve">kaẓm</w:t>
      </w:r>
      <w:r>
        <w:t xml:space="preserve">-as-tying-off-of-waterskin analysis of agent-internal containment, and (iii) the framing of Q. 67:8 of sūrat al-Mulk as an early and unusually transparent lexicalisation of</w:t>
      </w:r>
      <w:r>
        <w:t xml:space="preserve"> </w:t>
      </w:r>
      <w:r>
        <w:t xml:space="preserve">“container collapse”</w:t>
      </w:r>
      <w:r>
        <w:t xml:space="preserve">, calibrated against a six-tradition philological survey (§5.5) that acknowledges Job 32:19 (</w:t>
      </w:r>
      <w:r>
        <w:rPr>
          <w:i/>
          <w:iCs/>
        </w:rPr>
        <w:t xml:space="preserve">bāqaʿ</w:t>
      </w:r>
      <w:r>
        <w:t xml:space="preserve">) as the one clear Northwest-Semitic precedent. The second aim is</w:t>
      </w:r>
      <w:r>
        <w:t xml:space="preserve"> </w:t>
      </w:r>
      <w:r>
        <w:rPr>
          <w:b/>
          <w:bCs/>
        </w:rPr>
        <w:t xml:space="preserve">descriptive</w:t>
      </w:r>
      <w:r>
        <w:t xml:space="preserve">: to map every Qur’anic occurrence of the fourteen core roots, render that map publicly verifiable, and extract empirical regularities previous scholarship was not in a position to detect. The third aim is</w:t>
      </w:r>
      <w:r>
        <w:t xml:space="preserve"> </w:t>
      </w:r>
      <w:r>
        <w:rPr>
          <w:b/>
          <w:bCs/>
        </w:rPr>
        <w:t xml:space="preserve">interpretive</w:t>
      </w:r>
      <w:r>
        <w:t xml:space="preserve">: to argue that the continuum constitutes a coherent logic of anger escalation with structural affinities to modern emotion psychology, and to identify the points at which it</w:t>
      </w:r>
      <w:r>
        <w:t xml:space="preserve"> </w:t>
      </w:r>
      <w:r>
        <w:rPr>
          <w:i/>
          <w:iCs/>
        </w:rPr>
        <w:t xml:space="preserve">exceeds</w:t>
      </w:r>
      <w:r>
        <w:t xml:space="preserve"> </w:t>
      </w:r>
      <w:r>
        <w:t xml:space="preserve">the contemporary models — most pointedly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bookmarkEnd w:id="23"/>
    <w:bookmarkStart w:id="24" w:name="prior-work-and-the-gap"/>
    <w:p>
      <w:pPr>
        <w:pStyle w:val="Heading3"/>
      </w:pPr>
      <w:r>
        <w:t xml:space="preserve">1.3. Prior work and the gap</w:t>
      </w:r>
    </w:p>
    <w:p>
      <w:pPr>
        <w:pStyle w:val="FirstParagraph"/>
      </w:pPr>
      <w:r>
        <w:t xml:space="preserve">Prior scholarship clusters into five lines, each insufficient on its own.</w:t>
      </w:r>
      <w:r>
        <w:t xml:space="preserve"> </w:t>
      </w:r>
      <w:r>
        <w:rPr>
          <w:b/>
          <w:bCs/>
        </w:rPr>
        <w:t xml:space="preserve">Single-word lexical studies</w:t>
      </w:r>
      <w:r>
        <w:t xml:space="preserve">: the most directly relevant Persian-language precedent — Narimani, Iqbali and Chari (2021) 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w:t>
      </w:r>
      <w:r>
        <w:t xml:space="preserve"> </w:t>
      </w:r>
      <w:r>
        <w:rPr>
          <w:i/>
          <w:iCs/>
        </w:rPr>
        <w:t xml:space="preserve">tafsīr</w:t>
      </w:r>
      <w:r>
        <w:t xml:space="preserve"> </w:t>
      </w:r>
      <w:r>
        <w:t xml:space="preserve">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predominantly (not exclusively) attributed in human-reference contexts to unbelievers/hypocrites. Q. 3:134 of sūrat Āl ʿImrān (</w:t>
      </w:r>
      <w:r>
        <w:rPr>
          <w:i/>
          <w:iCs/>
        </w:rPr>
        <w:t xml:space="preserve">al-kāẓimīn al-ġayẓ</w:t>
      </w:r>
      <w:r>
        <w:t xml:space="preserve">) is the canonical exception, attributing the substance of</w:t>
      </w:r>
      <w:r>
        <w:t xml:space="preserve"> </w:t>
      </w:r>
      <w:r>
        <w:rPr>
          <w:i/>
          <w:iCs/>
        </w:rPr>
        <w:t xml:space="preserve">ghayẓ</w:t>
      </w:r>
      <w:r>
        <w:t xml:space="preserve"> </w:t>
      </w:r>
      <w:r>
        <w:t xml:space="preserve">— as the object of</w:t>
      </w:r>
      <w:r>
        <w:t xml:space="preserve"> </w:t>
      </w:r>
      <w:r>
        <w:rPr>
          <w:i/>
          <w:iCs/>
        </w:rPr>
        <w:t xml:space="preserve">kaẓm</w:t>
      </w:r>
      <w:r>
        <w:t xml:space="preserve"> </w:t>
      </w:r>
      <w:r>
        <w:t xml:space="preserve">— to believers themselves. Qarizadeh et al. (2024) on</w:t>
      </w:r>
      <w:r>
        <w:t xml:space="preserve"> </w:t>
      </w:r>
      <w:r>
        <w:rPr>
          <w:i/>
          <w:iCs/>
        </w:rPr>
        <w:t xml:space="preserve">ṭughyān</w:t>
      </w:r>
      <w:r>
        <w:t xml:space="preserve"> </w:t>
      </w:r>
      <w:r>
        <w:t xml:space="preserve">show the root attests in twenty-seven suras with the central meaning of transgressing the limit. Both works illustrate the gap: high-quality lexical work for individual lexemes, but no integrated continuum and no operational ordering relation among field members.</w:t>
      </w:r>
      <w:r>
        <w:t xml:space="preserve"> </w:t>
      </w:r>
      <w:r>
        <w:rPr>
          <w:b/>
          <w:bCs/>
        </w:rPr>
        <w:t xml:space="preserve">Semantic-field and cognitive-semantic studies</w:t>
      </w:r>
      <w:r>
        <w:t xml:space="preserve"> </w:t>
      </w:r>
      <w:r>
        <w:t xml:space="preserve">in the Izutsu tradition — Qāʾimīniyā (2011, 2014), Pakatchi and Afrashi (2020), Albayrak (2020) — have applied cognitive linguistics to Qur’anic vocabulary, but the</w:t>
      </w:r>
      <w:r>
        <w:t xml:space="preserve"> </w:t>
      </w:r>
      <w:r>
        <w:rPr>
          <w:i/>
          <w:iCs/>
        </w:rPr>
        <w:t xml:space="preserve">graded continuum</w:t>
      </w:r>
      <w:r>
        <w:t xml:space="preserve"> </w:t>
      </w:r>
      <w:r>
        <w:t xml:space="preserve">layer remains untreated. Kennedy–Sassoon (Kennedy 1999, 2007; Sassoon 2010) supplies what Izutsu’s method leaves open: a measurable dimension along which field members can be ordered.</w:t>
      </w:r>
      <w:r>
        <w:t xml:space="preserve"> </w:t>
      </w:r>
      <w:r>
        <w:rPr>
          <w:b/>
          <w:bCs/>
        </w:rPr>
        <w:t xml:space="preserve">Ethics-of-anger studies</w:t>
      </w:r>
      <w:r>
        <w:t xml:space="preserve"> </w:t>
      </w:r>
      <w:r>
        <w:t xml:space="preserve">in the</w:t>
      </w:r>
      <w:r>
        <w:t xml:space="preserve"> </w:t>
      </w:r>
      <w:r>
        <w:rPr>
          <w:i/>
          <w:iCs/>
        </w:rPr>
        <w:t xml:space="preserve">kaẓm al-ghayẓ</w:t>
      </w:r>
      <w:r>
        <w:t xml:space="preserve"> </w:t>
      </w:r>
      <w:r>
        <w:t xml:space="preserve">tradition are normatively rich and linguistically thin.</w:t>
      </w:r>
      <w:r>
        <w:t xml:space="preserve"> </w:t>
      </w:r>
      <w:r>
        <w:rPr>
          <w:b/>
          <w:bCs/>
        </w:rPr>
        <w:t xml:space="preserve">The cross-linguistic CMT literature</w:t>
      </w:r>
      <w:r>
        <w:t xml:space="preserve"> </w:t>
      </w:r>
      <w:r>
        <w:t xml:space="preserve">has been decisively updated by Kövecses, Benczes and Szelid (2025), which canvasses twenty-two language traditions —</w:t>
      </w:r>
      <w:r>
        <w:t xml:space="preserve"> </w:t>
      </w:r>
      <w:r>
        <w:rPr>
          <w:i/>
          <w:iCs/>
        </w:rPr>
        <w:t xml:space="preserve">Classical Arabic is not separately treated</w:t>
      </w:r>
      <w:r>
        <w:t xml:space="preserve">, and the Qur’anic</w:t>
      </w:r>
      <w:r>
        <w:t xml:space="preserve"> </w:t>
      </w:r>
      <w:r>
        <w:rPr>
          <w:i/>
          <w:iCs/>
        </w:rPr>
        <w:t xml:space="preserve">ghayẓ–kaẓm–tamayyuz</w:t>
      </w:r>
      <w:r>
        <w:t xml:space="preserve"> </w:t>
      </w:r>
      <w:r>
        <w:t xml:space="preserve">triad is absent from the encyclopedia. The closest Arabic-CMT precedents are Maalej (2004, 2007) on Tunisian Arabic and Rabab’ah and Al-Saidat (2022) on Jordanian Arabic, both contemporary-dialect studies neither addressing the Qur’anic data.</w:t>
      </w:r>
      <w:r>
        <w:t xml:space="preserve"> </w:t>
      </w:r>
      <w:r>
        <w:rPr>
          <w:b/>
          <w:bCs/>
        </w:rPr>
        <w:t xml:space="preserve">Historical-critical and corpus-linguistic studies</w:t>
      </w:r>
      <w:r>
        <w:t xml:space="preserve"> </w:t>
      </w:r>
      <w:r>
        <w:t xml:space="preserve">supply complementary apparatus: Sinai (2017) articulates the revised Meccan/Medinan periodisation underwriting our</w:t>
      </w:r>
      <w:r>
        <w:t xml:space="preserve"> </w:t>
      </w:r>
      <w:r>
        <w:rPr>
          <w:i/>
          <w:iCs/>
        </w:rPr>
        <w:t xml:space="preserve">sakhaṭ</w:t>
      </w:r>
      <w:r>
        <w:t xml:space="preserve"> </w:t>
      </w:r>
      <w:r>
        <w:t xml:space="preserve">and</w:t>
      </w:r>
      <w:r>
        <w:t xml:space="preserve"> </w:t>
      </w:r>
      <w:r>
        <w:rPr>
          <w:i/>
          <w:iCs/>
        </w:rPr>
        <w:t xml:space="preserve">karh</w:t>
      </w:r>
      <w:r>
        <w:t xml:space="preserve"> </w:t>
      </w:r>
      <w:r>
        <w:t xml:space="preserve">findings and his</w:t>
      </w:r>
      <w:r>
        <w:t xml:space="preserve"> </w:t>
      </w:r>
      <w:r>
        <w:rPr>
          <w:i/>
          <w:iCs/>
        </w:rPr>
        <w:t xml:space="preserve">Key Terms</w:t>
      </w:r>
      <w:r>
        <w:t xml:space="preserve"> </w:t>
      </w:r>
      <w:r>
        <w:t xml:space="preserve">(Sinai 2023) models the lexicon-level entry organisation we extend at the field level; Neuwirth (2019) frames Qur’anic form and diction as a dialogical intervention into the late-antique discursive sphere, supplying the rhetorical-form vocabulary at which §5.4 operates. El-Awa (2006) supplies the relevance-theoretic vocabulary; Sharaf and Atwell (2012a, 2012b) established Qur’anic-NLP reproducibility standards alongside QuranMorph (Akra, Hammouda and Jarrar 2025) and MASAQ (Sawalha et al. 2024).</w:t>
      </w:r>
      <w:r>
        <w:t xml:space="preserve"> </w:t>
      </w:r>
      <w:r>
        <w:rPr>
          <w:b/>
          <w:bCs/>
        </w:rPr>
        <w:t xml:space="preserve">Translation-criticism studies</w:t>
      </w:r>
      <w:r>
        <w:t xml:space="preserve"> </w:t>
      </w:r>
      <w:r>
        <w:t xml:space="preserve">are now quantitative at scale: Gaanoun and Alsuhaibani (2025) show inconsistent sentiment polarity across seven English translations, and Khan et al. (2025) survey the field; none supplies a graded</w:t>
      </w:r>
      <w:r>
        <w:t xml:space="preserve"> </w:t>
      </w:r>
      <w:r>
        <w:rPr>
          <w:i/>
          <w:iCs/>
        </w:rPr>
        <w:t xml:space="preserve">lexeme-level</w:t>
      </w:r>
      <w:r>
        <w:t xml:space="preserve"> </w:t>
      </w:r>
      <w:r>
        <w:t xml:space="preserve">reference model against which translation-levelling could be benchmarked.</w:t>
      </w:r>
      <w:r>
        <w:t xml:space="preserve"> </w:t>
      </w:r>
      <w:r>
        <w:rPr>
          <w:b/>
          <w:bCs/>
        </w:rPr>
        <w:t xml:space="preserve">Islamic psychology</w:t>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occupies the unfilled intersection of all five lines: it adds the Kennedy–Sassoon scalar layer to the Izutsu / CMT stack, applies it to the anger field that the 2025</w:t>
      </w:r>
      <w:r>
        <w:t xml:space="preserve"> </w:t>
      </w:r>
      <w:r>
        <w:rPr>
          <w:i/>
          <w:iCs/>
        </w:rPr>
        <w:t xml:space="preserve">Metaphors of ANGER</w:t>
      </w:r>
      <w:r>
        <w:t xml:space="preserve"> </w:t>
      </w:r>
      <w:r>
        <w:t xml:space="preserve">encyclopedia omits, and releases the empirical pipeline under the Sharaf–Atwell / QuranMorph reproducibility standard.</w:t>
      </w:r>
    </w:p>
    <w:bookmarkEnd w:id="24"/>
    <w:bookmarkStart w:id="25"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of sūrat al-Mulk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25"/>
    <w:bookmarkEnd w:id="26"/>
    <w:bookmarkStart w:id="34" w:name="theoretical-framework"/>
    <w:p>
      <w:pPr>
        <w:pStyle w:val="Heading2"/>
      </w:pPr>
      <w:r>
        <w:t xml:space="preserve">2. Theoretical Framework</w:t>
      </w:r>
    </w:p>
    <w:bookmarkStart w:id="27" w:name="izutsus-semantic-field-method"/>
    <w:p>
      <w:pPr>
        <w:pStyle w:val="Heading3"/>
      </w:pPr>
      <w:r>
        <w:t xml:space="preserve">2.1. Izutsu’s semantic-field method</w:t>
      </w:r>
    </w:p>
    <w:p>
      <w:pPr>
        <w:pStyle w:val="FirstParagraph"/>
      </w:pPr>
      <w:r>
        <w:t xml:space="preserve">Toshihiko Izutsu (1959, 1964, 2002) introduced a methodological revolution to Qur’anic studies. Drawing on the structuralist linguistics of the Trier–Weisgerber tradition and on East Asian philosophy of language, Izutsu argued that the central terms of the Qur’an —</w:t>
      </w:r>
      <w:r>
        <w:t xml:space="preserve"> </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 </w:t>
      </w:r>
      <w:r>
        <w:t xml:space="preserve">— are not isolated propositions but nodes in a network of syntagmatic, paradigmatic, and oppositional relations. The aggregate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 distinguishes three layers:</w:t>
      </w:r>
      <w:r>
        <w:t xml:space="preserve"> </w:t>
      </w:r>
      <w:r>
        <w:rPr>
          <w:i/>
          <w:iCs/>
        </w:rPr>
        <w:t xml:space="preserve">focus words</w:t>
      </w:r>
      <w:r>
        <w:t xml:space="preserve"> </w:t>
      </w:r>
      <w:r>
        <w:t xml:space="preserve">(central organising concepts of a semantic field),</w:t>
      </w:r>
      <w:r>
        <w:t xml:space="preserve"> </w:t>
      </w:r>
      <w:r>
        <w:rPr>
          <w:i/>
          <w:iCs/>
        </w:rPr>
        <w:t xml:space="preserve">semantic fields</w:t>
      </w:r>
      <w:r>
        <w:t xml:space="preserve"> </w:t>
      </w:r>
      <w:r>
        <w:t xml:space="preserve">(networks of mutually defining lexemes around focus words), and</w:t>
      </w:r>
      <w:r>
        <w:t xml:space="preserve"> </w:t>
      </w:r>
      <w:r>
        <w:rPr>
          <w:i/>
          <w:iCs/>
        </w:rPr>
        <w:t xml:space="preserve">key words</w:t>
      </w:r>
      <w:r>
        <w:t xml:space="preserve"> </w:t>
      </w:r>
      <w:r>
        <w:t xml:space="preserve">(terms recurring across fields and integrating them into a worldview). The structure has proved productive in subsequent Qur’anic semantic work, in English (Saleh, Rippin) and Persian (Qāʾimīniyā 2011, 2014; Pakatchi and Afrashi 2020).</w:t>
      </w:r>
    </w:p>
    <w:p>
      <w:pPr>
        <w:pStyle w:val="BodyText"/>
      </w:pPr>
      <w:r>
        <w:t xml:space="preserve">Izutsu’s framework justifies the move from atomistic single-lexeme analysis to integrated field analysis. The fourteen target roots constitute the field around the focus words</w:t>
      </w:r>
      <w:r>
        <w:t xml:space="preserve"> </w:t>
      </w:r>
      <w:r>
        <w:rPr>
          <w:i/>
          <w:iCs/>
        </w:rPr>
        <w:t xml:space="preserve">ghaḍab</w:t>
      </w:r>
      <w:r>
        <w:t xml:space="preserve"> </w:t>
      </w:r>
      <w:r>
        <w:t xml:space="preserve">(central anger term) and</w:t>
      </w:r>
      <w:r>
        <w:t xml:space="preserve"> </w:t>
      </w:r>
      <w:r>
        <w:rPr>
          <w:i/>
          <w:iCs/>
        </w:rPr>
        <w:t xml:space="preserve">baghy</w:t>
      </w:r>
      <w:r>
        <w:t xml:space="preserve"> </w:t>
      </w:r>
      <w:r>
        <w:t xml:space="preserve">(central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and</w:t>
      </w:r>
      <w:r>
        <w:t xml:space="preserve"> </w:t>
      </w:r>
      <w:r>
        <w:rPr>
          <w:i/>
          <w:iCs/>
        </w:rPr>
        <w:t xml:space="preserve">ʿutuww</w:t>
      </w:r>
      <w:r>
        <w:t xml:space="preserve"> </w:t>
      </w:r>
      <w:r>
        <w:t xml:space="preserve">the upper-intensity boundary. Yet Izutsu’s framework is silent on a question central to our enterprise: granted these lexemes co-belong to a field,</w:t>
      </w:r>
      <w:r>
        <w:t xml:space="preserve"> </w:t>
      </w:r>
      <w:r>
        <w:rPr>
          <w:i/>
          <w:iCs/>
        </w:rPr>
        <w:t xml:space="preserve">what is the structural relation between them within the field?</w:t>
      </w:r>
      <w:r>
        <w:t xml:space="preserve"> </w:t>
      </w:r>
      <w:r>
        <w:t xml:space="preserve">For this we require scalar semantics.</w:t>
      </w:r>
    </w:p>
    <w:bookmarkEnd w:id="27"/>
    <w:bookmarkStart w:id="28" w:name="X4fc16f0059dbe82bb4e7103870d32d4ad848ff7"/>
    <w:p>
      <w:pPr>
        <w:pStyle w:val="Heading3"/>
      </w:pPr>
      <w:r>
        <w:t xml:space="preserve">2.2. Scalar semantics: from network to continuum</w:t>
      </w:r>
    </w:p>
    <w:p>
      <w:pPr>
        <w:pStyle w:val="FirstParagraph"/>
      </w:pPr>
      <w:r>
        <w:t xml:space="preserve">The theory of</w:t>
      </w:r>
      <w:r>
        <w:t xml:space="preserve"> </w:t>
      </w:r>
      <w:r>
        <w:rPr>
          <w:i/>
          <w:iCs/>
        </w:rPr>
        <w:t xml:space="preserve">gradable predicates</w:t>
      </w:r>
      <w:r>
        <w:t xml:space="preserve"> </w:t>
      </w:r>
      <w:r>
        <w:t xml:space="preserve">(Kennedy 1999, 2007; Sassoon 2010) supplies the missing apparatus. A graded predicate maps to a scale with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 Kennedy–Sassoon was developed for gradable adjectives rather than nominal lexical fields; its extension here proceeds on the assumption of a category-neutral underlying intensity scale recoverable from lexicographic and corpus-distributional evidence.</w:t>
      </w:r>
    </w:p>
    <w:bookmarkEnd w:id="28"/>
    <w:bookmarkStart w:id="29" w:name="X6483b6c1b26b4cc97c995157bd2ece1428cab5a"/>
    <w:p>
      <w:pPr>
        <w:pStyle w:val="Heading3"/>
      </w:pPr>
      <w:r>
        <w:t xml:space="preserve">2.3. Conceptual metaphor theory and the container schema</w:t>
      </w:r>
    </w:p>
    <w:p>
      <w:pPr>
        <w:pStyle w:val="FirstParagraph"/>
      </w:pPr>
      <w:r>
        <w:t xml:space="preserve">Conceptual metaphor theory (Lakoff and Johnson 1980; Lakoff and Kövecses 1987; Kövecses 2000, 2010) treats metaphor as a cognitive structure that allows abstract domains (emotion) to be understood through concrete ones (container, heat). Lakoff and Kövecses (1987: 195–221) reconstruct American-English anger as a</w:t>
      </w:r>
      <w:r>
        <w:t xml:space="preserve"> </w:t>
      </w:r>
      <w:r>
        <w:rPr>
          <w:i/>
          <w:iCs/>
        </w:rPr>
        <w:t xml:space="preserve">five-stage prototype scenario</w:t>
      </w:r>
      <w:r>
        <w:t xml:space="preserve"> </w:t>
      </w:r>
      <w:r>
        <w:t xml:space="preserve">— (1) offending event, (2) anger, (3) attempt at control, (4) loss of control, (5) act of retribution — onto which the central metaphors ANGER IS THE HEAT OF A FLUID IN A PRESSURIZED CONTAINER, ANGER IS FIRE, and ANGER IS A WILD ANIMAL are mapped, with the container / pressure cluster operating especially in stages (2)–(4). Our central observation is that the Qur’anic triad</w:t>
      </w:r>
      <w:r>
        <w:t xml:space="preserve"> </w:t>
      </w:r>
      <w:r>
        <w:rPr>
          <w:i/>
          <w:iCs/>
        </w:rPr>
        <w:t xml:space="preserve">ghayẓ–kaẓm–tamayyuz</w:t>
      </w:r>
      <w:r>
        <w:t xml:space="preserve"> </w:t>
      </w:r>
      <w:r>
        <w:t xml:space="preserve">maps tightly onto stages (2)–(4) of that scenario — anger, attempt at control, and (incipient) loss of control — with sūrat al-Mulk Q. 67:8’s</w:t>
      </w:r>
      <w:r>
        <w:t xml:space="preserve"> </w:t>
      </w:r>
      <w:r>
        <w:rPr>
          <w:i/>
          <w:iCs/>
        </w:rPr>
        <w:t xml:space="preserve">takādu tamayyazu min al-ġayẓ</w:t>
      </w:r>
      <w:r>
        <w:t xml:space="preserve"> </w:t>
      </w:r>
      <w:r>
        <w:t xml:space="preserve">providing a particularly transparent linguistic crystallisation of stage (4).</w:t>
      </w:r>
      <w:r>
        <w:t xml:space="preserve"> </w:t>
      </w:r>
      <w:r>
        <w:rPr>
          <w:i/>
          <w:iCs/>
        </w:rPr>
        <w:t xml:space="preserve">Ghayẓ</w:t>
      </w:r>
      <w:r>
        <w:t xml:space="preserve"> </w:t>
      </w:r>
      <w:r>
        <w:t xml:space="preserve">is glossed by all four authoritative lexica as compressed contained anger — the</w:t>
      </w:r>
      <w:r>
        <w:t xml:space="preserve"> </w:t>
      </w:r>
      <w:r>
        <w:rPr>
          <w:i/>
          <w:iCs/>
        </w:rPr>
        <w:t xml:space="preserve">cognitive-linguistic</w:t>
      </w:r>
      <w:r>
        <w:t xml:space="preserve"> </w:t>
      </w:r>
      <w:r>
        <w:t xml:space="preserve">reading takes this as the source-domain image of fluid in a sealed vessel.</w:t>
      </w:r>
      <w:r>
        <w:t xml:space="preserve"> </w:t>
      </w:r>
      <w:r>
        <w:rPr>
          <w:i/>
          <w:iCs/>
        </w:rPr>
        <w:t xml:space="preserve">Kaẓm</w:t>
      </w:r>
      <w:r>
        <w:t xml:space="preserve">, etymologically tying off a waterskin, names the agent-internal act of suppression that sustains containment (sūrat Āl ʿImrān, Q. 3:134,</w:t>
      </w:r>
      <w:r>
        <w:t xml:space="preserve"> </w:t>
      </w:r>
      <w:r>
        <w:rPr>
          <w:i/>
          <w:iCs/>
        </w:rPr>
        <w:t xml:space="preserve">al-kāẓimīn al-ghayẓ</w:t>
      </w:r>
      <w:r>
        <w:t xml:space="preserve">).</w:t>
      </w:r>
      <w:r>
        <w:t xml:space="preserve"> </w:t>
      </w:r>
      <w:r>
        <w:rPr>
          <w:i/>
          <w:iCs/>
        </w:rPr>
        <w:t xml:space="preserve">Tamayyuz</w:t>
      </w:r>
      <w:r>
        <w:t xml:space="preserve"> </w:t>
      </w:r>
      <w:r>
        <w:t xml:space="preserve">(sūrat al-Mulk, Q. 67:8) figures the failure mode: classical commentators read the verb as</w:t>
      </w:r>
      <w:r>
        <w:t xml:space="preserve"> </w:t>
      </w:r>
      <w:r>
        <w:rPr>
          <w:i/>
          <w:iCs/>
        </w:rPr>
        <w:t xml:space="preserve">yanqaṭiʿu baʿḍuhā min baʿḍ</w:t>
      </w:r>
      <w:r>
        <w:t xml:space="preserve"> </w:t>
      </w:r>
      <w:r>
        <w:t xml:space="preserve">(al-Ṭabarī,</w:t>
      </w:r>
      <w:r>
        <w:t xml:space="preserve"> </w:t>
      </w:r>
      <w:r>
        <w:rPr>
          <w:i/>
          <w:iCs/>
        </w:rPr>
        <w:t xml:space="preserve">Jāmiʿ al-bayān</w:t>
      </w:r>
      <w:r>
        <w:t xml:space="preserve">, ad loc.; al-Zamakhsharī,</w:t>
      </w:r>
      <w:r>
        <w:t xml:space="preserve"> </w:t>
      </w:r>
      <w:r>
        <w:rPr>
          <w:i/>
          <w:iCs/>
        </w:rPr>
        <w:t xml:space="preserve">al-Kashshāf</w:t>
      </w:r>
      <w:r>
        <w:t xml:space="preserve">, ad loc.) — the separation of constituents — and the cognitive-metaphor framing we propose reads this lexicographic</w:t>
      </w:r>
      <w:r>
        <w:t xml:space="preserve"> </w:t>
      </w:r>
      <w:r>
        <w:t xml:space="preserve">“separation”</w:t>
      </w:r>
      <w:r>
        <w:t xml:space="preserve"> </w:t>
      </w:r>
      <w:r>
        <w:t xml:space="preserve">as the linguistic surface of an underlying CONTAINER-RUPTURE schema. Both readings are compatible.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29"/>
    <w:bookmarkStart w:id="33" w:name="the-integrated-framework"/>
    <w:p>
      <w:pPr>
        <w:pStyle w:val="Heading3"/>
      </w:pPr>
      <w:r>
        <w:t xml:space="preserve">2.4. The integrated framework</w:t>
      </w:r>
    </w:p>
    <w:p>
      <w:pPr>
        <w:pStyle w:val="FirstParagraph"/>
      </w:pPr>
      <w:r>
        <w:t xml:space="preserve">The three layers operate complementarily: Izutsu identifies field boundaries; scalar semantics orders members along the action-intensity dimension; CMT grounds the pressurisation-collapse metaphor organising Stage 5. Each supplies what the others lack — without Izutsu, no motivation for field-coordination; without scalar semantics, no apparatus for ordering; without CMT, no cognitive grounding for the</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222042"/>
            <wp:effectExtent b="0" l="0" r="0" t="0"/>
            <wp:docPr descr="Figure 1. 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 = 145) ≈ S1–5 (n = 167); the χ²(1) = 1.55 near-balance is theoretically consistent with the bidirectional reading." title="" id="31" name="Picture"/>
            <a:graphic>
              <a:graphicData uri="http://schemas.openxmlformats.org/drawingml/2006/picture">
                <pic:pic>
                  <pic:nvPicPr>
                    <pic:cNvPr descr="fig1_continuum_v2.jpg" id="32" name="Picture"/>
                    <pic:cNvPicPr>
                      <a:picLocks noChangeArrowheads="1" noChangeAspect="1"/>
                    </pic:cNvPicPr>
                  </pic:nvPicPr>
                  <pic:blipFill>
                    <a:blip r:embed="rId30"/>
                    <a:stretch>
                      <a:fillRect/>
                    </a:stretch>
                  </pic:blipFill>
                  <pic:spPr bwMode="auto">
                    <a:xfrm>
                      <a:off x="0" y="0"/>
                      <a:ext cx="5334000" cy="222204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 = 145) ≈ S1–5 (n = 167); the χ²(1) = 1.55 near-balance is theoretically consistent with the bidirectional reading.</w:t>
      </w:r>
    </w:p>
    <w:p>
      <w:pPr>
        <w:pStyle w:val="BodyText"/>
      </w:pPr>
      <w:r>
        <w:t xml:space="preserve">The integrated framework is summarised graphically in Figure 1.</w:t>
      </w:r>
    </w:p>
    <w:bookmarkEnd w:id="33"/>
    <w:bookmarkEnd w:id="34"/>
    <w:bookmarkStart w:id="45" w:name="methods"/>
    <w:p>
      <w:pPr>
        <w:pStyle w:val="Heading2"/>
      </w:pPr>
      <w:r>
        <w:t xml:space="preserve">3. Methods</w:t>
      </w:r>
    </w:p>
    <w:bookmarkStart w:id="35"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 (Dukes 2011). The QAC provides a morphologically tagged record for each of the 128,219 segmentable units in the Qur’anic text, specifying location</w:t>
      </w:r>
      <w:r>
        <w:t xml:space="preserve"> </w:t>
      </w:r>
      <w:r>
        <w:rPr>
          <w:i/>
          <w:iCs/>
        </w:rPr>
        <w:t xml:space="preserve">(sūra:āya:word:segment)</w:t>
      </w:r>
      <w:r>
        <w:t xml:space="preserve">, surface form in Buckwalter ASCII transliteration, part-of-speech tag, and morphological features (root, lemma, gender, number, case, and where applicable semantic flags). Verse text in Uthmanic</w:t>
      </w:r>
      <w:r>
        <w:t xml:space="preserve"> </w:t>
      </w:r>
      <w:r>
        <w:rPr>
          <w:i/>
          <w:iCs/>
        </w:rPr>
        <w:t xml:space="preserve">rasm</w:t>
      </w:r>
      <w:r>
        <w:t xml:space="preserve"> </w:t>
      </w:r>
      <w:r>
        <w:t xml:space="preserve">and Meccan/Medinan sura classification are drawn from the Tanzil project (Tanzil 2008), distributed under CC-BY-ND 3.0.</w:t>
      </w:r>
    </w:p>
    <w:bookmarkEnd w:id="35"/>
    <w:bookmarkStart w:id="36" w:name="selection-of-target-roots"/>
    <w:p>
      <w:pPr>
        <w:pStyle w:val="Heading3"/>
      </w:pPr>
      <w:r>
        <w:t xml:space="preserve">3.2. Selection of target roots</w:t>
      </w:r>
    </w:p>
    <w:p>
      <w:pPr>
        <w:pStyle w:val="FirstParagraph"/>
      </w:pPr>
      <w:r>
        <w:t xml:space="preserve">The fourteen core roots were selected by three concurrent criteria: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sūrat al-Qalam, Q. 68:25) when supported by an explicit gloss in at least three of the four lexica plus consistent treatment in the four canonical</w:t>
      </w:r>
      <w:r>
        <w:t xml:space="preserve"> </w:t>
      </w:r>
      <w:r>
        <w:rPr>
          <w:i/>
          <w:iCs/>
        </w:rPr>
        <w:t xml:space="preserve">tafāsīr</w:t>
      </w:r>
      <w:r>
        <w:t xml:space="preserve"> </w:t>
      </w:r>
      <w:r>
        <w:t xml:space="preserve">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(not attested in the Qurʾanic corpus);</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 = 315 functions as a meta-category) or because they belong to adjacent normative-ethics fields.</w:t>
      </w:r>
    </w:p>
    <w:bookmarkEnd w:id="36"/>
    <w:bookmarkStart w:id="40"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in four commands.</w:t>
      </w:r>
    </w:p>
    <w:p>
      <w:pPr>
        <w:pStyle w:val="BodyText"/>
      </w:pPr>
      <w:r>
        <w:rPr>
          <w:b/>
          <w:bCs/>
        </w:rPr>
        <w:t xml:space="preserve">Reproducibility audit.</w:t>
      </w:r>
      <w:r>
        <w:t xml:space="preserve"> </w:t>
      </w:r>
      <w:r>
        <w:t xml:space="preserve">QAC v0.4 is pinned by SHA-256; outputs are released under MIT (code) and CC-BY 4.0 (manuscripts/figures); the fourteen exemplar verses and a stratified fifty-segment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p>
      <w:pPr>
        <w:pStyle w:val="CaptionedFigure"/>
      </w:pPr>
      <w:r>
        <w:drawing>
          <wp:inline>
            <wp:extent cx="5067300" cy="7600950"/>
            <wp:effectExtent b="0" l="0" r="0" t="0"/>
            <wp:docPr descr="Figure 8. End-to-end pipeline from corpus to findings. Sources tier: QAC v0.4 (Dukes 2011, GPL), Tanzil Project Uthmani text (CC-BY-ND 3.0), and the nine classical tafāsīr whose qualitative readings ground §§4–5. Parse tier: Buckwalter → Unicode collapse, segment-to-word aggregation. Selection tier: the fourteen spectrum roots and the five umbrella-moral roots used for the robustness checks of §4.9. Analyses tier: distributional statistics, network analysis, tafsīr-grounded coding, and the illustrative comparative-translation audit. Outputs tier: 312 attestations across six stages, the principal figures and supporting CSV tables, and the Stage-6 causation breakdown. The pipeline is deterministic — identical inputs produce byte-identical CSVs and figures from a fresh repository clone." title="" id="38" name="Picture"/>
            <a:graphic>
              <a:graphicData uri="http://schemas.openxmlformats.org/drawingml/2006/picture">
                <pic:pic>
                  <pic:nvPicPr>
                    <pic:cNvPr descr="fig8_methodology.jpg" id="39" name="Picture"/>
                    <pic:cNvPicPr>
                      <a:picLocks noChangeArrowheads="1" noChangeAspect="1"/>
                    </pic:cNvPicPr>
                  </pic:nvPicPr>
                  <pic:blipFill>
                    <a:blip r:embed="rId37"/>
                    <a:stretch>
                      <a:fillRect/>
                    </a:stretch>
                  </pic:blipFill>
                  <pic:spPr bwMode="auto">
                    <a:xfrm>
                      <a:off x="0" y="0"/>
                      <a:ext cx="5067300" cy="760095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End-to-end pipeline from corpus to findings. Sources tier: QAC v0.4 (Dukes 2011, GPL), Tanzil Project Uthmani text (CC-BY-ND 3.0), and the nine classical</w:t>
      </w:r>
      <w:r>
        <w:t xml:space="preserve"> </w:t>
      </w:r>
      <w:r>
        <w:rPr>
          <w:i/>
          <w:iCs/>
        </w:rPr>
        <w:t xml:space="preserve">tafāsīr</w:t>
      </w:r>
      <w:r>
        <w:t xml:space="preserve"> </w:t>
      </w:r>
      <w:r>
        <w:t xml:space="preserve">whose qualitative readings ground §§4–5. Parse tier: Buckwalter → Unicode collapse, segment-to-word aggregation. Selection tier: the fourteen spectrum roots and the five umbrella-moral roots used for the robustness checks of §4.9. Analyses tier: distributional statistics, network analysis,</w:t>
      </w:r>
      <w:r>
        <w:t xml:space="preserve"> </w:t>
      </w:r>
      <w:r>
        <w:rPr>
          <w:i/>
          <w:iCs/>
        </w:rPr>
        <w:t xml:space="preserve">tafsīr</w:t>
      </w:r>
      <w:r>
        <w:t xml:space="preserve">-grounded coding, and the illustrative comparative-translation audit. Outputs tier: 312 attestations across six stages, the principal figures and supporting CSV tables, and the Stage-6 causation breakdown. The pipeline is deterministic — identical inputs produce byte-identical CSVs and figures from a fresh repository clone.</w:t>
      </w:r>
    </w:p>
    <w:p>
      <w:pPr>
        <w:pStyle w:val="BodyText"/>
      </w:pPr>
      <w:r>
        <w:t xml:space="preserve">The pipeline architecture is summarised in Figure 8.</w:t>
      </w:r>
    </w:p>
    <w:bookmarkEnd w:id="40"/>
    <w:bookmarkStart w:id="42"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permutations, deterministic seed) for the omnibus, motivated by the well-known limitations of asymptotic χ² on sparse, marginally-imbalanced designs (Cochran 1954; Fisher 1922; Patefield 1981; Mehta and Patel 1983; Agresti 2013, §3.5);</w:t>
      </w:r>
      <w:r>
        <w:rPr>
          <w:rStyle w:val="FootnoteReference"/>
        </w:rPr>
        <w:footnoteReference w:id="41"/>
      </w:r>
      <w:r>
        <w:t xml:space="preserve"> </w:t>
      </w:r>
      <w:r>
        <w:t xml:space="preserve">(b) three monotonic-trend tests (Spearman ρ, Mann–Kendall, Cochran–Armitage-style OLS slope); (c) two-sided exact binomials with the corpus-derived 0.74 Meccan-ayat baseline, Holm–Bonferroni step-down adjusted over the family of fourteen per-root tests, and a sensitivity table at baselines 0.70–0.78; (d) morphological breakdown by POS; (e) aya-level co-occurrence network (cf. Mottaghi et al. 2024) with weighted degree, betweenness, closeness, and eigenvector centrality, with non-parametric bootstrap 95% percentile CIs (1,000 ayat-resamples with replacement). The combined uncertainty-aware reporting is, to our knowledge, the most rigorous yet applied to Qur’anic computational-corpus studies; the wider 2025 cross-scripture NLP literature (Nandan et al. 2025) operates at the discourse-topic level on coarse sentiment and does not yet apply this battery at the lexeme level.</w:t>
      </w:r>
    </w:p>
    <w:bookmarkEnd w:id="42"/>
    <w:bookmarkStart w:id="43" w:name="qualitative-analyses"/>
    <w:p>
      <w:pPr>
        <w:pStyle w:val="Heading3"/>
      </w:pPr>
      <w:r>
        <w:t xml:space="preserve">3.5. Qualitative analyses</w:t>
      </w:r>
    </w:p>
    <w:p>
      <w:pPr>
        <w:pStyle w:val="FirstParagraph"/>
      </w:pPr>
      <w:r>
        <w:t xml:space="preserve">Qualitative complements operationalise Izutsu’s three-layer apparatus at the field level:</w:t>
      </w:r>
      <w:r>
        <w:t xml:space="preserve"> </w:t>
      </w:r>
      <w:r>
        <w:rPr>
          <w:i/>
          <w:iCs/>
        </w:rPr>
        <w:t xml:space="preserve">focus-word</w:t>
      </w:r>
      <w:r>
        <w:t xml:space="preserve"> </w:t>
      </w:r>
      <w:r>
        <w:t xml:space="preserve">identification (exegetical-centrality across the four lexica →</w:t>
      </w:r>
      <w:r>
        <w:t xml:space="preserve"> </w:t>
      </w:r>
      <w:r>
        <w:rPr>
          <w:i/>
          <w:iCs/>
        </w:rPr>
        <w:t xml:space="preserve">ghaḍab</w:t>
      </w:r>
      <w:r>
        <w:t xml:space="preserve">, with</w:t>
      </w:r>
      <w:r>
        <w:t xml:space="preserve"> </w:t>
      </w:r>
      <w:r>
        <w:rPr>
          <w:i/>
          <w:iCs/>
        </w:rPr>
        <w:t xml:space="preserve">baghy</w:t>
      </w:r>
      <w:r>
        <w:t xml:space="preserve"> </w:t>
      </w:r>
      <w:r>
        <w:t xml:space="preserve">as secondary focus word for the structural-outcomes pole, §4.8);</w:t>
      </w:r>
      <w:r>
        <w:t xml:space="preserve"> </w:t>
      </w:r>
      <w:r>
        <w:rPr>
          <w:i/>
          <w:iCs/>
        </w:rPr>
        <w:t xml:space="preserve">paradigmatic relations</w:t>
      </w:r>
      <w:r>
        <w:t xml:space="preserve"> </w:t>
      </w:r>
      <w:r>
        <w:t xml:space="preserve">— synonymy and gradation by intensity — across the fourteen roots via the lexicographic decomposition of Table 1 and the stage assignments of §§4.3–4.8;</w:t>
      </w:r>
      <w:r>
        <w:t xml:space="preserve"> </w:t>
      </w:r>
      <w:r>
        <w:rPr>
          <w:i/>
          <w:iCs/>
        </w:rPr>
        <w:t xml:space="preserve">syntagmatic contrasts</w:t>
      </w:r>
      <w:r>
        <w:t xml:space="preserve"> </w:t>
      </w:r>
      <w:r>
        <w:t xml:space="preserve">via the aya-level co-occurrence graph (§4.8.2) and the PMI-weighted network of Supplementary §S3. Specifically: (a) comparative etymology across the four authoritative lexica (</w:t>
      </w:r>
      <w:r>
        <w:rPr>
          <w:i/>
          <w:iCs/>
        </w:rPr>
        <w:t xml:space="preserve">Maqāyīs</w:t>
      </w:r>
      <w:r>
        <w:t xml:space="preserve">,</w:t>
      </w:r>
      <w:r>
        <w:t xml:space="preserve"> </w:t>
      </w:r>
      <w:r>
        <w:rPr>
          <w:i/>
          <w:iCs/>
        </w:rPr>
        <w:t xml:space="preserve">Mufradāt</w:t>
      </w:r>
      <w:r>
        <w:t xml:space="preserve">,</w:t>
      </w:r>
      <w:r>
        <w:t xml:space="preserve"> </w:t>
      </w:r>
      <w:r>
        <w:rPr>
          <w:i/>
          <w:iCs/>
        </w:rPr>
        <w:t xml:space="preserve">Lisān</w:t>
      </w:r>
      <w:r>
        <w:t xml:space="preserve">,</w:t>
      </w:r>
      <w:r>
        <w:t xml:space="preserve"> </w:t>
      </w:r>
      <w:r>
        <w:rPr>
          <w:i/>
          <w:iCs/>
        </w:rPr>
        <w:t xml:space="preserve">Taḥqīq</w:t>
      </w:r>
      <w:r>
        <w:t xml:space="preserve">);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Divergences from the primary four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illustrative rather than systematic.</w:t>
      </w:r>
    </w:p>
    <w:bookmarkEnd w:id="43"/>
    <w:bookmarkStart w:id="44"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 — one per core root — were independently verified against the corpus output: 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 All fourteen were found in the corpus output with the correct surface form and verse text matching the Uthmani edition.</w:t>
      </w:r>
    </w:p>
    <w:p>
      <w:r>
        <w:pict>
          <v:rect style="width:0;height:1.5pt" o:hralign="center" o:hrstd="t" o:hr="t"/>
        </w:pict>
      </w:r>
    </w:p>
    <w:bookmarkEnd w:id="44"/>
    <w:bookmarkEnd w:id="45"/>
    <w:bookmarkStart w:id="73" w:name="findings"/>
    <w:p>
      <w:pPr>
        <w:pStyle w:val="Heading2"/>
      </w:pPr>
      <w:r>
        <w:t xml:space="preserve">4. Findings</w:t>
      </w:r>
    </w:p>
    <w:bookmarkStart w:id="46"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w:t>
            </w:r>
            <w:r>
              <w:rPr>
                <w:i/>
                <w:iCs/>
              </w:rPr>
              <w:t xml:space="preserve">kalimatu taḍajjurin</w:t>
            </w:r>
            <w:r>
              <w:t xml:space="preserve">”</w:t>
            </w:r>
            <w:r>
              <w:t xml:space="preserve"> </w:t>
            </w:r>
            <w:r>
              <w:t xml:space="preserve">(a word of vexation);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(al-Rāghib)</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transgressing the limit, with</w:t>
            </w:r>
            <w:r>
              <w:t xml:space="preserve"> </w:t>
            </w:r>
            <w:r>
              <w:rPr>
                <w:i/>
                <w:iCs/>
              </w:rPr>
              <w:t xml:space="preserve">istikbār</w:t>
            </w:r>
            <w:r>
              <w:t xml:space="preserve">-attachment as collocational feature</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46"/>
    <w:bookmarkStart w:id="57"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discursively-specialised roots discussed below. Figure 4 reports the morphological breakdown by part of speech.</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(raw</w:t>
            </w:r>
            <w:r>
              <w:t xml:space="preserve"> </w:t>
            </w:r>
            <w:r>
              <w:rPr>
                <w:i/>
                <w:iCs/>
              </w:rPr>
              <w:t xml:space="preserve">p</w:t>
            </w:r>
            <w:r>
              <w:t xml:space="preserve"> </w:t>
            </w:r>
            <w:r>
              <w:t xml:space="preserve">≈ 1.0 × 10⁻⁷, Holm-adj. ≈ 1.4 × 10⁻⁶ — survives FDR);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r>
              <w:t xml:space="preserve"> </w:t>
            </w:r>
            <w:r>
              <w:rPr>
                <w:i/>
                <w:iCs/>
              </w:rPr>
              <w:t xml:space="preserve">n</w:t>
            </w:r>
            <w:r>
              <w:t xml:space="preserve"> </w:t>
            </w:r>
            <w:r>
              <w:t xml:space="preserve">too small for inference</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(raw</w:t>
            </w:r>
            <w:r>
              <w:t xml:space="preserve"> </w:t>
            </w:r>
            <w:r>
              <w:rPr>
                <w:i/>
                <w:iCs/>
              </w:rPr>
              <w:t xml:space="preserve">p</w:t>
            </w:r>
            <w:r>
              <w:t xml:space="preserve"> </w:t>
            </w:r>
            <w:r>
              <w:t xml:space="preserve">= 0.005, Holm-adj.</w:t>
            </w:r>
            <w:r>
              <w:t xml:space="preserve"> </w:t>
            </w:r>
            <w:r>
              <w:rPr>
                <w:i/>
                <w:iCs/>
              </w:rPr>
              <w:t xml:space="preserve">p</w:t>
            </w:r>
            <w:r>
              <w:t xml:space="preserve"> </w:t>
            </w:r>
            <w:r>
              <w:t xml:space="preserve">= 0.050 — borderline, see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sūrat al-Qalam,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 (raw</w:t>
            </w:r>
            <w:r>
              <w:t xml:space="preserve"> </w:t>
            </w:r>
            <w:r>
              <w:rPr>
                <w:i/>
                <w:iCs/>
              </w:rPr>
              <w:t xml:space="preserve">p</w:t>
            </w:r>
            <w:r>
              <w:t xml:space="preserve"> </w:t>
            </w:r>
            <w:r>
              <w:t xml:space="preserve">= 1.6 × 10⁻³, Holm-adj. ≈ 1.9 × 10⁻² — survives FDR);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Meccan-tilted (raw</w:t>
            </w:r>
            <w:r>
              <w:t xml:space="preserve"> </w:t>
            </w:r>
            <w:r>
              <w:rPr>
                <w:i/>
                <w:iCs/>
              </w:rPr>
              <w:t xml:space="preserve">p</w:t>
            </w:r>
            <w:r>
              <w:t xml:space="preserve"> </w:t>
            </w:r>
            <w:r>
              <w:t xml:space="preserve">= 4.1 × 10⁻⁴, Holm-adj. ≈ 5.3 × 10⁻³ — survives FDR); 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(raw</w:t>
            </w:r>
            <w:r>
              <w:t xml:space="preserve"> </w:t>
            </w:r>
            <w:r>
              <w:rPr>
                <w:i/>
                <w:iCs/>
              </w:rPr>
              <w:t xml:space="preserve">p</w:t>
            </w:r>
            <w:r>
              <w:t xml:space="preserve"> </w:t>
            </w:r>
            <w:r>
              <w:t xml:space="preserve">= 0.47, Holm-adj.</w:t>
            </w:r>
            <w:r>
              <w:t xml:space="preserve"> </w:t>
            </w:r>
            <w:r>
              <w:rPr>
                <w:i/>
                <w:iCs/>
              </w:rPr>
              <w:t xml:space="preserve">p</w:t>
            </w:r>
            <w:r>
              <w:t xml:space="preserve"> </w:t>
            </w:r>
            <w:r>
              <w:t xml:space="preserve">= 1.00 — does not survive FDR);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Across the six stages: S1 = 44; S2 = 60; S3 = 27; S4 = 25; S5 = 11; S6 = 145. The asymptotic χ² against the uniform-six-stage null rejects (χ²(5) = 227.15,</w:t>
      </w:r>
      <w:r>
        <w:t xml:space="preserve"> </w:t>
      </w:r>
      <w:r>
        <w:rPr>
          <w:i/>
          <w:iCs/>
        </w:rPr>
        <w:t xml:space="preserve">p</w:t>
      </w:r>
      <w:r>
        <w:t xml:space="preserve"> </w:t>
      </w:r>
      <w:r>
        <w:t xml:space="preserve">&lt; 0.001; Cramér’s</w:t>
      </w:r>
      <w:r>
        <w:t xml:space="preserve"> </w:t>
      </w:r>
      <w:r>
        <w:rPr>
          <w:i/>
          <w:iCs/>
        </w:rPr>
        <w:t xml:space="preserve">V</w:t>
      </w:r>
      <w:r>
        <w:t xml:space="preserve"> </w:t>
      </w:r>
      <w:r>
        <w:t xml:space="preserve">= 0.38, Cohen’s</w:t>
      </w:r>
      <w:r>
        <w:t xml:space="preserve"> </w:t>
      </w:r>
      <w:r>
        <w:rPr>
          <w:i/>
          <w:iCs/>
        </w:rPr>
        <w:t xml:space="preserve">w</w:t>
      </w:r>
      <w:r>
        <w:t xml:space="preserve"> </w:t>
      </w:r>
      <w:r>
        <w:t xml:space="preserve">= 0.85, large by Cohen’s conventions). However, while expected counts are uniform at ~52 and well above Cochran’s 5-per-cell rule, the</w:t>
      </w:r>
      <w:r>
        <w:t xml:space="preserve"> </w:t>
      </w:r>
      <w:r>
        <w:rPr>
          <w:i/>
          <w:iCs/>
        </w:rPr>
        <w:t xml:space="preserve">observed</w:t>
      </w:r>
      <w:r>
        <w:t xml:space="preserve"> </w:t>
      </w:r>
      <w:r>
        <w:t xml:space="preserve">marginal imbalance (S6 = 145 vs S5 = 11) is the asymmetric structure to which asymptotic χ² is most vulnerable:</w:t>
      </w:r>
      <w:r>
        <w:t xml:space="preserve"> </w:t>
      </w:r>
      <w:r>
        <w:rPr>
          <w:i/>
          <w:iCs/>
        </w:rPr>
        <w:t xml:space="preserve">baghy</w:t>
      </w:r>
      <w:r>
        <w:t xml:space="preserve"> </w:t>
      </w:r>
      <w:r>
        <w:t xml:space="preserve">alone supplies 96 attestations, almost a third of the total. We therefore complement with a</w:t>
      </w:r>
      <w:r>
        <w:t xml:space="preserve"> </w:t>
      </w:r>
      <w:r>
        <w:rPr>
          <w:b/>
          <w:bCs/>
        </w:rPr>
        <w:t xml:space="preserve">marginal-preserving permutation null</w:t>
      </w:r>
      <w:r>
        <w:t xml:space="preserve"> </w:t>
      </w:r>
      <w:r>
        <w:t xml:space="preserve">(Cochran 1954; Patefield 1981; Mehta and Patel 1983; Agresti 2013), giving the empirical</w:t>
      </w:r>
      <w:r>
        <w:t xml:space="preserve"> </w:t>
      </w:r>
      <w:r>
        <w:rPr>
          <w:i/>
          <w:iCs/>
        </w:rPr>
        <w:t xml:space="preserve">p</w:t>
      </w:r>
      <w:r>
        <w:t xml:space="preserve">-value as the fraction of permuted χ² values meeting or exceeding 227.15. The result is</w:t>
      </w:r>
      <w:r>
        <w:t xml:space="preserve"> </w:t>
      </w:r>
      <w:r>
        <w:rPr>
          <w:i/>
          <w:iCs/>
        </w:rPr>
        <w:t xml:space="preserve">p</w:t>
      </w:r>
      <w:r>
        <w:t xml:space="preserve"> </w:t>
      </w:r>
      <w:r>
        <w:t xml:space="preserve">= 0.24 — under random stage relabelling, a statistic this extreme is not unusual. We read this honestly: asymptotic significance over-states the evidence for non-uniformity, and the substantive case for the six-stage architecture rests on the qualitative lexicographic, exegetical, and metaphorical evidence of §4.1 and §4.3–§4.8 rather than the omnibus</w:t>
      </w:r>
      <w:r>
        <w:t xml:space="preserve"> </w:t>
      </w:r>
      <w:r>
        <w:rPr>
          <w:i/>
          <w:iCs/>
        </w:rPr>
        <w:t xml:space="preserve">p</w:t>
      </w:r>
      <w:r>
        <w:t xml:space="preserve">-value. We retain the asymptotic χ² as a descriptive statistic but treat it as</w:t>
      </w:r>
      <w:r>
        <w:t xml:space="preserve"> </w:t>
      </w:r>
      <w:r>
        <w:rPr>
          <w:i/>
          <w:iCs/>
        </w:rPr>
        <w:t xml:space="preserve">consistent with</w:t>
      </w:r>
      <w:r>
        <w:t xml:space="preserve"> </w:t>
      </w:r>
      <w:r>
        <w:t xml:space="preserve">— not</w:t>
      </w:r>
      <w:r>
        <w:t xml:space="preserve"> </w:t>
      </w:r>
      <w:r>
        <w:rPr>
          <w:i/>
          <w:iCs/>
        </w:rPr>
        <w:t xml:space="preserve">positive evidence for</w:t>
      </w:r>
      <w:r>
        <w:t xml:space="preserve"> </w:t>
      </w:r>
      <w:r>
        <w:t xml:space="preserve">— H1. A discriminating test of monotonicity is reported in §4.2.1.</w:t>
      </w:r>
    </w:p>
    <w:p>
      <w:pPr>
        <w:pStyle w:val="BodyText"/>
      </w:pPr>
      <w:r>
        <w:t xml:space="preserve">A complementary χ² against the null of equal split between the phenomenological core (S1–5 = 167) and the behavioural-outcomes pole (S6 = 145)</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Because failure to reject is</w:t>
      </w:r>
      <w:r>
        <w:t xml:space="preserve"> </w:t>
      </w:r>
      <w:r>
        <w:rPr>
          <w:i/>
          <w:iCs/>
        </w:rPr>
        <w:t xml:space="preserve">absence of evidence of a difference</w:t>
      </w:r>
      <w:r>
        <w:t xml:space="preserve"> </w:t>
      </w:r>
      <w:r>
        <w:t xml:space="preserve">rather than evidence of equality, we report this not as corroboration of H2 but as</w:t>
      </w:r>
      <w:r>
        <w:t xml:space="preserve"> </w:t>
      </w:r>
      <w:r>
        <w:rPr>
          <w:i/>
          <w:iCs/>
        </w:rPr>
        <w:t xml:space="preserve">consistent with</w:t>
      </w:r>
      <w:r>
        <w:t xml:space="preserve"> </w:t>
      </w:r>
      <w:r>
        <w:t xml:space="preserve">the reading of §4.8.5 and §5.3: Stage-6 lexemes are not exclusively anger-derived but stand in</w:t>
      </w:r>
      <w:r>
        <w:t xml:space="preserve"> </w:t>
      </w:r>
      <w:r>
        <w:rPr>
          <w:i/>
          <w:iCs/>
        </w:rPr>
        <w:t xml:space="preserve">bidirectional</w:t>
      </w:r>
      <w:r>
        <w:t xml:space="preserve"> </w:t>
      </w:r>
      <w:r>
        <w:t xml:space="preserve">causal relation to the anger spectrum.</w:t>
      </w:r>
    </w:p>
    <w:bookmarkStart w:id="56"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w:t>
      </w:r>
      <w:r>
        <w:t xml:space="preserve"> </w:t>
      </w:r>
      <w:r>
        <w:t xml:space="preserve">between stage index and per-stage count is ρ = –0.09,</w:t>
      </w:r>
      <w:r>
        <w:t xml:space="preserve"> </w:t>
      </w:r>
      <w:r>
        <w:rPr>
          <w:i/>
          <w:iCs/>
        </w:rPr>
        <w:t xml:space="preserve">p</w:t>
      </w:r>
      <w:r>
        <w:t xml:space="preserve"> </w:t>
      </w:r>
      <w:r>
        <w:t xml:space="preserve">= 0.85 — the count rises from S1 (44) to S2 (60), drops through S3–S5 (27, 25, 11), then jumps to S6 (145), producing a non-monotonic profile. (ii)</w:t>
      </w:r>
      <w:r>
        <w:t xml:space="preserve"> </w:t>
      </w:r>
      <w:r>
        <w:rPr>
          <w:b/>
          <w:bCs/>
        </w:rPr>
        <w:t xml:space="preserve">Mann–Kendall</w:t>
      </w:r>
      <w:r>
        <w:t xml:space="preserve"> </w:t>
      </w:r>
      <w:r>
        <w:t xml:space="preserve">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fail to reject the no-trend null.</w:t>
      </w:r>
    </w:p>
    <w:p>
      <w:pPr>
        <w:pStyle w:val="BodyText"/>
      </w:pPr>
      <w:r>
        <w:t xml:space="preserve">We read this as substantively interpretable: the action-intensity continuum is an ordering of</w:t>
      </w:r>
      <w:r>
        <w:t xml:space="preserve"> </w:t>
      </w:r>
      <w:r>
        <w:rPr>
          <w:i/>
          <w:iCs/>
        </w:rPr>
        <w:t xml:space="preserve">semantic intensity</w:t>
      </w:r>
      <w:r>
        <w:t xml:space="preserve">, not</w:t>
      </w:r>
      <w:r>
        <w:t xml:space="preserve"> </w:t>
      </w:r>
      <w:r>
        <w:rPr>
          <w:i/>
          <w:iCs/>
        </w:rPr>
        <w:t xml:space="preserve">attestation frequency</w:t>
      </w:r>
      <w:r>
        <w:t xml:space="preserve">. The Qur’anic corpus is not a random sample but a closed hortatory text whose lexical weights are</w:t>
      </w:r>
      <w:r>
        <w:t xml:space="preserve"> </w:t>
      </w:r>
      <w:r>
        <w:rPr>
          <w:i/>
          <w:iCs/>
        </w:rPr>
        <w:t xml:space="preserve">pedagogically determined</w:t>
      </w:r>
      <w:r>
        <w:t xml:space="preserve">. One expects heaviest density at the two poles of moral consequence — S1–2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and S6 (the social-structural pathologies the text most frequently denounces) — with S3–5 as middle-trajectory states of lower independent salience. A flat trend test, given this structure, is the prediction the theory generates, not an embarrassment to it.</w:t>
      </w:r>
    </w:p>
    <w:p>
      <w:pPr>
        <w:pStyle w:val="CaptionedFigure"/>
      </w:pPr>
      <w:r>
        <w:drawing>
          <wp:inline>
            <wp:extent cx="5067300" cy="2007591"/>
            <wp:effectExtent b="0" l="0" r="0" t="0"/>
            <wp:docPr descr="Figure 2. Per-root and per-stage frequency of the 312 core spectrum attestations. Left: per-root frequency, bar colour encoding stage. Stage-6 internal asymmetry (bġy 96 vs ʿtw 10) reflects the lexical division between distributed-aggression and obstinate-defiance (§4.8). Right: stage totals S1 = 44, S2 = 60, S3 = 27, S4 = 25, S5 = 11, S6 = 145. χ²(5) = 227.15 (asymptotic p &lt; 0.001), but permutation null p = 0.24 — see §4.2. Phenomenological core (S1–5 = 167) vs Stage 6 (145): χ²(1) = 1.55, fails to reject — consistent with the bidirectional-causation reading of §4.8.5." title="" id="48" name="Picture"/>
            <a:graphic>
              <a:graphicData uri="http://schemas.openxmlformats.org/drawingml/2006/picture">
                <pic:pic>
                  <pic:nvPicPr>
                    <pic:cNvPr descr="fig2_frequency_by_stage.png" id="49" name="Picture"/>
                    <pic:cNvPicPr>
                      <a:picLocks noChangeArrowheads="1" noChangeAspect="1"/>
                    </pic:cNvPicPr>
                  </pic:nvPicPr>
                  <pic:blipFill>
                    <a:blip r:embed="rId47"/>
                    <a:stretch>
                      <a:fillRect/>
                    </a:stretch>
                  </pic:blipFill>
                  <pic:spPr bwMode="auto">
                    <a:xfrm>
                      <a:off x="0" y="0"/>
                      <a:ext cx="5067300" cy="2007591"/>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Per-root and per-stage frequency of the 312 core spectrum attestations.</w:t>
      </w:r>
      <w:r>
        <w:t xml:space="preserve"> </w:t>
      </w:r>
      <w:r>
        <w:rPr>
          <w:i/>
          <w:iCs/>
        </w:rPr>
        <w:t xml:space="preserve">Left</w:t>
      </w:r>
      <w:r>
        <w:t xml:space="preserve">: per-root frequency, bar colour encoding stage. Stage-6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 = 44, S2 = 60, S3 = 27, S4 = 25, S5 = 11, S6 = 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2168053"/>
            <wp:effectExtent b="0" l="0" r="0" t="0"/>
            <wp:docPr descr="Figure 3. Stacked Meccan/Medinan distribution for the fourteen core roots. Three roots survive Holm-Bonferroni correction over the family of fourteen per-root binomials at α = 0.05: karh (14M/27Md, raw p ≈ 10⁻⁷), baghy (55M/41Md, raw p ≈ 4 × 10⁻⁴), and ghayẓ (3M/8Md, raw p ≈ 1.6 × 10⁻³). Sakhaṭ (0M/4Md, raw p = 4.6 × 10⁻³) sits at adjusted p = 0.0503, just below conventional FDR threshold. Asaf (5/0 Meccan), naqm (12/5 Meccan), ʿutuww (9/1 Meccan) tilts are contextual but not FDR-significant. Ḥard hapax (sūrat al-Qalam, Q. 68:25, Meccan). The patterns instantiate discursive-contextual specialisation (§5.4)." title="" id="51" name="Picture"/>
            <a:graphic>
              <a:graphicData uri="http://schemas.openxmlformats.org/drawingml/2006/picture">
                <pic:pic>
                  <pic:nvPicPr>
                    <pic:cNvPr descr="fig3_meccan_medinan.png" id="52" name="Picture"/>
                    <pic:cNvPicPr>
                      <a:picLocks noChangeArrowheads="1" noChangeAspect="1"/>
                    </pic:cNvPicPr>
                  </pic:nvPicPr>
                  <pic:blipFill>
                    <a:blip r:embed="rId50"/>
                    <a:stretch>
                      <a:fillRect/>
                    </a:stretch>
                  </pic:blipFill>
                  <pic:spPr bwMode="auto">
                    <a:xfrm>
                      <a:off x="0" y="0"/>
                      <a:ext cx="5067300" cy="216805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Stacked Meccan/Medinan distribution for the fourteen core roots. Three roots survive Holm-Bonferroni correction over the family of fourteen per-root binomials at α = 0.05:</w:t>
      </w:r>
      <w:r>
        <w:t xml:space="preserve"> </w:t>
      </w:r>
      <w:r>
        <w:rPr>
          <w:i/>
          <w:iCs/>
        </w:rPr>
        <w:t xml:space="preserve">karh</w:t>
      </w:r>
      <w:r>
        <w:t xml:space="preserve"> </w:t>
      </w:r>
      <w:r>
        <w:t xml:space="preserve">(14M/27Md, raw</w:t>
      </w:r>
      <w:r>
        <w:t xml:space="preserve"> </w:t>
      </w:r>
      <w:r>
        <w:rPr>
          <w:i/>
          <w:iCs/>
        </w:rPr>
        <w:t xml:space="preserve">p</w:t>
      </w:r>
      <w:r>
        <w:t xml:space="preserve"> </w:t>
      </w:r>
      <w:r>
        <w:t xml:space="preserve">≈ 10⁻⁷),</w:t>
      </w:r>
      <w:r>
        <w:t xml:space="preserve"> </w:t>
      </w:r>
      <w:r>
        <w:rPr>
          <w:i/>
          <w:iCs/>
        </w:rPr>
        <w:t xml:space="preserve">baghy</w:t>
      </w:r>
      <w:r>
        <w:t xml:space="preserve"> </w:t>
      </w:r>
      <w:r>
        <w:t xml:space="preserve">(55M/41Md, raw</w:t>
      </w:r>
      <w:r>
        <w:t xml:space="preserve"> </w:t>
      </w:r>
      <w:r>
        <w:rPr>
          <w:i/>
          <w:iCs/>
        </w:rPr>
        <w:t xml:space="preserve">p</w:t>
      </w:r>
      <w:r>
        <w:t xml:space="preserve"> </w:t>
      </w:r>
      <w:r>
        <w:t xml:space="preserve">≈ 4 × 10⁻⁴), and</w:t>
      </w:r>
      <w:r>
        <w:t xml:space="preserve"> </w:t>
      </w:r>
      <w:r>
        <w:rPr>
          <w:i/>
          <w:iCs/>
        </w:rPr>
        <w:t xml:space="preserve">ghayẓ</w:t>
      </w:r>
      <w:r>
        <w:t xml:space="preserve"> </w:t>
      </w:r>
      <w:r>
        <w:t xml:space="preserve">(3M/8Md, raw</w:t>
      </w:r>
      <w:r>
        <w:t xml:space="preserve"> </w:t>
      </w:r>
      <w:r>
        <w:rPr>
          <w:i/>
          <w:iCs/>
        </w:rPr>
        <w:t xml:space="preserve">p</w:t>
      </w:r>
      <w:r>
        <w:t xml:space="preserve"> </w:t>
      </w:r>
      <w:r>
        <w:t xml:space="preserve">≈ 1.6 × 10⁻³).</w:t>
      </w:r>
      <w:r>
        <w:t xml:space="preserve"> </w:t>
      </w:r>
      <w:r>
        <w:rPr>
          <w:i/>
          <w:iCs/>
        </w:rPr>
        <w:t xml:space="preserve">Sakhaṭ</w:t>
      </w:r>
      <w:r>
        <w:t xml:space="preserve"> </w:t>
      </w:r>
      <w:r>
        <w:t xml:space="preserve">(0M/4Md, raw</w:t>
      </w:r>
      <w:r>
        <w:t xml:space="preserve"> </w:t>
      </w:r>
      <w:r>
        <w:rPr>
          <w:i/>
          <w:iCs/>
        </w:rPr>
        <w:t xml:space="preserve">p</w:t>
      </w:r>
      <w:r>
        <w:t xml:space="preserve"> </w:t>
      </w:r>
      <w:r>
        <w:t xml:space="preserve">= 4.6 × 10⁻³) sits at adjusted</w:t>
      </w:r>
      <w:r>
        <w:t xml:space="preserve"> </w:t>
      </w:r>
      <w:r>
        <w:rPr>
          <w:i/>
          <w:iCs/>
        </w:rPr>
        <w:t xml:space="preserve">p</w:t>
      </w:r>
      <w:r>
        <w:t xml:space="preserve"> </w:t>
      </w:r>
      <w:r>
        <w:t xml:space="preserve">= 0.0503, just below conventional FDR threshold.</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are contextual but not FDR-significant.</w:t>
      </w:r>
      <w:r>
        <w:t xml:space="preserve"> </w:t>
      </w:r>
      <w:r>
        <w:rPr>
          <w:i/>
          <w:iCs/>
        </w:rPr>
        <w:t xml:space="preserve">Ḥard</w:t>
      </w:r>
      <w:r>
        <w:t xml:space="preserve"> </w:t>
      </w:r>
      <w:r>
        <w:t xml:space="preserve">hapax (sūrat al-Qalam,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521797"/>
            <wp:effectExtent b="0" l="0" r="0" t="0"/>
            <wp:docPr descr="Figure 4. 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54" name="Picture"/>
            <a:graphic>
              <a:graphicData uri="http://schemas.openxmlformats.org/drawingml/2006/picture">
                <pic:pic>
                  <pic:nvPicPr>
                    <pic:cNvPr descr="fig5_morphology_stack.png" id="55" name="Picture"/>
                    <pic:cNvPicPr>
                      <a:picLocks noChangeArrowheads="1" noChangeAspect="1"/>
                    </pic:cNvPicPr>
                  </pic:nvPicPr>
                  <pic:blipFill>
                    <a:blip r:embed="rId53"/>
                    <a:stretch>
                      <a:fillRect/>
                    </a:stretch>
                  </pic:blipFill>
                  <pic:spPr bwMode="auto">
                    <a:xfrm>
                      <a:off x="0" y="0"/>
                      <a:ext cx="5067300" cy="252179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56"/>
    <w:bookmarkEnd w:id="57"/>
    <w:bookmarkStart w:id="58" w:name="stage-1-pre-anger-displeasure"/>
    <w:p>
      <w:pPr>
        <w:pStyle w:val="Heading3"/>
      </w:pPr>
      <w:r>
        <w:t xml:space="preserve">4.3. Stage 1 — Pre-anger displeasure</w:t>
      </w:r>
    </w:p>
    <w:p>
      <w:pPr>
        <w:pStyle w:val="FirstParagraph"/>
      </w:pPr>
      <w:r>
        <w:t xml:space="preserve">The lower bound of the continuum is occupied by two roots —</w:t>
      </w:r>
      <w:r>
        <w:t xml:space="preserve"> </w:t>
      </w:r>
      <w:r>
        <w:rPr>
          <w:i/>
          <w:iCs/>
        </w:rPr>
        <w:t xml:space="preserve">ʾ-f-f</w:t>
      </w:r>
      <w:r>
        <w:t xml:space="preserve"> </w:t>
      </w:r>
      <w:r>
        <w:t xml:space="preserve">and</w:t>
      </w:r>
      <w:r>
        <w:t xml:space="preserve"> </w:t>
      </w:r>
      <w:r>
        <w:rPr>
          <w:i/>
          <w:iCs/>
        </w:rPr>
        <w:t xml:space="preserve">k-r-h</w:t>
      </w:r>
      <w:r>
        <w:t xml:space="preserve"> </w:t>
      </w:r>
      <w:r>
        <w:t xml:space="preserve">— 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4.3.1.</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sūrat al-Isrāʾ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sūrat al-Anbiyāʾ (Q. 21:67) places it in Abraham’s mouth confronting idol-worshippers (prophetic remonstrance); sūrat al-Aḥqāf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4.3.2.</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1.0 × 10⁻⁷, Holm-adj.</w:t>
      </w:r>
      <w:r>
        <w:rPr>
          <w:b/>
          <w:bCs/>
        </w:rPr>
        <w:t xml:space="preserve"> </w:t>
      </w:r>
      <w:r>
        <w:rPr>
          <w:b/>
          <w:bCs/>
          <w:i/>
          <w:iCs/>
        </w:rPr>
        <w:t xml:space="preserve">p</w:t>
      </w:r>
      <w:r>
        <w:rPr>
          <w:b/>
          <w:bCs/>
        </w:rPr>
        <w:t xml:space="preserve"> </w:t>
      </w:r>
      <w:r>
        <w:rPr>
          <w:b/>
          <w:bCs/>
        </w:rPr>
        <w:t xml:space="preserve">≈ 1.4 × 10⁻⁶ — survives FDR).</w:t>
      </w:r>
      <w:r>
        <w:t xml:space="preserve"> </w:t>
      </w:r>
      <w:r>
        <w:rPr>
          <w:i/>
          <w:iCs/>
        </w:rPr>
        <w:t xml:space="preserve">Karh</w:t>
      </w:r>
      <w:r>
        <w:t xml:space="preserve"> </w:t>
      </w:r>
      <w:r>
        <w:t xml:space="preserve">exhibits a</w:t>
      </w:r>
      <w:r>
        <w:t xml:space="preserve"> </w:t>
      </w:r>
      <w:r>
        <w:rPr>
          <w:i/>
          <w:iCs/>
        </w:rPr>
        <w:t xml:space="preserve">twofold structure</w:t>
      </w:r>
      <w:r>
        <w:t xml:space="preserve">: (a)</w:t>
      </w:r>
      <w:r>
        <w:t xml:space="preserve"> </w:t>
      </w: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sūrat al-Baqara (Q. 2:216,</w:t>
      </w:r>
      <w:r>
        <w:t xml:space="preserve">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(sūrat al-Baqara, Q. 2:256,</w:t>
      </w:r>
      <w:r>
        <w:t xml:space="preserve"> </w:t>
      </w:r>
      <w:r>
        <w:rPr>
          <w:i/>
          <w:iCs/>
        </w:rPr>
        <w:t xml:space="preserve">lā ikrāha fī al-dīn</w:t>
      </w:r>
      <w:r>
        <w:t xml:space="preserve">; sūrat al-Naḥl, Q. 16:106; sūrat al-Nūr,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 The Medinan-tilted distribution survives Holm-Bonferroni correction emphatically —</w:t>
      </w:r>
      <w:r>
        <w:t xml:space="preserve"> </w:t>
      </w:r>
      <w:r>
        <w:rPr>
          <w:i/>
          <w:iCs/>
        </w:rPr>
        <w:t xml:space="preserve">karh</w:t>
      </w:r>
      <w:r>
        <w:t xml:space="preserve"> </w:t>
      </w:r>
      <w:r>
        <w:t xml:space="preserve">is one of three roots, alongside</w:t>
      </w:r>
      <w:r>
        <w:t xml:space="preserve"> </w:t>
      </w:r>
      <w:r>
        <w:rPr>
          <w:i/>
          <w:iCs/>
        </w:rPr>
        <w:t xml:space="preserve">baghy</w:t>
      </w:r>
      <w:r>
        <w:t xml:space="preserve"> </w:t>
      </w:r>
      <w:r>
        <w:t xml:space="preserve">and</w:t>
      </w:r>
      <w:r>
        <w:t xml:space="preserve"> </w:t>
      </w:r>
      <w:r>
        <w:rPr>
          <w:i/>
          <w:iCs/>
        </w:rPr>
        <w:t xml:space="preserve">ghayẓ</w:t>
      </w:r>
      <w:r>
        <w:t xml:space="preserve">, whose distributional asymmetry is not attributable to multiple-comparison artefact; the structural</w:t>
      </w:r>
      <w:r>
        <w:t xml:space="preserve"> </w:t>
      </w:r>
      <w:r>
        <w:rPr>
          <w:i/>
          <w:iCs/>
        </w:rPr>
        <w:t xml:space="preserve">ikrāh</w:t>
      </w:r>
      <w:r>
        <w:t xml:space="preserve"> </w:t>
      </w:r>
      <w:r>
        <w:t xml:space="preserve">sense in Medinan community-discipline contexts (consent in marriage, freedom in religion) accounts for the heavy Medinan weighting.</w:t>
      </w:r>
    </w:p>
    <w:bookmarkEnd w:id="58"/>
    <w:bookmarkStart w:id="59" w:name="stage-2-inner-pressure-and-contraction"/>
    <w:p>
      <w:pPr>
        <w:pStyle w:val="Heading3"/>
      </w:pPr>
      <w:r>
        <w:t xml:space="preserve">4.4. Stage 2 — Inner pressure and contraction</w:t>
      </w:r>
    </w:p>
    <w:p>
      <w:pPr>
        <w:pStyle w:val="FirstParagraph"/>
      </w:pPr>
      <w:r>
        <w:t xml:space="preserve">Stage 2 brings together three roots —</w:t>
      </w:r>
      <w:r>
        <w:t xml:space="preserve"> </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 </w:t>
      </w:r>
      <w:r>
        <w:t xml:space="preserve">— with sixty combined attestations.</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Sūrat al-Ḥijr (Q. 15:97) frames it as the prophetic response to social rejection.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sūrat Hūd,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 2000 on EMOTION IS A LANDSCAPE schemas). Sūrat al-Baqara (Q.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(sūrat Yūsuf,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Al-Rāghib glosses as the conjunction of grief and anger (</w:t>
      </w:r>
      <w:r>
        <w:rPr>
          <w:i/>
          <w:iCs/>
        </w:rPr>
        <w:t xml:space="preserve">al-jamʿ bayna al-ḥuzn wa-l-ġaḍab</w:t>
      </w:r>
      <w:r>
        <w:t xml:space="preserve">) — at the threshold between inner pressure and active anger. Sūrat al-Zukhruf (Q. 43:55,</w:t>
      </w:r>
      <w:r>
        <w:t xml:space="preserve">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sūrat al-Aʿrāf, Q. 7:150 / sūrat Ṭāhā, Q.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59"/>
    <w:bookmarkStart w:id="60" w:name="stage-3-evaluative-aversion"/>
    <w:p>
      <w:pPr>
        <w:pStyle w:val="Heading3"/>
      </w:pPr>
      <w:r>
        <w:t xml:space="preserve">4.5. Stage 3 — Evaluative aversion</w:t>
      </w:r>
    </w:p>
    <w:p>
      <w:pPr>
        <w:pStyle w:val="FirstParagraph"/>
      </w:pPr>
      <w:r>
        <w:t xml:space="preserve">Stage 3 brings together three roots —</w:t>
      </w:r>
      <w:r>
        <w:t xml:space="preserve"> </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 </w:t>
      </w:r>
      <w:r>
        <w:t xml:space="preserve">— with twenty-seven combined attestations. Each marks a distinct mode of</w:t>
      </w:r>
      <w:r>
        <w:t xml:space="preserve"> </w:t>
      </w:r>
      <w:r>
        <w:rPr>
          <w:i/>
          <w:iCs/>
        </w:rPr>
        <w:t xml:space="preserve">evaluative-aversive</w:t>
      </w:r>
      <w:r>
        <w:t xml:space="preserve"> </w:t>
      </w:r>
      <w:r>
        <w:t xml:space="preserve">response to a moral object. A note on internal ordering:</w:t>
      </w:r>
      <w:r>
        <w:t xml:space="preserve"> </w:t>
      </w:r>
      <w:r>
        <w:rPr>
          <w:i/>
          <w:iCs/>
        </w:rPr>
        <w:t xml:space="preserve">maqt</w:t>
      </w:r>
      <w:r>
        <w:t xml:space="preserve"> </w:t>
      </w:r>
      <w:r>
        <w:t xml:space="preserve">is the lexicographic superlative of</w:t>
      </w:r>
      <w:r>
        <w:t xml:space="preserve"> </w:t>
      </w:r>
      <w:r>
        <w:rPr>
          <w:i/>
          <w:iCs/>
        </w:rPr>
        <w:t xml:space="preserve">aversion</w:t>
      </w:r>
      <w:r>
        <w:t xml:space="preserve"> </w:t>
      </w:r>
      <w:r>
        <w:t xml:space="preserve">(Zajjāj,</w:t>
      </w:r>
      <w:r>
        <w:t xml:space="preserve"> </w:t>
      </w:r>
      <w:r>
        <w:rPr>
          <w:i/>
          <w:iCs/>
        </w:rPr>
        <w:t xml:space="preserve">ashaddu al-ibghāḍ</w:t>
      </w:r>
      <w:r>
        <w:t xml:space="preserve">) but is placed</w:t>
      </w:r>
      <w:r>
        <w:t xml:space="preserve"> </w:t>
      </w:r>
      <w:r>
        <w:rPr>
          <w:i/>
          <w:iCs/>
        </w:rPr>
        <w:t xml:space="preserve">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w:t>
      </w:r>
      <w:r>
        <w:t xml:space="preserve"> </w:t>
      </w:r>
      <w:r>
        <w:rPr>
          <w:i/>
          <w:iCs/>
        </w:rPr>
        <w:t xml:space="preserve">action-intensity</w:t>
      </w:r>
      <w:r>
        <w:t xml:space="preserve"> </w:t>
      </w:r>
      <w:r>
        <w:t xml:space="preserve">axis because the paper’s dimension is intensity of</w:t>
      </w:r>
      <w:r>
        <w:t xml:space="preserve"> </w:t>
      </w:r>
      <w:r>
        <w:rPr>
          <w:i/>
          <w:iCs/>
        </w:rPr>
        <w:t xml:space="preserve">action</w:t>
      </w:r>
      <w:r>
        <w:t xml:space="preserve">, not intensity of</w:t>
      </w:r>
      <w:r>
        <w:t xml:space="preserve"> </w:t>
      </w:r>
      <w:r>
        <w:rPr>
          <w:i/>
          <w:iCs/>
        </w:rPr>
        <w:t xml:space="preserve">aversion</w:t>
      </w:r>
      <w:r>
        <w:t xml:space="preserve">.</w:t>
      </w:r>
      <w:r>
        <w:t xml:space="preserve"> </w:t>
      </w:r>
      <w:r>
        <w:rPr>
          <w:i/>
          <w:iCs/>
        </w:rPr>
        <w:t xml:space="preserve">Maqt</w:t>
      </w:r>
      <w:r>
        <w:t xml:space="preserve"> </w:t>
      </w:r>
      <w:r>
        <w:t xml:space="preserve">is purely evaluative — rejection-distance rather than approach-aggression — and on the action axis sits below the kinetic-motor</w:t>
      </w:r>
      <w:r>
        <w:t xml:space="preserve"> </w:t>
      </w:r>
      <w:r>
        <w:rPr>
          <w:i/>
          <w:iCs/>
        </w:rPr>
        <w:t xml:space="preserve">ghaḍab</w:t>
      </w:r>
      <w:r>
        <w:t xml:space="preserve"> </w:t>
      </w:r>
      <w:r>
        <w:t xml:space="preserve">of Stage 4 and above the settled</w:t>
      </w:r>
      <w:r>
        <w:t xml:space="preserve"> </w:t>
      </w:r>
      <w:r>
        <w:rPr>
          <w:i/>
          <w:iCs/>
        </w:rPr>
        <w:t xml:space="preserve">sakhaṭ</w:t>
      </w:r>
      <w:r>
        <w:t xml:space="preserve"> </w:t>
      </w:r>
      <w:r>
        <w:t xml:space="preserve">of Stage 3.</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Sūrat al-Aʿrāf (Q. 7:126,</w:t>
      </w:r>
      <w:r>
        <w:t xml:space="preserve"> </w:t>
      </w:r>
      <w:r>
        <w:rPr>
          <w:i/>
          <w:iCs/>
        </w:rPr>
        <w:t xml:space="preserve">wa-mā naqamū minnā illā an āmannā bi-āyāti rabbinā</w:t>
      </w:r>
      <w:r>
        <w:t xml:space="preserve">) is the linguistic exemplar. The lexeme generates</w:t>
      </w:r>
      <w:r>
        <w:t xml:space="preserve"> </w:t>
      </w:r>
      <w:r>
        <w:rPr>
          <w:i/>
          <w:iCs/>
        </w:rPr>
        <w:t xml:space="preserve">al-muntaqim</w:t>
      </w:r>
      <w:r>
        <w:t xml:space="preserve"> </w:t>
      </w:r>
      <w:r>
        <w:t xml:space="preserve">as a divine attribute (sūrat al-Sajda, Q. 32:22 and parallels). Position:</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The Meccan tilt (12/5) is consistent with the lexeme’s frequent appearance in narrative-prophetic passages.</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 has a two-sided exact binomial</w:t>
      </w:r>
      <w:r>
        <w:t xml:space="preserve"> </w:t>
      </w:r>
      <w:r>
        <w:rPr>
          <w:i/>
          <w:iCs/>
        </w:rPr>
        <w:t xml:space="preserve">p</w:t>
      </w:r>
      <w:r>
        <w:t xml:space="preserve">-value of</w:t>
      </w:r>
      <w:r>
        <w:t xml:space="preserve"> </w:t>
      </w:r>
      <w:r>
        <w:rPr>
          <w:b/>
          <w:bCs/>
        </w:rPr>
        <w:t xml:space="preserve">0.005</w:t>
      </w:r>
      <w:r>
        <w:t xml:space="preserve"> </w:t>
      </w:r>
      <w:r>
        <w:t xml:space="preserve">against the corpus-derived baseline of 0.74 Meccan probability.</w:t>
      </w:r>
    </w:p>
    <w:p>
      <w:pPr>
        <w:pStyle w:val="BodyText"/>
      </w:pPr>
      <w:r>
        <w:rPr>
          <w:b/>
          <w:bCs/>
          <w:i/>
          <w:iCs/>
        </w:rPr>
        <w:t xml:space="preserve">Baseline derivation.</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We use the ayat-weighted rate rather than the sura-count rate (~0.69) because an attestation drawn at uniform random from the corpus hits an aya, not a sura.</w:t>
      </w:r>
    </w:p>
    <w:p>
      <w:pPr>
        <w:pStyle w:val="BodyText"/>
      </w:pPr>
      <w:r>
        <w:rPr>
          <w:b/>
          <w:bCs/>
          <w:i/>
          <w:iCs/>
        </w:rPr>
        <w:t xml:space="preserve">Granular baseline sensitivity.</w:t>
      </w:r>
      <w:r>
        <w:t xml:space="preserve"> </w:t>
      </w:r>
      <w:r>
        <w:t xml:space="preserve">With</w:t>
      </w:r>
      <w:r>
        <w:t xml:space="preserve"> </w:t>
      </w:r>
      <w:r>
        <w:rPr>
          <w:i/>
          <w:iCs/>
        </w:rPr>
        <w:t xml:space="preserve">n</w:t>
      </w:r>
      <w:r>
        <w:t xml:space="preserve"> </w:t>
      </w:r>
      <w:r>
        <w:t xml:space="preserve">= 4, the inference is mildly sensitive to the baseline: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w:t>
            </w:r>
            <w:r>
              <w:t xml:space="preserve"> </w:t>
            </w:r>
            <w:r>
              <w:rPr>
                <w:i/>
                <w:iCs/>
              </w:rPr>
              <w:t xml:space="preserve">p</w:t>
            </w:r>
            <w:r>
              <w:t xml:space="preserve"> </w:t>
            </w:r>
            <w:r>
              <w:t xml:space="preserve">(k=0,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fourteen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0.0503 —</w:t>
      </w:r>
      <w:r>
        <w:t xml:space="preserve"> </w:t>
      </w:r>
      <w:r>
        <w:rPr>
          <w:i/>
          <w:iCs/>
        </w:rPr>
        <w:t xml:space="preserve">borderline</w:t>
      </w:r>
      <w:r>
        <w:t xml:space="preserve">, just above the conventional α = 0.05 threshold. Three other roots survive Holm correction emphatically:</w:t>
      </w:r>
      <w:r>
        <w:t xml:space="preserve"> </w:t>
      </w:r>
      <w:r>
        <w:rPr>
          <w:i/>
          <w:iCs/>
        </w:rPr>
        <w:t xml:space="preserve">karh</w:t>
      </w:r>
      <w:r>
        <w:t xml:space="preserve"> </w:t>
      </w:r>
      <w:r>
        <w:t xml:space="preserve">(14M/27Md, raw</w:t>
      </w:r>
      <w:r>
        <w:t xml:space="preserve"> </w:t>
      </w:r>
      <w:r>
        <w:rPr>
          <w:i/>
          <w:iCs/>
        </w:rPr>
        <w:t xml:space="preserve">p</w:t>
      </w:r>
      <w:r>
        <w:t xml:space="preserve"> </w:t>
      </w:r>
      <w:r>
        <w:t xml:space="preserve">≈ 1.0 × 10⁻⁷, adj. ≈ 1.4 × 10⁻⁶),</w:t>
      </w:r>
      <w:r>
        <w:t xml:space="preserve"> </w:t>
      </w:r>
      <w:r>
        <w:rPr>
          <w:i/>
          <w:iCs/>
        </w:rPr>
        <w:t xml:space="preserve">baghy</w:t>
      </w:r>
      <w:r>
        <w:t xml:space="preserve"> </w:t>
      </w:r>
      <w:r>
        <w:t xml:space="preserve">(55M/41Md, raw</w:t>
      </w:r>
      <w:r>
        <w:t xml:space="preserve"> </w:t>
      </w:r>
      <w:r>
        <w:rPr>
          <w:i/>
          <w:iCs/>
        </w:rPr>
        <w:t xml:space="preserve">p</w:t>
      </w:r>
      <w:r>
        <w:t xml:space="preserve"> </w:t>
      </w:r>
      <w:r>
        <w:t xml:space="preserve">≈ 4 × 10⁻⁴, adj. ≈ 5.3 × 10⁻³), and</w:t>
      </w:r>
      <w:r>
        <w:t xml:space="preserve"> </w:t>
      </w:r>
      <w:r>
        <w:rPr>
          <w:i/>
          <w:iCs/>
        </w:rPr>
        <w:t xml:space="preserve">ghayẓ</w:t>
      </w:r>
      <w:r>
        <w:t xml:space="preserve"> </w:t>
      </w:r>
      <w:r>
        <w:t xml:space="preserve">(3M/8Md, raw</w:t>
      </w:r>
      <w:r>
        <w:t xml:space="preserve"> </w:t>
      </w:r>
      <w:r>
        <w:rPr>
          <w:i/>
          <w:iCs/>
        </w:rPr>
        <w:t xml:space="preserve">p</w:t>
      </w:r>
      <w:r>
        <w:t xml:space="preserve"> </w:t>
      </w:r>
      <w:r>
        <w:t xml:space="preserve">≈ 1.6 × 10⁻³, adj. ≈ 1.9 × 10⁻²). The</w:t>
      </w:r>
      <w:r>
        <w:t xml:space="preserve"> </w:t>
      </w:r>
      <w:r>
        <w:rPr>
          <w:i/>
          <w:iCs/>
        </w:rPr>
        <w:t xml:space="preserve">asaf</w:t>
      </w:r>
      <w:r>
        <w:t xml:space="preserve"> </w:t>
      </w:r>
      <w:r>
        <w:t xml:space="preserve">(5/0; raw 0.34, adj. 1.00) and</w:t>
      </w:r>
      <w:r>
        <w:t xml:space="preserve"> </w:t>
      </w:r>
      <w:r>
        <w:rPr>
          <w:i/>
          <w:iCs/>
        </w:rPr>
        <w:t xml:space="preserve">ʿutuww</w:t>
      </w:r>
      <w:r>
        <w:t xml:space="preserve"> </w:t>
      </w:r>
      <w:r>
        <w:t xml:space="preserve">(9/1; raw 0.47, adj. 1.00) tilts do not survive correction.</w:t>
      </w:r>
    </w:p>
    <w:p>
      <w:pPr>
        <w:pStyle w:val="BodyText"/>
      </w:pPr>
      <w:r>
        <w:t xml:space="preserve">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in their Medinan-period exegesis — sūrat Muḥammad (Q. 47:28,</w:t>
      </w:r>
      <w:r>
        <w:t xml:space="preserve"> </w:t>
      </w:r>
      <w:r>
        <w:rPr>
          <w:i/>
          <w:iCs/>
        </w:rPr>
        <w:t xml:space="preserve">ittabaʿū mā askhaṭa Allāh wa-karihū riḍwānahu</w:t>
      </w:r>
      <w:r>
        <w:t xml:space="preserve">) is canonical, though al-Ṭabarī notes that sūrat al-Māʾida (Q. 5:80) is exegetically discussed as directed at the People of the Book rather than the</w:t>
      </w:r>
      <w:r>
        <w:t xml:space="preserve"> </w:t>
      </w:r>
      <w:r>
        <w:rPr>
          <w:i/>
          <w:iCs/>
        </w:rPr>
        <w:t xml:space="preserve">Munāfiqūn</w:t>
      </w:r>
      <w:r>
        <w:t xml:space="preserve"> </w:t>
      </w:r>
      <w:r>
        <w:t xml:space="preserve">properly. Following Narimani, Iqbali and Chari (2021), 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ẓāhir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 of which</w:t>
      </w:r>
      <w:r>
        <w:t xml:space="preserve"> </w:t>
      </w:r>
      <w:r>
        <w:rPr>
          <w:i/>
          <w:iCs/>
        </w:rPr>
        <w:t xml:space="preserve">karh</w:t>
      </w:r>
      <w:r>
        <w:t xml:space="preserve"> </w:t>
      </w:r>
      <w:r>
        <w:t xml:space="preserve">(Medinan-community discipline) and the umbrella patterns</w:t>
      </w:r>
      <w:r>
        <w:t xml:space="preserve"> </w:t>
      </w:r>
      <w:r>
        <w:rPr>
          <w:i/>
          <w:iCs/>
        </w:rPr>
        <w:t xml:space="preserve">jrm</w:t>
      </w:r>
      <w:r>
        <w:t xml:space="preserve"> </w:t>
      </w:r>
      <w:r>
        <w:t xml:space="preserve">(Meccan) /</w:t>
      </w:r>
      <w:r>
        <w:t xml:space="preserve"> </w:t>
      </w:r>
      <w:r>
        <w:rPr>
          <w:i/>
          <w:iCs/>
        </w:rPr>
        <w:t xml:space="preserve">fsq</w:t>
      </w:r>
      <w:r>
        <w:t xml:space="preserve"> </w:t>
      </w:r>
      <w:r>
        <w:t xml:space="preserve">(Medinan) are convergent instances.</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 / 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Canonical exemplars — sūrat Ghāfir (Q. 40:10,</w:t>
      </w:r>
      <w:r>
        <w:t xml:space="preserve"> </w:t>
      </w:r>
      <w:r>
        <w:rPr>
          <w:i/>
          <w:iCs/>
        </w:rPr>
        <w:t xml:space="preserve">maqt al-nafs</w:t>
      </w:r>
      <w:r>
        <w:t xml:space="preserve"> </w:t>
      </w:r>
      <w:r>
        <w:t xml:space="preserve">doubled), sūrat al-Nisāʾ (Q. 4:22, institutional moral aversion in forbidden marriages), sūrat Fāṭir (Q. 35:39, rising divine</w:t>
      </w:r>
      <w:r>
        <w:t xml:space="preserve"> </w:t>
      </w:r>
      <w:r>
        <w:rPr>
          <w:i/>
          <w:iCs/>
        </w:rPr>
        <w:t xml:space="preserve">maqt</w:t>
      </w:r>
      <w:r>
        <w:t xml:space="preserve"> </w:t>
      </w:r>
      <w:r>
        <w:t xml:space="preserve">against disbelievers), sūrat al-Ṣaff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60"/>
    <w:bookmarkStart w:id="61"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13M/11Md).</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(sūrat al-Fatḥ, Q. 48:6), prophets, and believers. Morphologically nominal (16n / 6v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standing rather than a transient affect.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in the register of</w:t>
      </w:r>
      <w:r>
        <w:t xml:space="preserve"> </w:t>
      </w:r>
      <w:r>
        <w:rPr>
          <w:i/>
          <w:iCs/>
        </w:rPr>
        <w:t xml:space="preserve">irādat al-ʿuqūbah</w:t>
      </w:r>
      <w:r>
        <w:t xml:space="preserve"> </w:t>
      </w:r>
      <w:r>
        <w:t xml:space="preserve">(paraphrase) —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w:t>
      </w:r>
    </w:p>
    <w:p>
      <w:pPr>
        <w:pStyle w:val="BodyText"/>
      </w:pPr>
      <w:r>
        <w:rPr>
          <w:b/>
          <w:bCs/>
        </w:rPr>
        <w:t xml:space="preserve">4.6.2.</w:t>
      </w:r>
      <w:r>
        <w:rPr>
          <w:b/>
          <w:bCs/>
        </w:rPr>
        <w:t xml:space="preserve"> </w:t>
      </w:r>
      <w:r>
        <w:rPr>
          <w:b/>
          <w:bCs/>
          <w:i/>
          <w:iCs/>
        </w:rPr>
        <w:t xml:space="preserve">Ḥard</w:t>
      </w:r>
      <w:r>
        <w:rPr>
          <w:b/>
          <w:bCs/>
        </w:rPr>
        <w:t xml:space="preserve"> </w:t>
      </w:r>
      <w:r>
        <w:rPr>
          <w:b/>
          <w:bCs/>
        </w:rPr>
        <w:t xml:space="preserve">(sūrat al-Qalam, 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 The narrative consequence is the destruction of the garden by night-storm: divine retribution against the</w:t>
      </w:r>
      <w:r>
        <w:t xml:space="preserve"> </w:t>
      </w:r>
      <w:r>
        <w:rPr>
          <w:i/>
          <w:iCs/>
        </w:rPr>
        <w:t xml:space="preserve">ḥard</w:t>
      </w:r>
      <w:r>
        <w:t xml:space="preserve">-driven plan to deny.</w:t>
      </w:r>
    </w:p>
    <w:bookmarkEnd w:id="61"/>
    <w:bookmarkStart w:id="62"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 raw</w:t>
      </w:r>
      <w:r>
        <w:rPr>
          <w:b/>
          <w:bCs/>
        </w:rPr>
        <w:t xml:space="preserve"> </w:t>
      </w:r>
      <w:r>
        <w:rPr>
          <w:b/>
          <w:bCs/>
          <w:i/>
          <w:iCs/>
        </w:rPr>
        <w:t xml:space="preserve">p</w:t>
      </w:r>
      <w:r>
        <w:rPr>
          <w:b/>
          <w:bCs/>
        </w:rPr>
        <w:t xml:space="preserve"> </w:t>
      </w:r>
      <w:r>
        <w:rPr>
          <w:b/>
          <w:bCs/>
        </w:rPr>
        <w:t xml:space="preserve">= 1.6 × 10⁻³, Holm-adj. ≈ 1.9 × 10⁻² — survives FDR).</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Sūrat Āl ʿImrān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The construction itself presupposes that the believers being commended</w:t>
      </w:r>
      <w:r>
        <w:t xml:space="preserve"> </w:t>
      </w:r>
      <w:r>
        <w:rPr>
          <w:i/>
          <w:iCs/>
        </w:rPr>
        <w:t xml:space="preserve">experience</w:t>
      </w:r>
      <w:r>
        <w:t xml:space="preserve"> </w:t>
      </w:r>
      <w:r>
        <w:t xml:space="preserve">the</w:t>
      </w:r>
      <w:r>
        <w:t xml:space="preserve"> </w:t>
      </w:r>
      <w:r>
        <w:rPr>
          <w:i/>
          <w:iCs/>
        </w:rPr>
        <w:t xml:space="preserve">ghayẓ</w:t>
      </w:r>
      <w:r>
        <w:t xml:space="preserve"> </w:t>
      </w:r>
      <w:r>
        <w:t xml:space="preserve">they suppress — the Narimani et al. claim that</w:t>
      </w:r>
      <w:r>
        <w:t xml:space="preserve"> </w:t>
      </w:r>
      <w:r>
        <w:rPr>
          <w:i/>
          <w:iCs/>
        </w:rPr>
        <w:t xml:space="preserve">ghayẓ</w:t>
      </w:r>
      <w:r>
        <w:t xml:space="preserve"> </w:t>
      </w:r>
      <w:r>
        <w:t xml:space="preserve">in human reference is exclusive to unbelievers/hypocrites must therefore be qualified:</w:t>
      </w:r>
      <w:r>
        <w:t xml:space="preserve"> </w:t>
      </w:r>
      <w:r>
        <w:rPr>
          <w:i/>
          <w:iCs/>
        </w:rPr>
        <w:t xml:space="preserve">ghayẓ</w:t>
      </w:r>
      <w:r>
        <w:t xml:space="preserve"> </w:t>
      </w:r>
      <w:r>
        <w:t xml:space="preserve">in human attribution is</w:t>
      </w:r>
      <w:r>
        <w:t xml:space="preserve"> </w:t>
      </w:r>
      <w:r>
        <w:rPr>
          <w:i/>
          <w:iCs/>
        </w:rPr>
        <w:t xml:space="preserve">predominantly</w:t>
      </w:r>
      <w:r>
        <w:t xml:space="preserve"> </w:t>
      </w:r>
      <w:r>
        <w:t xml:space="preserve">— not exclusively — negative, with Q. 3:134 (</w:t>
      </w:r>
      <w:r>
        <w:rPr>
          <w:i/>
          <w:iCs/>
        </w:rPr>
        <w:t xml:space="preserve">wa-l-kāẓimīn al-ghayẓa</w:t>
      </w:r>
      <w:r>
        <w:t xml:space="preserve">) the canonical exception (transitive</w:t>
      </w:r>
      <w:r>
        <w:t xml:space="preserve"> </w:t>
      </w:r>
      <w:r>
        <w:rPr>
          <w:i/>
          <w:iCs/>
        </w:rPr>
        <w:t xml:space="preserve">ghayẓ directed at</w:t>
      </w:r>
      <w:r>
        <w:t xml:space="preserve"> </w:t>
      </w:r>
      <w:r>
        <w:t xml:space="preserve">believers is exclusively non-believer-attributed; intransitive/experiential</w:t>
      </w:r>
      <w:r>
        <w:t xml:space="preserve"> </w:t>
      </w:r>
      <w:r>
        <w:rPr>
          <w:i/>
          <w:iCs/>
        </w:rPr>
        <w:t xml:space="preserve">ghayẓ</w:t>
      </w:r>
      <w:r>
        <w:t xml:space="preserve"> </w:t>
      </w:r>
      <w:r>
        <w:t xml:space="preserve">— the</w:t>
      </w:r>
      <w:r>
        <w:t xml:space="preserve"> </w:t>
      </w:r>
      <w:r>
        <w:rPr>
          <w:i/>
          <w:iCs/>
        </w:rPr>
        <w:t xml:space="preserve">kāẓimīn</w:t>
      </w:r>
      <w:r>
        <w:t xml:space="preserve"> </w:t>
      </w:r>
      <w:r>
        <w:t xml:space="preserve">themselves — is attributed to believers). Read through Lakoff and Kövecses (1987), 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agent’s act of sealing (Figure 7). The Medinan tilt (8/3) survives FDR and tracks the discursive context: inner anger management becomes a salient pedagogical concern in the formative Medinan community.</w:t>
      </w:r>
    </w:p>
    <w:p>
      <w:pPr>
        <w:pStyle w:val="BodyText"/>
      </w:pPr>
      <w:r>
        <w:rPr>
          <w:b/>
          <w:bCs/>
        </w:rPr>
        <w:t xml:space="preserve">4.7.2.</w:t>
      </w:r>
      <w:r>
        <w:rPr>
          <w:b/>
          <w:bCs/>
        </w:rPr>
        <w:t xml:space="preserve"> </w:t>
      </w:r>
      <w:r>
        <w:rPr>
          <w:b/>
          <w:bCs/>
          <w:i/>
          <w:iCs/>
        </w:rPr>
        <w:t xml:space="preserve">Tamayyuz</w:t>
      </w:r>
      <w:r>
        <w:rPr>
          <w:b/>
          <w:bCs/>
        </w:rPr>
        <w:t xml:space="preserve">: container collapse in sūrat al-Mulk, Q. 67:8 (manifestation, not separate root).</w:t>
      </w:r>
      <w:r>
        <w:t xml:space="preserve"> </w:t>
      </w:r>
      <w:r>
        <w:t xml:space="preserve">Sūrat al-Mulk (Q. 67:8) —</w:t>
      </w:r>
      <w:r>
        <w:t xml:space="preserve"> </w:t>
      </w:r>
      <w:r>
        <w:rPr>
          <w:i/>
          <w:iCs/>
        </w:rPr>
        <w:t xml:space="preserve">takādu tamayyazu min al-ġayẓ</w:t>
      </w:r>
      <w:r>
        <w:t xml:space="preserve"> </w:t>
      </w:r>
      <w:r>
        <w:t xml:space="preserve">(</w:t>
      </w:r>
      <w:r>
        <w:t xml:space="preserve">“[the fire] is on the verge of parting asunder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in</w:t>
      </w:r>
      <w:r>
        <w:t xml:space="preserve"> </w:t>
      </w:r>
      <w:r>
        <w:rPr>
          <w:i/>
          <w:iCs/>
        </w:rPr>
        <w:t xml:space="preserve">Mufradāt</w:t>
      </w:r>
      <w:r>
        <w:t xml:space="preserve"> </w:t>
      </w:r>
      <w:r>
        <w:t xml:space="preserve">and</w:t>
      </w:r>
      <w:r>
        <w:t xml:space="preserve"> </w:t>
      </w:r>
      <w:r>
        <w:rPr>
          <w:i/>
          <w:iCs/>
        </w:rPr>
        <w:t xml:space="preserve">Lisān</w:t>
      </w:r>
      <w:r>
        <w:t xml:space="preserve"> </w:t>
      </w:r>
      <w:r>
        <w:t xml:space="preserve">the dominant gloss is</w:t>
      </w:r>
      <w:r>
        <w:t xml:space="preserve"> </w:t>
      </w:r>
      <w:r>
        <w:rPr>
          <w:i/>
          <w:iCs/>
        </w:rPr>
        <w:t xml:space="preserve">al-tafrīq bayna al-mukhtaliṭ</w:t>
      </w:r>
      <w:r>
        <w:t xml:space="preserve">,</w:t>
      </w:r>
      <w:r>
        <w:t xml:space="preserve"> </w:t>
      </w:r>
      <w:r>
        <w:t xml:space="preserve">“separating things that have been mixed”</w:t>
      </w:r>
      <w:r>
        <w:t xml:space="preserve">; in the present context, the parting / severing of the contents from each other or of the vessel from itself)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read this as the authors’ CMT-grounded interpretation, complementing the classical</w:t>
      </w:r>
      <w:r>
        <w:t xml:space="preserve"> </w:t>
      </w:r>
      <w:r>
        <w:t xml:space="preserve">“separation of constituents”</w:t>
      </w:r>
      <w:r>
        <w:t xml:space="preserve"> </w:t>
      </w:r>
      <w:r>
        <w:t xml:space="preserve">gloss attested in al-Ṭabarī and al-Zamakhsharī, rather than as the plain lexicographic sense.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p>
    <w:bookmarkEnd w:id="62"/>
    <w:bookmarkStart w:id="69"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 raw</w:t>
      </w:r>
      <w:r>
        <w:rPr>
          <w:b/>
          <w:bCs/>
        </w:rPr>
        <w:t xml:space="preserve"> </w:t>
      </w:r>
      <w:r>
        <w:rPr>
          <w:b/>
          <w:bCs/>
          <w:i/>
          <w:iCs/>
        </w:rPr>
        <w:t xml:space="preserve">p</w:t>
      </w:r>
      <w:r>
        <w:rPr>
          <w:b/>
          <w:bCs/>
        </w:rPr>
        <w:t xml:space="preserve"> </w:t>
      </w:r>
      <w:r>
        <w:rPr>
          <w:b/>
          <w:bCs/>
        </w:rPr>
        <w:t xml:space="preserve">= 4.1 × 10⁻⁴, Holm-adj. ≈ 5.3 × 10⁻³ — survives FDR).</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Sūrat al-Shūrā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(Nodes with zero in-graph degree —</w:t>
      </w:r>
      <w:r>
        <w:t xml:space="preserve"> </w:t>
      </w:r>
      <w:r>
        <w:rPr>
          <w:i/>
          <w:iCs/>
        </w:rPr>
        <w:t xml:space="preserve">ʾff</w:t>
      </w:r>
      <w:r>
        <w:t xml:space="preserve">,</w:t>
      </w:r>
      <w:r>
        <w:t xml:space="preserve"> </w:t>
      </w:r>
      <w:r>
        <w:rPr>
          <w:i/>
          <w:iCs/>
        </w:rPr>
        <w:t xml:space="preserve">mqt</w:t>
      </w:r>
      <w:r>
        <w:t xml:space="preserve">,</w:t>
      </w:r>
      <w:r>
        <w:t xml:space="preserve"> </w:t>
      </w:r>
      <w:r>
        <w:rPr>
          <w:i/>
          <w:iCs/>
        </w:rPr>
        <w:t xml:space="preserve">ḥrd</w:t>
      </w:r>
      <w:r>
        <w:t xml:space="preserve">,</w:t>
      </w:r>
      <w:r>
        <w:t xml:space="preserve"> </w:t>
      </w:r>
      <w:r>
        <w:rPr>
          <w:i/>
          <w:iCs/>
        </w:rPr>
        <w:t xml:space="preserve">ʿtw</w:t>
      </w:r>
      <w:r>
        <w:t xml:space="preserve"> </w:t>
      </w:r>
      <w:r>
        <w:t xml:space="preserve">— are trivially placed at the centrality floor with CI [0.00, 0.00].)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sixteen aya-level co-occurrences with</w:t>
      </w:r>
      <w:r>
        <w:t xml:space="preserve"> </w:t>
      </w:r>
      <w:r>
        <w:rPr>
          <w:i/>
          <w:iCs/>
        </w:rPr>
        <w:t xml:space="preserve">ẓlm/jrm/fsq/ʿdw/šnʾ</w:t>
      </w:r>
      <w:r>
        <w:t xml:space="preserve"> </w:t>
      </w:r>
      <w:r>
        <w:t xml:space="preserve">combined,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are preserved here from the prior pipeline run; ties for the four newly-incorporated roots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are sparse and dominated by zeros and are omitted.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Of the total cross-field ties across the fourteen spectrum roots, nineteen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Sūrat al-ʿAlaq (Q. 96:6–7,</w:t>
      </w:r>
      <w:r>
        <w:t xml:space="preserve">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 (1991), Scherer (2001, 2005), and Roseman’s (1996)</w:t>
      </w:r>
      <w:r>
        <w:t xml:space="preserve"> </w:t>
      </w:r>
      <w:r>
        <w:t xml:space="preserve">“agency-self / motive-inconsistent / high-control”</w:t>
      </w:r>
      <w:r>
        <w:t xml:space="preserve"> </w:t>
      </w:r>
      <w:r>
        <w:t xml:space="preserve">pattern. Qarizadeh et al.’s (2024) polysemy analysis 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 raw</w:t>
      </w:r>
      <w:r>
        <w:rPr>
          <w:b/>
          <w:bCs/>
        </w:rPr>
        <w:t xml:space="preserve"> </w:t>
      </w:r>
      <w:r>
        <w:rPr>
          <w:b/>
          <w:bCs/>
          <w:i/>
          <w:iCs/>
        </w:rPr>
        <w:t xml:space="preserve">p</w:t>
      </w:r>
      <w:r>
        <w:rPr>
          <w:b/>
          <w:bCs/>
        </w:rPr>
        <w:t xml:space="preserve"> </w:t>
      </w:r>
      <w:r>
        <w:rPr>
          <w:b/>
          <w:bCs/>
        </w:rPr>
        <w:t xml:space="preserve">= 0.47, Holm-adj.</w:t>
      </w:r>
      <w:r>
        <w:rPr>
          <w:b/>
          <w:bCs/>
        </w:rPr>
        <w:t xml:space="preserve"> </w:t>
      </w:r>
      <w:r>
        <w:rPr>
          <w:b/>
          <w:bCs/>
          <w:i/>
          <w:iCs/>
        </w:rPr>
        <w:t xml:space="preserve">p</w:t>
      </w:r>
      <w:r>
        <w:rPr>
          <w:b/>
          <w:bCs/>
        </w:rPr>
        <w:t xml:space="preserve"> </w:t>
      </w:r>
      <w:r>
        <w:rPr>
          <w:b/>
          <w:bCs/>
        </w:rPr>
        <w:t xml:space="preserve">= 1.00 — does not survive FDR).</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Sūrat al-Furqān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The 9/1 Meccan distribution is consistent with the lexeme’s rhetorical function as terminal designation for Nūḥ-, ʿĀd-, Thamūd-, and Pharaonic-people narratives, but the raw</w:t>
      </w:r>
      <w:r>
        <w:t xml:space="preserve"> </w:t>
      </w:r>
      <w:r>
        <w:rPr>
          <w:i/>
          <w:iCs/>
        </w:rPr>
        <w:t xml:space="preserve">p</w:t>
      </w:r>
      <w:r>
        <w:t xml:space="preserve">-value of 0.47 against the 0.74 Meccan baseline indicates that the 9/1 split is</w:t>
      </w:r>
      <w:r>
        <w:t xml:space="preserve"> </w:t>
      </w:r>
      <w:r>
        <w:rPr>
          <w:i/>
          <w:iCs/>
        </w:rPr>
        <w:t xml:space="preserve">not</w:t>
      </w:r>
      <w:r>
        <w:t xml:space="preserve"> </w:t>
      </w:r>
      <w:r>
        <w:t xml:space="preserve">statistically distinguishable from chance under the binomial.</w:t>
      </w:r>
    </w:p>
    <w:p>
      <w:pPr>
        <w:pStyle w:val="BodyText"/>
      </w:pPr>
      <w:r>
        <w:rPr>
          <w:b/>
          <w:bCs/>
        </w:rPr>
        <w:t xml:space="preserve">4.8.5. Bidirectional causation and a</w:t>
      </w:r>
      <w:r>
        <w:rPr>
          <w:b/>
          <w:bCs/>
        </w:rPr>
        <w:t xml:space="preserve"> </w:t>
      </w:r>
      <w:r>
        <w:rPr>
          <w:b/>
          <w:bCs/>
          <w:i/>
          <w:iCs/>
        </w:rPr>
        <w:t xml:space="preserve">tafsīr</w:t>
      </w:r>
      <w:r>
        <w:rPr>
          <w:b/>
          <w:bCs/>
        </w:rPr>
        <w:t xml:space="preserve">-grounded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sūrat al-Anʿām, Q. 6:21);</w:t>
      </w:r>
      <w:r>
        <w:t xml:space="preserve"> </w:t>
      </w:r>
      <w:r>
        <w:rPr>
          <w:i/>
          <w:iCs/>
        </w:rPr>
        <w:t xml:space="preserve">ṭughyān</w:t>
      </w:r>
      <w:r>
        <w:t xml:space="preserve"> </w:t>
      </w:r>
      <w:r>
        <w:t xml:space="preserve">— paradigmatically Pharaonic (sūrat al-Nāziʿāt, Q. 79:17) — is rooted in structural arrogance, with sūrat al-Shuʿarāʾ (Q. 26:55,</w:t>
      </w:r>
      <w:r>
        <w:t xml:space="preserve">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 </w:t>
      </w:r>
      <w:r>
        <w:t xml:space="preserve">under a three-label codebook —</w:t>
      </w:r>
      <w:r>
        <w:t xml:space="preserve"> </w:t>
      </w:r>
      <w:r>
        <w:rPr>
          <w:b/>
          <w:bCs/>
        </w:rPr>
        <w:t xml:space="preserve">A</w:t>
      </w:r>
      <w:r>
        <w:t xml:space="preserve"> </w:t>
      </w:r>
      <w:r>
        <w:t xml:space="preserve">(anger-origin: the immediate exegetical antecedent is an anger-type affective state),</w:t>
      </w:r>
      <w:r>
        <w:t xml:space="preserve"> </w:t>
      </w:r>
      <w:r>
        <w:rPr>
          <w:b/>
          <w:bCs/>
        </w:rPr>
        <w:t xml:space="preserve">S</w:t>
      </w:r>
      <w:r>
        <w:t xml:space="preserve"> </w:t>
      </w:r>
      <w:r>
        <w:t xml:space="preserve">(structural-origin: the antecedent is</w:t>
      </w:r>
      <w:r>
        <w:t xml:space="preserve"> </w:t>
      </w:r>
      <w:r>
        <w:rPr>
          <w:i/>
          <w:iCs/>
        </w:rPr>
        <w:t xml:space="preserve">istikbār</w:t>
      </w:r>
      <w:r>
        <w:t xml:space="preserve">/</w:t>
      </w:r>
      <w:r>
        <w:rPr>
          <w:i/>
          <w:iCs/>
        </w:rPr>
        <w:t xml:space="preserve">ʿulw</w:t>
      </w:r>
      <w:r>
        <w:t xml:space="preserve">/greed without explicit anger antecedent), or</w:t>
      </w:r>
      <w:r>
        <w:t xml:space="preserve"> </w:t>
      </w:r>
      <w:r>
        <w:rPr>
          <w:b/>
          <w:bCs/>
        </w:rPr>
        <w:t xml:space="preserve">A+S</w:t>
      </w:r>
      <w:r>
        <w:t xml:space="preserve"> </w:t>
      </w:r>
      <w:r>
        <w:t xml:space="preserve">(both antecedents explicitly present). Two independent graduate-level coders (the corresponding author and an Arabic-literature graduate trained on the codebook with relevant commentary excerpts supplied) coded all 145 attestations independently; disagreements (n = 14) were reconciled in a joint session against the four commentaries, with original-pass codings used for κ computation. Cohen’s κ = 0.79 —</w:t>
      </w:r>
      <w:r>
        <w:t xml:space="preserve"> </w:t>
      </w:r>
      <w:r>
        <w:rPr>
          <w:i/>
          <w:iCs/>
        </w:rPr>
        <w:t xml:space="preserve">substantial</w:t>
      </w:r>
      <w:r>
        <w:t xml:space="preserve"> </w:t>
      </w:r>
      <w:r>
        <w:t xml:space="preserve">agreement (Landis and Koch 1977).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(sub-counts sum to root totals).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4502"/>
            <wp:effectExtent b="0" l="0" r="0" t="0"/>
            <wp:docPr descr="Figure 5. Aya-level co-occurrence network of the fourteen core roots; edges weighted by shared-ayat count. Strongest edge ḥzn–ḍyq (weight 3) corpus-validates the Stage-2 grouping (sūrat Hūd, Q. 11:12; sūrat al-Anʿām, Q. 6:33). Baghy anchors the right cluster with edges to the moral-evaluation lexicon (ẓlm/jrm/fsq). Transitive structure (no direct S1→S6 edges; mediation through S2–S5) is consistent with both the action-intensity gradient and the bidirectional Stage-6 reading (§4.8.5)." title="" id="64" name="Picture"/>
            <a:graphic>
              <a:graphicData uri="http://schemas.openxmlformats.org/drawingml/2006/picture">
                <pic:pic>
                  <pic:nvPicPr>
                    <pic:cNvPr descr="fig4_cooccurrence.png" id="65" name="Picture"/>
                    <pic:cNvPicPr>
                      <a:picLocks noChangeArrowheads="1" noChangeAspect="1"/>
                    </pic:cNvPicPr>
                  </pic:nvPicPr>
                  <pic:blipFill>
                    <a:blip r:embed="rId63"/>
                    <a:stretch>
                      <a:fillRect/>
                    </a:stretch>
                  </pic:blipFill>
                  <pic:spPr bwMode="auto">
                    <a:xfrm>
                      <a:off x="0" y="0"/>
                      <a:ext cx="5067300" cy="4314502"/>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(sūrat Hūd, Q. 11:12; sūrat al-Anʿām,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2003525"/>
            <wp:effectExtent b="0" l="0" r="0" t="0"/>
            <wp:docPr descr="Figure 6. 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Wide CIs reflect the small graph; bridging-role claim consistent with point estimates, qualified by bootstrap (§4.8.2). Ḍyq and ḥzn (S2) high-closeness despite low frequency — inner-pressure cluster structurally central." title="" id="67" name="Picture"/>
            <a:graphic>
              <a:graphicData uri="http://schemas.openxmlformats.org/drawingml/2006/picture">
                <pic:pic>
                  <pic:nvPicPr>
                    <pic:cNvPr descr="fig7_centrality.png" id="68" name="Picture"/>
                    <pic:cNvPicPr>
                      <a:picLocks noChangeArrowheads="1" noChangeAspect="1"/>
                    </pic:cNvPicPr>
                  </pic:nvPicPr>
                  <pic:blipFill>
                    <a:blip r:embed="rId66"/>
                    <a:stretch>
                      <a:fillRect/>
                    </a:stretch>
                  </pic:blipFill>
                  <pic:spPr bwMode="auto">
                    <a:xfrm>
                      <a:off x="0" y="0"/>
                      <a:ext cx="5067300" cy="2003525"/>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w:t>
      </w:r>
    </w:p>
    <w:bookmarkEnd w:id="69"/>
    <w:bookmarkStart w:id="70"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w:t>
            </w:r>
            <w:r>
              <w:t xml:space="preserve"> </w:t>
            </w:r>
            <w:r>
              <w:rPr>
                <w:i/>
                <w:iCs/>
              </w:rPr>
              <w:t xml:space="preserve">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rPr>
                <w:i/>
                <w:iCs/>
              </w:rPr>
              <w:t xml:space="preserve">n</w:t>
            </w:r>
            <w:r>
              <w:t xml:space="preserve"> </w:t>
            </w:r>
            <w:r>
              <w:t xml:space="preserve">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w:t>
      </w:r>
      <w:r>
        <w:t xml:space="preserve">and</w:t>
      </w:r>
      <w:r>
        <w:t xml:space="preserve"> </w:t>
      </w:r>
      <w:r>
        <w:rPr>
          <w:i/>
          <w:iCs/>
        </w:rPr>
        <w:t xml:space="preserve">karh</w:t>
      </w:r>
      <w:r>
        <w:t xml:space="preserve">. The umbrella analysis confirms a</w:t>
      </w:r>
      <w:r>
        <w:t xml:space="preserve"> </w:t>
      </w:r>
      <w:r>
        <w:rPr>
          <w:i/>
          <w:iCs/>
        </w:rPr>
        <w:t xml:space="preserve">general</w:t>
      </w:r>
      <w:r>
        <w:t xml:space="preserve"> </w:t>
      </w:r>
      <w:r>
        <w:t xml:space="preserve">phenomenon.</w:t>
      </w:r>
    </w:p>
    <w:bookmarkEnd w:id="70"/>
    <w:bookmarkStart w:id="71"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w:t>
      </w:r>
    </w:p>
    <w:p>
      <w:pPr>
        <w:pStyle w:val="BodyText"/>
      </w:pPr>
      <w:r>
        <w:rPr>
          <w:b/>
          <w:bCs/>
        </w:rPr>
        <w:t xml:space="preserve">Table 6. Translation of four canonical verses across five English translations</w:t>
      </w:r>
      <w:r>
        <w:t xml:space="preserve"> </w:t>
      </w:r>
      <w:r>
        <w:t xml:space="preserve">(illustrative sample;</w:t>
      </w:r>
      <w:r>
        <w:t xml:space="preserve"> </w:t>
      </w:r>
      <w:r>
        <w:rPr>
          <w:i/>
          <w:iCs/>
        </w:rPr>
        <w:t xml:space="preserve">n</w:t>
      </w:r>
      <w:r>
        <w:t xml:space="preserve"> </w:t>
      </w:r>
      <w:r>
        <w:t xml:space="preserve">=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(sūrat al-Ḥijr, 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(sūrat Āl ʿImrān, 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(sūrat al-Mulk, 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(sūrat al-ʿAlaq, 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First, the rendering of</w:t>
      </w:r>
      <w:r>
        <w:t xml:space="preserve"> </w:t>
      </w:r>
      <w:r>
        <w:rPr>
          <w:i/>
          <w:iCs/>
        </w:rPr>
        <w:t xml:space="preserve">ġayẓ</w:t>
      </w:r>
      <w:r>
        <w:t xml:space="preserve"> </w:t>
      </w:r>
      <w:r>
        <w:t xml:space="preserve">in sūrat Āl ʿImrān (Q. 3:134) collapses the</w:t>
      </w:r>
      <w:r>
        <w:t xml:space="preserve"> </w:t>
      </w:r>
      <w:r>
        <w:rPr>
          <w:i/>
          <w:iCs/>
        </w:rPr>
        <w:t xml:space="preserve">ghaḍab/ġayẓ</w:t>
      </w:r>
      <w:r>
        <w:t xml:space="preserve"> </w:t>
      </w:r>
      <w:r>
        <w:t xml:space="preserve">distinction in all five translations — 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 — the</w:t>
      </w:r>
      <w:r>
        <w:t xml:space="preserve"> </w:t>
      </w:r>
      <w:r>
        <w:rPr>
          <w:i/>
          <w:iCs/>
        </w:rPr>
        <w:t xml:space="preserve">containment</w:t>
      </w:r>
      <w:r>
        <w:t xml:space="preserve"> </w:t>
      </w:r>
      <w:r>
        <w:t xml:space="preserve">dimension — is preserved only via the contextual verb of restraint, not in the lexeme itself. Second, the rendering of</w:t>
      </w:r>
      <w:r>
        <w:t xml:space="preserve"> </w:t>
      </w:r>
      <w:r>
        <w:rPr>
          <w:i/>
          <w:iCs/>
        </w:rPr>
        <w:t xml:space="preserve">tamayyuz</w:t>
      </w:r>
      <w:r>
        <w:t xml:space="preserve"> </w:t>
      </w:r>
      <w:r>
        <w:t xml:space="preserve">in sūrat al-Mulk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w:t>
      </w:r>
    </w:p>
    <w:bookmarkEnd w:id="71"/>
    <w:bookmarkStart w:id="72" w:name="X94c148a6e7b5f5ab4cd7ec4b090cab2f1a49839"/>
    <w:p>
      <w:pPr>
        <w:pStyle w:val="Heading3"/>
      </w:pPr>
      <w:r>
        <w:t xml:space="preserve">4.11. Summary of computational corroboration analyses (full detail in Supplementary Material)</w:t>
      </w:r>
    </w:p>
    <w:p>
      <w:pPr>
        <w:pStyle w:val="FirstParagraph"/>
      </w:pPr>
      <w:r>
        <w:t xml:space="preserve">Four computational analyses — extending the main pipeline with neural-language-model and information-theoretic measurements over the same 312 attestations — are reported in full in the Supplementary Material (</w:t>
      </w:r>
      <w:r>
        <w:rPr>
          <w:rStyle w:val="VerbatimChar"/>
        </w:rPr>
        <w:t xml:space="preserve">paper/english/supplementary.md</w:t>
      </w:r>
      <w:r>
        <w:t xml:space="preserve">, sections S1–S4) and summarised here in a single paragraph.</w:t>
      </w:r>
      <w:r>
        <w:t xml:space="preserve"> </w:t>
      </w:r>
      <w:r>
        <w:rPr>
          <w:b/>
          <w:bCs/>
        </w:rPr>
        <w:t xml:space="preserve">S1 (cross-translation semantic drift)</w:t>
      </w:r>
      <w:r>
        <w:t xml:space="preserve"> </w:t>
      </w:r>
      <w:r>
        <w:t xml:space="preserve">uses multilingual MPNet over ten parallel renderings (5 EN + 5 FA) per attestation and recovers three drift bands that map onto the spectrum: affective-core lexemes (</w:t>
      </w:r>
      <w:r>
        <w:rPr>
          <w:i/>
          <w:iCs/>
        </w:rPr>
        <w:t xml:space="preserve">ghaḍab</w:t>
      </w:r>
      <w:r>
        <w:t xml:space="preserve">,</w:t>
      </w:r>
      <w:r>
        <w:t xml:space="preserve"> </w:t>
      </w:r>
      <w:r>
        <w:rPr>
          <w:i/>
          <w:iCs/>
        </w:rPr>
        <w:t xml:space="preserve">ḥuzn</w:t>
      </w:r>
      <w:r>
        <w:t xml:space="preserve">,</w:t>
      </w:r>
      <w:r>
        <w:t xml:space="preserve"> </w:t>
      </w:r>
      <w:r>
        <w:rPr>
          <w:i/>
          <w:iCs/>
        </w:rPr>
        <w:t xml:space="preserve">baghy</w:t>
      </w:r>
      <w:r>
        <w:t xml:space="preserve">) cluster low (drift &lt; 0.20), evaluative-aversion and containment-pressure lexemes (</w:t>
      </w:r>
      <w:r>
        <w:rPr>
          <w:i/>
          <w:iCs/>
        </w:rPr>
        <w:t xml:space="preserve">sakhaṭ</w:t>
      </w:r>
      <w:r>
        <w:t xml:space="preserve">,</w:t>
      </w:r>
      <w:r>
        <w:t xml:space="preserve"> </w:t>
      </w:r>
      <w:r>
        <w:rPr>
          <w:i/>
          <w:iCs/>
        </w:rPr>
        <w:t xml:space="preserve">maqt</w:t>
      </w:r>
      <w:r>
        <w:t xml:space="preserve">,</w:t>
      </w:r>
      <w:r>
        <w:t xml:space="preserve"> </w:t>
      </w:r>
      <w:r>
        <w:rPr>
          <w:i/>
          <w:iCs/>
        </w:rPr>
        <w:t xml:space="preserve">ḍyq</w:t>
      </w:r>
      <w:r>
        <w:t xml:space="preserve">,</w:t>
      </w:r>
      <w:r>
        <w:t xml:space="preserve"> </w:t>
      </w:r>
      <w:r>
        <w:rPr>
          <w:i/>
          <w:iCs/>
        </w:rPr>
        <w:t xml:space="preserve">ghayẓ</w:t>
      </w:r>
      <w:r>
        <w:t xml:space="preserve">) cluster high (&gt; 0.22), and</w:t>
      </w:r>
      <w:r>
        <w:t xml:space="preserve"> </w:t>
      </w:r>
      <w:r>
        <w:rPr>
          <w:i/>
          <w:iCs/>
        </w:rPr>
        <w:t xml:space="preserve">ṭughyān</w:t>
      </w:r>
      <w:r>
        <w:t xml:space="preserve"> </w:t>
      </w:r>
      <w:r>
        <w:t xml:space="preserve">tops the non-hapax distribution — convergent with the §4.10 levelling observation.</w:t>
      </w:r>
      <w:r>
        <w:t xml:space="preserve"> </w:t>
      </w:r>
      <w:r>
        <w:rPr>
          <w:b/>
          <w:bCs/>
        </w:rPr>
        <w:t xml:space="preserve">S2 (CAMeLBERT-CA contextual-embedding clustering)</w:t>
      </w:r>
      <w:r>
        <w:t xml:space="preserve"> </w:t>
      </w:r>
      <w:r>
        <w:t xml:space="preserve">finds silhouette = −0.082, ARI = 0.059, NMI = 0.077 against the six-stage labelling: a clear null in which the model clusters by root identity rather than by stage, taken as evidence that the spectrum adds analytical structure beyond the language model’s distributional view.</w:t>
      </w:r>
      <w:r>
        <w:t xml:space="preserve"> </w:t>
      </w:r>
      <w:r>
        <w:rPr>
          <w:b/>
          <w:bCs/>
        </w:rPr>
        <w:t xml:space="preserve">S3 (PMI-weighted co-occurrence network)</w:t>
      </w:r>
      <w:r>
        <w:t xml:space="preserve"> </w:t>
      </w:r>
      <w:r>
        <w:t xml:space="preserve">corrects the §4.8 unweighted graph for marginal-frequency artefacts: the</w:t>
      </w:r>
      <w:r>
        <w:t xml:space="preserve"> </w:t>
      </w:r>
      <w:r>
        <w:rPr>
          <w:i/>
          <w:iCs/>
        </w:rPr>
        <w:t xml:space="preserve">asaf</w:t>
      </w:r>
      <w:r>
        <w:t xml:space="preserve">–</w:t>
      </w:r>
      <w:r>
        <w:rPr>
          <w:i/>
          <w:iCs/>
        </w:rPr>
        <w:t xml:space="preserve">ghaḍab</w:t>
      </w:r>
      <w:r>
        <w:t xml:space="preserve"> </w:t>
      </w:r>
      <w:r>
        <w:t xml:space="preserve">pairing (npmi = 0.59) emerges as the spectrum’s strongest signal, the Stage-2</w:t>
      </w:r>
      <w:r>
        <w:t xml:space="preserve"> </w:t>
      </w:r>
      <w:r>
        <w:rPr>
          <w:i/>
          <w:iCs/>
        </w:rPr>
        <w:t xml:space="preserve">ḍyq</w:t>
      </w:r>
      <w:r>
        <w:t xml:space="preserve">–</w:t>
      </w:r>
      <w:r>
        <w:rPr>
          <w:i/>
          <w:iCs/>
        </w:rPr>
        <w:t xml:space="preserve">ḥuzn</w:t>
      </w:r>
      <w:r>
        <w:t xml:space="preserve"> </w:t>
      </w:r>
      <w:r>
        <w:t xml:space="preserve">edge (0.47) is ratified, and</w:t>
      </w:r>
      <w:r>
        <w:t xml:space="preserve"> </w:t>
      </w:r>
      <w:r>
        <w:rPr>
          <w:i/>
          <w:iCs/>
        </w:rPr>
        <w:t xml:space="preserve">baghy</w:t>
      </w:r>
      <w:r>
        <w:t xml:space="preserve">’s outsized raw-count centrality is shown to be partly a frequency artefact.</w:t>
      </w:r>
      <w:r>
        <w:t xml:space="preserve"> </w:t>
      </w:r>
      <w:r>
        <w:rPr>
          <w:b/>
          <w:bCs/>
        </w:rPr>
        <w:t xml:space="preserve">S4 (Nöldekean diachronic null)</w:t>
      </w:r>
      <w:r>
        <w:t xml:space="preserve"> </w:t>
      </w:r>
      <w:r>
        <w:t xml:space="preserve">finds Spearman ρ = −0.157 (95% CI via Fisher’s z: [−0.265, −0.046];</w:t>
      </w:r>
      <w:r>
        <w:t xml:space="preserve"> </w:t>
      </w:r>
      <w:r>
        <w:rPr>
          <w:i/>
          <w:iCs/>
        </w:rPr>
        <w:t xml:space="preserve">p</w:t>
      </w:r>
      <w:r>
        <w:t xml:space="preserve"> </w:t>
      </w:r>
      <w:r>
        <w:t xml:space="preserve">= 0.006) against revelation order — a small effect (&lt; 3% of variance) and substantively a null, consistent with the claim that the six-stage taxonomy organises by</w:t>
      </w:r>
      <w:r>
        <w:t xml:space="preserve"> </w:t>
      </w:r>
      <w:r>
        <w:rPr>
          <w:i/>
          <w:iCs/>
        </w:rPr>
        <w:t xml:space="preserve">intensity</w:t>
      </w:r>
      <w:r>
        <w:t xml:space="preserve">, not by</w:t>
      </w:r>
      <w:r>
        <w:t xml:space="preserve"> </w:t>
      </w:r>
      <w:r>
        <w:rPr>
          <w:i/>
          <w:iCs/>
        </w:rPr>
        <w:t xml:space="preserve">chronology</w:t>
      </w:r>
      <w:r>
        <w:t xml:space="preserve">.</w:t>
      </w:r>
    </w:p>
    <w:p>
      <w:r>
        <w:pict>
          <v:rect style="width:0;height:1.5pt" o:hralign="center" o:hrstd="t" o:hr="t"/>
        </w:pict>
      </w:r>
    </w:p>
    <w:bookmarkEnd w:id="72"/>
    <w:bookmarkEnd w:id="73"/>
    <w:bookmarkStart w:id="84" w:name="discussion"/>
    <w:p>
      <w:pPr>
        <w:pStyle w:val="Heading2"/>
      </w:pPr>
      <w:r>
        <w:t xml:space="preserve">5. Discussion</w:t>
      </w:r>
    </w:p>
    <w:bookmarkStart w:id="74"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operating along three dimensions — locus (inner → outer), intensity (low → high), and scope (individual → structural). The lexemes are not synonyms but</w:t>
      </w:r>
      <w:r>
        <w:t xml:space="preserve"> </w:t>
      </w:r>
      <w:r>
        <w:rPr>
          <w:i/>
          <w:iCs/>
        </w:rPr>
        <w:t xml:space="preserve">grades</w:t>
      </w:r>
      <w:r>
        <w:t xml:space="preserve"> </w:t>
      </w:r>
      <w:r>
        <w:t xml:space="preserve">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Stage 6 is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 which is why we read the near-balance between S1–5 (167) and S6 (145) as theoretically informative rather than paradoxical.</w:t>
      </w:r>
    </w:p>
    <w:bookmarkEnd w:id="74"/>
    <w:bookmarkStart w:id="75" w:name="X72b516463d2c03e5f485bcfe86cd728b07c29e4"/>
    <w:p>
      <w:pPr>
        <w:pStyle w:val="Heading3"/>
      </w:pPr>
      <w:r>
        <w:t xml:space="preserve">5.2. Convergence with contemporary emotion psychology</w:t>
      </w:r>
    </w:p>
    <w:p>
      <w:pPr>
        <w:pStyle w:val="FirstParagraph"/>
      </w:pPr>
      <w:r>
        <w:t xml:space="preserve">The six-stage continuum maps onto four families of contemporary emotion theory at points of structural rather than psychometric convergence, sufficient to ground the Islamic-psychology implications of §5.7 and to identify where the Qur’anic lexicon</w:t>
      </w:r>
      <w:r>
        <w:t xml:space="preserve"> </w:t>
      </w:r>
      <w:r>
        <w:rPr>
          <w:i/>
          <w:iCs/>
        </w:rPr>
        <w:t xml:space="preserve">extends</w:t>
      </w:r>
      <w:r>
        <w:t xml:space="preserve"> </w:t>
      </w:r>
      <w:r>
        <w:t xml:space="preserve">the contemporary models.</w:t>
      </w:r>
    </w:p>
    <w:p>
      <w:pPr>
        <w:pStyle w:val="BodyText"/>
      </w:pPr>
      <w:r>
        <w:rPr>
          <w:b/>
          <w:bCs/>
        </w:rPr>
        <w:t xml:space="preserve">Gross’s process model.</w:t>
      </w:r>
      <w:r>
        <w:t xml:space="preserve"> </w:t>
      </w:r>
      <w:r>
        <w:t xml:space="preserve">Gross (1998, 2014, 2015) partitions emotion regulation into five sequential strategies:</w:t>
      </w:r>
      <w:r>
        <w:t xml:space="preserve">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 and</w:t>
      </w:r>
      <w:r>
        <w:t xml:space="preserve"> </w:t>
      </w:r>
      <w:r>
        <w:rPr>
          <w:i/>
          <w:iCs/>
        </w:rPr>
        <w:t xml:space="preserve">response modulation</w:t>
      </w:r>
      <w:r>
        <w:t xml:space="preserve">. The Qur’anic continuum partitions the trajectory more finely on the affective side:</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w:t>
      </w:r>
      <w:r>
        <w:t xml:space="preserve"> </w:t>
      </w:r>
      <w:r>
        <w:rPr>
          <w:i/>
          <w:iCs/>
        </w:rPr>
        <w:t xml:space="preserve">situation selection</w:t>
      </w:r>
      <w:r>
        <w:t xml:space="preserve">;</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 </w:t>
      </w:r>
      <w:r>
        <w:rPr>
          <w:i/>
          <w:iCs/>
        </w:rPr>
        <w:t xml:space="preserve">situation modification</w:t>
      </w:r>
      <w:r>
        <w:t xml:space="preserve">;</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 </w:t>
      </w:r>
      <w:r>
        <w:rPr>
          <w:i/>
          <w:iCs/>
        </w:rPr>
        <w:t xml:space="preserve">attentional deployment</w:t>
      </w:r>
      <w:r>
        <w:t xml:space="preserve"> </w:t>
      </w:r>
      <w:r>
        <w:t xml:space="preserve">and</w:t>
      </w:r>
      <w:r>
        <w:t xml:space="preserve"> </w:t>
      </w:r>
      <w:r>
        <w:rPr>
          <w:i/>
          <w:iCs/>
        </w:rPr>
        <w:t xml:space="preserve">cognitive change</w:t>
      </w:r>
      <w:r>
        <w:t xml:space="preserve">;</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w:t>
      </w:r>
      <w:r>
        <w:t xml:space="preserve"> </w:t>
      </w:r>
      <w:r>
        <w:rPr>
          <w:i/>
          <w:iCs/>
        </w:rPr>
        <w:t xml:space="preserve">response selection</w:t>
      </w:r>
      <w:r>
        <w:t xml:space="preserve">, the kinetic-motor enactment;</w:t>
      </w:r>
      <w:r>
        <w:t xml:space="preserve"> </w:t>
      </w:r>
      <w:r>
        <w:rPr>
          <w:b/>
          <w:bCs/>
        </w:rPr>
        <w:t xml:space="preserve">S5</w:t>
      </w:r>
      <w:r>
        <w:t xml:space="preserve"> </w:t>
      </w:r>
      <w:r>
        <w:t xml:space="preserve">(</w:t>
      </w:r>
      <w:r>
        <w:rPr>
          <w:i/>
          <w:iCs/>
        </w:rPr>
        <w:t xml:space="preserve">ghayẓ</w:t>
      </w:r>
      <w:r>
        <w:t xml:space="preserve">/</w:t>
      </w:r>
      <w:r>
        <w:rPr>
          <w:i/>
          <w:iCs/>
        </w:rPr>
        <w:t xml:space="preserve">kaẓm</w:t>
      </w:r>
      <w:r>
        <w:t xml:space="preserve">;</w:t>
      </w:r>
      <w:r>
        <w:t xml:space="preserve"> </w:t>
      </w:r>
      <w:r>
        <w:rPr>
          <w:i/>
          <w:iCs/>
        </w:rPr>
        <w:t xml:space="preserve">tamayyuz</w:t>
      </w:r>
      <w:r>
        <w:t xml:space="preserve">) ↔</w:t>
      </w:r>
      <w:r>
        <w:t xml:space="preserve"> </w:t>
      </w:r>
      <w:r>
        <w:rPr>
          <w:i/>
          <w:iCs/>
        </w:rPr>
        <w:t xml:space="preserve">response modulation</w:t>
      </w:r>
      <w:r>
        <w:t xml:space="preserve">, with</w:t>
      </w:r>
      <w:r>
        <w:t xml:space="preserve"> </w:t>
      </w:r>
      <w:r>
        <w:rPr>
          <w:i/>
          <w:iCs/>
        </w:rPr>
        <w:t xml:space="preserve">kaẓm</w:t>
      </w:r>
      <w:r>
        <w:t xml:space="preserve"> </w:t>
      </w:r>
      <w:r>
        <w:t xml:space="preserve">operationalising agent-internal</w:t>
      </w:r>
      <w:r>
        <w:t xml:space="preserve"> </w:t>
      </w:r>
      <w:r>
        <w:rPr>
          <w:i/>
          <w:iCs/>
        </w:rPr>
        <w:t xml:space="preserve">suppression / inhibition</w:t>
      </w:r>
      <w:r>
        <w:t xml:space="preserve"> </w:t>
      </w:r>
      <w:r>
        <w:t xml:space="preserve">of expression — one strategy among several available in Gross’s typology (Gross 2015) — and</w:t>
      </w:r>
      <w:r>
        <w:t xml:space="preserve"> </w:t>
      </w:r>
      <w:r>
        <w:rPr>
          <w:i/>
          <w:iCs/>
        </w:rPr>
        <w:t xml:space="preserve">tamayyuz</w:t>
      </w:r>
      <w:r>
        <w:t xml:space="preserve"> </w:t>
      </w:r>
      <w:r>
        <w:t xml:space="preserve">(Q. 67:8) its container-collapse failure mode.</w:t>
      </w:r>
      <w:r>
        <w:t xml:space="preserve"> </w:t>
      </w:r>
      <w:r>
        <w:rPr>
          <w:b/>
          <w:bCs/>
        </w:rPr>
        <w:t xml:space="preserve">S6</w:t>
      </w:r>
      <w:r>
        <w:t xml:space="preserve"> </w:t>
      </w:r>
      <w:r>
        <w:t xml:space="preserve">(</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lies beyond Gross’s frame: process-model regulation concerns the</w:t>
      </w:r>
      <w:r>
        <w:t xml:space="preserve"> </w:t>
      </w:r>
      <w:r>
        <w:rPr>
          <w:i/>
          <w:iCs/>
        </w:rPr>
        <w:t xml:space="preserve">emotional episode</w:t>
      </w:r>
      <w:r>
        <w:t xml:space="preserve">, but Stage 6 lexicalises</w:t>
      </w:r>
      <w:r>
        <w:t xml:space="preserve"> </w:t>
      </w:r>
      <w:r>
        <w:rPr>
          <w:i/>
          <w:iCs/>
        </w:rPr>
        <w:t xml:space="preserve">structural-moral pathologies of personhood</w:t>
      </w:r>
      <w:r>
        <w:t xml:space="preserve"> </w:t>
      </w:r>
      <w:r>
        <w:t xml:space="preserve">outliving any single episode — with the §4.8.5 caveat that Stage 6 has bidirectional causation with the spectrum.</w:t>
      </w:r>
    </w:p>
    <w:p>
      <w:pPr>
        <w:pStyle w:val="BodyText"/>
      </w:pPr>
      <w:r>
        <w:rPr>
          <w:b/>
          <w:bCs/>
        </w:rPr>
        <w:t xml:space="preserve">Plutchik’s intensity wheel; Spielberger’s STAXI architecture.</w:t>
      </w:r>
      <w:r>
        <w:t xml:space="preserve"> </w:t>
      </w:r>
      <w:r>
        <w:t xml:space="preserve">Plutchik (1980, 2001) organises anger on a three-level escalation (</w:t>
      </w:r>
      <w:r>
        <w:rPr>
          <w:i/>
          <w:iCs/>
        </w:rPr>
        <w:t xml:space="preserve">annoyance → anger → rage</w:t>
      </w:r>
      <w:r>
        <w:t xml:space="preserve">); the Qur’anic continuum</w:t>
      </w:r>
      <w:r>
        <w:t xml:space="preserve"> </w:t>
      </w:r>
      <w:r>
        <w:rPr>
          <w:i/>
          <w:iCs/>
        </w:rPr>
        <w:t xml:space="preserve">refines</w:t>
      </w:r>
      <w:r>
        <w:t xml:space="preserve"> </w:t>
      </w:r>
      <w:r>
        <w:t xml:space="preserve">this by partitioning</w:t>
      </w:r>
      <w:r>
        <w:t xml:space="preserve"> </w:t>
      </w:r>
      <w:r>
        <w:rPr>
          <w:i/>
          <w:iCs/>
        </w:rPr>
        <w:t xml:space="preserve">annoyance</w:t>
      </w:r>
      <w:r>
        <w:t xml:space="preserve"> </w:t>
      </w:r>
      <w:r>
        <w:t xml:space="preserve">into vocal irritation (</w:t>
      </w:r>
      <w:r>
        <w:rPr>
          <w:i/>
          <w:iCs/>
        </w:rPr>
        <w:t xml:space="preserve">uff</w:t>
      </w:r>
      <w:r>
        <w:t xml:space="preserve">, S1), inner aversion (</w:t>
      </w:r>
      <w:r>
        <w:rPr>
          <w:i/>
          <w:iCs/>
        </w:rPr>
        <w:t xml:space="preserve">karāha</w:t>
      </w:r>
      <w:r>
        <w:t xml:space="preserve">, S1), and inner pressure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S2) — three Qur’anic stages where Plutchik has one label — and by inserting the</w:t>
      </w:r>
      <w:r>
        <w:t xml:space="preserve"> </w:t>
      </w:r>
      <w:r>
        <w:rPr>
          <w:i/>
          <w:iCs/>
        </w:rPr>
        <w:t xml:space="preserve">compressed-rage</w:t>
      </w:r>
      <w:r>
        <w:t xml:space="preserve"> </w:t>
      </w:r>
      <w:r>
        <w:t xml:space="preserve">register (</w:t>
      </w:r>
      <w:r>
        <w:rPr>
          <w:i/>
          <w:iCs/>
        </w:rPr>
        <w:t xml:space="preserve">ghayẓ</w:t>
      </w:r>
      <w:r>
        <w:t xml:space="preserve">, S5) between</w:t>
      </w:r>
      <w:r>
        <w:t xml:space="preserve"> </w:t>
      </w:r>
      <w:r>
        <w:rPr>
          <w:i/>
          <w:iCs/>
        </w:rPr>
        <w:t xml:space="preserve">anger</w:t>
      </w:r>
      <w:r>
        <w:t xml:space="preserve"> </w:t>
      </w:r>
      <w:r>
        <w:t xml:space="preserve">(≈ S4</w:t>
      </w:r>
      <w:r>
        <w:t xml:space="preserve"> </w:t>
      </w:r>
      <w:r>
        <w:rPr>
          <w:i/>
          <w:iCs/>
        </w:rPr>
        <w:t xml:space="preserve">ghaḍab</w:t>
      </w:r>
      <w:r>
        <w:t xml:space="preserve">) and the unmarked terminal</w:t>
      </w:r>
      <w:r>
        <w:t xml:space="preserve"> </w:t>
      </w:r>
      <w:r>
        <w:rPr>
          <w:i/>
          <w:iCs/>
        </w:rPr>
        <w:t xml:space="preserve">rage</w:t>
      </w:r>
      <w:r>
        <w:t xml:space="preserve">. Spielberger’s STAXI-2 (1999) further partitions anger into</w:t>
      </w:r>
      <w:r>
        <w:t xml:space="preserve"> </w:t>
      </w:r>
      <w:r>
        <w:rPr>
          <w:i/>
          <w:iCs/>
        </w:rPr>
        <w:t xml:space="preserve">trait</w:t>
      </w:r>
      <w:r>
        <w:t xml:space="preserve">,</w:t>
      </w:r>
      <w:r>
        <w:t xml:space="preserve"> </w:t>
      </w:r>
      <w:r>
        <w:rPr>
          <w:i/>
          <w:iCs/>
        </w:rPr>
        <w:t xml:space="preserve">state</w:t>
      </w:r>
      <w:r>
        <w:t xml:space="preserve">, and</w:t>
      </w:r>
      <w:r>
        <w:t xml:space="preserve"> </w:t>
      </w:r>
      <w:r>
        <w:rPr>
          <w:i/>
          <w:iCs/>
        </w:rPr>
        <w:t xml:space="preserve">control</w:t>
      </w:r>
      <w:r>
        <w:t xml:space="preserve">. The Qur’anic lexicon realises this trichotomy at the lexical surface: trait-like sustained states (</w:t>
      </w:r>
      <w:r>
        <w:rPr>
          <w:i/>
          <w:iCs/>
        </w:rPr>
        <w:t xml:space="preserve">ḥuzn</w:t>
      </w:r>
      <w:r>
        <w:t xml:space="preserve"> </w:t>
      </w:r>
      <w:r>
        <w:t xml:space="preserve">at 88% verbal registering recurrent affective episodes,</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and</w:t>
      </w:r>
      <w:r>
        <w:t xml:space="preserve"> </w:t>
      </w:r>
      <w:r>
        <w:rPr>
          <w:i/>
          <w:iCs/>
        </w:rPr>
        <w:t xml:space="preserve">kaẓm</w:t>
      </w:r>
      <w:r>
        <w:t xml:space="preserve"> </w:t>
      </w:r>
      <w:r>
        <w:t xml:space="preserve">(Q. 3:134) 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 suppression construct with the addition of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1986; Lazarus 1991; Scherer 2001, 2005; Roseman 1996) holds that emotional response is determined not by stimulus alone but by cognitive</w:t>
      </w:r>
      <w:r>
        <w:t xml:space="preserve"> </w:t>
      </w:r>
      <w:r>
        <w:rPr>
          <w:i/>
          <w:iCs/>
        </w:rPr>
        <w:t xml:space="preserve">appraisal</w:t>
      </w:r>
      <w:r>
        <w:t xml:space="preserve"> </w:t>
      </w:r>
      <w:r>
        <w:t xml:space="preserve">along a defined set of dimensions. Scherer’s component-process model specifies four sequential checks; the Qur’anic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Sūrat al-ʿAlaq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 the</w:t>
      </w:r>
      <w:r>
        <w:t xml:space="preserve"> </w:t>
      </w:r>
      <w:r>
        <w:rPr>
          <w:i/>
          <w:iCs/>
        </w:rPr>
        <w:t xml:space="preserve">agency-self / motive-consistent / high-control</w:t>
      </w:r>
      <w:r>
        <w:t xml:space="preserve"> </w:t>
      </w:r>
      <w:r>
        <w:t xml:space="preserve">pattern Roseman would predict for defiance. The Qur’anic lexicon thus encodes — as architectural design rather than theoretical statement — insights contemporary emotion science has reached independently.</w:t>
      </w:r>
    </w:p>
    <w:bookmarkEnd w:id="75"/>
    <w:bookmarkStart w:id="76"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balance with Stage 6, as one would expect if (i) the phenomenological side is richer than prior analysis allowed, and (ii) Stage-6 lexemes are not exclusively anger-derived but stand in bidirectional causal relation to anger. In Fauconnier and Turner’s (2002: 17–57) terms, the Stage-6 lexemes operate as a conceptual blend whose input spaces are wrong-doing-as-supremacism and anger-as-pressure, with the blend inheriting causal vectors from both inputs and running them bidirectionally. The methodological lesson: corpus-distributional analyses of religious texts are maps of</w:t>
      </w:r>
      <w:r>
        <w:t xml:space="preserve"> </w:t>
      </w:r>
      <w:r>
        <w:rPr>
          <w:i/>
          <w:iCs/>
        </w:rPr>
        <w:t xml:space="preserve">discursive emphasis</w:t>
      </w:r>
      <w:r>
        <w:t xml:space="preserve">, entangled with category-membership and category-causation decisions.</w:t>
      </w:r>
    </w:p>
    <w:bookmarkEnd w:id="76"/>
    <w:bookmarkStart w:id="77" w:name="discursive-contextual-specialisation"/>
    <w:p>
      <w:pPr>
        <w:pStyle w:val="Heading3"/>
      </w:pPr>
      <w:r>
        <w:t xml:space="preserve">5.4. Discursive-contextual specialisation</w:t>
      </w:r>
    </w:p>
    <w:p>
      <w:pPr>
        <w:pStyle w:val="FirstParagraph"/>
      </w:pPr>
      <w:r>
        <w:t xml:space="preserve">The FDR-surviving Medinan tilt of</w:t>
      </w:r>
      <w:r>
        <w:t xml:space="preserve"> </w:t>
      </w:r>
      <w:r>
        <w:rPr>
          <w:i/>
          <w:iCs/>
        </w:rPr>
        <w:t xml:space="preserve">karh</w:t>
      </w:r>
      <w:r>
        <w:t xml:space="preserve"> </w:t>
      </w:r>
      <w:r>
        <w:t xml:space="preserve">(raw</w:t>
      </w:r>
      <w:r>
        <w:t xml:space="preserve"> </w:t>
      </w:r>
      <w:r>
        <w:rPr>
          <w:i/>
          <w:iCs/>
        </w:rPr>
        <w:t xml:space="preserve">p</w:t>
      </w:r>
      <w:r>
        <w:t xml:space="preserve"> </w:t>
      </w:r>
      <w:r>
        <w:t xml:space="preserve">≈ 10⁻⁷, adj. ≈ 10⁻⁶), the borderline-FDR Medinan exclusivity of</w:t>
      </w:r>
      <w:r>
        <w:t xml:space="preserve"> </w:t>
      </w:r>
      <w:r>
        <w:rPr>
          <w:i/>
          <w:iCs/>
        </w:rPr>
        <w:t xml:space="preserve">sakhaṭ</w:t>
      </w:r>
      <w:r>
        <w:t xml:space="preserve"> </w:t>
      </w:r>
      <w:r>
        <w:t xml:space="preserve">(adj.</w:t>
      </w:r>
      <w:r>
        <w:t xml:space="preserve"> </w:t>
      </w:r>
      <w:r>
        <w:rPr>
          <w:i/>
          <w:iCs/>
        </w:rPr>
        <w:t xml:space="preserve">p</w:t>
      </w:r>
      <w:r>
        <w:t xml:space="preserve"> </w:t>
      </w:r>
      <w:r>
        <w:t xml:space="preserve">= 0.050), the FDR-surviving Medinan tilt of</w:t>
      </w:r>
      <w:r>
        <w:t xml:space="preserve"> </w:t>
      </w:r>
      <w:r>
        <w:rPr>
          <w:i/>
          <w:iCs/>
        </w:rPr>
        <w:t xml:space="preserve">ghayẓ</w:t>
      </w:r>
      <w:r>
        <w:t xml:space="preserve"> </w:t>
      </w:r>
      <w:r>
        <w:t xml:space="preserve">(adj. ≈ 1.9 × 10⁻²), the FDR-surviving Meccan tilt of</w:t>
      </w:r>
      <w:r>
        <w:t xml:space="preserve"> </w:t>
      </w:r>
      <w:r>
        <w:rPr>
          <w:i/>
          <w:iCs/>
        </w:rPr>
        <w:t xml:space="preserve">baghy</w:t>
      </w:r>
      <w:r>
        <w:t xml:space="preserve"> </w:t>
      </w:r>
      <w:r>
        <w:t xml:space="preserve">(adj. ≈ 5.3 × 10⁻³),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karh</w:t>
      </w:r>
      <w:r>
        <w:t xml:space="preserve"> </w:t>
      </w:r>
      <w:r>
        <w:t xml:space="preserve">to the structural</w:t>
      </w:r>
      <w:r>
        <w:t xml:space="preserve"> </w:t>
      </w:r>
      <w:r>
        <w:rPr>
          <w:i/>
          <w:iCs/>
        </w:rPr>
        <w:t xml:space="preserve">ikrāh</w:t>
      </w:r>
      <w:r>
        <w:t xml:space="preserve"> </w:t>
      </w:r>
      <w:r>
        <w:t xml:space="preserve">idiom of Medinan community discipline,</w:t>
      </w:r>
      <w:r>
        <w:t xml:space="preserve"> </w:t>
      </w:r>
      <w:r>
        <w:rPr>
          <w:i/>
          <w:iCs/>
        </w:rPr>
        <w:t xml:space="preserve">ghayẓ</w:t>
      </w:r>
      <w:r>
        <w:t xml:space="preserve"> </w:t>
      </w:r>
      <w:r>
        <w:t xml:space="preserve">to the</w:t>
      </w:r>
      <w:r>
        <w:t xml:space="preserve"> </w:t>
      </w:r>
      <w:r>
        <w:rPr>
          <w:i/>
          <w:iCs/>
        </w:rPr>
        <w:t xml:space="preserve">kaẓm</w:t>
      </w:r>
      <w:r>
        <w:t xml:space="preserve"> </w:t>
      </w:r>
      <w:r>
        <w:t xml:space="preserve">pedagogy of Medinan ethics,</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(2006) on textual relations and Sinai (2017, 2023) on Meccan/Medinan diachrony 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 (Sharaf and Atwell 2012a, 2012b), QuranMorph (Akra, Hammouda and Jarrar 2025), and MASAQ (Sawalha et al. 2024).</w:t>
      </w:r>
    </w:p>
    <w:bookmarkEnd w:id="77"/>
    <w:bookmarkStart w:id="81" w:name="Xeb7af648a9b5037314a84f7b755228345cfdadd"/>
    <w:p>
      <w:pPr>
        <w:pStyle w:val="Heading3"/>
      </w:pPr>
      <w:r>
        <w:t xml:space="preserve">5.5. Q. 67:8 and the container metaphor: a focused comparative survey</w:t>
      </w:r>
    </w:p>
    <w:p>
      <w:pPr>
        <w:pStyle w:val="FirstParagraph"/>
      </w:pPr>
      <w:r>
        <w:t xml:space="preserve">Lakoff and Kövecses (1987: 195–221) reconstructed American-English anger as a</w:t>
      </w:r>
      <w:r>
        <w:t xml:space="preserve"> </w:t>
      </w:r>
      <w:r>
        <w:rPr>
          <w:i/>
          <w:iCs/>
        </w:rPr>
        <w:t xml:space="preserve">five-stage prototype scenario</w:t>
      </w:r>
      <w:r>
        <w:t xml:space="preserve"> </w:t>
      </w:r>
      <w:r>
        <w:t xml:space="preserve">— (1) offending event, (2) anger, (3) attempt at control, (4) loss of control, (5) act of retribution — with the PRESSURIZED CONTAINER schema mapped onto stages (2)–(4). English exemplars lexicalise the stage-(4) failure-mode as the</w:t>
      </w:r>
      <w:r>
        <w:t xml:space="preserve"> </w:t>
      </w:r>
      <w:r>
        <w:rPr>
          <w:i/>
          <w:iCs/>
        </w:rPr>
        <w:t xml:space="preserve">exit of contents</w:t>
      </w:r>
      <w:r>
        <w:t xml:space="preserve"> </w:t>
      </w:r>
      <w:r>
        <w:t xml:space="preserve">with the container preserved (</w:t>
      </w:r>
      <w:r>
        <w:rPr>
          <w:i/>
          <w:iCs/>
        </w:rPr>
        <w:t xml:space="preserve">blew his top</w:t>
      </w:r>
      <w:r>
        <w:t xml:space="preserve">,</w:t>
      </w:r>
      <w:r>
        <w:t xml:space="preserve"> </w:t>
      </w:r>
      <w:r>
        <w:rPr>
          <w:i/>
          <w:iCs/>
        </w:rPr>
        <w:t xml:space="preserve">flipped his lid</w:t>
      </w:r>
      <w:r>
        <w:t xml:space="preserve"> </w:t>
      </w:r>
      <w:r>
        <w:t xml:space="preserve">— the rupturing component is peripheral, not the body of the vessel). The Qur’anic</w:t>
      </w:r>
      <w:r>
        <w:t xml:space="preserve"> </w:t>
      </w:r>
      <w:r>
        <w:rPr>
          <w:i/>
          <w:iCs/>
        </w:rPr>
        <w:t xml:space="preserve">ghayẓ–kaẓm–tamayyuz</w:t>
      </w:r>
      <w:r>
        <w:t xml:space="preserve"> </w:t>
      </w:r>
      <w:r>
        <w:t xml:space="preserve">triad maps onto the same stages (2)–(4) with a precision the English exemplars do not match at stage (4):</w:t>
      </w:r>
      <w:r>
        <w:t xml:space="preserve"> </w:t>
      </w:r>
      <w:r>
        <w:rPr>
          <w:i/>
          <w:iCs/>
        </w:rPr>
        <w:t xml:space="preserve">ghayẓ</w:t>
      </w:r>
      <w:r>
        <w:t xml:space="preserve"> </w:t>
      </w:r>
      <w:r>
        <w:t xml:space="preserve">is glossed as compressed contained anger (stage 2);</w:t>
      </w:r>
      <w:r>
        <w:t xml:space="preserve"> </w:t>
      </w:r>
      <w:r>
        <w:rPr>
          <w:i/>
          <w:iCs/>
        </w:rPr>
        <w:t xml:space="preserve">kaẓm</w:t>
      </w:r>
      <w:r>
        <w:t xml:space="preserve"> </w:t>
      </w:r>
      <w:r>
        <w:t xml:space="preserve">(Q. 3:134) names the agent-internal suppression operation (stage 3); sūrat al-Mulk (Q. 67:8,</w:t>
      </w:r>
      <w:r>
        <w:t xml:space="preserve"> </w:t>
      </w:r>
      <w:r>
        <w:rPr>
          <w:i/>
          <w:iCs/>
        </w:rPr>
        <w:t xml:space="preserve">takādu tamayyazu min al-ġayẓ</w:t>
      </w:r>
      <w:r>
        <w:t xml:space="preserve">) lexicalises</w:t>
      </w:r>
      <w:r>
        <w:t xml:space="preserve"> </w:t>
      </w:r>
      <w:r>
        <w:rPr>
          <w:i/>
          <w:iCs/>
        </w:rPr>
        <w:t xml:space="preserve">the parting / severing of the vessel itself</w:t>
      </w:r>
      <w:r>
        <w:t xml:space="preserve"> </w:t>
      </w:r>
      <w:r>
        <w:t xml:space="preserve">(stage 4), figuring the fire-vessel of Jahannam parting structurally from the rage of its contents rather than the exit of contents from an intact vessel.</w:t>
      </w:r>
    </w:p>
    <w:p>
      <w:pPr>
        <w:pStyle w:val="BodyText"/>
      </w:pPr>
      <w:r>
        <w:t xml:space="preserve">A focused six-tradition survey contextualises the strength of this claim.</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and</w:t>
      </w:r>
      <w:r>
        <w:t xml:space="preserve"> </w:t>
      </w:r>
      <w:r>
        <w:rPr>
          <w:i/>
          <w:iCs/>
        </w:rPr>
        <w:t xml:space="preserve">kabattu</w:t>
      </w:r>
      <w:r>
        <w:t xml:space="preserve"> </w:t>
      </w:r>
      <w:r>
        <w:t xml:space="preserve">as filled containers (</w:t>
      </w:r>
      <w:r>
        <w:rPr>
          <w:i/>
          <w:iCs/>
        </w:rPr>
        <w:t xml:space="preserve">libbāti malû</w:t>
      </w:r>
      <w:r>
        <w:t xml:space="preserve">, CAD L 163–164; Bodi 2018); recent bodily-mapping work on Neo-Assyrian texts (Lauri et al. 2024) confirms a dominantly FILLING / HEAT-IN-CONTAINER schema.</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and the formulaic</w:t>
      </w:r>
      <w:r>
        <w:t xml:space="preserve"> </w:t>
      </w:r>
      <w:r>
        <w:rPr>
          <w:i/>
          <w:iCs/>
        </w:rPr>
        <w:t xml:space="preserve">ḥarôn-ʾaph</w:t>
      </w:r>
      <w:r>
        <w:t xml:space="preserve">; Kruger (2000, 2015) demonstrates that ANGER IS FLUID IN A CONTAINER and ANGER IS FIRE IN THE NOSE are the dominant metaphors of the Hebrew Bible, both schematically EXIT-typed. The instructive exception is Job 32:19, where Elihu declares his belly</w:t>
      </w:r>
      <w:r>
        <w:t xml:space="preserve"> </w:t>
      </w:r>
      <w:r>
        <w:rPr>
          <w:i/>
          <w:iCs/>
        </w:rPr>
        <w:t xml:space="preserve">kĕ-yayin lōʾ-yippātēaḥ … yibbāqēaʿ</w:t>
      </w:r>
      <w:r>
        <w:t xml:space="preserve"> </w:t>
      </w:r>
      <w:r>
        <w:t xml:space="preserve">—</w:t>
      </w:r>
      <w:r>
        <w:t xml:space="preserve"> </w:t>
      </w:r>
      <w:r>
        <w:t xml:space="preserve">“like wine that is not opened … about to burst like new wineskins”</w:t>
      </w:r>
      <w:r>
        <w:t xml:space="preserve">: the verb</w:t>
      </w:r>
      <w:r>
        <w:t xml:space="preserve"> </w:t>
      </w:r>
      <w:r>
        <w:rPr>
          <w:i/>
          <w:iCs/>
        </w:rPr>
        <w:t xml:space="preserve">bāqaʿ</w:t>
      </w:r>
      <w:r>
        <w:t xml:space="preserve"> </w:t>
      </w:r>
      <w:r>
        <w:t xml:space="preserve">names exactly the structural failure of the vessel that the Qur’anic</w:t>
      </w:r>
      <w:r>
        <w:t xml:space="preserve"> </w:t>
      </w:r>
      <w:r>
        <w:rPr>
          <w:i/>
          <w:iCs/>
        </w:rPr>
        <w:t xml:space="preserve">tamayyaza</w:t>
      </w:r>
      <w:r>
        <w:t xml:space="preserve"> </w:t>
      </w:r>
      <w:r>
        <w:t xml:space="preserve">names. We therefore qualify our claim — Q. 67:8 is</w:t>
      </w:r>
      <w:r>
        <w:t xml:space="preserve"> </w:t>
      </w:r>
      <w:r>
        <w:rPr>
          <w:i/>
          <w:iCs/>
        </w:rPr>
        <w:t xml:space="preserve">an early and unusually transparent</w:t>
      </w:r>
      <w:r>
        <w:t xml:space="preserve"> </w:t>
      </w:r>
      <w:r>
        <w:t xml:space="preserve">lexicalisation of container collapse, not a unique one.</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 rising) and</w:t>
      </w:r>
      <w:r>
        <w:t xml:space="preserve"> </w:t>
      </w:r>
      <w:r>
        <w:rPr>
          <w:i/>
          <w:iCs/>
        </w:rPr>
        <w:t xml:space="preserve">mēnis</w:t>
      </w:r>
      <w:r>
        <w:t xml:space="preserve"> </w:t>
      </w:r>
      <w:r>
        <w:t xml:space="preserve">(ritualised wrath); Muellner (1996) and Cairns (2003) read both as fluid-and-heat schemas, with no Iliadic image of vessel rupture.</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and</w:t>
      </w:r>
      <w:r>
        <w:t xml:space="preserve"> </w:t>
      </w:r>
      <w:r>
        <w:rPr>
          <w:i/>
          <w:iCs/>
        </w:rPr>
        <w:t xml:space="preserve">manyu</w:t>
      </w:r>
      <w:r>
        <w:t xml:space="preserve">, the latter personified as a martial deity associated with Indra (ṚV 10.83–84); the dominant images are FIRE and WEAPON-RELEASE, not vessel-disintegration.</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w:t>
      </w:r>
      <w:r>
        <w:t xml:space="preserve"> </w:t>
      </w:r>
      <w:r>
        <w:rPr>
          <w:i/>
          <w:iCs/>
        </w:rPr>
        <w:t xml:space="preserve">fèn</w:t>
      </w:r>
      <w:r>
        <w:t xml:space="preserve">, and</w:t>
      </w:r>
      <w:r>
        <w:t xml:space="preserve"> </w:t>
      </w:r>
      <w:r>
        <w:rPr>
          <w:i/>
          <w:iCs/>
        </w:rPr>
        <w:t xml:space="preserve">qì</w:t>
      </w:r>
      <w:r>
        <w:t xml:space="preserve"> </w:t>
      </w:r>
      <w:r>
        <w:t xml:space="preserve">(Yu 1995); Kövecses, Benczes and Szelid (2025) identify ANGER IS HOT</w:t>
      </w:r>
      <w:r>
        <w:t xml:space="preserve"> </w:t>
      </w:r>
      <w:r>
        <w:rPr>
          <w:i/>
          <w:iCs/>
        </w:rPr>
        <w:t xml:space="preserve">QÌ</w:t>
      </w:r>
      <w:r>
        <w:t xml:space="preserve"> </w:t>
      </w:r>
      <w:r>
        <w:t xml:space="preserve">IN A CONTAINER as the central schema.</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genuinely Arabian.</w:t>
      </w:r>
    </w:p>
    <w:p>
      <w:pPr>
        <w:pStyle w:val="BodyText"/>
      </w:pPr>
      <w:r>
        <w:t xml:space="preserve">Five of the six traditions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 We accordingly hold our claim at</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(though Akkadian</w:t>
      </w:r>
      <w:r>
        <w:t xml:space="preserve"> </w:t>
      </w:r>
      <w:r>
        <w:rPr>
          <w:i/>
          <w:iCs/>
        </w:rPr>
        <w:t xml:space="preserve">kabattu napāḫu</w:t>
      </w:r>
      <w:r>
        <w:t xml:space="preserve"> </w:t>
      </w:r>
      <w:r>
        <w:t xml:space="preserve">“liver bursting”</w:t>
      </w:r>
      <w:r>
        <w:t xml:space="preserve">, Greek Iliadic</w:t>
      </w:r>
      <w:r>
        <w:t xml:space="preserve"> </w:t>
      </w:r>
      <w:r>
        <w:rPr>
          <w:i/>
          <w:iCs/>
        </w:rPr>
        <w:t xml:space="preserve">cholos</w:t>
      </w:r>
      <w:r>
        <w:t xml:space="preserve"> </w:t>
      </w:r>
      <w:r>
        <w:t xml:space="preserve">swelling imagery, and Vedic</w:t>
      </w:r>
      <w:r>
        <w:t xml:space="preserve"> </w:t>
      </w:r>
      <w:r>
        <w:rPr>
          <w:i/>
          <w:iCs/>
        </w:rPr>
        <w:t xml:space="preserve">manyu</w:t>
      </w:r>
      <w:r>
        <w:t xml:space="preserve"> </w:t>
      </w:r>
      <w:r>
        <w:t xml:space="preserve">combustion offer imperfect cognates of step-(iv) container-rupture imagery that a properly stratified cross-linguistic comparison may bring more fully into the picture). The Qur’anic data thus</w:t>
      </w:r>
      <w:r>
        <w:t xml:space="preserve"> </w:t>
      </w:r>
      <w:r>
        <w:rPr>
          <w:i/>
          <w:iCs/>
        </w:rPr>
        <w:t xml:space="preserve">strengthen</w:t>
      </w:r>
      <w:r>
        <w:t xml:space="preserve"> </w:t>
      </w:r>
      <w:r>
        <w:t xml:space="preserve">the cross-cultural universalist hypothesis of CMT (Lakoff and Kövecses 1987; Kövecses 2000); they extend the empirical base to seventh-century Arabic in a register that the 2025</w:t>
      </w:r>
      <w:r>
        <w:t xml:space="preserve"> </w:t>
      </w:r>
      <w:r>
        <w:rPr>
          <w:i/>
          <w:iCs/>
        </w:rPr>
        <w:t xml:space="preserve">Metaphors of ANGER</w:t>
      </w:r>
      <w:r>
        <w:t xml:space="preserve"> </w:t>
      </w:r>
      <w:r>
        <w:t xml:space="preserve">encyclopedia, which omits a dedicated treatment of Classical Arabic, leaves un-canvassed.</w:t>
      </w:r>
    </w:p>
    <w:p>
      <w:pPr>
        <w:pStyle w:val="CaptionedFigure"/>
      </w:pPr>
      <w:r>
        <w:drawing>
          <wp:inline>
            <wp:extent cx="5334000" cy="2445230"/>
            <wp:effectExtent b="0" l="0" r="0" t="0"/>
            <wp:docPr descr="Figure 7. The ANGER-IS-A-PRESSURIZED-CONTAINER schema (after Lakoff and Kövecses 1987), instantiated by ghaḍab → ghayẓ + kaẓm → tamayyuz. Panel 1 (S4): ghaḍab — open container, affect dissipating into language. Panel 2 (S5, sūrat Āl ʿImrān, Q. 3:134): ghayẓ — fluid sealed by kaẓm (etymologically the tying-off of a waterskin). Panel 3 (S5 manifestation, sūrat al-Mulk,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79" name="Picture"/>
            <a:graphic>
              <a:graphicData uri="http://schemas.openxmlformats.org/drawingml/2006/picture">
                <pic:pic>
                  <pic:nvPicPr>
                    <pic:cNvPr descr="fig6_metaphor_v2.jpg" id="80" name="Picture"/>
                    <pic:cNvPicPr>
                      <a:picLocks noChangeArrowheads="1" noChangeAspect="1"/>
                    </pic:cNvPicPr>
                  </pic:nvPicPr>
                  <pic:blipFill>
                    <a:blip r:embed="rId78"/>
                    <a:stretch>
                      <a:fillRect/>
                    </a:stretch>
                  </pic:blipFill>
                  <pic:spPr bwMode="auto">
                    <a:xfrm>
                      <a:off x="0" y="0"/>
                      <a:ext cx="5334000" cy="2445230"/>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The ANGER-IS-A-PRESSURIZED-CONTAINER schema (after Lakoff and Kövecses 1987),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sūrat Āl ʿImrān,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sūrat al-Mulk,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81"/>
    <w:bookmarkStart w:id="82" w:name="X580d141d0366f3f1fcc1a0412dd33071ff8e809"/>
    <w:p>
      <w:pPr>
        <w:pStyle w:val="Heading3"/>
      </w:pPr>
      <w:r>
        <w:t xml:space="preserve">5.6. Implications for Qur’anic translation (conditional on follow-up evaluation)</w:t>
      </w:r>
    </w:p>
    <w:p>
      <w:pPr>
        <w:pStyle w:val="FirstParagraph"/>
      </w:pPr>
      <w:r>
        <w:t xml:space="preserve">Translation criticism has long observed that translations tend to level the spectrum — 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Recent computational work — Gaanoun and Alsuhaibani (2025) on sentiment preservation across seven English translations, Khan et al. (2025) on the broader NLP-Qur’anic-studies field —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is that pedagogical translations may benefit from marking each lexeme’s position on the continuum, but the empirical case for this rests on the comparative comprehension study we commend to future work.</w:t>
      </w:r>
    </w:p>
    <w:bookmarkEnd w:id="82"/>
    <w:bookmarkStart w:id="83"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importing secular vocabulary, with three conceptual implications:</w:t>
      </w:r>
      <w:r>
        <w:t xml:space="preserve"> </w:t>
      </w:r>
      <w:r>
        <w:rPr>
          <w:b/>
          <w:bCs/>
        </w:rPr>
        <w:t xml:space="preserve">(i) Prevention</w:t>
      </w:r>
      <w:r>
        <w:t xml:space="preserve"> </w:t>
      </w:r>
      <w:r>
        <w:t xml:space="preserve">— early-stage recognition through the indigenous S1–2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w:t>
      </w:r>
      <w:r>
        <w:t xml:space="preserve"> </w:t>
      </w:r>
      <w:r>
        <w:rPr>
          <w:i/>
          <w:iCs/>
        </w:rPr>
        <w:t xml:space="preserve">kaẓm</w:t>
      </w:r>
      <w:r>
        <w:t xml:space="preserve"> </w:t>
      </w:r>
      <w:r>
        <w:t xml:space="preserve">integrates with contemporary suppression-and-reappraisal techniques;</w:t>
      </w:r>
      <w:r>
        <w:t xml:space="preserve"> </w:t>
      </w:r>
      <w:r>
        <w:rPr>
          <w:b/>
          <w:bCs/>
        </w:rPr>
        <w:t xml:space="preserve">(iii) Rehabilitation</w:t>
      </w:r>
      <w:r>
        <w:t xml:space="preserve"> </w:t>
      </w:r>
      <w:r>
        <w:t xml:space="preserve">— post-failure Stage 6 is framed as recoverable through</w:t>
      </w:r>
      <w:r>
        <w:t xml:space="preserve"> </w:t>
      </w:r>
      <w:r>
        <w:rPr>
          <w:i/>
          <w:iCs/>
        </w:rPr>
        <w:t xml:space="preserve">tawba</w:t>
      </w:r>
      <w:r>
        <w:t xml:space="preserve">, providing motivational reinforcement for anger-disorder and post-violent-trauma rehabilitation. These are conceptual; their translation into validated clinical interventions awaits empirical studies we recommend as a priority.</w:t>
      </w:r>
    </w:p>
    <w:p>
      <w:r>
        <w:pict>
          <v:rect style="width:0;height:1.5pt" o:hralign="center" o:hrstd="t" o:hr="t"/>
        </w:pict>
      </w:r>
    </w:p>
    <w:bookmarkEnd w:id="83"/>
    <w:bookmarkEnd w:id="84"/>
    <w:bookmarkStart w:id="89" w:name="conclusion"/>
    <w:p>
      <w:pPr>
        <w:pStyle w:val="Heading2"/>
      </w:pPr>
      <w:r>
        <w:t xml:space="preserve">6. Conclusion</w:t>
      </w:r>
    </w:p>
    <w:bookmarkStart w:id="85" w:name="substantive-contributions"/>
    <w:p>
      <w:pPr>
        <w:pStyle w:val="Heading3"/>
      </w:pPr>
      <w:r>
        <w:t xml:space="preserve">6.1. Substantive contributions</w:t>
      </w:r>
    </w:p>
    <w:p>
      <w:pPr>
        <w:pStyle w:val="FirstParagraph"/>
      </w:pPr>
      <w:r>
        <w:t xml:space="preserve">This paper advances three contributions.</w:t>
      </w:r>
      <w:r>
        <w:t xml:space="preserve"> </w:t>
      </w:r>
      <w:r>
        <w:rPr>
          <w:b/>
          <w:bCs/>
        </w:rPr>
        <w:t xml:space="preserve">Methodologically</w:t>
      </w:r>
      <w:r>
        <w:t xml:space="preserve">, we have demonstrated that the integration of Izutsu’s semantic-field analysis, Kennedy–Sassoon scalar semantics, and Lakoff–Kövecses CMT — coupled with a reproducible computational pipeline over the QAC — produces a research apparatus stronger than the sum of its parts. To our knowledge, this trifold integration with corpus-empirical validation has not previously been deployed in Qur’anic studies, although Qāʾimīniyā (2011, 2014) and Pakatchi and Afrashi (2020) have integrated Izutsu and CMT.</w:t>
      </w:r>
    </w:p>
    <w:p>
      <w:pPr>
        <w:pStyle w:val="BodyText"/>
      </w:pPr>
      <w:r>
        <w:rPr>
          <w:b/>
          <w:bCs/>
        </w:rPr>
        <w:t xml:space="preserve">Descriptively</w:t>
      </w:r>
      <w:r>
        <w:t xml:space="preserve">, we have produced a reproducible concordance of 312 attestations across the fourteen core spectrum roots, with distributional and network-analytic outputs — FDR-adjusted binomial tests, marginal-preserving permutation null</w:t>
      </w:r>
      <w:r>
        <w:t xml:space="preserve"> </w:t>
      </w:r>
      <w:r>
        <w:rPr>
          <w:i/>
          <w:iCs/>
        </w:rPr>
        <w:t xml:space="preserve">p</w:t>
      </w:r>
      <w:r>
        <w:t xml:space="preserve">-values, and bootstrap 95% CIs on every centrality estimate — providing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fourteen core lexemes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the broadened</w:t>
      </w:r>
      <w:r>
        <w:t xml:space="preserve"> </w:t>
      </w:r>
      <w:r>
        <w:rPr>
          <w:i/>
          <w:iCs/>
        </w:rPr>
        <w:t xml:space="preserve">tafsīr</w:t>
      </w:r>
      <w:r>
        <w:t xml:space="preserve"> </w:t>
      </w:r>
      <w:r>
        <w:t xml:space="preserve">consultation of §3.5, and by quantitative evidence from frequency, distribution, morphology, and network structure. The κ = 0.79-validated</w:t>
      </w:r>
      <w:r>
        <w:t xml:space="preserve"> </w:t>
      </w:r>
      <w:r>
        <w:rPr>
          <w:i/>
          <w:iCs/>
        </w:rPr>
        <w:t xml:space="preserve">tafsīr</w:t>
      </w:r>
      <w:r>
        <w:t xml:space="preserve">-coding audit grounds the bidirectional-causation reading of Stage 6; the six-tradition survey of §5.5 calibrates Q. 67:8 as</w:t>
      </w:r>
      <w:r>
        <w:t xml:space="preserve"> </w:t>
      </w:r>
      <w:r>
        <w:rPr>
          <w:i/>
          <w:iCs/>
        </w:rPr>
        <w:t xml:space="preserve">early and unusually transparent</w:t>
      </w:r>
      <w:r>
        <w:t xml:space="preserve"> </w:t>
      </w:r>
      <w:r>
        <w:t xml:space="preserve">— rather than uniquely transparent — lexicalisation of</w:t>
      </w:r>
      <w:r>
        <w:t xml:space="preserve"> </w:t>
      </w:r>
      <w:r>
        <w:t xml:space="preserve">“container collapse”</w:t>
      </w:r>
      <w:r>
        <w:t xml:space="preserve">, with Job 32:19 (</w:t>
      </w:r>
      <w:r>
        <w:rPr>
          <w:i/>
          <w:iCs/>
        </w:rPr>
        <w:t xml:space="preserve">bāqaʿ</w:t>
      </w:r>
      <w:r>
        <w:t xml:space="preserve">) acknowledged as a structurally cognate Northwest-Semitic precedent.</w:t>
      </w:r>
    </w:p>
    <w:bookmarkEnd w:id="85"/>
    <w:bookmarkStart w:id="86" w:name="answers-to-the-research-questions"/>
    <w:p>
      <w:pPr>
        <w:pStyle w:val="Heading3"/>
      </w:pPr>
      <w:r>
        <w:t xml:space="preserve">6.2. Answers to the research questions</w:t>
      </w:r>
    </w:p>
    <w:p>
      <w:pPr>
        <w:pStyle w:val="FirstParagraph"/>
      </w:pPr>
      <w:r>
        <w:rPr>
          <w:b/>
          <w:bCs/>
        </w:rPr>
        <w:t xml:space="preserve">RQ1–RQ2.</w:t>
      </w:r>
      <w:r>
        <w:t xml:space="preserve"> </w:t>
      </w:r>
      <w:r>
        <w:t xml:space="preserve">The anger-spectrum field is a fourteen-node lexical network organised by</w:t>
      </w:r>
      <w:r>
        <w:t xml:space="preserve"> </w:t>
      </w:r>
      <w:r>
        <w:rPr>
          <w:i/>
          <w:iCs/>
        </w:rPr>
        <w:t xml:space="preserve">intensity of action</w:t>
      </w:r>
      <w:r>
        <w:t xml:space="preserve">. The bridge node is</w:t>
      </w:r>
      <w:r>
        <w:t xml:space="preserve"> </w:t>
      </w:r>
      <w:r>
        <w:rPr>
          <w:i/>
          <w:iCs/>
        </w:rPr>
        <w:t xml:space="preserve">baghy</w:t>
      </w:r>
      <w:r>
        <w:t xml:space="preserve"> </w:t>
      </w:r>
      <w:r>
        <w:t xml:space="preserve">(closeness 0.55; ~53% of cross-field ties to the umbrella moral-evaluation terms); stage-internal hubs are</w:t>
      </w:r>
      <w:r>
        <w:t xml:space="preserve"> </w:t>
      </w:r>
      <w:r>
        <w:rPr>
          <w:i/>
          <w:iCs/>
        </w:rPr>
        <w:t xml:space="preserve">ḥuzn</w:t>
      </w:r>
      <w:r>
        <w:t xml:space="preserve"> </w:t>
      </w:r>
      <w:r>
        <w:t xml:space="preserve">(S2) and</w:t>
      </w:r>
      <w:r>
        <w:t xml:space="preserve"> </w:t>
      </w:r>
      <w:r>
        <w:rPr>
          <w:i/>
          <w:iCs/>
        </w:rPr>
        <w:t xml:space="preserve">ghaḍab</w:t>
      </w:r>
      <w:r>
        <w:t xml:space="preserve"> </w:t>
      </w:r>
      <w:r>
        <w:t xml:space="preserve">(S4). The ordering is licensed by the trifold synthesis of §2 and shown by Table 1 to be internally encoded in the four authoritative lexica.</w:t>
      </w:r>
    </w:p>
    <w:p>
      <w:pPr>
        <w:pStyle w:val="BodyText"/>
      </w:pPr>
      <w:r>
        <w:rPr>
          <w:b/>
          <w:bCs/>
        </w:rPr>
        <w:t xml:space="preserve">RQ3.</w:t>
      </w:r>
      <w:r>
        <w:t xml:space="preserve"> </w:t>
      </w:r>
      <w:r>
        <w:t xml:space="preserve">The empirical distribution is</w:t>
      </w:r>
      <w:r>
        <w:t xml:space="preserve"> </w:t>
      </w:r>
      <w:r>
        <w:rPr>
          <w:i/>
          <w:iCs/>
        </w:rPr>
        <w:t xml:space="preserve">consistent with</w:t>
      </w:r>
      <w:r>
        <w:t xml:space="preserve"> </w:t>
      </w:r>
      <w:r>
        <w:t xml:space="preserve">— not by itself confirmatory of — the continuum. The asymptotic χ²(5) = 227.15 is large, but permutation null</w:t>
      </w:r>
      <w:r>
        <w:t xml:space="preserve"> </w:t>
      </w:r>
      <w:r>
        <w:rPr>
          <w:i/>
          <w:iCs/>
        </w:rPr>
        <w:t xml:space="preserve">p</w:t>
      </w:r>
      <w:r>
        <w:t xml:space="preserve"> </w:t>
      </w:r>
      <w:r>
        <w:t xml:space="preserve">= 0.24; the S1–5/S6 χ²(1) = 1.55 fails to reject, consistent with the bidirectional-causation reading supported by the κ = 0.79 audit (A = 26%, S = 49%, A+S = 25%; A-only re-analysis χ²(1) = 81.4,</w:t>
      </w:r>
      <w:r>
        <w:t xml:space="preserve"> </w:t>
      </w:r>
      <w:r>
        <w:rPr>
          <w:i/>
          <w:iCs/>
        </w:rPr>
        <w:t xml:space="preserve">p</w:t>
      </w:r>
      <w:r>
        <w:t xml:space="preserve"> </w:t>
      </w:r>
      <w:r>
        <w:t xml:space="preserve">&lt; 0.001). Three roots survive Holm-Bonferroni emphatically (</w:t>
      </w:r>
      <w:r>
        <w:rPr>
          <w:i/>
          <w:iCs/>
        </w:rPr>
        <w:t xml:space="preserve">karh</w:t>
      </w:r>
      <w:r>
        <w:t xml:space="preserve">,</w:t>
      </w:r>
      <w:r>
        <w:t xml:space="preserve"> </w:t>
      </w:r>
      <w:r>
        <w:rPr>
          <w:i/>
          <w:iCs/>
        </w:rPr>
        <w:t xml:space="preserve">baghy</w:t>
      </w:r>
      <w:r>
        <w:t xml:space="preserve">,</w:t>
      </w:r>
      <w:r>
        <w:t xml:space="preserve"> </w:t>
      </w:r>
      <w:r>
        <w:rPr>
          <w:i/>
          <w:iCs/>
        </w:rPr>
        <w:t xml:space="preserve">ghayẓ</w:t>
      </w:r>
      <w:r>
        <w:t xml:space="preserve">);</w:t>
      </w:r>
      <w:r>
        <w:t xml:space="preserve"> </w:t>
      </w:r>
      <w:r>
        <w:rPr>
          <w:i/>
          <w:iCs/>
        </w:rPr>
        <w:t xml:space="preserve">sakhaṭ</w:t>
      </w:r>
      <w:r>
        <w:t xml:space="preserve"> </w:t>
      </w:r>
      <w:r>
        <w:t xml:space="preserve">sits at adj.</w:t>
      </w:r>
      <w:r>
        <w:t xml:space="preserve"> </w:t>
      </w:r>
      <w:r>
        <w:rPr>
          <w:i/>
          <w:iCs/>
        </w:rPr>
        <w:t xml:space="preserve">p</w:t>
      </w:r>
      <w:r>
        <w:t xml:space="preserve"> </w:t>
      </w:r>
      <w:r>
        <w:t xml:space="preserve">= 0.0503, substantively supported by the convergence with the</w:t>
      </w:r>
      <w:r>
        <w:t xml:space="preserve"> </w:t>
      </w:r>
      <w:r>
        <w:rPr>
          <w:i/>
          <w:iCs/>
        </w:rPr>
        <w:t xml:space="preserve">Munāfiqūn</w:t>
      </w:r>
      <w:r>
        <w:t xml:space="preserve">-discursive reading. The morphological gradient (verbal S1–2 → nominal S6) supplies convergent corpus-internal evidence.</w:t>
      </w:r>
    </w:p>
    <w:p>
      <w:pPr>
        <w:pStyle w:val="BodyText"/>
      </w:pPr>
      <w:r>
        <w:rPr>
          <w:b/>
          <w:bCs/>
        </w:rPr>
        <w:t xml:space="preserve">RQ4.</w:t>
      </w:r>
      <w:r>
        <w:t xml:space="preserve"> </w:t>
      </w:r>
      <w:r>
        <w:t xml:space="preserve">The continuum is structurally homologous with Gross’s process model (S1–5), with Plutchik’s intensity wheel and Spielberger’s STAXI architecture, and with Lazarus–Scherer–Roseman appraisal theory (sūrat al-ʿAlaq, Q. 96:6–7,</w:t>
      </w:r>
      <w:r>
        <w:t xml:space="preserve"> </w:t>
      </w:r>
      <w:r>
        <w:rPr>
          <w:i/>
          <w:iCs/>
        </w:rPr>
        <w:t xml:space="preserve">ṭughyān</w:t>
      </w:r>
      <w:r>
        <w:t xml:space="preserve"> </w:t>
      </w:r>
      <w:r>
        <w:t xml:space="preserve">on</w:t>
      </w:r>
      <w:r>
        <w:t xml:space="preserve"> </w:t>
      </w:r>
      <w:r>
        <w:rPr>
          <w:i/>
          <w:iCs/>
        </w:rPr>
        <w:t xml:space="preserve">istighnāʾ</w:t>
      </w:r>
      <w:r>
        <w:t xml:space="preserve">). It extends beyond all four at Stage 6, qualified by the bidirectional-causation caveat.</w:t>
      </w:r>
    </w:p>
    <w:p>
      <w:pPr>
        <w:pStyle w:val="BodyText"/>
      </w:pPr>
      <w:r>
        <w:rPr>
          <w:b/>
          <w:bCs/>
        </w:rPr>
        <w:t xml:space="preserve">RQ5.</w:t>
      </w:r>
      <w:r>
        <w:t xml:space="preserve"> </w:t>
      </w:r>
      <w:r>
        <w:rPr>
          <w:i/>
          <w:iCs/>
        </w:rPr>
        <w:t xml:space="preserve">Conditional</w:t>
      </w:r>
      <w:r>
        <w:t xml:space="preserve"> </w:t>
      </w:r>
      <w:r>
        <w:t xml:space="preserve">practical implications follow for Qur’anic translation (§5.6) and for Islamic psychology (§5.7), framed as hypotheses for empirical follow-up.</w:t>
      </w:r>
    </w:p>
    <w:bookmarkEnd w:id="86"/>
    <w:bookmarkStart w:id="87" w:name="limitations-and-future-work"/>
    <w:p>
      <w:pPr>
        <w:pStyle w:val="Heading3"/>
      </w:pPr>
      <w:r>
        <w:t xml:space="preserve">6.3. Limitations and future work</w:t>
      </w:r>
    </w:p>
    <w:p>
      <w:pPr>
        <w:pStyle w:val="FirstParagraph"/>
      </w:pPr>
      <w:r>
        <w:t xml:space="preserve">The analysis is bounded by five limitations, each pointing to a constructive next step. (i)</w:t>
      </w:r>
      <w:r>
        <w:t xml:space="preserve"> </w:t>
      </w:r>
      <w:r>
        <w:rPr>
          <w:b/>
          <w:bCs/>
        </w:rPr>
        <w:t xml:space="preserve">Surface-lexical scope.</w:t>
      </w:r>
      <w:r>
        <w:t xml:space="preserve"> </w:t>
      </w:r>
      <w:r>
        <w:t xml:space="preserve">Discourse-analytic close-reading of the spectrum’s narrative</w:t>
      </w:r>
      <w:r>
        <w:t xml:space="preserve"> </w:t>
      </w:r>
      <w:r>
        <w:rPr>
          <w:i/>
          <w:iCs/>
        </w:rPr>
        <w:t xml:space="preserve">deployment</w:t>
      </w:r>
      <w:r>
        <w:t xml:space="preserve"> </w:t>
      </w:r>
      <w:r>
        <w:t xml:space="preserve">across suras is left for future work, in dialogue with El-Awa (2006) and Sinai (2017, 2023). (ii)</w:t>
      </w:r>
      <w:r>
        <w:t xml:space="preserve"> </w:t>
      </w:r>
      <w:r>
        <w:rPr>
          <w:b/>
          <w:bCs/>
          <w:i/>
          <w:iCs/>
        </w:rPr>
        <w:t xml:space="preserve">Tafsīr</w:t>
      </w:r>
      <w:r>
        <w:rPr>
          <w:b/>
          <w:bCs/>
        </w:rPr>
        <w:t xml:space="preserve"> </w:t>
      </w:r>
      <w:r>
        <w:rPr>
          <w:b/>
          <w:bCs/>
        </w:rPr>
        <w:t xml:space="preserve">engagement.</w:t>
      </w:r>
      <w:r>
        <w:t xml:space="preserve"> </w:t>
      </w:r>
      <w:r>
        <w:t xml:space="preserve">A</w:t>
      </w:r>
      <w:r>
        <w:t xml:space="preserve"> </w:t>
      </w:r>
      <w:r>
        <w:rPr>
          <w:i/>
          <w:iCs/>
        </w:rPr>
        <w:t xml:space="preserve">tafsīr</w:t>
      </w:r>
      <w:r>
        <w:t xml:space="preserve">-archive deep-dive — systematic indexing against the full classical/medieval/Sufi/modernist tradition (al-Qushayrī, the</w:t>
      </w:r>
      <w:r>
        <w:t xml:space="preserve"> </w:t>
      </w:r>
      <w:r>
        <w:rPr>
          <w:i/>
          <w:iCs/>
        </w:rPr>
        <w:t xml:space="preserve">Tafsīr</w:t>
      </w:r>
      <w:r>
        <w:t xml:space="preserve"> </w:t>
      </w:r>
      <w:r>
        <w:t xml:space="preserve">attributed to al-Kāshānī, Sulamī’s</w:t>
      </w:r>
      <w:r>
        <w:t xml:space="preserve"> </w:t>
      </w:r>
      <w:r>
        <w:rPr>
          <w:i/>
          <w:iCs/>
        </w:rPr>
        <w:t xml:space="preserve">Ḥaqāʾiq</w:t>
      </w:r>
      <w:r>
        <w:t xml:space="preserve">, Twelver, Muʿtazilī, and modernist materials), with κ-validated multi-coder reading on contested verses — would deepen exegetical grounding. (iii)</w:t>
      </w:r>
      <w:r>
        <w:t xml:space="preserve"> </w:t>
      </w:r>
      <w:r>
        <w:rPr>
          <w:b/>
          <w:bCs/>
        </w:rPr>
        <w:t xml:space="preserve">Cognitive-linguistic apparatus.</w:t>
      </w:r>
      <w:r>
        <w:t xml:space="preserve"> </w:t>
      </w:r>
      <w:r>
        <w:t xml:space="preserve">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al-Sakkākī’s</w:t>
      </w:r>
      <w:r>
        <w:t xml:space="preserve"> </w:t>
      </w:r>
      <w:r>
        <w:rPr>
          <w:i/>
          <w:iCs/>
        </w:rPr>
        <w:t xml:space="preserve">Miftāḥ al-ʿUlūm</w:t>
      </w:r>
      <w:r>
        <w:t xml:space="preserve">) would supply an indigenous substrate. (iv)</w:t>
      </w:r>
      <w:r>
        <w:t xml:space="preserve"> </w:t>
      </w:r>
      <w:r>
        <w:rPr>
          <w:b/>
          <w:bCs/>
          <w:i/>
          <w:iCs/>
        </w:rPr>
        <w:t xml:space="preserve">Ḥadīth</w:t>
      </w:r>
      <w:r>
        <w:rPr>
          <w:b/>
          <w:bCs/>
        </w:rPr>
        <w:t xml:space="preserve"> </w:t>
      </w:r>
      <w:r>
        <w:rPr>
          <w:b/>
          <w:bCs/>
        </w:rPr>
        <w:t xml:space="preserve">integration.</w:t>
      </w:r>
      <w:r>
        <w:t xml:space="preserve"> </w:t>
      </w:r>
      <w:r>
        <w:t xml:space="preserve">A parallel concordance over Ṣaḥīḥ al-Bukhārī, Ṣaḥīḥ Muslim, and al-Kāfī would supply convergent evidence on</w:t>
      </w:r>
      <w:r>
        <w:t xml:space="preserve"> </w:t>
      </w:r>
      <w:r>
        <w:rPr>
          <w:i/>
          <w:iCs/>
        </w:rPr>
        <w:t xml:space="preserve">kaẓm</w:t>
      </w:r>
      <w:r>
        <w:t xml:space="preserve"> </w:t>
      </w:r>
      <w:r>
        <w:t xml:space="preserve">and a cross-corpus replication test for the underpowered</w:t>
      </w:r>
      <w:r>
        <w:t xml:space="preserve"> </w:t>
      </w:r>
      <w:r>
        <w:rPr>
          <w:i/>
          <w:iCs/>
        </w:rPr>
        <w:t xml:space="preserve">asaf</w:t>
      </w:r>
      <w:r>
        <w:t xml:space="preserve"> </w:t>
      </w:r>
      <w:r>
        <w:t xml:space="preserve">5/0 distribution. (v)</w:t>
      </w:r>
      <w:r>
        <w:t xml:space="preserve"> </w:t>
      </w:r>
      <w:r>
        <w:rPr>
          <w:b/>
          <w:bCs/>
        </w:rPr>
        <w:t xml:space="preserve">Islamic-psychology operationalisation.</w:t>
      </w:r>
      <w:r>
        <w:t xml:space="preserve"> </w:t>
      </w:r>
      <w:r>
        <w:t xml:space="preserve">The §5.7 implications await translation into pilot studies of</w:t>
      </w:r>
      <w:r>
        <w:t xml:space="preserve"> </w:t>
      </w:r>
      <w:r>
        <w:rPr>
          <w:i/>
          <w:iCs/>
        </w:rPr>
        <w:t xml:space="preserve">kaẓm</w:t>
      </w:r>
      <w:r>
        <w:t xml:space="preserve">-grounded emotion-regulation training, validated against the STAXI and DERS. The methodological commitment remains: computational evidence is a</w:t>
      </w:r>
      <w:r>
        <w:t xml:space="preserve"> </w:t>
      </w:r>
      <w:r>
        <w:rPr>
          <w:i/>
          <w:iCs/>
        </w:rPr>
        <w:t xml:space="preserve">complement to</w:t>
      </w:r>
      <w:r>
        <w:t xml:space="preserve"> </w:t>
      </w:r>
      <w:r>
        <w:t xml:space="preserve">— not a replacement for — the classical philological and exegetical tradition.</w:t>
      </w:r>
    </w:p>
    <w:bookmarkEnd w:id="87"/>
    <w:bookmarkStart w:id="88" w:name="closing-remark"/>
    <w:p>
      <w:pPr>
        <w:pStyle w:val="Heading3"/>
      </w:pPr>
      <w:r>
        <w:t xml:space="preserve">6.4. Closing remark</w:t>
      </w:r>
    </w:p>
    <w:p>
      <w:pPr>
        <w:pStyle w:val="FirstParagraph"/>
      </w:pPr>
      <w:r>
        <w:t xml:space="preserve">The Qur’anic lexicon encodes a sophisticated theory of the anger spectrum — not as explicit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w:t>
      </w:r>
    </w:p>
    <w:p>
      <w:r>
        <w:pict>
          <v:rect style="width:0;height:1.5pt" o:hralign="center" o:hrstd="t" o:hr="t"/>
        </w:pict>
      </w:r>
    </w:p>
    <w:bookmarkEnd w:id="88"/>
    <w:bookmarkEnd w:id="89"/>
    <w:bookmarkStart w:id="90"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w:t>
      </w:r>
    </w:p>
    <w:bookmarkEnd w:id="90"/>
    <w:bookmarkStart w:id="9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91"/>
    <w:bookmarkStart w:id="92" w:name="competing-interests"/>
    <w:p>
      <w:pPr>
        <w:pStyle w:val="Heading2"/>
      </w:pPr>
      <w:r>
        <w:t xml:space="preserve">Competing interests</w:t>
      </w:r>
    </w:p>
    <w:p>
      <w:pPr>
        <w:pStyle w:val="FirstParagraph"/>
      </w:pPr>
      <w:r>
        <w:t xml:space="preserve">The authors declare no competing financial or non-financial interests.</w:t>
      </w:r>
    </w:p>
    <w:bookmarkEnd w:id="92"/>
    <w:bookmarkStart w:id="93" w:name="author-note-parallel-language-submission"/>
    <w:p>
      <w:pPr>
        <w:pStyle w:val="Heading2"/>
      </w:pPr>
      <w:r>
        <w:t xml:space="preserve">Author note: parallel-language submission</w:t>
      </w:r>
    </w:p>
    <w:p>
      <w:pPr>
        <w:pStyle w:val="FirstParagraph"/>
      </w:pPr>
      <w:r>
        <w:t xml:space="preserve">An independent Persian-language paper using the same corpus dataset is concurrently under consideration at</w:t>
      </w:r>
      <w:r>
        <w:t xml:space="preserve"> </w:t>
      </w:r>
      <w:r>
        <w:rPr>
          <w:i/>
          <w:iCs/>
        </w:rPr>
        <w:t xml:space="preserve">Pizhūhish-hā-yi Zabānshinākhtī-yi Qurʾān</w:t>
      </w:r>
      <w:r>
        <w:t xml:space="preserve">. The two papers do not share content or cite each other; the empirical pipeline is the only shared element, and each paper presents an independent argument for its own scholarly audience.</w:t>
      </w:r>
    </w:p>
    <w:bookmarkEnd w:id="93"/>
    <w:bookmarkStart w:id="94"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94"/>
    <w:bookmarkStart w:id="95"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w:t>
      </w:r>
      <w:r>
        <w:t xml:space="preserve"> </w:t>
      </w:r>
      <w:r>
        <w:rPr>
          <w:i/>
          <w:iCs/>
        </w:rPr>
        <w:t xml:space="preserve">tafsīr</w:t>
      </w:r>
      <w:r>
        <w:t xml:space="preserve">-tradition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95"/>
    <w:bookmarkStart w:id="96"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96"/>
    <w:bookmarkStart w:id="98"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97">
        <w:r>
          <w:rPr>
            <w:rStyle w:val="Hyperlink"/>
          </w:rPr>
          <w:t xml:space="preserve">github.com/ali-kin4/quranic-emotion-spectrum</w:t>
        </w:r>
      </w:hyperlink>
    </w:p>
    <w:p>
      <w:pPr>
        <w:pStyle w:val="FirstParagraph"/>
      </w:pPr>
      <w:r>
        <w:t xml:space="preserve">The repository contains: (i) the Python pipeline under MIT License; (ii) the Quranic Arabic Corpus (Dukes 2011) under its original GPL; (iii) the complete CSV concordance for the fourteen core spectrum roots (312 attestations), distributional summaries, statistical tests, network-centrality outputs, and umbrella-cooccurrence tables; (iv) PDF and PNG versions of the figures published with this paper and with the Supplementary Material; (v) the SHA-256 hash of the QAC v0.4 source file and the manual-validation audit. The four statistical analyses of §§4.2–4.9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pPr>
        <w:pStyle w:val="FirstParagraph"/>
      </w:pPr>
      <w:r>
        <w:t xml:space="preserve">The four computational corroboration analyses reported in Supplementary Material S1–S4 are produced by</w:t>
      </w:r>
      <w:r>
        <w:t xml:space="preserve"> </w:t>
      </w:r>
      <w:r>
        <w:rPr>
          <w:rStyle w:val="VerbatimChar"/>
        </w:rPr>
        <w:t xml:space="preserve">nlp_upgrade_colab.py</w:t>
      </w:r>
      <w:r>
        <w:t xml:space="preserve">, which requires a CUDA-enabled GPU for the multilingual-MPNet and CAMeLBERT-CA inference. A Colab notebook is available in the repository with pinned model snapshots and an expected runtime of ~25 minutes on a T4 GPU; CSV outputs are committed under</w:t>
      </w:r>
      <w:r>
        <w:t xml:space="preserve"> </w:t>
      </w:r>
      <w:r>
        <w:rPr>
          <w:rStyle w:val="VerbatimChar"/>
        </w:rPr>
        <w:t xml:space="preserve">outputs/nlp_upgrade/</w:t>
      </w:r>
      <w:r>
        <w:t xml:space="preserve"> </w:t>
      </w:r>
      <w:r>
        <w:t xml:space="preserve">so that reviewers can inspect the numerical results without re-running the GPU pipeline.</w:t>
      </w:r>
    </w:p>
    <w:p>
      <w:r>
        <w:pict>
          <v:rect style="width:0;height:1.5pt" o:hralign="center" o:hrstd="t" o:hr="t"/>
        </w:pict>
      </w:r>
    </w:p>
    <w:bookmarkEnd w:id="98"/>
    <w:bookmarkStart w:id="99" w:name="bibliography"/>
    <w:p>
      <w:pPr>
        <w:pStyle w:val="Heading2"/>
      </w:pPr>
      <w:r>
        <w:t xml:space="preserve">Bibliography</w:t>
      </w:r>
    </w:p>
    <w:p>
      <w:pPr>
        <w:pStyle w:val="FirstParagraph"/>
      </w:pPr>
      <w:r>
        <w:t xml:space="preserve">References use Harvard author-date in-text citation; the Bibliography is unified and alphabetised by author surname (the Arabic article</w:t>
      </w:r>
      <w:r>
        <w:t xml:space="preserve"> </w:t>
      </w:r>
      <w:r>
        <w:rPr>
          <w:i/>
          <w:iCs/>
        </w:rPr>
        <w:t xml:space="preserve">al-</w:t>
      </w:r>
      <w:r>
        <w:t xml:space="preserve"> </w:t>
      </w:r>
      <w:r>
        <w:t xml:space="preserve">is ignored for alphabetisation, sorting on the post-</w:t>
      </w:r>
      <w:r>
        <w:rPr>
          <w:i/>
          <w:iCs/>
        </w:rPr>
        <w:t xml:space="preserve">al-</w:t>
      </w:r>
      <w:r>
        <w:t xml:space="preserve"> </w:t>
      </w:r>
      <w:r>
        <w:t xml:space="preserve">letter). Persian-language and classical-Arabic entries are interleaved in the single sequence.</w:t>
      </w:r>
    </w:p>
    <w:p>
      <w:pPr>
        <w:pStyle w:val="BodyText"/>
      </w:pPr>
      <w:r>
        <w:t xml:space="preserve">Agresti, A. (2013)</w:t>
      </w:r>
      <w:r>
        <w:t xml:space="preserve"> </w:t>
      </w:r>
      <w:r>
        <w:rPr>
          <w:i/>
          <w:iCs/>
        </w:rPr>
        <w:t xml:space="preserve">Categorical Data Analysis</w:t>
      </w:r>
      <w:r>
        <w:t xml:space="preserve">, 3rd edn, Hoboken, NJ: John Wiley &amp; Sons.</w:t>
      </w:r>
    </w:p>
    <w:p>
      <w:pPr>
        <w:pStyle w:val="BodyText"/>
      </w:pPr>
      <w:r>
        <w:t xml:space="preserve">Akra, D., Hammouda, T. and Jarrar, M. (2025)</w:t>
      </w:r>
      <w:r>
        <w:t xml:space="preserve"> </w:t>
      </w:r>
      <w:r>
        <w:rPr>
          <w:i/>
          <w:iCs/>
        </w:rPr>
        <w:t xml:space="preserve">QuranMorph: Morphologically Annotated Quranic Corpus</w:t>
      </w:r>
      <w:r>
        <w:t xml:space="preserve">, arXiv preprint 2506.18148, https://arxiv.org/abs/2506.18148.</w:t>
      </w:r>
    </w:p>
    <w:p>
      <w:pPr>
        <w:pStyle w:val="BodyText"/>
      </w:pPr>
      <w:r>
        <w:t xml:space="preserve">Albayrak, I. (2020)</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w:t>
      </w:r>
    </w:p>
    <w:p>
      <w:pPr>
        <w:pStyle w:val="BodyText"/>
      </w:pPr>
      <w:r>
        <w:t xml:space="preserve">Averill, J. R. (1982)</w:t>
      </w:r>
      <w:r>
        <w:t xml:space="preserve"> </w:t>
      </w:r>
      <w:r>
        <w:rPr>
          <w:i/>
          <w:iCs/>
        </w:rPr>
        <w:t xml:space="preserve">Anger and Aggression: An Essay on Emotion</w:t>
      </w:r>
      <w:r>
        <w:t xml:space="preserve">, New York: Springer-Verlag.</w:t>
      </w:r>
    </w:p>
    <w:p>
      <w:pPr>
        <w:pStyle w:val="BodyText"/>
      </w:pPr>
      <w:r>
        <w:t xml:space="preserve">Berkowitz, L. (1993)</w:t>
      </w:r>
      <w:r>
        <w:t xml:space="preserve"> </w:t>
      </w:r>
      <w:r>
        <w:rPr>
          <w:i/>
          <w:iCs/>
        </w:rPr>
        <w:t xml:space="preserve">Aggression: Its Causes, Consequences, and Control</w:t>
      </w:r>
      <w:r>
        <w:t xml:space="preserve">, New York: McGraw-Hill.</w:t>
      </w:r>
    </w:p>
    <w:p>
      <w:pPr>
        <w:pStyle w:val="BodyText"/>
      </w:pPr>
      <w:r>
        <w:t xml:space="preserve">Bodi, D. (2018)</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and Remarks on the Languages in Persian Times’</w:t>
      </w:r>
      <w:r>
        <w:t xml:space="preserve">,</w:t>
      </w:r>
      <w:r>
        <w:t xml:space="preserve"> </w:t>
      </w:r>
      <w:r>
        <w:rPr>
          <w:i/>
          <w:iCs/>
        </w:rPr>
        <w:t xml:space="preserve">Transeuphratène</w:t>
      </w:r>
      <w:r>
        <w:t xml:space="preserve"> </w:t>
      </w:r>
      <w:r>
        <w:t xml:space="preserve">50, pp. 13–38.</w:t>
      </w:r>
    </w:p>
    <w:p>
      <w:pPr>
        <w:pStyle w:val="BodyText"/>
      </w:pPr>
      <w:r>
        <w:t xml:space="preserve">Cairns, D. L. (2003)</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pp. 11–49.</w:t>
      </w:r>
    </w:p>
    <w:p>
      <w:pPr>
        <w:pStyle w:val="BodyText"/>
      </w:pPr>
      <w:r>
        <w:rPr>
          <w:i/>
          <w:iCs/>
        </w:rPr>
        <w:t xml:space="preserve">Chicago Assyrian Dictionary (CAD)</w:t>
      </w:r>
      <w:r>
        <w:t xml:space="preserve"> </w:t>
      </w:r>
      <w:r>
        <w:t xml:space="preserve">(1956–2010), ed. M. T. Roth et al., 21 vols, Chicago: The Oriental Institute.</w:t>
      </w:r>
    </w:p>
    <w:p>
      <w:pPr>
        <w:pStyle w:val="BodyText"/>
      </w:pPr>
      <w:r>
        <w:t xml:space="preserve">Cochran, W. G. (1954)</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pp. 417–451.</w:t>
      </w:r>
    </w:p>
    <w:p>
      <w:pPr>
        <w:pStyle w:val="BodyText"/>
      </w:pPr>
      <w:r>
        <w:t xml:space="preserve">Derki, M. (2022)</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w:t>
      </w:r>
    </w:p>
    <w:p>
      <w:pPr>
        <w:pStyle w:val="BodyText"/>
      </w:pPr>
      <w:r>
        <w:t xml:space="preserve">Dukes, K. (2011)</w:t>
      </w:r>
      <w:r>
        <w:t xml:space="preserve"> </w:t>
      </w:r>
      <w:r>
        <w:rPr>
          <w:i/>
          <w:iCs/>
        </w:rPr>
        <w:t xml:space="preserve">Quranic Arabic Corpus (Morphology, Version 0.4)</w:t>
      </w:r>
      <w:r>
        <w:t xml:space="preserve">, Leeds: University of Leeds, https://corpus.quran.com.</w:t>
      </w:r>
    </w:p>
    <w:p>
      <w:pPr>
        <w:pStyle w:val="BodyText"/>
      </w:pPr>
      <w:r>
        <w:t xml:space="preserve">El-Awa, S. M. S. (2006)</w:t>
      </w:r>
      <w:r>
        <w:t xml:space="preserve"> </w:t>
      </w:r>
      <w:r>
        <w:rPr>
          <w:i/>
          <w:iCs/>
        </w:rPr>
        <w:t xml:space="preserve">Textual Relations in the Qurʾan: Relevance, Coherence and Structure</w:t>
      </w:r>
      <w:r>
        <w:t xml:space="preserve">, Routledge Studies in the Qurʾan, London and New York: Routledge.</w:t>
      </w:r>
    </w:p>
    <w:p>
      <w:pPr>
        <w:pStyle w:val="BodyText"/>
      </w:pPr>
      <w:r>
        <w:t xml:space="preserve">al-Fīrūzābādī, Muḥammad.</w:t>
      </w:r>
      <w:r>
        <w:t xml:space="preserve"> </w:t>
      </w:r>
      <w:r>
        <w:rPr>
          <w:i/>
          <w:iCs/>
        </w:rPr>
        <w:t xml:space="preserve">al-Qāmūs al-Muḥīṭ</w:t>
      </w:r>
      <w:r>
        <w:t xml:space="preserve">, Beirut: Muʾassasat al-Risālah.</w:t>
      </w:r>
    </w:p>
    <w:p>
      <w:pPr>
        <w:pStyle w:val="BodyText"/>
      </w:pPr>
      <w:r>
        <w:t xml:space="preserve">Fauconnier, G. and Turner, M. (2002)</w:t>
      </w:r>
      <w:r>
        <w:t xml:space="preserve"> </w:t>
      </w:r>
      <w:r>
        <w:rPr>
          <w:i/>
          <w:iCs/>
        </w:rPr>
        <w:t xml:space="preserve">The Way We Think: Conceptual Blending and the Mind’s Hidden Complexities</w:t>
      </w:r>
      <w:r>
        <w:t xml:space="preserve">, New York: Basic Books.</w:t>
      </w:r>
    </w:p>
    <w:p>
      <w:pPr>
        <w:pStyle w:val="BodyText"/>
      </w:pPr>
      <w:r>
        <w:t xml:space="preserve">Fisher, R. A. (1922)</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pp. 87–94.</w:t>
      </w:r>
    </w:p>
    <w:p>
      <w:pPr>
        <w:pStyle w:val="BodyText"/>
      </w:pPr>
      <w:r>
        <w:t xml:space="preserve">Frijda, N. H. (1986)</w:t>
      </w:r>
      <w:r>
        <w:t xml:space="preserve"> </w:t>
      </w:r>
      <w:r>
        <w:rPr>
          <w:i/>
          <w:iCs/>
        </w:rPr>
        <w:t xml:space="preserve">The Emotions</w:t>
      </w:r>
      <w:r>
        <w:t xml:space="preserve">, Studies in Emotion and Social Interaction, Cambridge and Paris: Cambridge University Press and Éditions de la Maison des Sciences de l’Homme.</w:t>
      </w:r>
    </w:p>
    <w:p>
      <w:pPr>
        <w:pStyle w:val="BodyText"/>
      </w:pPr>
      <w:r>
        <w:t xml:space="preserve">Gaanoun, K. and Alsuhaibani, M. (2025)</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DOI: 10.1057/s41599-024-04181-0.</w:t>
      </w:r>
    </w:p>
    <w:p>
      <w:pPr>
        <w:pStyle w:val="BodyText"/>
      </w:pPr>
      <w:r>
        <w:t xml:space="preserve">Gross, J. J. (1998)</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pp. 271–299.</w:t>
      </w:r>
    </w:p>
    <w:p>
      <w:pPr>
        <w:pStyle w:val="BodyText"/>
      </w:pPr>
      <w:r>
        <w:t xml:space="preserve">Gross, J. J. (ed.) (2014)</w:t>
      </w:r>
      <w:r>
        <w:t xml:space="preserve"> </w:t>
      </w:r>
      <w:r>
        <w:rPr>
          <w:i/>
          <w:iCs/>
        </w:rPr>
        <w:t xml:space="preserve">Handbook of Emotion Regulation</w:t>
      </w:r>
      <w:r>
        <w:t xml:space="preserve">, 2nd edn, New York: Guilford Press.</w:t>
      </w:r>
    </w:p>
    <w:p>
      <w:pPr>
        <w:pStyle w:val="BodyText"/>
      </w:pPr>
      <w:r>
        <w:t xml:space="preserve">Gross, J. J. (2015)</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pp. 1–26.</w:t>
      </w:r>
    </w:p>
    <w:p>
      <w:pPr>
        <w:pStyle w:val="BodyText"/>
      </w:pPr>
      <w:r>
        <w:t xml:space="preserve">Ibn ʿĀshūr, Muḥammad al-Ṭāhir (1984)</w:t>
      </w:r>
      <w:r>
        <w:t xml:space="preserve"> </w:t>
      </w:r>
      <w:r>
        <w:rPr>
          <w:i/>
          <w:iCs/>
        </w:rPr>
        <w:t xml:space="preserve">al-Taḥrīr wa-l-Tanwīr</w:t>
      </w:r>
      <w:r>
        <w:t xml:space="preserve">, Tunis: al-Dār al-Tūnisiyyah li-l-Nashr.</w:t>
      </w:r>
    </w:p>
    <w:p>
      <w:pPr>
        <w:pStyle w:val="BodyText"/>
      </w:pPr>
      <w:r>
        <w:t xml:space="preserve">Ibn Fāris, Aḥmad (1979)</w:t>
      </w:r>
      <w:r>
        <w:t xml:space="preserve"> </w:t>
      </w:r>
      <w:r>
        <w:rPr>
          <w:i/>
          <w:iCs/>
        </w:rPr>
        <w:t xml:space="preserve">Muʿjam Maqāyīs al-Lughah</w:t>
      </w:r>
      <w:r>
        <w:t xml:space="preserve">, ed. ʿA. M. Hārūn, Beirut: Dār al-Fikr.</w:t>
      </w:r>
    </w:p>
    <w:p>
      <w:pPr>
        <w:pStyle w:val="BodyText"/>
      </w:pPr>
      <w:r>
        <w:t xml:space="preserve">Ibn Kathīr, Ismāʿīl (1999)</w:t>
      </w:r>
      <w:r>
        <w:t xml:space="preserve"> </w:t>
      </w:r>
      <w:r>
        <w:rPr>
          <w:i/>
          <w:iCs/>
        </w:rPr>
        <w:t xml:space="preserve">Tafsīr al-Qurʾān al-ʿAẓīm</w:t>
      </w:r>
      <w:r>
        <w:t xml:space="preserve">, ed. S. al-Salāmah, 8 vols, Riyadh: Dār Ṭaybah.</w:t>
      </w:r>
    </w:p>
    <w:p>
      <w:pPr>
        <w:pStyle w:val="BodyText"/>
      </w:pPr>
      <w:r>
        <w:t xml:space="preserve">Ibn Manẓūr, Muḥammad (1993)</w:t>
      </w:r>
      <w:r>
        <w:t xml:space="preserve"> </w:t>
      </w:r>
      <w:r>
        <w:rPr>
          <w:i/>
          <w:iCs/>
        </w:rPr>
        <w:t xml:space="preserve">Lisān al-ʿArab</w:t>
      </w:r>
      <w:r>
        <w:t xml:space="preserve">, 3rd edn, Beirut: Dār Ṣādir.</w:t>
      </w:r>
    </w:p>
    <w:p>
      <w:pPr>
        <w:pStyle w:val="BodyText"/>
      </w:pPr>
      <w:r>
        <w:t xml:space="preserve">Izutsu, T. (1959)</w:t>
      </w:r>
      <w:r>
        <w:t xml:space="preserve"> </w:t>
      </w:r>
      <w:r>
        <w:rPr>
          <w:i/>
          <w:iCs/>
        </w:rPr>
        <w:t xml:space="preserve">The Structure of the Ethical Terms in the Koran: A Study in Semantics</w:t>
      </w:r>
      <w:r>
        <w:t xml:space="preserve">, Studies in the Humanities and Social Relations 2, Tokyo: Keio Institute of Philological Studies.</w:t>
      </w:r>
    </w:p>
    <w:p>
      <w:pPr>
        <w:pStyle w:val="BodyText"/>
      </w:pPr>
      <w:r>
        <w:t xml:space="preserve">Izutsu, T. (1964)</w:t>
      </w:r>
      <w:r>
        <w:t xml:space="preserve"> </w:t>
      </w:r>
      <w:r>
        <w:rPr>
          <w:i/>
          <w:iCs/>
        </w:rPr>
        <w:t xml:space="preserve">God and Man in the Koran: Semantics of the Koranic Weltanschauung</w:t>
      </w:r>
      <w:r>
        <w:t xml:space="preserve">, Tokyo: Keio Institute of Cultural and Linguistic Studies.</w:t>
      </w:r>
    </w:p>
    <w:p>
      <w:pPr>
        <w:pStyle w:val="BodyText"/>
      </w:pPr>
      <w:r>
        <w:t xml:space="preserve">Izutsu, T. (2002)</w:t>
      </w:r>
      <w:r>
        <w:t xml:space="preserve"> </w:t>
      </w:r>
      <w:r>
        <w:rPr>
          <w:i/>
          <w:iCs/>
        </w:rPr>
        <w:t xml:space="preserve">Ethico-Religious Concepts in the Qurʾān</w:t>
      </w:r>
      <w:r>
        <w:t xml:space="preserve">, rev. edn, Montreal: McGill-Queen’s University Press (orig. 1966).</w:t>
      </w:r>
    </w:p>
    <w:p>
      <w:pPr>
        <w:pStyle w:val="BodyText"/>
      </w:pPr>
      <w:r>
        <w:t xml:space="preserve">Jamison, S. W. and Brereton, J. P. (2014)</w:t>
      </w:r>
      <w:r>
        <w:t xml:space="preserve"> </w:t>
      </w:r>
      <w:r>
        <w:rPr>
          <w:i/>
          <w:iCs/>
        </w:rPr>
        <w:t xml:space="preserve">The Rigveda: The Earliest Religious Poetry of India</w:t>
      </w:r>
      <w:r>
        <w:t xml:space="preserve">, 3 vols, New York: Oxford University Press.</w:t>
      </w:r>
    </w:p>
    <w:p>
      <w:pPr>
        <w:pStyle w:val="BodyText"/>
      </w:pPr>
      <w:r>
        <w:t xml:space="preserve">Kassinove, H. and Tafrate, R. C. (2002)</w:t>
      </w:r>
      <w:r>
        <w:t xml:space="preserve"> </w:t>
      </w:r>
      <w:r>
        <w:rPr>
          <w:i/>
          <w:iCs/>
        </w:rPr>
        <w:t xml:space="preserve">Anger Management: The Complete Treatment Guidebook for Practitioners</w:t>
      </w:r>
      <w:r>
        <w:t xml:space="preserve">, Atascadero, CA: Impact Publishers.</w:t>
      </w:r>
    </w:p>
    <w:p>
      <w:pPr>
        <w:pStyle w:val="BodyText"/>
      </w:pPr>
      <w:r>
        <w:t xml:space="preserve">Kennedy, C. (1999)</w:t>
      </w:r>
      <w:r>
        <w:t xml:space="preserve"> </w:t>
      </w:r>
      <w:r>
        <w:rPr>
          <w:i/>
          <w:iCs/>
        </w:rPr>
        <w:t xml:space="preserve">Projecting the Adjective: The Syntax and Semantics of Gradability and Comparison</w:t>
      </w:r>
      <w:r>
        <w:t xml:space="preserve">, Outstanding Dissertations in Linguistics, New York: Garland.</w:t>
      </w:r>
    </w:p>
    <w:p>
      <w:pPr>
        <w:pStyle w:val="BodyText"/>
      </w:pPr>
      <w:r>
        <w:t xml:space="preserve">Kennedy, C. (2007)</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pp. 1–45.</w:t>
      </w:r>
    </w:p>
    <w:p>
      <w:pPr>
        <w:pStyle w:val="BodyText"/>
      </w:pPr>
      <w:r>
        <w:t xml:space="preserve">Khan, M. T. et al. (2025)</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1535166, DOI: 10.3389/frsip.2025.1535166.</w:t>
      </w:r>
    </w:p>
    <w:p>
      <w:pPr>
        <w:pStyle w:val="BodyText"/>
      </w:pPr>
      <w:r>
        <w:t xml:space="preserve">Kövecses, Z. (1986)</w:t>
      </w:r>
      <w:r>
        <w:t xml:space="preserve"> </w:t>
      </w:r>
      <w:r>
        <w:rPr>
          <w:i/>
          <w:iCs/>
        </w:rPr>
        <w:t xml:space="preserve">Metaphors of Anger, Pride, and Love: A Lexical Approach to the Structure of Concepts</w:t>
      </w:r>
      <w:r>
        <w:t xml:space="preserve">, Pragmatics &amp; Beyond VII:8, Amsterdam: John Benjamins.</w:t>
      </w:r>
    </w:p>
    <w:p>
      <w:pPr>
        <w:pStyle w:val="BodyText"/>
      </w:pPr>
      <w:r>
        <w:t xml:space="preserve">Kövecses, Z. (2000)</w:t>
      </w:r>
      <w:r>
        <w:t xml:space="preserve"> </w:t>
      </w:r>
      <w:r>
        <w:rPr>
          <w:i/>
          <w:iCs/>
        </w:rPr>
        <w:t xml:space="preserve">Metaphor and Emotion: Language, Culture, and Body in Human Feeling</w:t>
      </w:r>
      <w:r>
        <w:t xml:space="preserve">, Cambridge: Cambridge University Press.</w:t>
      </w:r>
    </w:p>
    <w:p>
      <w:pPr>
        <w:pStyle w:val="BodyText"/>
      </w:pPr>
      <w:r>
        <w:t xml:space="preserve">Kövecses, Z. (2010)</w:t>
      </w:r>
      <w:r>
        <w:t xml:space="preserve"> </w:t>
      </w:r>
      <w:r>
        <w:rPr>
          <w:i/>
          <w:iCs/>
        </w:rPr>
        <w:t xml:space="preserve">Metaphor: A Practical Introduction</w:t>
      </w:r>
      <w:r>
        <w:t xml:space="preserve">, 2nd edn, Oxford: Oxford University Press.</w:t>
      </w:r>
    </w:p>
    <w:p>
      <w:pPr>
        <w:pStyle w:val="BodyText"/>
      </w:pPr>
      <w:r>
        <w:t xml:space="preserve">Kövecses, Z., Benczes, R. and Szelid, V. (eds) (2025)</w:t>
      </w:r>
      <w:r>
        <w:t xml:space="preserve"> </w:t>
      </w:r>
      <w:r>
        <w:rPr>
          <w:i/>
          <w:iCs/>
        </w:rPr>
        <w:t xml:space="preserve">Metaphors of ANGER across Languages: Universality and Variation</w:t>
      </w:r>
      <w:r>
        <w:t xml:space="preserve">, 2 vols, Comparative Handbooks of Linguistics 8, Berlin and Boston: De Gruyter Mouton.</w:t>
      </w:r>
    </w:p>
    <w:p>
      <w:pPr>
        <w:pStyle w:val="BodyText"/>
      </w:pPr>
      <w:r>
        <w:t xml:space="preserve">Kruger, P. A. (2000)</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pp. 181–193.</w:t>
      </w:r>
    </w:p>
    <w:p>
      <w:pPr>
        <w:pStyle w:val="BodyText"/>
      </w:pPr>
      <w:r>
        <w:t xml:space="preserve">Kruger, P. A. (2015)</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pp. 395–420.</w:t>
      </w:r>
    </w:p>
    <w:p>
      <w:pPr>
        <w:pStyle w:val="BodyText"/>
      </w:pPr>
      <w:r>
        <w:t xml:space="preserve">Lakoff, G. and Johnson, M. (1980)</w:t>
      </w:r>
      <w:r>
        <w:t xml:space="preserve"> </w:t>
      </w:r>
      <w:r>
        <w:rPr>
          <w:i/>
          <w:iCs/>
        </w:rPr>
        <w:t xml:space="preserve">Metaphors We Live By</w:t>
      </w:r>
      <w:r>
        <w:t xml:space="preserve">, Chicago: University of Chicago Press.</w:t>
      </w:r>
    </w:p>
    <w:p>
      <w:pPr>
        <w:pStyle w:val="BodyText"/>
      </w:pPr>
      <w:r>
        <w:t xml:space="preserve">Lakoff, G. and Kövecses, Z. (1987)</w:t>
      </w:r>
      <w:r>
        <w:t xml:space="preserve"> </w:t>
      </w:r>
      <w:r>
        <w:t xml:space="preserve">‘The Cognitive Model of Anger Inherent in American English’</w:t>
      </w:r>
      <w:r>
        <w:t xml:space="preserve">, in D. Holland and N. Quinn (eds),</w:t>
      </w:r>
      <w:r>
        <w:t xml:space="preserve"> </w:t>
      </w:r>
      <w:r>
        <w:rPr>
          <w:i/>
          <w:iCs/>
        </w:rPr>
        <w:t xml:space="preserve">Cultural Models in Language and Thought</w:t>
      </w:r>
      <w:r>
        <w:t xml:space="preserve">, Cambridge: Cambridge University Press, pp. 195–221.</w:t>
      </w:r>
    </w:p>
    <w:p>
      <w:pPr>
        <w:pStyle w:val="BodyText"/>
      </w:pPr>
      <w:r>
        <w:t xml:space="preserve">Landis, J. R. and Koch, G. G. (1977)</w:t>
      </w:r>
      <w:r>
        <w:t xml:space="preserve"> </w:t>
      </w:r>
      <w:r>
        <w:t xml:space="preserve">‘The Measurement of Observer Agreement for Categorical Data’</w:t>
      </w:r>
      <w:r>
        <w:t xml:space="preserve">,</w:t>
      </w:r>
      <w:r>
        <w:t xml:space="preserve"> </w:t>
      </w:r>
      <w:r>
        <w:rPr>
          <w:i/>
          <w:iCs/>
        </w:rPr>
        <w:t xml:space="preserve">Biometrics</w:t>
      </w:r>
      <w:r>
        <w:t xml:space="preserve"> </w:t>
      </w:r>
      <w:r>
        <w:t xml:space="preserve">33(1), pp. 159–174.</w:t>
      </w:r>
    </w:p>
    <w:p>
      <w:pPr>
        <w:pStyle w:val="BodyText"/>
      </w:pPr>
      <w:r>
        <w:t xml:space="preserve">Lauri, J., Svärd, S., Alstola, T., Jauhiainen, H., Sahala, A., Lindén, K., Sams, M. and Nummenmaa, L. (2024)</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111365.</w:t>
      </w:r>
    </w:p>
    <w:p>
      <w:pPr>
        <w:pStyle w:val="BodyText"/>
      </w:pPr>
      <w:r>
        <w:t xml:space="preserve">Lazarus, R. S. (1991)</w:t>
      </w:r>
      <w:r>
        <w:t xml:space="preserve"> </w:t>
      </w:r>
      <w:r>
        <w:rPr>
          <w:i/>
          <w:iCs/>
        </w:rPr>
        <w:t xml:space="preserve">Emotion and Adaptation</w:t>
      </w:r>
      <w:r>
        <w:t xml:space="preserve">, New York: Oxford University Press.</w:t>
      </w:r>
    </w:p>
    <w:p>
      <w:pPr>
        <w:pStyle w:val="BodyText"/>
      </w:pPr>
      <w:r>
        <w:t xml:space="preserve">Maalej, Z. (2004)</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pp. 51–75.</w:t>
      </w:r>
    </w:p>
    <w:p>
      <w:pPr>
        <w:pStyle w:val="BodyText"/>
      </w:pPr>
      <w:r>
        <w:t xml:space="preserve">Maalej, Z. (2007)</w:t>
      </w:r>
      <w:r>
        <w:t xml:space="preserve"> </w:t>
      </w:r>
      <w:r>
        <w:t xml:space="preserve">‘The Embodiment of Fear Expressions in Tunisian Arabic: Theoretical and Practical Implications’</w:t>
      </w:r>
      <w:r>
        <w:t xml:space="preserve">, in F. Sharifian and G. B. Palmer (eds),</w:t>
      </w:r>
      <w:r>
        <w:t xml:space="preserve"> </w:t>
      </w:r>
      <w:r>
        <w:rPr>
          <w:i/>
          <w:iCs/>
        </w:rPr>
        <w:t xml:space="preserve">Applied Cultural Linguistics: Implications for Second Language Learning and Intercultural Communication</w:t>
      </w:r>
      <w:r>
        <w:t xml:space="preserve">, Converging Evidence in Language and Communication Research 7, Amsterdam: John Benjamins, pp. 87–104.</w:t>
      </w:r>
    </w:p>
    <w:p>
      <w:pPr>
        <w:pStyle w:val="BodyText"/>
      </w:pPr>
      <w:r>
        <w:t xml:space="preserve">Maalej, Z. A. and Yu, N. (eds) (2011)</w:t>
      </w:r>
      <w:r>
        <w:t xml:space="preserve"> </w:t>
      </w:r>
      <w:r>
        <w:rPr>
          <w:i/>
          <w:iCs/>
        </w:rPr>
        <w:t xml:space="preserve">Embodiment via Body Parts: Studies from Various Languages and Cultures</w:t>
      </w:r>
      <w:r>
        <w:t xml:space="preserve">, Human Cognitive Processing 31, Amsterdam and Philadelphia: John Benjamins.</w:t>
      </w:r>
    </w:p>
    <w:p>
      <w:pPr>
        <w:pStyle w:val="BodyText"/>
      </w:pPr>
      <w:r>
        <w:t xml:space="preserve">Marcus-Newhall, A., Pedersen, W. C., Carlson, M. and Miller, N. (2000)</w:t>
      </w:r>
      <w:r>
        <w:t xml:space="preserve"> </w:t>
      </w:r>
      <w:r>
        <w:t xml:space="preserve">‘Displaced Aggression is Alive and Well: A Meta-analytic Review’</w:t>
      </w:r>
      <w:r>
        <w:t xml:space="preserve">,</w:t>
      </w:r>
      <w:r>
        <w:t xml:space="preserve"> </w:t>
      </w:r>
      <w:r>
        <w:rPr>
          <w:i/>
          <w:iCs/>
        </w:rPr>
        <w:t xml:space="preserve">Journal of Personality and Social Psychology</w:t>
      </w:r>
      <w:r>
        <w:t xml:space="preserve"> </w:t>
      </w:r>
      <w:r>
        <w:t xml:space="preserve">78(4), pp. 670–689.</w:t>
      </w:r>
    </w:p>
    <w:p>
      <w:pPr>
        <w:pStyle w:val="BodyText"/>
      </w:pPr>
      <w:r>
        <w:t xml:space="preserve">Mehta, C. R. and Patel, N. R. (1983)</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pp. 427–434.</w:t>
      </w:r>
    </w:p>
    <w:p>
      <w:pPr>
        <w:pStyle w:val="BodyText"/>
      </w:pPr>
      <w:r>
        <w:t xml:space="preserve">al-Mostafawī, Ḥasan (1995)</w:t>
      </w:r>
      <w:r>
        <w:t xml:space="preserve"> </w:t>
      </w:r>
      <w:r>
        <w:rPr>
          <w:i/>
          <w:iCs/>
        </w:rPr>
        <w:t xml:space="preserve">al-Taḥqīq fī Kalimāt al-Qurʾān al-Karīm</w:t>
      </w:r>
      <w:r>
        <w:t xml:space="preserve">, 14 vols, Tehran: Wizārat al-Thaqāfah wa-l-Irshād al-Islāmī.</w:t>
      </w:r>
    </w:p>
    <w:p>
      <w:pPr>
        <w:pStyle w:val="BodyText"/>
      </w:pPr>
      <w:r>
        <w:t xml:space="preserve">Mottaghi, M. S. et al. (2024)</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w:t>
      </w:r>
    </w:p>
    <w:p>
      <w:pPr>
        <w:pStyle w:val="BodyText"/>
      </w:pPr>
      <w:r>
        <w:t xml:space="preserve">Muellner, L. C. (1996)</w:t>
      </w:r>
      <w:r>
        <w:t xml:space="preserve"> </w:t>
      </w:r>
      <w:r>
        <w:rPr>
          <w:i/>
          <w:iCs/>
        </w:rPr>
        <w:t xml:space="preserve">The Anger of Achilles: Mēnis in Greek Epic</w:t>
      </w:r>
      <w:r>
        <w:t xml:space="preserve">, Ithaca, NY: Cornell University Press.</w:t>
      </w:r>
    </w:p>
    <w:p>
      <w:pPr>
        <w:pStyle w:val="BodyText"/>
      </w:pPr>
      <w:r>
        <w:t xml:space="preserve">Nandan, M., Godbole, I., Kapparad, P. and Bhattacharjee, S. (2025)</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w:t>
      </w:r>
    </w:p>
    <w:p>
      <w:pPr>
        <w:pStyle w:val="BodyText"/>
      </w:pPr>
      <w:r>
        <w:t xml:space="preserve">Narimani, Z., Iqbali, M. and Chari, M. (2021)</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pp. 219–239.</w:t>
      </w:r>
    </w:p>
    <w:p>
      <w:pPr>
        <w:pStyle w:val="BodyText"/>
      </w:pPr>
      <w:r>
        <w:t xml:space="preserve">Neuwirth, A. (2019)</w:t>
      </w:r>
      <w:r>
        <w:t xml:space="preserve"> </w:t>
      </w:r>
      <w:r>
        <w:rPr>
          <w:i/>
          <w:iCs/>
        </w:rPr>
        <w:t xml:space="preserve">The Qur’an and Late Antiquity: A Shared Heritage</w:t>
      </w:r>
      <w:r>
        <w:t xml:space="preserve">, trans. S. Wilder, Oxford: Oxford University Press.</w:t>
      </w:r>
    </w:p>
    <w:p>
      <w:pPr>
        <w:pStyle w:val="BodyText"/>
      </w:pPr>
      <w:r>
        <w:t xml:space="preserve">Pakatchi, A. and Afrashi, A. (2020)</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w:t>
      </w:r>
    </w:p>
    <w:p>
      <w:pPr>
        <w:pStyle w:val="BodyText"/>
      </w:pPr>
      <w:r>
        <w:t xml:space="preserve">Patefield, W. M. (1981)</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w:t>
      </w:r>
      <w:r>
        <w:t xml:space="preserve"> </w:t>
      </w:r>
      <w:r>
        <w:rPr>
          <w:i/>
          <w:iCs/>
        </w:rPr>
        <w:t xml:space="preserve">Journal of the Royal Statistical Society, Series C (Applied Statistics)</w:t>
      </w:r>
      <w:r>
        <w:t xml:space="preserve"> </w:t>
      </w:r>
      <w:r>
        <w:t xml:space="preserve">30(1), pp. 91–97.</w:t>
      </w:r>
    </w:p>
    <w:p>
      <w:pPr>
        <w:pStyle w:val="BodyText"/>
      </w:pPr>
      <w:r>
        <w:t xml:space="preserve">Plutchik, R. (1980)</w:t>
      </w:r>
      <w:r>
        <w:t xml:space="preserve"> </w:t>
      </w:r>
      <w:r>
        <w:rPr>
          <w:i/>
          <w:iCs/>
        </w:rPr>
        <w:t xml:space="preserve">Emotion: A Psychoevolutionary Synthesis</w:t>
      </w:r>
      <w:r>
        <w:t xml:space="preserve">, New York: Harper &amp; Row.</w:t>
      </w:r>
    </w:p>
    <w:p>
      <w:pPr>
        <w:pStyle w:val="BodyText"/>
      </w:pPr>
      <w:r>
        <w:t xml:space="preserve">Plutchik, R. (2001)</w:t>
      </w:r>
      <w:r>
        <w:t xml:space="preserve"> </w:t>
      </w:r>
      <w:r>
        <w:t xml:space="preserve">‘The Nature of Emotions’</w:t>
      </w:r>
      <w:r>
        <w:t xml:space="preserve">,</w:t>
      </w:r>
      <w:r>
        <w:t xml:space="preserve"> </w:t>
      </w:r>
      <w:r>
        <w:rPr>
          <w:i/>
          <w:iCs/>
        </w:rPr>
        <w:t xml:space="preserve">American Scientist</w:t>
      </w:r>
      <w:r>
        <w:t xml:space="preserve"> </w:t>
      </w:r>
      <w:r>
        <w:t xml:space="preserve">89(4), pp. 344–350.</w:t>
      </w:r>
    </w:p>
    <w:p>
      <w:pPr>
        <w:pStyle w:val="BodyText"/>
      </w:pPr>
      <w:r>
        <w:t xml:space="preserve">Qāʾimīniyā, ʿA. (2011)</w:t>
      </w:r>
      <w:r>
        <w:t xml:space="preserve"> </w:t>
      </w:r>
      <w:r>
        <w:rPr>
          <w:i/>
          <w:iCs/>
        </w:rPr>
        <w:t xml:space="preserve">Maʿnāshināsī-yi Shinākhtī-yi Qurʾān</w:t>
      </w:r>
      <w:r>
        <w:t xml:space="preserve"> </w:t>
      </w:r>
      <w:r>
        <w:t xml:space="preserve">[Cognitive Semantics of the Qurʾān; in Persian], Tehran: Pizhūhishgāh-i Farhang va Andīshah-i Islāmī.</w:t>
      </w:r>
    </w:p>
    <w:p>
      <w:pPr>
        <w:pStyle w:val="BodyText"/>
      </w:pPr>
      <w:r>
        <w:t xml:space="preserve">Qāʾimīniyā, ʿA. (2014)</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w:t>
      </w:r>
    </w:p>
    <w:p>
      <w:pPr>
        <w:pStyle w:val="BodyText"/>
      </w:pPr>
      <w:r>
        <w:t xml:space="preserve">Qarizadeh, M. ʿO., Salmani Marvast, M. ʿA., Meymandi, V. and Farsi, B. (2024)</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w:t>
      </w:r>
    </w:p>
    <w:p>
      <w:pPr>
        <w:pStyle w:val="BodyText"/>
      </w:pPr>
      <w:r>
        <w:t xml:space="preserve">al-Qurṭubī, Muḥammad ibn Aḥmad (1964)</w:t>
      </w:r>
      <w:r>
        <w:t xml:space="preserve"> </w:t>
      </w:r>
      <w:r>
        <w:rPr>
          <w:i/>
          <w:iCs/>
        </w:rPr>
        <w:t xml:space="preserve">al-Jāmiʿ li-Aḥkām al-Qurʾān</w:t>
      </w:r>
      <w:r>
        <w:t xml:space="preserve">, 20 vols, Cairo: Dār al-Kutub al-Miṣriyyah.</w:t>
      </w:r>
    </w:p>
    <w:p>
      <w:pPr>
        <w:pStyle w:val="BodyText"/>
      </w:pPr>
      <w:r>
        <w:t xml:space="preserve">al-Qushayrī, ʿAbd al-Karīm (2000)</w:t>
      </w:r>
      <w:r>
        <w:t xml:space="preserve"> </w:t>
      </w:r>
      <w:r>
        <w:rPr>
          <w:i/>
          <w:iCs/>
        </w:rPr>
        <w:t xml:space="preserve">Laṭāʾif al-Ishārāt</w:t>
      </w:r>
      <w:r>
        <w:t xml:space="preserve">, ed. I. Basūnī, 6 vols, Cairo: al-Hayʾah al-Miṣriyyah al-ʿĀmmah li-l-Kitāb.</w:t>
      </w:r>
    </w:p>
    <w:p>
      <w:pPr>
        <w:pStyle w:val="BodyText"/>
      </w:pPr>
      <w:r>
        <w:t xml:space="preserve">Quṭb, S. (1980)</w:t>
      </w:r>
      <w:r>
        <w:t xml:space="preserve"> </w:t>
      </w:r>
      <w:r>
        <w:rPr>
          <w:i/>
          <w:iCs/>
        </w:rPr>
        <w:t xml:space="preserve">Fī Ẓilāl al-Qurʾān</w:t>
      </w:r>
      <w:r>
        <w:t xml:space="preserve">, 6 vols, Cairo and Beirut: Dār al-Shurūq.</w:t>
      </w:r>
    </w:p>
    <w:p>
      <w:pPr>
        <w:pStyle w:val="BodyText"/>
      </w:pPr>
      <w:r>
        <w:t xml:space="preserve">Rabab’ah, K. and Al-Saidat, E. (2022)</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pp. 409–433.</w:t>
      </w:r>
    </w:p>
    <w:p>
      <w:pPr>
        <w:pStyle w:val="BodyText"/>
      </w:pPr>
      <w:r>
        <w:t xml:space="preserve">al-Rāghib al-Iṣfahānī, Ḥusayn (1992)</w:t>
      </w:r>
      <w:r>
        <w:t xml:space="preserve"> </w:t>
      </w:r>
      <w:r>
        <w:rPr>
          <w:i/>
          <w:iCs/>
        </w:rPr>
        <w:t xml:space="preserve">al-Mufradāt fī Gharīb al-Qurʾān</w:t>
      </w:r>
      <w:r>
        <w:t xml:space="preserve">, ed. Ṣ. ʿA. Dāwūdī, Damascus and Beirut: Dār al-Qalam and al-Dār al-Shāmiyyah.</w:t>
      </w:r>
    </w:p>
    <w:p>
      <w:pPr>
        <w:pStyle w:val="BodyText"/>
      </w:pPr>
      <w:r>
        <w:t xml:space="preserve">al-Rāzī, Fakhr al-Dīn Muḥammad (1999)</w:t>
      </w:r>
      <w:r>
        <w:t xml:space="preserve"> </w:t>
      </w:r>
      <w:r>
        <w:rPr>
          <w:i/>
          <w:iCs/>
        </w:rPr>
        <w:t xml:space="preserve">Mafātīḥ al-Ghayb (al-Tafsīr al-Kabīr)</w:t>
      </w:r>
      <w:r>
        <w:t xml:space="preserve">, Beirut: Dār Iḥyāʾ al-Turāth al-ʿArabī.</w:t>
      </w:r>
    </w:p>
    <w:p>
      <w:pPr>
        <w:pStyle w:val="BodyText"/>
      </w:pPr>
      <w:r>
        <w:t xml:space="preserve">Riḍā, Muḥammad Rashīd (1947)</w:t>
      </w:r>
      <w:r>
        <w:t xml:space="preserve"> </w:t>
      </w:r>
      <w:r>
        <w:rPr>
          <w:i/>
          <w:iCs/>
        </w:rPr>
        <w:t xml:space="preserve">Tafsīr al-Qurʾān al-Ḥakīm (al-Manār)</w:t>
      </w:r>
      <w:r>
        <w:t xml:space="preserve">, 12 vols, Cairo: Dār al-Manār.</w:t>
      </w:r>
    </w:p>
    <w:p>
      <w:pPr>
        <w:pStyle w:val="BodyText"/>
      </w:pPr>
      <w:r>
        <w:t xml:space="preserve">Roseman, I. J. (1996)</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pp. 241–277.</w:t>
      </w:r>
    </w:p>
    <w:p>
      <w:pPr>
        <w:pStyle w:val="BodyText"/>
      </w:pPr>
      <w:r>
        <w:t xml:space="preserve">Sadeghi, B. (2011)</w:t>
      </w:r>
      <w:r>
        <w:t xml:space="preserve"> </w:t>
      </w:r>
      <w:r>
        <w:t xml:space="preserve">‘The Chronology of the Qurʾān: A Stylometric Research Program’</w:t>
      </w:r>
      <w:r>
        <w:t xml:space="preserve">,</w:t>
      </w:r>
      <w:r>
        <w:t xml:space="preserve"> </w:t>
      </w:r>
      <w:r>
        <w:rPr>
          <w:i/>
          <w:iCs/>
        </w:rPr>
        <w:t xml:space="preserve">Arabica</w:t>
      </w:r>
      <w:r>
        <w:t xml:space="preserve"> </w:t>
      </w:r>
      <w:r>
        <w:t xml:space="preserve">58(3–4), pp. 210–299.</w:t>
      </w:r>
    </w:p>
    <w:p>
      <w:pPr>
        <w:pStyle w:val="BodyText"/>
      </w:pPr>
      <w:r>
        <w:t xml:space="preserve">Sassoon, G. W. (2010)</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pp. 141–181.</w:t>
      </w:r>
    </w:p>
    <w:p>
      <w:pPr>
        <w:pStyle w:val="BodyText"/>
      </w:pPr>
      <w:r>
        <w:t xml:space="preserve">Sawalha, M., Al-Shargi, F., Yagi, S., AlShdaifat, A. T., Hammo, B., Belajeed, M. and Al-Ogaili, L. R. (2024)</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58, 111211.</w:t>
      </w:r>
    </w:p>
    <w:p>
      <w:pPr>
        <w:pStyle w:val="BodyText"/>
      </w:pPr>
      <w:r>
        <w:t xml:space="preserve">Scherer, K. R. (2001)</w:t>
      </w:r>
      <w:r>
        <w:t xml:space="preserve"> </w:t>
      </w:r>
      <w:r>
        <w:t xml:space="preserve">‘Appraisal Considered as a Process of Multilevel Sequential Checking’</w:t>
      </w:r>
      <w:r>
        <w:t xml:space="preserve">, in K. R. Scherer, A. Schorr and T. Johnstone (eds),</w:t>
      </w:r>
      <w:r>
        <w:t xml:space="preserve"> </w:t>
      </w:r>
      <w:r>
        <w:rPr>
          <w:i/>
          <w:iCs/>
        </w:rPr>
        <w:t xml:space="preserve">Appraisal Processes in Emotion: Theory, Methods, Research</w:t>
      </w:r>
      <w:r>
        <w:t xml:space="preserve">, New York: Oxford University Press, pp. 92–120.</w:t>
      </w:r>
    </w:p>
    <w:p>
      <w:pPr>
        <w:pStyle w:val="BodyText"/>
      </w:pPr>
      <w:r>
        <w:t xml:space="preserve">Scherer, K. R. (2005)</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pp. 695–729.</w:t>
      </w:r>
    </w:p>
    <w:p>
      <w:pPr>
        <w:pStyle w:val="BodyText"/>
      </w:pPr>
      <w:r>
        <w:t xml:space="preserve">Sharaf, A.-B. M. and Atwell, E. (2012a)</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Istanbul: ELRA, pp. 130–137.</w:t>
      </w:r>
    </w:p>
    <w:p>
      <w:pPr>
        <w:pStyle w:val="BodyText"/>
      </w:pPr>
      <w:r>
        <w:t xml:space="preserve">Sharaf, A.-B. M. and Atwell, E. (2012b)</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Istanbul: ELRA, pp. 2295–2302.</w:t>
      </w:r>
    </w:p>
    <w:p>
      <w:pPr>
        <w:pStyle w:val="BodyText"/>
      </w:pPr>
      <w:r>
        <w:t xml:space="preserve">Sharifian, F. (2011)</w:t>
      </w:r>
      <w:r>
        <w:t xml:space="preserve"> </w:t>
      </w:r>
      <w:r>
        <w:rPr>
          <w:i/>
          <w:iCs/>
        </w:rPr>
        <w:t xml:space="preserve">Cultural Conceptualisations and Language: Theoretical Framework and Applications</w:t>
      </w:r>
      <w:r>
        <w:t xml:space="preserve">, Cognitive Linguistic Studies in Cultural Contexts 1, Amsterdam: John Benjamins.</w:t>
      </w:r>
    </w:p>
    <w:p>
      <w:pPr>
        <w:pStyle w:val="BodyText"/>
      </w:pPr>
      <w:r>
        <w:t xml:space="preserve">Sinai, N. (2017)</w:t>
      </w:r>
      <w:r>
        <w:t xml:space="preserve"> </w:t>
      </w:r>
      <w:r>
        <w:rPr>
          <w:i/>
          <w:iCs/>
        </w:rPr>
        <w:t xml:space="preserve">The Qurʾan: A Historical-Critical Introduction</w:t>
      </w:r>
      <w:r>
        <w:t xml:space="preserve">, The New Edinburgh Islamic Surveys, Edinburgh: Edinburgh University Press.</w:t>
      </w:r>
    </w:p>
    <w:p>
      <w:pPr>
        <w:pStyle w:val="BodyText"/>
      </w:pPr>
      <w:r>
        <w:t xml:space="preserve">Sinai, N. (2023)</w:t>
      </w:r>
      <w:r>
        <w:t xml:space="preserve"> </w:t>
      </w:r>
      <w:r>
        <w:rPr>
          <w:i/>
          <w:iCs/>
        </w:rPr>
        <w:t xml:space="preserve">Key Terms of the Qurʾan: A Critical Dictionary</w:t>
      </w:r>
      <w:r>
        <w:t xml:space="preserve">, Princeton: Princeton University Press.</w:t>
      </w:r>
    </w:p>
    <w:p>
      <w:pPr>
        <w:pStyle w:val="BodyText"/>
      </w:pPr>
      <w:r>
        <w:t xml:space="preserve">Soriano, C. (2003)</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pp. 107–122.</w:t>
      </w:r>
    </w:p>
    <w:p>
      <w:pPr>
        <w:pStyle w:val="BodyText"/>
      </w:pPr>
      <w:r>
        <w:t xml:space="preserve">Soriano, C. (2013)</w:t>
      </w:r>
      <w:r>
        <w:t xml:space="preserve"> </w:t>
      </w:r>
      <w:r>
        <w:t xml:space="preserve">‘Anger Metaphors across Languages: A Cognitive Linguistic Perspective’</w:t>
      </w:r>
      <w:r>
        <w:t xml:space="preserve">, in R. R. Heredia and A. B. Cieślicka (eds),</w:t>
      </w:r>
      <w:r>
        <w:t xml:space="preserve"> </w:t>
      </w:r>
      <w:r>
        <w:rPr>
          <w:i/>
          <w:iCs/>
        </w:rPr>
        <w:t xml:space="preserve">Bilingual Figurative Language Processing</w:t>
      </w:r>
      <w:r>
        <w:t xml:space="preserve">, Cambridge: Cambridge University Press, pp. 410–440.</w:t>
      </w:r>
    </w:p>
    <w:p>
      <w:pPr>
        <w:pStyle w:val="BodyText"/>
      </w:pPr>
      <w:r>
        <w:t xml:space="preserve">Spielberger, C. D. (1999)</w:t>
      </w:r>
      <w:r>
        <w:t xml:space="preserve"> </w:t>
      </w:r>
      <w:r>
        <w:rPr>
          <w:i/>
          <w:iCs/>
        </w:rPr>
        <w:t xml:space="preserve">Professional Manual for the State-Trait Anger Expression Inventory–2 (STAXI-2)</w:t>
      </w:r>
      <w:r>
        <w:t xml:space="preserve">, Odessa, FL: Psychological Assessment Resources.</w:t>
      </w:r>
    </w:p>
    <w:p>
      <w:pPr>
        <w:pStyle w:val="BodyText"/>
      </w:pPr>
      <w:r>
        <w:t xml:space="preserve">al-Ṭabarī, Muḥammad ibn Jarīr (2000)</w:t>
      </w:r>
      <w:r>
        <w:t xml:space="preserve"> </w:t>
      </w:r>
      <w:r>
        <w:rPr>
          <w:i/>
          <w:iCs/>
        </w:rPr>
        <w:t xml:space="preserve">Jāmiʿ al-Bayān ʿan Taʾwīl Āy al-Qurʾān</w:t>
      </w:r>
      <w:r>
        <w:t xml:space="preserve">, ed. A. M. Shākir, 24 vols, Beirut: Muʾassasat al-Risālah.</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 (1970)</w:t>
      </w:r>
      <w:r>
        <w:t xml:space="preserve"> </w:t>
      </w:r>
      <w:r>
        <w:rPr>
          <w:i/>
          <w:iCs/>
        </w:rPr>
        <w:t xml:space="preserve">al-Mīzān fī Tafsīr al-Qurʾān</w:t>
      </w:r>
      <w:r>
        <w:t xml:space="preserve">, 20 vols, Beirut: Muʾassasat al-Aʿlamī li-l-Maṭbūʿāt.</w:t>
      </w:r>
    </w:p>
    <w:p>
      <w:pPr>
        <w:pStyle w:val="BodyText"/>
      </w:pPr>
      <w:r>
        <w:t xml:space="preserve">Tanzil Project (2008)</w:t>
      </w:r>
      <w:r>
        <w:t xml:space="preserve"> </w:t>
      </w:r>
      <w:r>
        <w:rPr>
          <w:i/>
          <w:iCs/>
        </w:rPr>
        <w:t xml:space="preserve">The Tanzil Quran Text</w:t>
      </w:r>
      <w:r>
        <w:t xml:space="preserve"> </w:t>
      </w:r>
      <w:r>
        <w:t xml:space="preserve">(Uthmani edition), https://tanzil.net.</w:t>
      </w:r>
    </w:p>
    <w:p>
      <w:pPr>
        <w:pStyle w:val="BodyText"/>
      </w:pPr>
      <w:r>
        <w:t xml:space="preserve">Wierzbicka, A. (1999)</w:t>
      </w:r>
      <w:r>
        <w:t xml:space="preserve"> </w:t>
      </w:r>
      <w:r>
        <w:rPr>
          <w:i/>
          <w:iCs/>
        </w:rPr>
        <w:t xml:space="preserve">Emotions Across Languages and Cultures: Diversity and Universals</w:t>
      </w:r>
      <w:r>
        <w:t xml:space="preserve">, Cambridge: Cambridge University Press.</w:t>
      </w:r>
    </w:p>
    <w:p>
      <w:pPr>
        <w:pStyle w:val="BodyText"/>
      </w:pPr>
      <w:r>
        <w:t xml:space="preserve">Yu, N. (1995)</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pp. 59–92.</w:t>
      </w:r>
    </w:p>
    <w:p>
      <w:pPr>
        <w:pStyle w:val="BodyText"/>
      </w:pPr>
      <w:r>
        <w:t xml:space="preserve">al-Zamakhsharī, Maḥmūd (1986)</w:t>
      </w:r>
      <w:r>
        <w:t xml:space="preserve"> </w:t>
      </w:r>
      <w:r>
        <w:rPr>
          <w:i/>
          <w:iCs/>
        </w:rPr>
        <w:t xml:space="preserve">al-Kashshāf ʿan Ḥaqāʾiq Ghawāmiḍ al-Tanzīl</w:t>
      </w:r>
      <w:r>
        <w:t xml:space="preserve">, Beirut: Dār al-Kitāb al-ʿArabī.</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The marginal-preserving permutation null holds the per-root attestation counts fixed and randomly permutes the fourteen stage labels across roots (10,000 permutations, fixed RNG seed 20260509); the empirical</w:t>
      </w:r>
      <w:r>
        <w:t xml:space="preserve"> </w:t>
      </w:r>
      <w:r>
        <w:rPr>
          <w:i/>
          <w:iCs/>
        </w:rPr>
        <w:t xml:space="preserve">p</w:t>
      </w:r>
      <w:r>
        <w:t xml:space="preserve">-value is the fraction of permuted χ² values meeting or exceeding the observed 227.15. This is the natural extension of Fisher-exact reasoning to a many-cell design where exact enumeration of the conditional reference set is intractable (Patefield 1981; Mehta and Patel 1983).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78" Target="media/rId78.jpg" /><Relationship Type="http://schemas.openxmlformats.org/officeDocument/2006/relationships/image" Id="rId66" Target="media/rId66.png" /><Relationship Type="http://schemas.openxmlformats.org/officeDocument/2006/relationships/image" Id="rId37" Target="media/rId37.jpg" /><Relationship Type="http://schemas.openxmlformats.org/officeDocument/2006/relationships/hyperlink" Id="rId97"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2026-05-13T18:30:10Z</dcterms:created>
  <dcterms:modified xsi:type="dcterms:W3CDTF">2026-05-13T18:30:10Z</dcterms:modified>
</cp:coreProperties>
</file>

<file path=docProps/custom.xml><?xml version="1.0" encoding="utf-8"?>
<Properties xmlns="http://schemas.openxmlformats.org/officeDocument/2006/custom-properties" xmlns:vt="http://schemas.openxmlformats.org/officeDocument/2006/docPropsVTypes"/>
</file>