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9.png" ContentType="image/png"/>
  <Override PartName="/word/media/rId72.png" ContentType="image/png"/>
  <Override PartName="/word/media/rId93.png" ContentType="image/png"/>
  <Override PartName="/word/media/rId75.png" ContentType="image/png"/>
  <Override PartName="/word/media/rId126.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4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27"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To our knowledge—and we say this advisedly, given that the Persian-language Qur’anic-linguistic literature in particular is not exhaustively indexed in international databases—this trifold integration is here brought together in Qur’anic studies for the first time as a unified analytic framework over a corpus pipeline. We acknowledge that Qāʾimīniyā</w:t>
      </w:r>
      <w:r>
        <w:rPr>
          <w:rStyle w:val="FootnoteReference"/>
        </w:rPr>
        <w:footnoteReference w:id="24"/>
      </w:r>
      <w:r>
        <w:t xml:space="preserve"> </w:t>
      </w:r>
      <w:r>
        <w:t xml:space="preserve">and Pakatchi already integrate Izutsu’s field method with cognitive-linguistic conceptual-metaphor analysis, and that Persian-language scalar-semantic work on Qur’anic vocabulary may exist in venues we have not been able to canvass; the</w:t>
      </w:r>
      <w:r>
        <w:t xml:space="preserve"> </w:t>
      </w:r>
      <w:r>
        <w:rPr>
          <w:i/>
          <w:iCs/>
        </w:rPr>
        <w:t xml:space="preserve">novelty</w:t>
      </w:r>
      <w:r>
        <w:t xml:space="preserve"> </w:t>
      </w:r>
      <w:r>
        <w:t xml:space="preserve">of the present paper is therefore best stated as the</w:t>
      </w:r>
      <w:r>
        <w:t xml:space="preserve"> </w:t>
      </w:r>
      <w:r>
        <w:rPr>
          <w:i/>
          <w:iCs/>
        </w:rPr>
        <w:t xml:space="preserve">systematic combination</w:t>
      </w:r>
      <w:r>
        <w:t xml:space="preserve"> </w:t>
      </w:r>
      <w:r>
        <w:t xml:space="preserve">of the three frameworks within a single computational-empirical pipeline, not as the introduction of any one framework. The second aim is</w:t>
      </w:r>
      <w:r>
        <w:t xml:space="preserve"> </w:t>
      </w:r>
      <w:r>
        <w:rPr>
          <w:b/>
          <w:bCs/>
        </w:rPr>
        <w:t xml:space="preserve">descriptive</w:t>
      </w:r>
      <w:r>
        <w:t xml:space="preserve">: to map every Qur’anic occurrence of the fourteen core roots, to render that map publicly verifiable through an open concordance, and to extract from it empirical regularities that previous scholarship—working in either tafsir, lexicography, or single-word semantic analysis—was not in a position to detect. The third aim is</w:t>
      </w:r>
      <w:r>
        <w:t xml:space="preserve"> </w:t>
      </w:r>
      <w:r>
        <w:rPr>
          <w:b/>
          <w:bCs/>
        </w:rPr>
        <w:t xml:space="preserve">interpretive</w:t>
      </w:r>
      <w:r>
        <w:t xml:space="preserve">: to argue that the resulting continuum constitutes a coherent</w:t>
      </w:r>
      <w:r>
        <w:t xml:space="preserve"> </w:t>
      </w:r>
      <w:r>
        <w:t xml:space="preserve">“logic of anger escalation”</w:t>
      </w:r>
      <w:r>
        <w:t xml:space="preserve"> </w:t>
      </w:r>
      <w:r>
        <w:t xml:space="preserve">with deep structural affinities to modern psychology of emotion, and to identify the specific points at which the Qur’anic continuum</w:t>
      </w:r>
      <w:r>
        <w:t xml:space="preserve"> </w:t>
      </w:r>
      <w:r>
        <w:rPr>
          <w:i/>
          <w:iCs/>
        </w:rPr>
        <w:t xml:space="preserve">exceeds</w:t>
      </w:r>
      <w:r>
        <w:t xml:space="preserve"> </w:t>
      </w:r>
      <w:r>
        <w:t xml:space="preserve">the explanatory range of the contemporary models.</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5"/>
      </w:r>
      <w:r>
        <w:t xml:space="preserve"> </w:t>
      </w:r>
      <w:r>
        <w:t xml:space="preserve">and Pakatchi-Afrashi</w:t>
      </w:r>
      <w:r>
        <w:rPr>
          <w:rStyle w:val="FootnoteReference"/>
        </w:rPr>
        <w:footnoteReference w:id="26"/>
      </w:r>
      <w:r>
        <w:t xml:space="preserve"> </w:t>
      </w:r>
      <w:r>
        <w:t xml:space="preserve">already integrate Izutsu and CMT in Persian Qur’anic scholarship; the novel element is the Kennedy–Sassoon scalar layer.</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 unusually transparent instance of</w:t>
      </w:r>
      <w:r>
        <w:t xml:space="preserve"> </w:t>
      </w:r>
      <w:r>
        <w:t xml:space="preserve">“container collapse”</w:t>
      </w:r>
      <w:r>
        <w:t xml:space="preserve">, softened in §5.5 by the absence of a cross-cultural survey.</w:t>
      </w:r>
    </w:p>
    <w:bookmarkEnd w:id="27"/>
    <w:bookmarkStart w:id="3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28"/>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29"/>
      </w:r>
      <w:r>
        <w:t xml:space="preserve"> </w:t>
      </w:r>
      <w:r>
        <w:t xml:space="preserve">on</w:t>
      </w:r>
      <w:r>
        <w:t xml:space="preserve"> </w:t>
      </w:r>
      <w:r>
        <w:rPr>
          <w:i/>
          <w:iCs/>
        </w:rPr>
        <w:t xml:space="preserve">ṭughyān</w:t>
      </w:r>
      <w:r>
        <w:t xml:space="preserve"> </w:t>
      </w:r>
      <w:r>
        <w:t xml:space="preserve">shows the root attests in 27 suras with the central meaning of transgressing the limit. Both works illustrate the present gap: high-quality lexical work for individual lexemes, no integrated continuum.</w:t>
      </w:r>
      <w:r>
        <w:t xml:space="preserve"> </w:t>
      </w:r>
      <w:r>
        <w:rPr>
          <w:b/>
          <w:bCs/>
        </w:rPr>
        <w:t xml:space="preserve">Ethics-of-anger studies</w:t>
      </w:r>
      <w:r>
        <w:t xml:space="preserve"> </w:t>
      </w:r>
      <w:r>
        <w:t xml:space="preserve">focus on</w:t>
      </w:r>
      <w:r>
        <w:t xml:space="preserve"> </w:t>
      </w:r>
      <w:r>
        <w:rPr>
          <w:i/>
          <w:iCs/>
        </w:rPr>
        <w:t xml:space="preserve">kaẓm al-ghayẓ</w:t>
      </w:r>
      <w:r>
        <w:t xml:space="preserve"> </w:t>
      </w:r>
      <w:r>
        <w:t xml:space="preserve">(Q. 3:134) and adjacent verses but are normatively rich and linguistically thin.</w:t>
      </w:r>
      <w:r>
        <w:t xml:space="preserve"> </w:t>
      </w:r>
      <w:r>
        <w:rPr>
          <w:b/>
          <w:bCs/>
        </w:rPr>
        <w:t xml:space="preserve">Cognitive-semantic studies</w:t>
      </w:r>
      <w:r>
        <w:t xml:space="preserve"> </w:t>
      </w:r>
      <w:r>
        <w:t xml:space="preserve">in the Izutsu tradition — Qāʾimīniyā,</w:t>
      </w:r>
      <w:r>
        <w:rPr>
          <w:rStyle w:val="FootnoteReference"/>
        </w:rPr>
        <w:footnoteReference w:id="30"/>
      </w:r>
      <w:r>
        <w:t xml:space="preserve"> </w:t>
      </w:r>
      <w:r>
        <w:t xml:space="preserve">Pakatchi-Afrashi,</w:t>
      </w:r>
      <w:r>
        <w:rPr>
          <w:rStyle w:val="FootnoteReference"/>
        </w:rPr>
        <w:footnoteReference w:id="31"/>
      </w:r>
      <w:r>
        <w:t xml:space="preserve"> </w:t>
      </w:r>
      <w:r>
        <w:t xml:space="preserve">Albayrak</w:t>
      </w:r>
      <w:r>
        <w:rPr>
          <w:rStyle w:val="FootnoteReference"/>
        </w:rPr>
        <w:footnoteReference w:id="32"/>
      </w:r>
      <w:r>
        <w:t xml:space="preserve"> </w:t>
      </w:r>
      <w:r>
        <w:t xml:space="preserve">— have applied cognitive linguistics to Qur’anic vocabulary but not treated the anger spectrum as a graded continuum. The cross-linguistic CMT literature on anger is decisively updated by Kövecses, Benczes and Szelid’s</w:t>
      </w:r>
      <w:r>
        <w:t xml:space="preserve"> </w:t>
      </w:r>
      <w:r>
        <w:rPr>
          <w:i/>
          <w:iCs/>
        </w:rPr>
        <w:t xml:space="preserve">Metaphors of ANGER across Languages</w:t>
      </w:r>
      <w:r>
        <w:t xml:space="preserve">;</w:t>
      </w:r>
      <w:r>
        <w:rPr>
          <w:rStyle w:val="FootnoteReference"/>
        </w:rPr>
        <w:footnoteReference w:id="33"/>
      </w:r>
      <w:r>
        <w:t xml:space="preserve"> </w:t>
      </w:r>
      <w:r>
        <w:t xml:space="preserve">Classical Arabic is conspicuously not separately treated in Vols. 1–2, a gap this paper begins to fill.</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34"/>
      </w:r>
      <w:r>
        <w:t xml:space="preserve"> </w:t>
      </w:r>
      <w:r>
        <w:t xml:space="preserve">show inconsistent sentiment polarity across seven English translations; the ELQV dataset of 2,100 emotion-labelled verses</w:t>
      </w:r>
      <w:r>
        <w:rPr>
          <w:rStyle w:val="FootnoteReference"/>
        </w:rPr>
        <w:footnoteReference w:id="35"/>
      </w:r>
      <w:r>
        <w:t xml:space="preserve"> </w:t>
      </w:r>
      <w:r>
        <w:t xml:space="preserve">provides a coarse-Ekman reference; Khan et al.</w:t>
      </w:r>
      <w:r>
        <w:rPr>
          <w:rStyle w:val="FootnoteReference"/>
        </w:rPr>
        <w:footnoteReference w:id="3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37"/>
      </w:r>
      <w:r>
        <w:t xml:space="preserve"> </w:t>
      </w:r>
      <w:r>
        <w:t xml:space="preserve">None of these supplies a</w:t>
      </w:r>
      <w:r>
        <w:t xml:space="preserve"> </w:t>
      </w:r>
      <w:r>
        <w:rPr>
          <w:i/>
          <w:iCs/>
        </w:rPr>
        <w:t xml:space="preserve">graded reference model of the lexical spectrum</w:t>
      </w:r>
      <w:r>
        <w:t xml:space="preserve"> </w:t>
      </w:r>
      <w:r>
        <w:t xml:space="preserve">at the lexeme level.</w:t>
      </w:r>
      <w:r>
        <w:t xml:space="preserve"> </w:t>
      </w:r>
      <w:r>
        <w:rPr>
          <w:b/>
          <w:bCs/>
        </w:rPr>
        <w:t xml:space="preserve">Islamic psychology</w:t>
      </w:r>
      <w:r>
        <w:rPr>
          <w:rStyle w:val="FootnoteReference"/>
        </w:rPr>
        <w:footnoteReference w:id="3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fills the gap at the intersection of all five lines: a unified theoretical frame, corpus-empirical validation, novel distributional findings, a translation-criticism reference model, and a culturally-grounded model for practical Islamic psychology.</w:t>
      </w:r>
    </w:p>
    <w:bookmarkEnd w:id="39"/>
    <w:bookmarkStart w:id="4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40"/>
    <w:bookmarkEnd w:id="41"/>
    <w:bookmarkStart w:id="54" w:name="theoretical-framework"/>
    <w:p>
      <w:pPr>
        <w:pStyle w:val="Heading2"/>
      </w:pPr>
      <w:r>
        <w:t xml:space="preserve">2. Theoretical Framework</w:t>
      </w:r>
    </w:p>
    <w:bookmarkStart w:id="4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4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4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44"/>
    <w:bookmarkStart w:id="4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4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46"/>
    <w:bookmarkStart w:id="4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47"/>
      </w:r>
      <w:r>
        <w:t xml:space="preserve"> </w:t>
      </w:r>
      <w:r>
        <w:t xml:space="preserve">treats metaphor as a cognitive structure that allows abstract domains (emotion) to be understood through concrete ones (container, heat). Lakoff and Kövecses</w:t>
      </w:r>
      <w:r>
        <w:rPr>
          <w:rStyle w:val="FootnoteReference"/>
        </w:rPr>
        <w:footnoteReference w:id="4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49"/>
    <w:bookmarkStart w:id="5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040466"/>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51" name="Picture"/>
            <a:graphic>
              <a:graphicData uri="http://schemas.openxmlformats.org/drawingml/2006/picture">
                <pic:pic>
                  <pic:nvPicPr>
                    <pic:cNvPr descr="fig1_continuum.png" id="52" name="Picture"/>
                    <pic:cNvPicPr>
                      <a:picLocks noChangeArrowheads="1" noChangeAspect="1"/>
                    </pic:cNvPicPr>
                  </pic:nvPicPr>
                  <pic:blipFill>
                    <a:blip r:embed="rId50"/>
                    <a:stretch>
                      <a:fillRect/>
                    </a:stretch>
                  </pic:blipFill>
                  <pic:spPr bwMode="auto">
                    <a:xfrm>
                      <a:off x="0" y="0"/>
                      <a:ext cx="5334000" cy="2040466"/>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53"/>
    <w:bookmarkEnd w:id="54"/>
    <w:bookmarkStart w:id="66" w:name="methods"/>
    <w:p>
      <w:pPr>
        <w:pStyle w:val="Heading2"/>
      </w:pPr>
      <w:r>
        <w:t xml:space="preserve">3. Methods</w:t>
      </w:r>
    </w:p>
    <w:bookmarkStart w:id="5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5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56"/>
      </w:r>
      <w:r>
        <w:t xml:space="preserve"> </w:t>
      </w:r>
      <w:r>
        <w:t xml:space="preserve">distributed under CC-BY-ND 3.0.</w:t>
      </w:r>
    </w:p>
    <w:bookmarkEnd w:id="57"/>
    <w:bookmarkStart w:id="5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58"/>
    <w:bookmarkStart w:id="60"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5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bookmarkEnd w:id="60"/>
    <w:bookmarkStart w:id="63"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61"/>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62"/>
      </w:r>
      <w:r>
        <w:t xml:space="preserve"> </w:t>
      </w:r>
      <w:r>
        <w:t xml:space="preserve">operates at the discourse-topic level on coarse sentiment and does not yet apply this battery at the lexeme level.</w:t>
      </w:r>
    </w:p>
    <w:bookmarkEnd w:id="63"/>
    <w:bookmarkStart w:id="64"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64"/>
    <w:bookmarkStart w:id="65"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r>
        <w:pict>
          <v:rect style="width:0;height:1.5pt" o:hralign="center" o:hrstd="t" o:hr="t"/>
        </w:pict>
      </w:r>
    </w:p>
    <w:bookmarkEnd w:id="65"/>
    <w:bookmarkEnd w:id="66"/>
    <w:bookmarkStart w:id="102" w:name="findings"/>
    <w:p>
      <w:pPr>
        <w:pStyle w:val="Heading2"/>
      </w:pPr>
      <w:r>
        <w:t xml:space="preserve">4. Findings</w:t>
      </w:r>
    </w:p>
    <w:bookmarkStart w:id="67"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67"/>
    <w:bookmarkStart w:id="79"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68"/>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78"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 We read this as the expected and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Qur’an’s pedagogical emphasis at the lower-intensity (S1–2) and behavioural-outcome (S6) poles is theoretically motivated rather than indexical of intensity. The non-monotonic frequency profile is precisely what one would expect if the corpus weights pre-anger and post-anger lexemes pedagogically,</w:t>
      </w:r>
      <w:r>
        <w:t xml:space="preserve"> </w:t>
      </w:r>
      <w:r>
        <w:rPr>
          <w:i/>
          <w:iCs/>
        </w:rPr>
        <w:t xml:space="preserve">because</w:t>
      </w:r>
      <w:r>
        <w:t xml:space="preserve"> </w:t>
      </w:r>
      <w:r>
        <w:t xml:space="preserve">of their hortatory function in the moral architecture of the text. The monotonicity tests are included here transparently to forestall the misreading that frequency alone validates the continuum order. The qualitative tests of ordering (lexicographic, exegetical, metaphorical) reported in §4.1 and §4.3–§4.8 are the load-bearing evidence for the continuum’s structure.</w:t>
      </w:r>
    </w:p>
    <w:p>
      <w:pPr>
        <w:pStyle w:val="CaptionedFigure"/>
      </w:pPr>
      <w:r>
        <w:drawing>
          <wp:inline>
            <wp:extent cx="5067300" cy="1664143"/>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70" name="Picture"/>
            <a:graphic>
              <a:graphicData uri="http://schemas.openxmlformats.org/drawingml/2006/picture">
                <pic:pic>
                  <pic:nvPicPr>
                    <pic:cNvPr descr="fig2_frequency_by_stage.png" id="71" name="Picture"/>
                    <pic:cNvPicPr>
                      <a:picLocks noChangeArrowheads="1" noChangeAspect="1"/>
                    </pic:cNvPicPr>
                  </pic:nvPicPr>
                  <pic:blipFill>
                    <a:blip r:embed="rId69"/>
                    <a:stretch>
                      <a:fillRect/>
                    </a:stretch>
                  </pic:blipFill>
                  <pic:spPr bwMode="auto">
                    <a:xfrm>
                      <a:off x="0" y="0"/>
                      <a:ext cx="5067300" cy="1664143"/>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1924971"/>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73" name="Picture"/>
            <a:graphic>
              <a:graphicData uri="http://schemas.openxmlformats.org/drawingml/2006/picture">
                <pic:pic>
                  <pic:nvPicPr>
                    <pic:cNvPr descr="fig3_meccan_medinan.png" id="74" name="Picture"/>
                    <pic:cNvPicPr>
                      <a:picLocks noChangeArrowheads="1" noChangeAspect="1"/>
                    </pic:cNvPicPr>
                  </pic:nvPicPr>
                  <pic:blipFill>
                    <a:blip r:embed="rId72"/>
                    <a:stretch>
                      <a:fillRect/>
                    </a:stretch>
                  </pic:blipFill>
                  <pic:spPr bwMode="auto">
                    <a:xfrm>
                      <a:off x="0" y="0"/>
                      <a:ext cx="5067300" cy="1924971"/>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1467453"/>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76" name="Picture"/>
            <a:graphic>
              <a:graphicData uri="http://schemas.openxmlformats.org/drawingml/2006/picture">
                <pic:pic>
                  <pic:nvPicPr>
                    <pic:cNvPr descr="fig5_morphology_stack.png" id="77" name="Picture"/>
                    <pic:cNvPicPr>
                      <a:picLocks noChangeArrowheads="1" noChangeAspect="1"/>
                    </pic:cNvPicPr>
                  </pic:nvPicPr>
                  <pic:blipFill>
                    <a:blip r:embed="rId75"/>
                    <a:stretch>
                      <a:fillRect/>
                    </a:stretch>
                  </pic:blipFill>
                  <pic:spPr bwMode="auto">
                    <a:xfrm>
                      <a:off x="0" y="0"/>
                      <a:ext cx="5067300" cy="1467453"/>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78"/>
    <w:bookmarkEnd w:id="79"/>
    <w:bookmarkStart w:id="80"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80"/>
    <w:bookmarkStart w:id="82"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81"/>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82"/>
    <w:bookmarkStart w:id="84"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83"/>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84"/>
    <w:bookmarkStart w:id="85"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85"/>
    <w:bookmarkStart w:id="88"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86"/>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87"/>
      </w:r>
      <w:r>
        <w:t xml:space="preserve"> </w:t>
      </w:r>
      <w:r>
        <w:t xml:space="preserve">whether this is the strongest historical instance is left open pending the cross-cultural philological survey we commend in §5.5.</w:t>
      </w:r>
    </w:p>
    <w:bookmarkEnd w:id="88"/>
    <w:bookmarkStart w:id="99"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89"/>
      </w:r>
      <w:r>
        <w:t xml:space="preserve"> </w:t>
      </w:r>
      <w:r>
        <w:t xml:space="preserve">and Scherer,</w:t>
      </w:r>
      <w:r>
        <w:rPr>
          <w:rStyle w:val="FootnoteReference"/>
        </w:rPr>
        <w:footnoteReference w:id="90"/>
      </w:r>
      <w:r>
        <w:t xml:space="preserve"> </w:t>
      </w:r>
      <w:r>
        <w:t xml:space="preserve">and aligning with Roseman’s</w:t>
      </w:r>
      <w:r>
        <w:rPr>
          <w:rStyle w:val="FootnoteReference"/>
        </w:rPr>
        <w:footnoteReference w:id="91"/>
      </w:r>
      <w:r>
        <w:t xml:space="preserve"> </w:t>
      </w:r>
      <w:r>
        <w:t xml:space="preserve">“agency-self / motive-inconsistent / high-control”</w:t>
      </w:r>
      <w:r>
        <w:t xml:space="preserve"> </w:t>
      </w:r>
      <w:r>
        <w:t xml:space="preserve">pattern. Qarizadeh et al.’s polysemy analysis</w:t>
      </w:r>
      <w:r>
        <w:rPr>
          <w:rStyle w:val="FootnoteReference"/>
        </w:rPr>
        <w:footnoteReference w:id="92"/>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016681"/>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94" name="Picture"/>
            <a:graphic>
              <a:graphicData uri="http://schemas.openxmlformats.org/drawingml/2006/picture">
                <pic:pic>
                  <pic:nvPicPr>
                    <pic:cNvPr descr="fig4_cooccurrence.png" id="95" name="Picture"/>
                    <pic:cNvPicPr>
                      <a:picLocks noChangeArrowheads="1" noChangeAspect="1"/>
                    </pic:cNvPicPr>
                  </pic:nvPicPr>
                  <pic:blipFill>
                    <a:blip r:embed="rId93"/>
                    <a:stretch>
                      <a:fillRect/>
                    </a:stretch>
                  </pic:blipFill>
                  <pic:spPr bwMode="auto">
                    <a:xfrm>
                      <a:off x="0" y="0"/>
                      <a:ext cx="5067300" cy="4016681"/>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1359602"/>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97" name="Picture"/>
            <a:graphic>
              <a:graphicData uri="http://schemas.openxmlformats.org/drawingml/2006/picture">
                <pic:pic>
                  <pic:nvPicPr>
                    <pic:cNvPr descr="fig7_centrality.png" id="98" name="Picture"/>
                    <pic:cNvPicPr>
                      <a:picLocks noChangeArrowheads="1" noChangeAspect="1"/>
                    </pic:cNvPicPr>
                  </pic:nvPicPr>
                  <pic:blipFill>
                    <a:blip r:embed="rId96"/>
                    <a:stretch>
                      <a:fillRect/>
                    </a:stretch>
                  </pic:blipFill>
                  <pic:spPr bwMode="auto">
                    <a:xfrm>
                      <a:off x="0" y="0"/>
                      <a:ext cx="5067300" cy="1359602"/>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99"/>
    <w:bookmarkStart w:id="100"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00"/>
    <w:bookmarkStart w:id="101"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p>
      <w:r>
        <w:pict>
          <v:rect style="width:0;height:1.5pt" o:hralign="center" o:hrstd="t" o:hr="t"/>
        </w:pict>
      </w:r>
    </w:p>
    <w:bookmarkEnd w:id="101"/>
    <w:bookmarkEnd w:id="102"/>
    <w:bookmarkStart w:id="134" w:name="discussion"/>
    <w:p>
      <w:pPr>
        <w:pStyle w:val="Heading2"/>
      </w:pPr>
      <w:r>
        <w:t xml:space="preserve">5. Discussion</w:t>
      </w:r>
    </w:p>
    <w:bookmarkStart w:id="103"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03"/>
    <w:bookmarkStart w:id="108" w:name="X72b516463d2c03e5f485bcfe86cd728b07c29e4"/>
    <w:p>
      <w:pPr>
        <w:pStyle w:val="Heading3"/>
      </w:pPr>
      <w:r>
        <w:t xml:space="preserve">5.2. Convergence with contemporary emotion psychology</w:t>
      </w:r>
    </w:p>
    <w:p>
      <w:pPr>
        <w:pStyle w:val="FirstParagraph"/>
      </w:pPr>
      <w:r>
        <w:t xml:space="preserve">The Qur’anic stages map onto Gross’s process model of emotion regulation,</w:t>
      </w:r>
      <w:r>
        <w:rPr>
          <w:rStyle w:val="FootnoteReference"/>
        </w:rPr>
        <w:footnoteReference w:id="104"/>
      </w:r>
      <w:r>
        <w:t xml:space="preserve"> </w:t>
      </w:r>
      <w:r>
        <w:t xml:space="preserve">with the Qur’anic spectrum partitioning more finely on the affective side and adding an explicit behavioural-outcomes register: Stage 1 (pre-anger</w:t>
      </w:r>
      <w:r>
        <w:t xml:space="preserve"> </w:t>
      </w:r>
      <w:r>
        <w:rPr>
          <w:i/>
          <w:iCs/>
        </w:rPr>
        <w:t xml:space="preserve">uff/karh</w:t>
      </w:r>
      <w:r>
        <w:t xml:space="preserve">) ↔ antecedent-focused situation selection; Stage 2 (</w:t>
      </w:r>
      <w:r>
        <w:rPr>
          <w:i/>
          <w:iCs/>
        </w:rPr>
        <w:t xml:space="preserve">ḍīq/ḥuzn/asaf</w:t>
      </w:r>
      <w:r>
        <w:t xml:space="preserve">) ↔ situation modification; Stage 3 (</w:t>
      </w:r>
      <w:r>
        <w:rPr>
          <w:i/>
          <w:iCs/>
        </w:rPr>
        <w:t xml:space="preserve">naqm/sakhaṭ/maqt</w:t>
      </w:r>
      <w:r>
        <w:t xml:space="preserve">) ↔ attentional deployment / cognitive change; Stage 4 (</w:t>
      </w:r>
      <w:r>
        <w:rPr>
          <w:i/>
          <w:iCs/>
        </w:rPr>
        <w:t xml:space="preserve">ghaḍab/ḥard</w:t>
      </w:r>
      <w:r>
        <w:t xml:space="preserve">) ↔ response selection; Stage 5 (</w:t>
      </w:r>
      <w:r>
        <w:rPr>
          <w:i/>
          <w:iCs/>
        </w:rPr>
        <w:t xml:space="preserve">ghayẓ</w:t>
      </w:r>
      <w:r>
        <w:t xml:space="preserve">/</w:t>
      </w:r>
      <w:r>
        <w:rPr>
          <w:i/>
          <w:iCs/>
        </w:rPr>
        <w:t xml:space="preserve">kaẓm</w:t>
      </w:r>
      <w:r>
        <w:t xml:space="preserve">;</w:t>
      </w:r>
      <w:r>
        <w:t xml:space="preserve"> </w:t>
      </w:r>
      <w:r>
        <w:rPr>
          <w:i/>
          <w:iCs/>
        </w:rPr>
        <w:t xml:space="preserve">tamayyuz</w:t>
      </w:r>
      <w:r>
        <w:t xml:space="preserve">) ↔ response modulation and containment failure; Stage 6 (</w:t>
      </w:r>
      <w:r>
        <w:rPr>
          <w:i/>
          <w:iCs/>
        </w:rPr>
        <w:t xml:space="preserve">baghy/ṭughyān/ʿutuww</w:t>
      </w:r>
      <w:r>
        <w:t xml:space="preserve">) — where Gross’s model becomes silent and the Qur’an adds the moral anthropology of structural-moral pathologies that may be downstream from anger but, with bidirectional causation, may also be upstream of it.</w:t>
      </w:r>
    </w:p>
    <w:p>
      <w:pPr>
        <w:pStyle w:val="BodyText"/>
      </w:pPr>
      <w:r>
        <w:t xml:space="preserve">The Qur’anic lexicon also realises an STAXI-style trichotomy:</w:t>
      </w:r>
      <w:r>
        <w:rPr>
          <w:rStyle w:val="FootnoteReference"/>
        </w:rPr>
        <w:footnoteReference w:id="105"/>
      </w:r>
      <w:r>
        <w:t xml:space="preserve"> </w:t>
      </w:r>
      <w:r>
        <w:t xml:space="preserve">trait-like sustained states (</w:t>
      </w:r>
      <w:r>
        <w:rPr>
          <w:i/>
          <w:iCs/>
        </w:rPr>
        <w:t xml:space="preserve">ḥuzn</w:t>
      </w:r>
      <w:r>
        <w:t xml:space="preserve">,</w:t>
      </w:r>
      <w:r>
        <w:t xml:space="preserve"> </w:t>
      </w:r>
      <w:r>
        <w:rPr>
          <w:i/>
          <w:iCs/>
        </w:rPr>
        <w:t xml:space="preserve">ḍīq</w:t>
      </w:r>
      <w:r>
        <w:t xml:space="preserve">), state-like situational responses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and deliberate restraint (</w:t>
      </w:r>
      <w:r>
        <w:rPr>
          <w:i/>
          <w:iCs/>
        </w:rPr>
        <w:t xml:space="preserve">kaẓm</w:t>
      </w:r>
      <w:r>
        <w:t xml:space="preserve">) — three axes contemporary psychometrics has independently isolated. Plutchik’s annoyance → anger → rage three-level wheel</w:t>
      </w:r>
      <w:r>
        <w:rPr>
          <w:rStyle w:val="FootnoteReference"/>
        </w:rPr>
        <w:footnoteReference w:id="106"/>
      </w:r>
      <w:r>
        <w:t xml:space="preserve"> </w:t>
      </w:r>
      <w:r>
        <w:t xml:space="preserve">maps onto Stages 1–5 but stops at the regulatory boundary; Stage 6 is the Qur’an’s substantive extension into the morally-anthropological. Appraisal theory</w:t>
      </w:r>
      <w:r>
        <w:rPr>
          <w:rStyle w:val="FootnoteReference"/>
        </w:rPr>
        <w:footnoteReference w:id="107"/>
      </w:r>
      <w:r>
        <w:t xml:space="preserve"> </w:t>
      </w:r>
      <w:r>
        <w:t xml:space="preserve">holds that emotions arise from cognitive evaluations rather than raw stimuli;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w:t>
      </w:r>
      <w:r>
        <w:t xml:space="preserve">(perceived self-sufficiency) — a textbook appraisal-theoretic claim aligning with Roseman’s</w:t>
      </w:r>
      <w:r>
        <w:t xml:space="preserve"> </w:t>
      </w:r>
      <w:r>
        <w:t xml:space="preserve">“agency-self / motive-inconsistent / high-control”</w:t>
      </w:r>
      <w:r>
        <w:t xml:space="preserve"> </w:t>
      </w:r>
      <w:r>
        <w:t xml:space="preserve">pattern. The Qur’anic lexicon thus encodes — as architectural design rather than explicit theoretical statement — insights contemporary emotion science has reached independently.</w:t>
      </w:r>
    </w:p>
    <w:bookmarkEnd w:id="108"/>
    <w:bookmarkStart w:id="109"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09"/>
    <w:bookmarkStart w:id="115"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10"/>
      </w:r>
      <w:r>
        <w:t xml:space="preserve"> </w:t>
      </w:r>
      <w:r>
        <w:t xml:space="preserve">and Sinai on Meccan/Medinan diachrony</w:t>
      </w:r>
      <w:r>
        <w:rPr>
          <w:rStyle w:val="FootnoteReference"/>
        </w:rPr>
        <w:footnoteReference w:id="111"/>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12"/>
      </w:r>
      <w:r>
        <w:t xml:space="preserve"> </w:t>
      </w:r>
      <w:r>
        <w:t xml:space="preserve">and the QuranMorph</w:t>
      </w:r>
      <w:r>
        <w:rPr>
          <w:rStyle w:val="FootnoteReference"/>
        </w:rPr>
        <w:footnoteReference w:id="113"/>
      </w:r>
      <w:r>
        <w:t xml:space="preserve"> </w:t>
      </w:r>
      <w:r>
        <w:t xml:space="preserve">and MASAQ</w:t>
      </w:r>
      <w:r>
        <w:rPr>
          <w:rStyle w:val="FootnoteReference"/>
        </w:rPr>
        <w:footnoteReference w:id="114"/>
      </w:r>
      <w:r>
        <w:t xml:space="preserve"> </w:t>
      </w:r>
      <w:r>
        <w:t xml:space="preserve">extensions of the Dukes corpus.</w:t>
      </w:r>
    </w:p>
    <w:bookmarkEnd w:id="115"/>
    <w:bookmarkStart w:id="129" w:name="Xeb7af648a9b5037314a84f7b755228345cfdadd"/>
    <w:p>
      <w:pPr>
        <w:pStyle w:val="Heading3"/>
      </w:pPr>
      <w:r>
        <w:t xml:space="preserve">5.5. Q. 67:8 and the container metaphor: a focused comparative survey</w:t>
      </w:r>
    </w:p>
    <w:p>
      <w:pPr>
        <w:pStyle w:val="FirstParagraph"/>
      </w:pPr>
      <w:r>
        <w:t xml:space="preserve">Q. 67:8 (</w:t>
      </w:r>
      <w:r>
        <w:rPr>
          <w:i/>
          <w:iCs/>
        </w:rPr>
        <w:t xml:space="preserve">takādu tamayyazu min al-ġayẓ</w:t>
      </w:r>
      <w:r>
        <w:t xml:space="preserve">) instantiates the ANGER IS PRESSURIZED CONTAINER metaphor with unusual articulacy: where English idioms (</w:t>
      </w:r>
      <w:r>
        <w:rPr>
          <w:i/>
          <w:iCs/>
        </w:rPr>
        <w:t xml:space="preserve">explode</w:t>
      </w:r>
      <w:r>
        <w:t xml:space="preserve">,</w:t>
      </w:r>
      <w:r>
        <w:t xml:space="preserve"> </w:t>
      </w:r>
      <w:r>
        <w:rPr>
          <w:i/>
          <w:iCs/>
        </w:rPr>
        <w:t xml:space="preserve">blow one’s top</w:t>
      </w:r>
      <w:r>
        <w:t xml:space="preserve">,</w:t>
      </w:r>
      <w:r>
        <w:t xml:space="preserve"> </w:t>
      </w:r>
      <w:r>
        <w:rPr>
          <w:i/>
          <w:iCs/>
        </w:rPr>
        <w:t xml:space="preserve">lose it</w:t>
      </w:r>
      <w:r>
        <w:t xml:space="preserve">) report the</w:t>
      </w:r>
      <w:r>
        <w:t xml:space="preserve"> </w:t>
      </w:r>
      <w:r>
        <w:rPr>
          <w:i/>
          <w:iCs/>
        </w:rPr>
        <w:t xml:space="preserve">exit</w:t>
      </w:r>
      <w:r>
        <w:t xml:space="preserve"> </w:t>
      </w:r>
      <w:r>
        <w:t xml:space="preserve">of contained content,</w:t>
      </w:r>
      <w:r>
        <w:t xml:space="preserve"> </w:t>
      </w:r>
      <w:r>
        <w:rPr>
          <w:i/>
          <w:iCs/>
        </w:rPr>
        <w:t xml:space="preserve">tamayyaza</w:t>
      </w:r>
      <w:r>
        <w:t xml:space="preserve"> </w:t>
      </w:r>
      <w:r>
        <w:t xml:space="preserve">(m-y-z: to part, to sever) lexicalises the</w:t>
      </w:r>
      <w:r>
        <w:t xml:space="preserve"> </w:t>
      </w:r>
      <w:r>
        <w:rPr>
          <w:i/>
          <w:iCs/>
        </w:rPr>
        <w:t xml:space="preserve">structural disintegration of the vessel itself</w:t>
      </w:r>
      <w:r>
        <w:t xml:space="preserve">. 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16"/>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17"/>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18"/>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19"/>
      </w:r>
      <w:r>
        <w:t xml:space="preserve"> </w:t>
      </w:r>
      <w:r>
        <w:t xml:space="preserve">Cairns</w:t>
      </w:r>
      <w:r>
        <w:rPr>
          <w:rStyle w:val="FootnoteReference"/>
        </w:rPr>
        <w:footnoteReference w:id="120"/>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21"/>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22"/>
      </w:r>
      <w:r>
        <w:t xml:space="preserve"> </w:t>
      </w:r>
      <w:r>
        <w:t xml:space="preserve">and Kövecses, Benczes and Szelid</w:t>
      </w:r>
      <w:r>
        <w:rPr>
          <w:rStyle w:val="FootnoteReference"/>
        </w:rPr>
        <w:footnoteReference w:id="123"/>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r>
        <w:t xml:space="preserve"> </w:t>
      </w:r>
      <w:r>
        <w:rPr>
          <w:b/>
          <w:bCs/>
        </w:rPr>
        <w:t xml:space="preserve">Net assessment.</w:t>
      </w:r>
      <w:r>
        <w:t xml:space="preserve"> </w:t>
      </w:r>
      <w:r>
        <w:t xml:space="preserve">Five of the six traditions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24"/>
      </w:r>
      <w:r>
        <w:t xml:space="preserve"> </w:t>
      </w:r>
      <w:r>
        <w:t xml:space="preserve">and they extend the empirical base to seventh-century Arabic in a register that the two-volume</w:t>
      </w:r>
      <w:r>
        <w:t xml:space="preserve"> </w:t>
      </w:r>
      <w:r>
        <w:rPr>
          <w:i/>
          <w:iCs/>
        </w:rPr>
        <w:t xml:space="preserve">Metaphors of ANGER across Languages</w:t>
      </w:r>
      <w:r>
        <w:t xml:space="preserve">,</w:t>
      </w:r>
      <w:r>
        <w:rPr>
          <w:rStyle w:val="FootnoteReference"/>
        </w:rPr>
        <w:footnoteReference w:id="125"/>
      </w:r>
      <w:r>
        <w:t xml:space="preserve"> </w:t>
      </w:r>
      <w:r>
        <w:t xml:space="preserve">conspicuously omitting Classical Arabic, leaves un-canvassed.</w:t>
      </w:r>
    </w:p>
    <w:p>
      <w:pPr>
        <w:pStyle w:val="CaptionedFigure"/>
      </w:pPr>
      <w:r>
        <w:drawing>
          <wp:inline>
            <wp:extent cx="5334000" cy="3418081"/>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27" name="Picture"/>
            <a:graphic>
              <a:graphicData uri="http://schemas.openxmlformats.org/drawingml/2006/picture">
                <pic:pic>
                  <pic:nvPicPr>
                    <pic:cNvPr descr="fig6_metaphor_diagram.png" id="128" name="Picture"/>
                    <pic:cNvPicPr>
                      <a:picLocks noChangeArrowheads="1" noChangeAspect="1"/>
                    </pic:cNvPicPr>
                  </pic:nvPicPr>
                  <pic:blipFill>
                    <a:blip r:embed="rId126"/>
                    <a:stretch>
                      <a:fillRect/>
                    </a:stretch>
                  </pic:blipFill>
                  <pic:spPr bwMode="auto">
                    <a:xfrm>
                      <a:off x="0" y="0"/>
                      <a:ext cx="5334000" cy="3418081"/>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29"/>
    <w:bookmarkStart w:id="132"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30"/>
      </w:r>
      <w:r>
        <w:t xml:space="preserve"> </w:t>
      </w:r>
      <w:r>
        <w:t xml:space="preserve">on sentiment preservation across seven English translations and the ELQV emotion-labelled dataset of 2,100 Qur’anic verses</w:t>
      </w:r>
      <w:r>
        <w:rPr>
          <w:rStyle w:val="FootnoteReference"/>
        </w:rPr>
        <w:footnoteReference w:id="131"/>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32"/>
    <w:bookmarkStart w:id="133"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33"/>
    <w:bookmarkEnd w:id="134"/>
    <w:bookmarkStart w:id="141" w:name="conclusion"/>
    <w:p>
      <w:pPr>
        <w:pStyle w:val="Heading2"/>
      </w:pPr>
      <w:r>
        <w:t xml:space="preserve">6. Conclusion</w:t>
      </w:r>
    </w:p>
    <w:bookmarkStart w:id="137"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35"/>
      </w:r>
      <w:r>
        <w:t xml:space="preserve"> </w:t>
      </w:r>
      <w:r>
        <w:t xml:space="preserve">and Pakatchi</w:t>
      </w:r>
      <w:r>
        <w:rPr>
          <w:rStyle w:val="FootnoteReference"/>
        </w:rPr>
        <w:footnoteReference w:id="136"/>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37"/>
    <w:bookmarkStart w:id="138" w:name="answers-to-the-research-questions"/>
    <w:p>
      <w:pPr>
        <w:pStyle w:val="Heading3"/>
      </w:pPr>
      <w:r>
        <w:t xml:space="preserve">6.2. Answers to the research questions</w:t>
      </w:r>
    </w:p>
    <w:p>
      <w:pPr>
        <w:pStyle w:val="FirstParagraph"/>
      </w:pPr>
      <w:r>
        <w:rPr>
          <w:b/>
          <w:bCs/>
        </w:rPr>
        <w:t xml:space="preserve">RQ1.</w:t>
      </w:r>
      <w:r>
        <w:t xml:space="preserve"> </w:t>
      </w:r>
      <w:r>
        <w:t xml:space="preserve">The semantic field is a fourteen-node network organised around the bridge node</w:t>
      </w:r>
      <w:r>
        <w:t xml:space="preserve"> </w:t>
      </w:r>
      <w:r>
        <w:rPr>
          <w:i/>
          <w:iCs/>
        </w:rPr>
        <w:t xml:space="preserve">baghy</w:t>
      </w:r>
      <w:r>
        <w:t xml:space="preserve"> </w:t>
      </w:r>
      <w:r>
        <w:t xml:space="preserve">and the stage-internal hubs</w:t>
      </w:r>
      <w:r>
        <w:t xml:space="preserve"> </w:t>
      </w:r>
      <w:r>
        <w:rPr>
          <w:i/>
          <w:iCs/>
        </w:rPr>
        <w:t xml:space="preserve">ḥuzn</w:t>
      </w:r>
      <w:r>
        <w:t xml:space="preserve"> </w:t>
      </w:r>
      <w:r>
        <w:t xml:space="preserve">and</w:t>
      </w:r>
      <w:r>
        <w:t xml:space="preserve"> </w:t>
      </w:r>
      <w:r>
        <w:rPr>
          <w:i/>
          <w:iCs/>
        </w:rPr>
        <w:t xml:space="preserve">ghaḍab</w:t>
      </w:r>
      <w:r>
        <w:t xml:space="preserve">, with several specialised peripheral nodes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exhibiting marked distributional asymmetries.</w:t>
      </w:r>
    </w:p>
    <w:p>
      <w:pPr>
        <w:pStyle w:val="BodyText"/>
      </w:pPr>
      <w:r>
        <w:rPr>
          <w:b/>
          <w:bCs/>
        </w:rPr>
        <w:t xml:space="preserve">RQ2.</w:t>
      </w:r>
      <w:r>
        <w:t xml:space="preserve"> </w:t>
      </w:r>
      <w:r>
        <w:t xml:space="preserve">The fourteen nodes order on a six-stage continuum—pre-anger displeasure (Stage 1), inner pressure &amp; contraction (Stage 2), evaluative aversion (Stage 3), active anger (Stage 4), compressed/explosive rage (Stage 5), behavioural outcomes with caveats (Stage 6)—organised by the composite dimension of</w:t>
      </w:r>
      <w:r>
        <w:t xml:space="preserve"> </w:t>
      </w:r>
      <w:r>
        <w:rPr>
          <w:i/>
          <w:iCs/>
        </w:rPr>
        <w:t xml:space="preserve">intensity of action</w:t>
      </w:r>
      <w:r>
        <w:t xml:space="preserve"> </w:t>
      </w:r>
      <w:r>
        <w:t xml:space="preserve">(locus, intensity, scope of consequence).</w:t>
      </w:r>
    </w:p>
    <w:p>
      <w:pPr>
        <w:pStyle w:val="BodyText"/>
      </w:pPr>
      <w:r>
        <w:rPr>
          <w:b/>
          <w:bCs/>
        </w:rPr>
        <w:t xml:space="preserve">RQ3.</w:t>
      </w:r>
      <w:r>
        <w:t xml:space="preserve"> </w:t>
      </w:r>
      <w:r>
        <w:t xml:space="preserve">The empirical distribution is</w:t>
      </w:r>
      <w:r>
        <w:t xml:space="preserve"> </w:t>
      </w:r>
      <w:r>
        <w:rPr>
          <w:i/>
          <w:iCs/>
        </w:rPr>
        <w:t xml:space="preserve">consistent with</w:t>
      </w:r>
      <w:r>
        <w:t xml:space="preserve"> </w:t>
      </w:r>
      <w:r>
        <w:t xml:space="preserve">(though not by itself confirmatory of) the continuum: the asymptotic chi-squared rejects the null of six-stage uniform distribution (χ²(5) = 227.15; large effect size at Cohen’s</w:t>
      </w:r>
      <w:r>
        <w:t xml:space="preserve"> </w:t>
      </w:r>
      <w:r>
        <w:rPr>
          <w:i/>
          <w:iCs/>
        </w:rPr>
        <w:t xml:space="preserve">w</w:t>
      </w:r>
      <w:r>
        <w:t xml:space="preserve"> </w:t>
      </w:r>
      <w:r>
        <w:t xml:space="preserve">= 0.85), but a marginal-preserving permutation null on the same statistic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the substantive case for the six-stage architecture rests on the qualitative lexicographic, exegetical, and metaphorical evidence rather than on the omnibus</w:t>
      </w:r>
      <w:r>
        <w:t xml:space="preserve"> </w:t>
      </w:r>
      <w:r>
        <w:rPr>
          <w:i/>
          <w:iCs/>
        </w:rPr>
        <w:t xml:space="preserve">p</w:t>
      </w:r>
      <w:r>
        <w:t xml:space="preserve">-value alone. The comparison between Stages 1–5 and Stage 6</w:t>
      </w:r>
      <w:r>
        <w:t xml:space="preserve"> </w:t>
      </w:r>
      <w:r>
        <w:rPr>
          <w:i/>
          <w:iCs/>
        </w:rPr>
        <w:t xml:space="preserve">fails to reject</w:t>
      </w:r>
      <w:r>
        <w:t xml:space="preserve"> </w:t>
      </w:r>
      <w:r>
        <w:t xml:space="preserve">equal split (χ²(1) = 1.55, Cohen’s</w:t>
      </w:r>
      <w:r>
        <w:t xml:space="preserve"> </w:t>
      </w:r>
      <w:r>
        <w:rPr>
          <w:i/>
          <w:iCs/>
        </w:rPr>
        <w:t xml:space="preserve">w</w:t>
      </w:r>
      <w:r>
        <w:t xml:space="preserve"> </w:t>
      </w:r>
      <w:r>
        <w:t xml:space="preserve">= 0.07, trivial effect); we read this as</w:t>
      </w:r>
      <w:r>
        <w:t xml:space="preserve"> </w:t>
      </w:r>
      <w:r>
        <w:rPr>
          <w:i/>
          <w:iCs/>
        </w:rPr>
        <w:t xml:space="preserve">consistent with</w:t>
      </w:r>
      <w:r>
        <w:t xml:space="preserve"> </w:t>
      </w:r>
      <w:r>
        <w:t xml:space="preserve">— but not as positive evidence for — the bidirectional-causation reading of Stage 6, with the substantive support coming from the κ = 0.79-validated tafsir-coding audit (§4.8.5). The network exhibits a bridging-role profile at</w:t>
      </w:r>
      <w:r>
        <w:t xml:space="preserve"> </w:t>
      </w:r>
      <w:r>
        <w:rPr>
          <w:i/>
          <w:iCs/>
        </w:rPr>
        <w:t xml:space="preserve">baghy</w:t>
      </w:r>
      <w:r>
        <w:t xml:space="preserve"> </w:t>
      </w:r>
      <w:r>
        <w:t xml:space="preserve">with wide bootstrap confidence intervals reported transparently. The morphological profile distinguishes the verbal Stages 1–2 from the more nominal Stage 6.</w:t>
      </w:r>
    </w:p>
    <w:p>
      <w:pPr>
        <w:pStyle w:val="BodyText"/>
      </w:pPr>
      <w:r>
        <w:rPr>
          <w:b/>
          <w:bCs/>
        </w:rPr>
        <w:t xml:space="preserve">RQ4.</w:t>
      </w:r>
      <w:r>
        <w:t xml:space="preserve"> </w:t>
      </w:r>
      <w:r>
        <w:t xml:space="preserve">The continuum is structurally homologous with Gross’s process model, Plutchik’s wheel, Spielberger’s STAXI, and Lazarus–Scherer appraisal theory in its psychological component, but extends beyond all of them by integrating the post-failure structural-moral consequences of unmanaged emotion (Stage 6) — while qualifying that integration with the bidirectional-causation caveat of §4.8.5.</w:t>
      </w:r>
    </w:p>
    <w:p>
      <w:pPr>
        <w:pStyle w:val="BodyText"/>
      </w:pPr>
      <w:r>
        <w:rPr>
          <w:b/>
          <w:bCs/>
        </w:rPr>
        <w:t xml:space="preserve">RQ5.</w:t>
      </w:r>
      <w:r>
        <w:t xml:space="preserve"> </w:t>
      </w:r>
      <w:r>
        <w:rPr>
          <w:i/>
          <w:iCs/>
        </w:rPr>
        <w:t xml:space="preserve">Conditional</w:t>
      </w:r>
      <w:r>
        <w:t xml:space="preserve"> </w:t>
      </w:r>
      <w:r>
        <w:t xml:space="preserve">practical implications include candidate distinct-equivalent translations and position-marking conventions (subject to a 30-verse stratified follow-up evaluation, §5.6) and three Islamic-psychology applications (early-stage prevention,</w:t>
      </w:r>
      <w:r>
        <w:t xml:space="preserve"> </w:t>
      </w:r>
      <w:r>
        <w:rPr>
          <w:i/>
          <w:iCs/>
        </w:rPr>
        <w:t xml:space="preserve">kaẓm</w:t>
      </w:r>
      <w:r>
        <w:t xml:space="preserve">-grounded crisis intervention,</w:t>
      </w:r>
      <w:r>
        <w:t xml:space="preserve"> </w:t>
      </w:r>
      <w:r>
        <w:rPr>
          <w:i/>
          <w:iCs/>
        </w:rPr>
        <w:t xml:space="preserve">tawba</w:t>
      </w:r>
      <w:r>
        <w:t xml:space="preserve">-grounded rehabilitation). All practical implications are framed as hypotheses for empirical follow-up, not as settled prescriptions.</w:t>
      </w:r>
    </w:p>
    <w:bookmarkEnd w:id="138"/>
    <w:bookmarkStart w:id="139" w:name="limitations-and-future-work"/>
    <w:p>
      <w:pPr>
        <w:pStyle w:val="Heading3"/>
      </w:pPr>
      <w:r>
        <w:t xml:space="preserve">6.3. Limitations and future work</w:t>
      </w:r>
    </w:p>
    <w:p>
      <w:pPr>
        <w:pStyle w:val="FirstParagraph"/>
      </w:pPr>
      <w:r>
        <w:t xml:space="preserve">Five limitations bound the study: (i) surface-lexical scope — discourse-analytic close-reading of the spectrum’s narrative deployment across suras is left for future work; (ii) the broadened nine-tafsir engagement is still selective, with deeper Sufi (al-Qushayrī, Ibn ʿArabī’s school) and Persian-language commentary needing fuller integration; (iii) the cognitive-linguistic apparatus is Anglophone-dominated — 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would supply an indigenous substrate; (iv) the</w:t>
      </w:r>
      <w:r>
        <w:t xml:space="preserve"> </w:t>
      </w:r>
      <w:r>
        <w:rPr>
          <w:i/>
          <w:iCs/>
        </w:rPr>
        <w:t xml:space="preserve">ḥadīth</w:t>
      </w:r>
      <w:r>
        <w:t xml:space="preserve"> </w:t>
      </w:r>
      <w:r>
        <w:t xml:space="preserve">corpus has not been integrated; (v) the §5.7 Islamic-psychology implications await operationalisation in pilot studies of</w:t>
      </w:r>
      <w:r>
        <w:t xml:space="preserve"> </w:t>
      </w:r>
      <w:r>
        <w:rPr>
          <w:i/>
          <w:iCs/>
        </w:rPr>
        <w:t xml:space="preserve">kaẓm</w:t>
      </w:r>
      <w:r>
        <w:t xml:space="preserve">-grounded emotion-regulation training. A natural follow-up is the AraBERT/CAMeLBERT contextual-embedding approach to the same fourteen-root inventory (testing stage-recoverability from distributional structure), deferred here to maintain the philological-statistical centre of gravity.</w:t>
      </w:r>
    </w:p>
    <w:bookmarkEnd w:id="139"/>
    <w:bookmarkStart w:id="140"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40"/>
    <w:bookmarkEnd w:id="141"/>
    <w:bookmarkStart w:id="142"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42"/>
    <w:bookmarkStart w:id="1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43"/>
    <w:bookmarkStart w:id="144" w:name="competing-interests"/>
    <w:p>
      <w:pPr>
        <w:pStyle w:val="Heading2"/>
      </w:pPr>
      <w:r>
        <w:t xml:space="preserve">Competing interests</w:t>
      </w:r>
    </w:p>
    <w:p>
      <w:pPr>
        <w:pStyle w:val="FirstParagraph"/>
      </w:pPr>
      <w:r>
        <w:t xml:space="preserve">The authors declare no competing financial or non-financial interests.</w:t>
      </w:r>
    </w:p>
    <w:bookmarkEnd w:id="144"/>
    <w:bookmarkStart w:id="145"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45"/>
    <w:bookmarkStart w:id="146"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46"/>
    <w:bookmarkStart w:id="147"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47"/>
    <w:bookmarkStart w:id="150"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48">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49"/>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50"/>
    <w:bookmarkStart w:id="154"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51"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51"/>
    <w:bookmarkStart w:id="152"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52"/>
    <w:bookmarkStart w:id="153"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confirmed at proof stage.)</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53"/>
    <w:bookmarkEnd w:id="154"/>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ʿAlīriḍā Qāʾimīniyā,</w:t>
      </w:r>
      <w:r>
        <w:t xml:space="preserve"> </w:t>
      </w:r>
      <w:r>
        <w:rPr>
          <w:i/>
          <w:iCs/>
        </w:rPr>
        <w:t xml:space="preserve">Maʿnāshināsī-yi Shinākhtī-yi Qurʾān</w:t>
      </w:r>
      <w:r>
        <w:t xml:space="preserve"> </w:t>
      </w:r>
      <w:r>
        <w:t xml:space="preserve">[Cognitive Semantics of the Qurʾān] (Tehran: Pizhūhishgāh-i Farhang va Andīshah-i Islāmī, 1390 SH/2011), in Persian; and idem,</w:t>
      </w:r>
      <w:r>
        <w:t xml:space="preserve"> </w:t>
      </w:r>
      <w:r>
        <w:rPr>
          <w:i/>
          <w:iCs/>
        </w:rPr>
        <w:t xml:space="preserve">Istiʿārah-hā-yi Mafhūmī wa Faḍāhā-yi Qurʾānī</w:t>
      </w:r>
      <w:r>
        <w:t xml:space="preserve"> </w:t>
      </w:r>
      <w:r>
        <w:t xml:space="preserve">[Conceptual Metaphors and Qurʾānic Spaces] (Tehran: Pizhūhishgāh-i Farhang va Andīshah-i Islāmī, 1393 SH/2014), in Persian.</w:t>
      </w:r>
    </w:p>
  </w:footnote>
  <w:footnote w:id="25">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6">
    <w:p>
      <w:pPr>
        <w:pStyle w:val="FootnoteText"/>
      </w:pPr>
      <w:r>
        <w:rPr>
          <w:rStyle w:val="FootnoteReference"/>
        </w:rPr>
        <w:footnoteRef/>
      </w:r>
      <w:r>
        <w:t xml:space="preserve"> </w:t>
      </w:r>
      <w:r>
        <w:t xml:space="preserve">Ahmad Pakatchi and Azita Afrashi,</w:t>
      </w:r>
      <w:r>
        <w:t xml:space="preserve"> </w:t>
      </w:r>
      <w:r>
        <w:rPr>
          <w:i/>
          <w:iCs/>
        </w:rPr>
        <w:t xml:space="preserve">Rūykardhā-yi Maʿnā-shinākhtī dar Muṭālaʿāt-i Qurʾānī</w:t>
      </w:r>
      <w:r>
        <w:t xml:space="preserve"> </w:t>
      </w:r>
      <w:r>
        <w:t xml:space="preserve">[Semantic Approaches in Qurʾānic Studies] (Tehran: Pizhūhishgāh-i ʿUlūm-i Insānī va Muṭālaʿāt-i Farhangī, 1399 SH/2020), in Persian.</w:t>
      </w:r>
    </w:p>
  </w:footnote>
  <w:footnote w:id="28">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29">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0">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1">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2">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3">
    <w:p>
      <w:pPr>
        <w:pStyle w:val="FootnoteText"/>
      </w:pPr>
      <w:r>
        <w:rPr>
          <w:rStyle w:val="FootnoteReference"/>
        </w:rPr>
        <w:footnoteRef/>
      </w:r>
      <w:r>
        <w:t xml:space="preserve"> </w:t>
      </w:r>
      <w:r>
        <w:t xml:space="preserve">Zoltán Kövecses, Réka Benczes and Veronika Szelid (eds),</w:t>
      </w:r>
      <w:r>
        <w:t xml:space="preserve"> </w:t>
      </w:r>
      <w:r>
        <w:rPr>
          <w:i/>
          <w:iCs/>
        </w:rPr>
        <w:t xml:space="preserve">Metaphors of ANGER across Languages: Universality and Variation</w:t>
      </w:r>
      <w:r>
        <w:t xml:space="preserve">, 2 vols., Comparative Handbooks of Linguistics 8 (Berlin: De Gruyter Mouton, 2025), DOI: 10.1515/9783110730999.</w:t>
      </w:r>
    </w:p>
  </w:footnote>
  <w:footnote w:id="3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3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3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3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3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4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4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4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4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4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5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5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5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61">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62">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68">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81">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83">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86">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87">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89">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90">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91">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92">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04">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05">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06">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07">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1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11">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12">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13">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14">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16">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17">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18">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19">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20">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21">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22">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23">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24">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30">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31">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35">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36">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49">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93" Target="media/rId93.png" /><Relationship Type="http://schemas.openxmlformats.org/officeDocument/2006/relationships/image" Id="rId75" Target="media/rId75.png" /><Relationship Type="http://schemas.openxmlformats.org/officeDocument/2006/relationships/image" Id="rId126" Target="media/rId126.png" /><Relationship Type="http://schemas.openxmlformats.org/officeDocument/2006/relationships/image" Id="rId96" Target="media/rId96.png" /><Relationship Type="http://schemas.openxmlformats.org/officeDocument/2006/relationships/hyperlink" Id="rId14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4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2026-05-11T08:35:46Z</dcterms:created>
  <dcterms:modified xsi:type="dcterms:W3CDTF">2026-05-11T08:35:46Z</dcterms:modified>
</cp:coreProperties>
</file>

<file path=docProps/custom.xml><?xml version="1.0" encoding="utf-8"?>
<Properties xmlns="http://schemas.openxmlformats.org/officeDocument/2006/custom-properties" xmlns:vt="http://schemas.openxmlformats.org/officeDocument/2006/docPropsVTypes"/>
</file>