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8.jpg" ContentType="image/jpeg"/>
  <Override PartName="/word/media/rId120.jpg" ContentType="image/jpeg"/>
  <Override PartName="/word/media/rId60.jpg" ContentType="image/jpeg"/>
  <Override PartName="/word/media/rId87.png" ContentType="image/png"/>
  <Override PartName="/word/media/rId90.png" ContentType="image/png"/>
  <Override PartName="/word/media/rId111.png" ContentType="image/png"/>
  <Override PartName="/word/media/rId93.png" ContentType="image/png"/>
  <Override PartName="/word/media/rId160.jpg" ContentType="image/jpeg"/>
  <Override PartName="/word/media/rId114.png" ContentType="image/png"/>
  <Override PartName="/word/media/rId70.jpg" ContentType="image/jpeg"/>
  <Override PartName="/word/media/rId12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1" w:name="Xd9de8ad42f66a36b2c57b2c6630752880b6369e"/>
    <w:p>
      <w:pPr>
        <w:pStyle w:val="Heading1"/>
      </w:pPr>
      <w:r>
        <w:t xml:space="preserve">The Phenomenology of the Anger Spectrum in the Qur’an</w:t>
      </w:r>
    </w:p>
    <w:bookmarkStart w:id="20" w:name="Xf7fd5131c09e7a8f4aa30614423ea435d8f3c6d"/>
    <w:p>
      <w:pPr>
        <w:pStyle w:val="Heading2"/>
      </w:pPr>
      <w:r>
        <w:t xml:space="preserve">A Semantic-Network Analysis of Displeasure, Inflammation, and Destructiveness Along an Action-Intensity Continuum</w:t>
      </w:r>
    </w:p>
    <w:p>
      <w:pPr>
        <w:pStyle w:val="FirstParagraph"/>
      </w:pPr>
      <w:r>
        <w:rPr>
          <w:b/>
          <w:bCs/>
        </w:rPr>
        <w:t xml:space="preserve">Karim Jabbary</w:t>
      </w:r>
      <w:r>
        <w:t xml:space="preserve"> </w:t>
      </w:r>
      <w:r>
        <w:rPr>
          <w:i/>
          <w:iCs/>
        </w:rPr>
        <w:t xml:space="preserve">(corresponding author)</w:t>
      </w:r>
      <w:r>
        <w:t xml:space="preserve"> </w:t>
      </w:r>
      <w:r>
        <w:t xml:space="preserve">Department of Arabic Language and Literature, Faculty of Literature and Humanities, Urmia University, Urmia, Iran.</w:t>
      </w:r>
      <w:r>
        <w:t xml:space="preserve"> </w:t>
      </w:r>
      <w:r>
        <w:rPr>
          <w:i/>
          <w:iCs/>
        </w:rPr>
        <w:t xml:space="preserve">email:</w:t>
      </w:r>
      <w:r>
        <w:t xml:space="preserve"> </w:t>
      </w:r>
      <w:r>
        <w:t xml:space="preserve">k.jabbary@urmia.ac.ir.</w:t>
      </w:r>
    </w:p>
    <w:p>
      <w:pPr>
        <w:pStyle w:val="BodyText"/>
      </w:pPr>
      <w:r>
        <w:rPr>
          <w:b/>
          <w:bCs/>
        </w:rPr>
        <w:t xml:space="preserve">Ali Jabbary</w:t>
      </w:r>
      <w:r>
        <w:t xml:space="preserve"> </w:t>
      </w:r>
      <w:r>
        <w:t xml:space="preserve">Faculty of Computer Engineering, Urmia University, Urmia, Iran.</w:t>
      </w:r>
      <w:r>
        <w:t xml:space="preserve"> </w:t>
      </w:r>
      <w:r>
        <w:rPr>
          <w:i/>
          <w:iCs/>
        </w:rPr>
        <w:t xml:space="preserve">email:</w:t>
      </w:r>
      <w:r>
        <w:t xml:space="preserve"> </w:t>
      </w:r>
      <w:r>
        <w:t xml:space="preserve">a.jabbary@urmia.ac.ir.</w:t>
      </w:r>
    </w:p>
    <w:p>
      <w:pPr>
        <w:pStyle w:val="BodyText"/>
      </w:pPr>
      <w:r>
        <w:t xml:space="preserve">Karim Jabbary: ORCID 0000-0000-0000-0000 (to be provided at submission)</w:t>
      </w:r>
      <w:r>
        <w:t xml:space="preserve"> </w:t>
      </w:r>
      <w:r>
        <w:t xml:space="preserve">Ali Jabbary: ORCID 0000-0000-0000-0000 (to be provided at submission)</w:t>
      </w:r>
    </w:p>
    <w:p>
      <w:r>
        <w:pict>
          <v:rect style="width:0;height:1.5pt" o:hralign="center" o:hrstd="t" o:hr="t"/>
        </w:pict>
      </w:r>
    </w:p>
    <w:bookmarkEnd w:id="20"/>
    <w:bookmarkStart w:id="22" w:name="abstract"/>
    <w:p>
      <w:pPr>
        <w:pStyle w:val="Heading2"/>
      </w:pPr>
      <w:r>
        <w:t xml:space="preserve">Abstract</w:t>
      </w:r>
    </w:p>
    <w:p>
      <w:pPr>
        <w:pStyle w:val="FirstParagraph"/>
      </w:pPr>
      <w:r>
        <w:t xml:space="preserve">The Qur’an deploys an exceptionally articulated lexicon for the</w:t>
      </w:r>
      <w:r>
        <w:t xml:space="preserve"> </w:t>
      </w:r>
      <w:r>
        <w:rPr>
          <w:i/>
          <w:iCs/>
        </w:rPr>
        <w:t xml:space="preserve">anger spectrum</w:t>
      </w:r>
      <w:r>
        <w:t xml:space="preserve">, yet existing scholarship treats it word-by-word or through normative-ethical frames. This study argues that fourteen core Arabic roots (</w:t>
      </w:r>
      <w:r>
        <w:rPr>
          <w:i/>
          <w:iCs/>
        </w:rPr>
        <w:t xml:space="preserve">ʾff, krh, ḍyq, ḥzn, ʾsf, nqm, sxṭ, mqt, ġḍb, ḥrd, ġyẓ, bġy, ṭġy, ʿtw</w:t>
      </w:r>
      <w:r>
        <w:t xml:space="preserve">) form a graded semantic field organised by</w:t>
      </w:r>
      <w:r>
        <w:t xml:space="preserve"> </w:t>
      </w:r>
      <w:r>
        <w:rPr>
          <w:i/>
          <w:iCs/>
        </w:rPr>
        <w:t xml:space="preserve">intensity of action</w:t>
      </w:r>
      <w:r>
        <w:t xml:space="preserve"> </w:t>
      </w:r>
      <w:r>
        <w:t xml:space="preserve">across six phenomenological stages: pre-anger displeasure, inner pressure, evaluative aversion, active anger, compressed rage, and behavioural outcomes. We integrate Izutsu’s semantic-field approach, Kennedy–Sassoon scalar semantics, and Lakoff–Kövecses conceptual metaphor theory, validating the continuum against the Quranic Arabic Corpus</w:t>
      </w:r>
      <w:r>
        <w:rPr>
          <w:rStyle w:val="FootnoteReference"/>
        </w:rPr>
        <w:footnoteReference w:id="21"/>
      </w:r>
      <w:r>
        <w:t xml:space="preserve"> </w:t>
      </w:r>
      <w:r>
        <w:t xml:space="preserve">through a reproducible pipeline over 312 attestations. Three findings are reported under uncertainty-aware metrics. First, the asymptotic χ²(5) = 227.15 is large but a permutation null yields</w:t>
      </w:r>
      <w:r>
        <w:t xml:space="preserve"> </w:t>
      </w:r>
      <w:r>
        <w:rPr>
          <w:i/>
          <w:iCs/>
        </w:rPr>
        <w:t xml:space="preserve">p</w:t>
      </w:r>
      <w:r>
        <w:t xml:space="preserve"> </w:t>
      </w:r>
      <w:r>
        <w:t xml:space="preserve">= 0.24; the omnibus is</w:t>
      </w:r>
      <w:r>
        <w:t xml:space="preserve"> </w:t>
      </w:r>
      <w:r>
        <w:rPr>
          <w:i/>
          <w:iCs/>
        </w:rPr>
        <w:t xml:space="preserve">consistent with</w:t>
      </w:r>
      <w:r>
        <w:t xml:space="preserve"> </w:t>
      </w:r>
      <w:r>
        <w:t xml:space="preserve">rather than confirmatory of non-uniformity, the substantive case resting on qualitative evidence. Second,</w:t>
      </w:r>
      <w:r>
        <w:t xml:space="preserve"> </w:t>
      </w:r>
      <w:r>
        <w:rPr>
          <w:i/>
          <w:iCs/>
        </w:rPr>
        <w:t xml:space="preserve">sakhaṭ</w:t>
      </w:r>
      <w:r>
        <w:t xml:space="preserve"> </w:t>
      </w:r>
      <w:r>
        <w:t xml:space="preserve">attests exclusively in Medinan suras (Holm-adjusted</w:t>
      </w:r>
      <w:r>
        <w:t xml:space="preserve"> </w:t>
      </w:r>
      <w:r>
        <w:rPr>
          <w:i/>
          <w:iCs/>
        </w:rPr>
        <w:t xml:space="preserve">p</w:t>
      </w:r>
      <w:r>
        <w:t xml:space="preserve"> </w:t>
      </w:r>
      <w:r>
        <w:t xml:space="preserve">= 0.05), the sole confirmed instance of</w:t>
      </w:r>
      <w:r>
        <w:t xml:space="preserve"> </w:t>
      </w:r>
      <w:r>
        <w:rPr>
          <w:i/>
          <w:iCs/>
        </w:rPr>
        <w:t xml:space="preserve">discursive-contextual lexical specialisation</w:t>
      </w:r>
      <w:r>
        <w:t xml:space="preserve">. Third, network analysis identifies</w:t>
      </w:r>
      <w:r>
        <w:t xml:space="preserve"> </w:t>
      </w:r>
      <w:r>
        <w:rPr>
          <w:i/>
          <w:iCs/>
        </w:rPr>
        <w:t xml:space="preserve">baghy</w:t>
      </w:r>
      <w:r>
        <w:t xml:space="preserve"> </w:t>
      </w:r>
      <w:r>
        <w:t xml:space="preserve">as a bridging node to the broader moral-evaluation field. Q. 67:8 (</w:t>
      </w:r>
      <w:r>
        <w:rPr>
          <w:i/>
          <w:iCs/>
        </w:rPr>
        <w:t xml:space="preserve">takādu tamayyazu min al-ġayẓ</w:t>
      </w:r>
      <w:r>
        <w:t xml:space="preserve">) is an unusually transparent instance of</w:t>
      </w:r>
      <w:r>
        <w:t xml:space="preserve"> </w:t>
      </w:r>
      <w:r>
        <w:t xml:space="preserve">“container collapse”</w:t>
      </w:r>
      <w:r>
        <w:t xml:space="preserve">; a κ = 0.79-validated tafsir audit supports a</w:t>
      </w:r>
      <w:r>
        <w:t xml:space="preserve"> </w:t>
      </w:r>
      <w:r>
        <w:rPr>
          <w:i/>
          <w:iCs/>
        </w:rPr>
        <w:t xml:space="preserve">bidirectional-causation</w:t>
      </w:r>
      <w:r>
        <w:t xml:space="preserve"> </w:t>
      </w:r>
      <w:r>
        <w:t xml:space="preserve">reading of Stage 6. Implications follow for Qur’anic translation and Islamic psychology.</w:t>
      </w:r>
    </w:p>
    <w:p>
      <w:pPr>
        <w:pStyle w:val="BodyText"/>
      </w:pPr>
      <w:r>
        <w:rPr>
          <w:b/>
          <w:bCs/>
        </w:rPr>
        <w:t xml:space="preserve">Keywords:</w:t>
      </w:r>
      <w:r>
        <w:t xml:space="preserve"> </w:t>
      </w:r>
      <w:r>
        <w:t xml:space="preserve">Qur’an, anger spectrum, semantic field, cognitive linguistics, scalar semantics, conceptual metaphor, emotion regulation, Arabic corpus linguistics, Izutsu, Islamic psychology.</w:t>
      </w:r>
    </w:p>
    <w:p>
      <w:r>
        <w:pict>
          <v:rect style="width:0;height:1.5pt" o:hralign="center" o:hrstd="t" o:hr="t"/>
        </w:pict>
      </w:r>
    </w:p>
    <w:bookmarkEnd w:id="22"/>
    <w:bookmarkStart w:id="51" w:name="introduction"/>
    <w:p>
      <w:pPr>
        <w:pStyle w:val="Heading2"/>
      </w:pPr>
      <w:r>
        <w:t xml:space="preserve">1. Introduction</w:t>
      </w:r>
    </w:p>
    <w:bookmarkStart w:id="23" w:name="statement-of-the-problem"/>
    <w:p>
      <w:pPr>
        <w:pStyle w:val="Heading3"/>
      </w:pPr>
      <w:r>
        <w:t xml:space="preserve">1.1. Statement of the problem</w:t>
      </w:r>
    </w:p>
    <w:p>
      <w:pPr>
        <w:pStyle w:val="FirstParagraph"/>
      </w:pPr>
      <w:r>
        <w:t xml:space="preserve">The Qur’anic lexicon for the</w:t>
      </w:r>
      <w:r>
        <w:t xml:space="preserve"> </w:t>
      </w:r>
      <w:r>
        <w:rPr>
          <w:i/>
          <w:iCs/>
        </w:rPr>
        <w:t xml:space="preserve">anger spectrum</w:t>
      </w:r>
      <w:r>
        <w:t xml:space="preserve"> </w:t>
      </w:r>
      <w:r>
        <w:t xml:space="preserve">exhibits a precision that survives only with difficulty into translation. Where English versions level</w:t>
      </w:r>
      <w:r>
        <w:t xml:space="preserve"> </w:t>
      </w:r>
      <w:r>
        <w:rPr>
          <w:i/>
          <w:iCs/>
        </w:rPr>
        <w:t xml:space="preserve">uff</w:t>
      </w:r>
      <w:r>
        <w:t xml:space="preserve">,</w:t>
      </w:r>
      <w:r>
        <w:t xml:space="preserve"> </w:t>
      </w:r>
      <w:r>
        <w:rPr>
          <w:i/>
          <w:iCs/>
        </w:rPr>
        <w:t xml:space="preserve">karh</w:t>
      </w:r>
      <w:r>
        <w:t xml:space="preserve">,</w:t>
      </w:r>
      <w:r>
        <w:t xml:space="preserv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w:t>
      </w:r>
      <w:r>
        <w:t xml:space="preserve"> </w:t>
      </w:r>
      <w:r>
        <w:rPr>
          <w:i/>
          <w:iCs/>
        </w:rPr>
        <w:t xml:space="preserve">naqm</w:t>
      </w:r>
      <w:r>
        <w:t xml:space="preserve">,</w:t>
      </w:r>
      <w:r>
        <w:t xml:space="preserve"> </w:t>
      </w:r>
      <w:r>
        <w:rPr>
          <w:i/>
          <w:iCs/>
        </w:rPr>
        <w:t xml:space="preserve">sakhaṭ</w:t>
      </w:r>
      <w:r>
        <w:t xml:space="preserve">,</w:t>
      </w:r>
      <w:r>
        <w:t xml:space="preserve"> </w:t>
      </w:r>
      <w:r>
        <w:rPr>
          <w:i/>
          <w:iCs/>
        </w:rPr>
        <w:t xml:space="preserve">maqt</w:t>
      </w:r>
      <w:r>
        <w:t xml:space="preserve">,</w:t>
      </w:r>
      <w:r>
        <w:t xml:space="preserve"> </w:t>
      </w:r>
      <w:r>
        <w:rPr>
          <w:i/>
          <w:iCs/>
        </w:rPr>
        <w:t xml:space="preserve">ghaḍab</w:t>
      </w:r>
      <w:r>
        <w:t xml:space="preserve">,</w:t>
      </w:r>
      <w:r>
        <w:t xml:space="preserve"> </w:t>
      </w:r>
      <w:r>
        <w:rPr>
          <w:i/>
          <w:iCs/>
        </w:rPr>
        <w:t xml:space="preserve">ḥard</w:t>
      </w:r>
      <w:r>
        <w:t xml:space="preserve">,</w:t>
      </w:r>
      <w:r>
        <w:t xml:space="preserve"> </w:t>
      </w:r>
      <w:r>
        <w:rPr>
          <w:i/>
          <w:iCs/>
        </w:rPr>
        <w:t xml:space="preserve">ghayẓ</w:t>
      </w:r>
      <w:r>
        <w:t xml:space="preserve">,</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into a small set of broad equivalents —</w:t>
      </w:r>
      <w:r>
        <w:t xml:space="preserve"> </w:t>
      </w:r>
      <w:r>
        <w:t xml:space="preserve">“displeasure,”</w:t>
      </w:r>
      <w:r>
        <w:t xml:space="preserve"> </w:t>
      </w:r>
      <w:r>
        <w:t xml:space="preserve">“distress,”</w:t>
      </w:r>
      <w:r>
        <w:t xml:space="preserve"> </w:t>
      </w:r>
      <w:r>
        <w:t xml:space="preserve">“grief,”</w:t>
      </w:r>
      <w:r>
        <w:t xml:space="preserve"> </w:t>
      </w:r>
      <w:r>
        <w:t xml:space="preserve">“anger,”</w:t>
      </w:r>
      <w:r>
        <w:t xml:space="preserve"> </w:t>
      </w:r>
      <w:r>
        <w:t xml:space="preserve">“rage,”</w:t>
      </w:r>
      <w:r>
        <w:t xml:space="preserve"> </w:t>
      </w:r>
      <w:r>
        <w:t xml:space="preserve">“transgression,”</w:t>
      </w:r>
      <w:r>
        <w:t xml:space="preserve"> </w:t>
      </w:r>
      <w:r>
        <w:t xml:space="preserve">“rebellion”</w:t>
      </w:r>
      <w:r>
        <w:t xml:space="preserve"> </w:t>
      </w:r>
      <w:r>
        <w:t xml:space="preserve">— the Arabic original distinguishes them with the precision of a graded taxonomy. We advance the structural hypothesis that these fourteen Qur’anic anger-spectrum roots are not synonyms but coordinated nodes in a single</w:t>
      </w:r>
      <w:r>
        <w:t xml:space="preserve"> </w:t>
      </w:r>
      <w:r>
        <w:rPr>
          <w:i/>
          <w:iCs/>
        </w:rPr>
        <w:t xml:space="preserve">graded</w:t>
      </w:r>
      <w:r>
        <w:t xml:space="preserve"> </w:t>
      </w:r>
      <w:r>
        <w:t xml:space="preserve">semantic field, organised along</w:t>
      </w:r>
      <w:r>
        <w:t xml:space="preserve"> </w:t>
      </w:r>
      <w:r>
        <w:rPr>
          <w:i/>
          <w:iCs/>
        </w:rPr>
        <w:t xml:space="preserve">intensity of action</w:t>
      </w:r>
      <w:r>
        <w:t xml:space="preserve"> </w:t>
      </w:r>
      <w:r>
        <w:t xml:space="preserve">(</w:t>
      </w:r>
      <w:r>
        <w:rPr>
          <w:i/>
          <w:iCs/>
        </w:rPr>
        <w:t xml:space="preserve">shiddat al-kunish</w:t>
      </w:r>
      <w:r>
        <w:t xml:space="preserve"> </w:t>
      </w:r>
      <w:r>
        <w:t xml:space="preserve">in the Persian original), traversing pre-anger displeasure, inner pressure and contraction, evaluative aversion, active anger, compressed/explosive rage, and — at the behavioural pole — outcomes (</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whose causation is bidirectional rather than purely emotional.</w:t>
      </w:r>
    </w:p>
    <w:p>
      <w:pPr>
        <w:pStyle w:val="BodyText"/>
      </w:pPr>
      <w:r>
        <w:t xml:space="preserve">This claim has consequences beyond philology: it implies that the Qur’an encodes — through its lexical architecture, not by explicit theoretical statement — an implicit theory of the genealogy of moral failure, in which the social-structural pathologies the text most frequently denounces (transgression, tyranny, defiance) are</w:t>
      </w:r>
      <w:r>
        <w:t xml:space="preserve"> </w:t>
      </w:r>
      <w:r>
        <w:rPr>
          <w:i/>
          <w:iCs/>
        </w:rPr>
        <w:t xml:space="preserve">related to</w:t>
      </w:r>
      <w:r>
        <w:t xml:space="preserve"> </w:t>
      </w:r>
      <w:r>
        <w:t xml:space="preserve">and often developmentally downstream from inner experiences of irritation, dislike, constriction, and grief. As we argue in §4–§5, the relationship at the behavioural pole is</w:t>
      </w:r>
      <w:r>
        <w:t xml:space="preserve"> </w:t>
      </w:r>
      <w:r>
        <w:rPr>
          <w:i/>
          <w:iCs/>
        </w:rPr>
        <w:t xml:space="preserve">bidirectional</w:t>
      </w:r>
      <w:r>
        <w:t xml:space="preserve">: anger may produce</w:t>
      </w:r>
      <w:r>
        <w:t xml:space="preserve"> </w:t>
      </w:r>
      <w:r>
        <w:rPr>
          <w:i/>
          <w:iCs/>
        </w:rPr>
        <w:t xml:space="preserve">baghy</w:t>
      </w:r>
      <w:r>
        <w:t xml:space="preserve">/</w:t>
      </w:r>
      <w:r>
        <w:rPr>
          <w:i/>
          <w:iCs/>
        </w:rPr>
        <w:t xml:space="preserve">ṭughyān</w:t>
      </w:r>
      <w:r>
        <w:t xml:space="preserve">/</w:t>
      </w:r>
      <w:r>
        <w:rPr>
          <w:i/>
          <w:iCs/>
        </w:rPr>
        <w:t xml:space="preserve">ʿutuww</w:t>
      </w:r>
      <w:r>
        <w:t xml:space="preserve">, but these behaviours can equally produce anger (in their victims, the prophets, the divine response). The distance from</w:t>
      </w:r>
      <w:r>
        <w:t xml:space="preserve"> </w:t>
      </w:r>
      <w:r>
        <w:rPr>
          <w:i/>
          <w:iCs/>
        </w:rPr>
        <w:t xml:space="preserve">uff</w:t>
      </w:r>
      <w:r>
        <w:t xml:space="preserve"> </w:t>
      </w:r>
      <w:r>
        <w:t xml:space="preserve">(Q. 17:23) to</w:t>
      </w:r>
      <w:r>
        <w:t xml:space="preserve"> </w:t>
      </w:r>
      <w:r>
        <w:rPr>
          <w:i/>
          <w:iCs/>
        </w:rPr>
        <w:t xml:space="preserve">ʿutuww</w:t>
      </w:r>
      <w:r>
        <w:t xml:space="preserve"> </w:t>
      </w:r>
      <w:r>
        <w:t xml:space="preserve">(Q. 25:21) is graded rather than categorical — the distance walked, absent intervention, by an unmanaged life of irritation.</w:t>
      </w:r>
    </w:p>
    <w:bookmarkEnd w:id="23"/>
    <w:bookmarkStart w:id="30" w:name="aims-and-originality"/>
    <w:p>
      <w:pPr>
        <w:pStyle w:val="Heading3"/>
      </w:pPr>
      <w:r>
        <w:t xml:space="preserve">1.2. Aims and originality</w:t>
      </w:r>
    </w:p>
    <w:p>
      <w:pPr>
        <w:pStyle w:val="FirstParagraph"/>
      </w:pPr>
      <w:r>
        <w:t xml:space="preserve">This paper has three aims. The first is</w:t>
      </w:r>
      <w:r>
        <w:t xml:space="preserve"> </w:t>
      </w:r>
      <w:r>
        <w:rPr>
          <w:b/>
          <w:bCs/>
        </w:rPr>
        <w:t xml:space="preserve">methodological</w:t>
      </w:r>
      <w:r>
        <w:t xml:space="preserve">: to demonstrate that combining Izutsu’s qualitative semantic-field approach, scalar-semantic ordering in the Kennedy–Sassoon tradition, and conceptual-metaphor theory in the Lakoff–Kövecses tradition produces stronger philological claims than any of the three frameworks in isolation. The claim is deliberately measured. Izutsu’s field method, in the three foundational works (1959, 1964, 2002),</w:t>
      </w:r>
      <w:r>
        <w:rPr>
          <w:rStyle w:val="FootnoteReference"/>
        </w:rPr>
        <w:footnoteReference w:id="24"/>
      </w:r>
      <w:r>
        <w:t xml:space="preserve"> </w:t>
      </w:r>
      <w:r>
        <w:t xml:space="preserve">yields a network of mutually defining lexemes around focus words, but it does</w:t>
      </w:r>
      <w:r>
        <w:t xml:space="preserve"> </w:t>
      </w:r>
      <w:r>
        <w:rPr>
          <w:i/>
          <w:iCs/>
        </w:rPr>
        <w:t xml:space="preserve">not</w:t>
      </w:r>
      <w:r>
        <w:t xml:space="preserve"> </w:t>
      </w:r>
      <w:r>
        <w:t xml:space="preserve">generate an ordering relation</w:t>
      </w:r>
      <w:r>
        <w:t xml:space="preserve"> </w:t>
      </w:r>
      <w:r>
        <w:rPr>
          <w:i/>
          <w:iCs/>
        </w:rPr>
        <w:t xml:space="preserve">within</w:t>
      </w:r>
      <w:r>
        <w:t xml:space="preserve"> </w:t>
      </w:r>
      <w:r>
        <w:t xml:space="preserve">the network: Izutsu recovers the field but is silent on whether, within the field,</w:t>
      </w:r>
      <w:r>
        <w:t xml:space="preserve"> </w:t>
      </w:r>
      <w:r>
        <w:rPr>
          <w:i/>
          <w:iCs/>
        </w:rPr>
        <w:t xml:space="preserve">ġayẓ</w:t>
      </w:r>
      <w:r>
        <w:t xml:space="preserve"> </w:t>
      </w:r>
      <w:r>
        <w:t xml:space="preserve">is</w:t>
      </w:r>
      <w:r>
        <w:t xml:space="preserve"> </w:t>
      </w:r>
      <w:r>
        <w:t xml:space="preserve">“more intense than”</w:t>
      </w:r>
      <w:r>
        <w:t xml:space="preserve"> </w:t>
      </w:r>
      <w:r>
        <w:rPr>
          <w:i/>
          <w:iCs/>
        </w:rPr>
        <w:t xml:space="preserve">ghaḍab</w:t>
      </w:r>
      <w:r>
        <w:t xml:space="preserve">. Lakoff and Kövecses (1987) supply a cognitive-metaphor schema anchored lexicographically in</w:t>
      </w:r>
      <w:r>
        <w:t xml:space="preserve"> </w:t>
      </w:r>
      <w:r>
        <w:rPr>
          <w:i/>
          <w:iCs/>
        </w:rPr>
        <w:t xml:space="preserve">English</w:t>
      </w:r>
      <w:r>
        <w:t xml:space="preserve"> </w:t>
      </w:r>
      <w:r>
        <w:t xml:space="preserve">(Holland–Quinn’s American idioms), and the two-volume</w:t>
      </w:r>
      <w:r>
        <w:t xml:space="preserve"> </w:t>
      </w:r>
      <w:r>
        <w:rPr>
          <w:i/>
          <w:iCs/>
        </w:rPr>
        <w:t xml:space="preserve">Metaphors of ANGER across Languages</w:t>
      </w:r>
      <w:r>
        <w:t xml:space="preserve"> </w:t>
      </w:r>
      <w:r>
        <w:t xml:space="preserve">(Kövecses, Benczes and Szelid 2025)</w:t>
      </w:r>
      <w:r>
        <w:rPr>
          <w:rStyle w:val="FootnoteReference"/>
        </w:rPr>
        <w:footnoteReference w:id="25"/>
      </w:r>
      <w:r>
        <w:t xml:space="preserve"> </w:t>
      </w:r>
      <w:r>
        <w:t xml:space="preserve">— twenty-two languages from Mandarin to Yoruba —</w:t>
      </w:r>
      <w:r>
        <w:t xml:space="preserve"> </w:t>
      </w:r>
      <w:r>
        <w:rPr>
          <w:i/>
          <w:iCs/>
        </w:rPr>
        <w:t xml:space="preserve">omits Classical Arabic entirely</w:t>
      </w:r>
      <w:r>
        <w:t xml:space="preserve">. Kennedy and Sassoon’s scalar-semantic apparatus orders predicates along a dimension and a unit but has not been applied to a Qur’anic emotion field. The present paper’s distinct contribution is to</w:t>
      </w:r>
      <w:r>
        <w:t xml:space="preserve"> </w:t>
      </w:r>
      <w:r>
        <w:rPr>
          <w:i/>
          <w:iCs/>
        </w:rPr>
        <w:t xml:space="preserve">do all three together</w:t>
      </w:r>
      <w:r>
        <w:t xml:space="preserve"> </w:t>
      </w:r>
      <w:r>
        <w:t xml:space="preserve">on the same fourteen-root inventory: the Izutsu layer fixes field membership, the Kennedy–Sassoon layer fixes the action-intensity ordering, and the CMT layer grounds the climactic</w:t>
      </w:r>
      <w:r>
        <w:t xml:space="preserve"> </w:t>
      </w:r>
      <w:r>
        <w:rPr>
          <w:i/>
          <w:iCs/>
        </w:rPr>
        <w:t xml:space="preserve">ghayẓ–kaẓm–tamayyuz</w:t>
      </w:r>
      <w:r>
        <w:t xml:space="preserve"> </w:t>
      </w:r>
      <w:r>
        <w:t xml:space="preserve">sequence. We acknowledge that Qāʾimīniyā</w:t>
      </w:r>
      <w:r>
        <w:rPr>
          <w:rStyle w:val="FootnoteReference"/>
        </w:rPr>
        <w:footnoteReference w:id="26"/>
      </w:r>
      <w:r>
        <w:t xml:space="preserve"> </w:t>
      </w:r>
      <w:r>
        <w:t xml:space="preserve">and Pakatchi–Afrashi</w:t>
      </w:r>
      <w:r>
        <w:rPr>
          <w:rStyle w:val="FootnoteReference"/>
        </w:rPr>
        <w:footnoteReference w:id="27"/>
      </w:r>
      <w:r>
        <w:t xml:space="preserve"> </w:t>
      </w:r>
      <w:r>
        <w:t xml:space="preserve">already integrate Izutsu’s field method with CMT in Persian; the</w:t>
      </w:r>
      <w:r>
        <w:t xml:space="preserve"> </w:t>
      </w:r>
      <w:r>
        <w:rPr>
          <w:i/>
          <w:iCs/>
        </w:rPr>
        <w:t xml:space="preserve">novel</w:t>
      </w:r>
      <w:r>
        <w:t xml:space="preserve"> </w:t>
      </w:r>
      <w:r>
        <w:t xml:space="preserve">element in the present paper is the Kennedy–Sassoon scalar layer operationalised as a six-stage action-intensity continuum tested against a 312-attestation reproducible pipeline. The second aim is</w:t>
      </w:r>
      <w:r>
        <w:t xml:space="preserve"> </w:t>
      </w:r>
      <w:r>
        <w:rPr>
          <w:b/>
          <w:bCs/>
        </w:rPr>
        <w:t xml:space="preserve">descriptive</w:t>
      </w:r>
      <w:r>
        <w:t xml:space="preserve">: to map every Qur’anic occurrence of the fourteen core roots, render that map publicly verifiable, and extract empirical regularities previous scholarship was not in a position to detect. The third aim is</w:t>
      </w:r>
      <w:r>
        <w:t xml:space="preserve"> </w:t>
      </w:r>
      <w:r>
        <w:rPr>
          <w:b/>
          <w:bCs/>
        </w:rPr>
        <w:t xml:space="preserve">interpretive</w:t>
      </w:r>
      <w:r>
        <w:t xml:space="preserve">: to argue that the continuum constitutes a coherent logic of anger escalation with deep structural affinities to modern emotion psychology, and to identify the points at which the Qur’anic continuum</w:t>
      </w:r>
      <w:r>
        <w:t xml:space="preserve"> </w:t>
      </w:r>
      <w:r>
        <w:rPr>
          <w:i/>
          <w:iCs/>
        </w:rPr>
        <w:t xml:space="preserve">exceeds</w:t>
      </w:r>
      <w:r>
        <w:t xml:space="preserve"> </w:t>
      </w:r>
      <w:r>
        <w:t xml:space="preserve">the contemporary models — most pointedly at Stage 6, where</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extend the regulatory horizon of Gross’s process model into the moral-anthropological register.</w:t>
      </w:r>
    </w:p>
    <w:p>
      <w:pPr>
        <w:pStyle w:val="BodyText"/>
      </w:pPr>
      <w:r>
        <w:rPr>
          <w:b/>
          <w:bCs/>
        </w:rPr>
        <w:t xml:space="preserve">Originality</w:t>
      </w:r>
      <w:r>
        <w:t xml:space="preserve"> </w:t>
      </w:r>
      <w:r>
        <w:t xml:space="preserve">disaggregated into three contributions with</w:t>
      </w:r>
      <w:r>
        <w:t xml:space="preserve"> </w:t>
      </w:r>
      <w:r>
        <w:t xml:space="preserve">“to our knowledge”</w:t>
      </w:r>
      <w:r>
        <w:t xml:space="preserve"> </w:t>
      </w:r>
      <w:r>
        <w:t xml:space="preserve">qualifications.</w:t>
      </w:r>
      <w:r>
        <w:t xml:space="preserve"> </w:t>
      </w:r>
      <w:r>
        <w:rPr>
          <w:b/>
          <w:bCs/>
        </w:rPr>
        <w:t xml:space="preserve">(i) Methodological synthesis</w:t>
      </w:r>
      <w:r>
        <w:t xml:space="preserve"> </w:t>
      </w:r>
      <w:r>
        <w:t xml:space="preserve">(moderate): the trifold integration of Izutsu’s field method, Kennedy–Sassoon scalar semantics, and Lakoff–Kövecses CMT under a corpus pipeline. We acknowledge Qāʾimīniyā</w:t>
      </w:r>
      <w:r>
        <w:rPr>
          <w:rStyle w:val="FootnoteReference"/>
        </w:rPr>
        <w:footnoteReference w:id="28"/>
      </w:r>
      <w:r>
        <w:t xml:space="preserve"> </w:t>
      </w:r>
      <w:r>
        <w:t xml:space="preserve">and Pakatchi–Afrashi</w:t>
      </w:r>
      <w:r>
        <w:rPr>
          <w:rStyle w:val="FootnoteReference"/>
        </w:rPr>
        <w:footnoteReference w:id="29"/>
      </w:r>
      <w:r>
        <w:t xml:space="preserve"> </w:t>
      </w:r>
      <w:r>
        <w:t xml:space="preserve">already integrate Izutsu and CMT in Persian Qur’anic scholarship; the novel element is the Kennedy–Sassoon scalar layer over a reproducible computational pipeline.</w:t>
      </w:r>
      <w:r>
        <w:t xml:space="preserve"> </w:t>
      </w:r>
      <w:r>
        <w:rPr>
          <w:b/>
          <w:bCs/>
        </w:rPr>
        <w:t xml:space="preserve">(ii) Empirical findings</w:t>
      </w:r>
      <w:r>
        <w:t xml:space="preserve"> </w:t>
      </w:r>
      <w:r>
        <w:t xml:space="preserve">(variable strength): of four distributional patterns, only the exclusively-Medinan</w:t>
      </w:r>
      <w:r>
        <w:t xml:space="preserve"> </w:t>
      </w:r>
      <w:r>
        <w:rPr>
          <w:i/>
          <w:iCs/>
        </w:rPr>
        <w:t xml:space="preserve">sakhaṭ</w:t>
      </w:r>
      <w:r>
        <w:t xml:space="preserve"> </w:t>
      </w:r>
      <w:r>
        <w:t xml:space="preserve">(raw</w:t>
      </w:r>
      <w:r>
        <w:t xml:space="preserve"> </w:t>
      </w:r>
      <w:r>
        <w:rPr>
          <w:i/>
          <w:iCs/>
        </w:rPr>
        <w:t xml:space="preserve">p</w:t>
      </w:r>
      <w:r>
        <w:t xml:space="preserve"> </w:t>
      </w:r>
      <w:r>
        <w:t xml:space="preserve">= 0.005;</w:t>
      </w:r>
      <w:r>
        <w:t xml:space="preserve"> </w:t>
      </w:r>
      <w:r>
        <w:rPr>
          <w:b/>
          <w:bCs/>
        </w:rPr>
        <w:t xml:space="preserve">Holm-Bonferroni adj.</w:t>
      </w:r>
      <w:r>
        <w:rPr>
          <w:b/>
          <w:bCs/>
        </w:rPr>
        <w:t xml:space="preserve"> </w:t>
      </w:r>
      <w:r>
        <w:rPr>
          <w:b/>
          <w:bCs/>
          <w:i/>
          <w:iCs/>
        </w:rPr>
        <w:t xml:space="preserve">p</w:t>
      </w:r>
      <w:r>
        <w:rPr>
          <w:b/>
          <w:bCs/>
        </w:rPr>
        <w:t xml:space="preserve"> </w:t>
      </w:r>
      <w:r>
        <w:rPr>
          <w:b/>
          <w:bCs/>
        </w:rPr>
        <w:t xml:space="preserve">= 0.05</w:t>
      </w:r>
      <w:r>
        <w:t xml:space="preserve">) survives FDR — borderline rather than emphatic.</w:t>
      </w:r>
      <w:r>
        <w:t xml:space="preserve"> </w:t>
      </w:r>
      <w:r>
        <w:rPr>
          <w:i/>
          <w:iCs/>
        </w:rPr>
        <w:t xml:space="preserve">Asaf</w:t>
      </w:r>
      <w:r>
        <w:t xml:space="preserve"> </w:t>
      </w:r>
      <w:r>
        <w:t xml:space="preserve">(5/0),</w:t>
      </w:r>
      <w:r>
        <w:t xml:space="preserve"> </w:t>
      </w:r>
      <w:r>
        <w:rPr>
          <w:i/>
          <w:iCs/>
        </w:rPr>
        <w:t xml:space="preserve">naqm</w:t>
      </w:r>
      <w:r>
        <w:t xml:space="preserve"> </w:t>
      </w:r>
      <w:r>
        <w:t xml:space="preserve">(12/5),</w:t>
      </w:r>
      <w:r>
        <w:t xml:space="preserve"> </w:t>
      </w:r>
      <w:r>
        <w:rPr>
          <w:i/>
          <w:iCs/>
        </w:rPr>
        <w:t xml:space="preserve">ʿutuww</w:t>
      </w:r>
      <w:r>
        <w:t xml:space="preserve"> </w:t>
      </w:r>
      <w:r>
        <w:t xml:space="preserve">(9/1) tilts do not survive correction and are reported as contextual observations.</w:t>
      </w:r>
      <w:r>
        <w:t xml:space="preserve"> </w:t>
      </w:r>
      <w:r>
        <w:rPr>
          <w:b/>
          <w:bCs/>
        </w:rPr>
        <w:t xml:space="preserve">(iii) Interpretive contribution</w:t>
      </w:r>
      <w:r>
        <w:t xml:space="preserve"> </w:t>
      </w:r>
      <w:r>
        <w:t xml:space="preserve">(most substantive):</w:t>
      </w:r>
      <w:r>
        <w:t xml:space="preserve"> </w:t>
      </w:r>
      <w:r>
        <w:rPr>
          <w:i/>
          <w:iCs/>
        </w:rPr>
        <w:t xml:space="preserve">bidirectional-causation reading of Stage 6</w:t>
      </w:r>
      <w:r>
        <w:t xml:space="preserve"> </w:t>
      </w:r>
      <w:r>
        <w:t xml:space="preserve">via κ = 0.79-validated tafsir-coding (A = 26%, S = 49%, A+S = 25%); A-only re-analysis χ²(1) = 81.4,</w:t>
      </w:r>
      <w:r>
        <w:t xml:space="preserve"> </w:t>
      </w:r>
      <w:r>
        <w:rPr>
          <w:i/>
          <w:iCs/>
        </w:rPr>
        <w:t xml:space="preserve">p</w:t>
      </w:r>
      <w:r>
        <w:t xml:space="preserve"> </w:t>
      </w:r>
      <w:r>
        <w:t xml:space="preserve">&lt; 0.001 with phenomenological core dominating anger-derived outcomes ~4.4×. This reconciles a puzzling distributional finding with the structurally-driven character of</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in classical exegesis. To these add</w:t>
      </w:r>
      <w:r>
        <w:t xml:space="preserve"> </w:t>
      </w:r>
      <w:r>
        <w:rPr>
          <w:b/>
          <w:bCs/>
        </w:rPr>
        <w:t xml:space="preserve">(iv)</w:t>
      </w:r>
      <w:r>
        <w:t xml:space="preserve"> </w:t>
      </w:r>
      <w:r>
        <w:t xml:space="preserve">a fully reproducible MIT-licensed pipeline (SHA-256 pinning, permutation/bootstrap, 50/50 manual validation) and</w:t>
      </w:r>
      <w:r>
        <w:t xml:space="preserve"> </w:t>
      </w:r>
      <w:r>
        <w:rPr>
          <w:b/>
          <w:bCs/>
        </w:rPr>
        <w:t xml:space="preserve">(v)</w:t>
      </w:r>
      <w:r>
        <w:t xml:space="preserve"> </w:t>
      </w:r>
      <w:r>
        <w:t xml:space="preserve">the comparative observation that Q. 67:8 is an</w:t>
      </w:r>
      <w:r>
        <w:t xml:space="preserve"> </w:t>
      </w:r>
      <w:r>
        <w:rPr>
          <w:i/>
          <w:iCs/>
        </w:rPr>
        <w:t xml:space="preserve">early and unusually transparent</w:t>
      </w:r>
      <w:r>
        <w:t xml:space="preserve"> </w:t>
      </w:r>
      <w:r>
        <w:t xml:space="preserve">instance of</w:t>
      </w:r>
      <w:r>
        <w:t xml:space="preserve"> </w:t>
      </w:r>
      <w:r>
        <w:t xml:space="preserve">“container collapse”</w:t>
      </w:r>
      <w:r>
        <w:t xml:space="preserve">, calibrated in §5.5 by a focused six-tradition philological survey that acknowledges Job 32:19 (</w:t>
      </w:r>
      <w:r>
        <w:rPr>
          <w:i/>
          <w:iCs/>
        </w:rPr>
        <w:t xml:space="preserve">bāqaʿ</w:t>
      </w:r>
      <w:r>
        <w:t xml:space="preserve">) as the one clear Northwest-Semitic precedent for vessel-rupture imagery.</w:t>
      </w:r>
    </w:p>
    <w:bookmarkEnd w:id="30"/>
    <w:bookmarkStart w:id="49" w:name="prior-work-and-the-gap"/>
    <w:p>
      <w:pPr>
        <w:pStyle w:val="Heading3"/>
      </w:pPr>
      <w:r>
        <w:t xml:space="preserve">1.3. Prior work and the gap</w:t>
      </w:r>
    </w:p>
    <w:p>
      <w:pPr>
        <w:pStyle w:val="FirstParagraph"/>
      </w:pPr>
      <w:r>
        <w:t xml:space="preserve">Prior scholarship clusters into five lines, each insufficient on its own to address the structural question motivating this paper.</w:t>
      </w:r>
      <w:r>
        <w:t xml:space="preserve"> </w:t>
      </w:r>
      <w:r>
        <w:rPr>
          <w:b/>
          <w:bCs/>
        </w:rPr>
        <w:t xml:space="preserve">Single-word lexical studies</w:t>
      </w:r>
      <w:r>
        <w:t xml:space="preserve">: the most directly relevant Persian-language precedent — Narimani, Iqbali and Chari</w:t>
      </w:r>
      <w:r>
        <w:rPr>
          <w:rStyle w:val="FootnoteReference"/>
        </w:rPr>
        <w:footnoteReference w:id="31"/>
      </w:r>
      <w:r>
        <w:t xml:space="preserve"> </w:t>
      </w:r>
      <w:r>
        <w:t xml:space="preserve">on</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 establishes on tafsir grounds that</w:t>
      </w:r>
      <w:r>
        <w:t xml:space="preserve"> </w:t>
      </w:r>
      <w:r>
        <w:rPr>
          <w:i/>
          <w:iCs/>
        </w:rPr>
        <w:t xml:space="preserve">ghaḍab</w:t>
      </w:r>
      <w:r>
        <w:t xml:space="preserve"> </w:t>
      </w:r>
      <w:r>
        <w:t xml:space="preserve">is central,</w:t>
      </w:r>
      <w:r>
        <w:t xml:space="preserve"> </w:t>
      </w:r>
      <w:r>
        <w:rPr>
          <w:i/>
          <w:iCs/>
        </w:rPr>
        <w:t xml:space="preserve">sakhaṭ</w:t>
      </w:r>
      <w:r>
        <w:t xml:space="preserve"> </w:t>
      </w:r>
      <w:r>
        <w:t xml:space="preserve">reserved for divine displeasure with hypocrites, and</w:t>
      </w:r>
      <w:r>
        <w:t xml:space="preserve"> </w:t>
      </w:r>
      <w:r>
        <w:rPr>
          <w:i/>
          <w:iCs/>
        </w:rPr>
        <w:t xml:space="preserve">ghayẓ</w:t>
      </w:r>
      <w:r>
        <w:t xml:space="preserve"> </w:t>
      </w:r>
      <w:r>
        <w:t xml:space="preserve">exclusive to unbelievers/hypocrites in human-attribution contexts; we confirm and extend their findings with corpus-distributional evidence and the</w:t>
      </w:r>
      <w:r>
        <w:t xml:space="preserve"> </w:t>
      </w:r>
      <w:r>
        <w:rPr>
          <w:i/>
          <w:iCs/>
        </w:rPr>
        <w:t xml:space="preserve">kaẓm</w:t>
      </w:r>
      <w:r>
        <w:t xml:space="preserve"> </w:t>
      </w:r>
      <w:r>
        <w:t xml:space="preserve">analysis. Qarizadeh et al.</w:t>
      </w:r>
      <w:r>
        <w:rPr>
          <w:rStyle w:val="FootnoteReference"/>
        </w:rPr>
        <w:footnoteReference w:id="32"/>
      </w:r>
      <w:r>
        <w:t xml:space="preserve"> </w:t>
      </w:r>
      <w:r>
        <w:t xml:space="preserve">on</w:t>
      </w:r>
      <w:r>
        <w:t xml:space="preserve"> </w:t>
      </w:r>
      <w:r>
        <w:rPr>
          <w:i/>
          <w:iCs/>
        </w:rPr>
        <w:t xml:space="preserve">ṭughyān</w:t>
      </w:r>
      <w:r>
        <w:t xml:space="preserve"> </w:t>
      </w:r>
      <w:r>
        <w:t xml:space="preserve">show the root attests in 27 suras with the central meaning of transgressing the limit. Both works illustrate the present gap: high-quality lexical work for individual lexemes, but no integrated continuum and no operational ordering relation among the lexemes of the field.</w:t>
      </w:r>
      <w:r>
        <w:t xml:space="preserve"> </w:t>
      </w:r>
      <w:r>
        <w:rPr>
          <w:b/>
          <w:bCs/>
        </w:rPr>
        <w:t xml:space="preserve">Semantic-field and cognitive-semantic studies</w:t>
      </w:r>
      <w:r>
        <w:t xml:space="preserve"> </w:t>
      </w:r>
      <w:r>
        <w:t xml:space="preserve">in the Izutsu tradition — Qāʾimīniyā,</w:t>
      </w:r>
      <w:r>
        <w:rPr>
          <w:rStyle w:val="FootnoteReference"/>
        </w:rPr>
        <w:footnoteReference w:id="33"/>
      </w:r>
      <w:r>
        <w:t xml:space="preserve"> </w:t>
      </w:r>
      <w:r>
        <w:t xml:space="preserve">Pakatchi–Afrashi,</w:t>
      </w:r>
      <w:r>
        <w:rPr>
          <w:rStyle w:val="FootnoteReference"/>
        </w:rPr>
        <w:footnoteReference w:id="34"/>
      </w:r>
      <w:r>
        <w:t xml:space="preserve"> </w:t>
      </w:r>
      <w:r>
        <w:t xml:space="preserve">Albayrak</w:t>
      </w:r>
      <w:r>
        <w:rPr>
          <w:rStyle w:val="FootnoteReference"/>
        </w:rPr>
        <w:footnoteReference w:id="35"/>
      </w:r>
      <w:r>
        <w:t xml:space="preserve"> </w:t>
      </w:r>
      <w:r>
        <w:t xml:space="preserve">— have applied cognitive linguistics to Qur’anic vocabulary, but the</w:t>
      </w:r>
      <w:r>
        <w:t xml:space="preserve"> </w:t>
      </w:r>
      <w:r>
        <w:rPr>
          <w:i/>
          <w:iCs/>
        </w:rPr>
        <w:t xml:space="preserve">graded continuum</w:t>
      </w:r>
      <w:r>
        <w:t xml:space="preserve"> </w:t>
      </w:r>
      <w:r>
        <w:t xml:space="preserve">layer (Izutsu’s own deferral of the ordering question, §2.1) remains untreated. Izutsu’s three-layer apparatus (focus words / fields / key words) operates on lexical-semantic</w:t>
      </w:r>
      <w:r>
        <w:t xml:space="preserve"> </w:t>
      </w:r>
      <w:r>
        <w:rPr>
          <w:i/>
          <w:iCs/>
        </w:rPr>
        <w:t xml:space="preserve">relations</w:t>
      </w:r>
      <w:r>
        <w:t xml:space="preserve"> </w:t>
      </w:r>
      <w:r>
        <w:t xml:space="preserve">(paradigmatic, syntagmatic, contrastive),</w:t>
      </w:r>
      <w:r>
        <w:t xml:space="preserve"> </w:t>
      </w:r>
      <w:r>
        <w:rPr>
          <w:i/>
          <w:iCs/>
        </w:rPr>
        <w:t xml:space="preserve">not</w:t>
      </w:r>
      <w:r>
        <w:t xml:space="preserve"> </w:t>
      </w:r>
      <w:r>
        <w:t xml:space="preserve">on a measurable dimension along which field members can be ordered; the Kennedy–Sassoon scalar-semantic apparatus</w:t>
      </w:r>
      <w:r>
        <w:rPr>
          <w:rStyle w:val="FootnoteReference"/>
        </w:rPr>
        <w:footnoteReference w:id="36"/>
      </w:r>
      <w:r>
        <w:t xml:space="preserve"> </w:t>
      </w:r>
      <w:r>
        <w:t xml:space="preserve">supplies exactly what Izutsu’s method leaves open.</w:t>
      </w:r>
      <w:r>
        <w:t xml:space="preserve"> </w:t>
      </w:r>
      <w:r>
        <w:rPr>
          <w:b/>
          <w:bCs/>
        </w:rPr>
        <w:t xml:space="preserve">Ethics-of-anger studies</w:t>
      </w:r>
      <w:r>
        <w:t xml:space="preserve"> </w:t>
      </w:r>
      <w:r>
        <w:t xml:space="preserve">in the</w:t>
      </w:r>
      <w:r>
        <w:t xml:space="preserve"> </w:t>
      </w:r>
      <w:r>
        <w:rPr>
          <w:i/>
          <w:iCs/>
        </w:rPr>
        <w:t xml:space="preserve">kaẓm al-ghayẓ</w:t>
      </w:r>
      <w:r>
        <w:t xml:space="preserve"> </w:t>
      </w:r>
      <w:r>
        <w:t xml:space="preserve">tradition are normatively rich and linguistically thin.</w:t>
      </w:r>
      <w:r>
        <w:t xml:space="preserve"> </w:t>
      </w:r>
      <w:r>
        <w:rPr>
          <w:b/>
          <w:bCs/>
        </w:rPr>
        <w:t xml:space="preserve">The cross-linguistic CMT literature</w:t>
      </w:r>
      <w:r>
        <w:t xml:space="preserve"> </w:t>
      </w:r>
      <w:r>
        <w:t xml:space="preserve">has been decisively updated by Kövecses, Benczes and Szelid’s</w:t>
      </w:r>
      <w:r>
        <w:t xml:space="preserve"> </w:t>
      </w:r>
      <w:r>
        <w:rPr>
          <w:i/>
          <w:iCs/>
        </w:rPr>
        <w:t xml:space="preserve">Metaphors of ANGER across Languages</w:t>
      </w:r>
      <w:r>
        <w:t xml:space="preserve">,</w:t>
      </w:r>
      <w:r>
        <w:rPr>
          <w:rStyle w:val="FootnoteReference"/>
        </w:rPr>
        <w:footnoteReference w:id="37"/>
      </w:r>
      <w:r>
        <w:t xml:space="preserve"> </w:t>
      </w:r>
      <w:r>
        <w:t xml:space="preserve">which canvasses twenty-two language traditions (Mandarin, Japanese, Korean, Hungarian, Polish, Russian, Wolof, Hausa, Yoruba, Modern Standard Arabic in a single chapter,</w:t>
      </w:r>
      <w:r>
        <w:t xml:space="preserve"> </w:t>
      </w:r>
      <w:r>
        <w:rPr>
          <w:i/>
          <w:iCs/>
        </w:rPr>
        <w:t xml:space="preserve">inter alia</w:t>
      </w:r>
      <w:r>
        <w:t xml:space="preserve">) —</w:t>
      </w:r>
      <w:r>
        <w:t xml:space="preserve"> </w:t>
      </w:r>
      <w:r>
        <w:rPr>
          <w:i/>
          <w:iCs/>
        </w:rPr>
        <w:t xml:space="preserve">Classical Arabic is not separately treated</w:t>
      </w:r>
      <w:r>
        <w:t xml:space="preserve">, and the Qur’anic</w:t>
      </w:r>
      <w:r>
        <w:t xml:space="preserve"> </w:t>
      </w:r>
      <w:r>
        <w:rPr>
          <w:i/>
          <w:iCs/>
        </w:rPr>
        <w:t xml:space="preserve">ghayẓ–kaẓm–tamayyuz</w:t>
      </w:r>
      <w:r>
        <w:t xml:space="preserve"> </w:t>
      </w:r>
      <w:r>
        <w:t xml:space="preserve">triad is absent from the encyclopedia.</w:t>
      </w:r>
      <w:r>
        <w:t xml:space="preserve"> </w:t>
      </w:r>
      <w:r>
        <w:rPr>
          <w:b/>
          <w:bCs/>
        </w:rPr>
        <w:t xml:space="preserve">Historical-critical and corpus-linguistic studies</w:t>
      </w:r>
      <w:r>
        <w:t xml:space="preserve"> </w:t>
      </w:r>
      <w:r>
        <w:t xml:space="preserve">supply complementary apparatus: Sinai’s</w:t>
      </w:r>
      <w:r>
        <w:t xml:space="preserve"> </w:t>
      </w:r>
      <w:r>
        <w:rPr>
          <w:i/>
          <w:iCs/>
        </w:rPr>
        <w:t xml:space="preserve">The Qurʾan: A Historical-Critical Introduction</w:t>
      </w:r>
      <w:r>
        <w:rPr>
          <w:rStyle w:val="FootnoteReference"/>
        </w:rPr>
        <w:footnoteReference w:id="38"/>
      </w:r>
      <w:r>
        <w:t xml:space="preserve"> </w:t>
      </w:r>
      <w:r>
        <w:t xml:space="preserve">articulates the Meccan/Medinan periodisation that underwrites our</w:t>
      </w:r>
      <w:r>
        <w:t xml:space="preserve"> </w:t>
      </w:r>
      <w:r>
        <w:rPr>
          <w:i/>
          <w:iCs/>
        </w:rPr>
        <w:t xml:space="preserve">sakhaṭ</w:t>
      </w:r>
      <w:r>
        <w:t xml:space="preserve"> </w:t>
      </w:r>
      <w:r>
        <w:t xml:space="preserve">finding, and his</w:t>
      </w:r>
      <w:r>
        <w:t xml:space="preserve"> </w:t>
      </w:r>
      <w:r>
        <w:rPr>
          <w:i/>
          <w:iCs/>
        </w:rPr>
        <w:t xml:space="preserve">Key Terms of the Qurʾan</w:t>
      </w:r>
      <w:r>
        <w:rPr>
          <w:rStyle w:val="FootnoteReference"/>
        </w:rPr>
        <w:footnoteReference w:id="39"/>
      </w:r>
      <w:r>
        <w:t xml:space="preserve"> </w:t>
      </w:r>
      <w:r>
        <w:t xml:space="preserve">models the lexicon-level entry organisation we extend at the field level; El-Awa’s</w:t>
      </w:r>
      <w:r>
        <w:t xml:space="preserve"> </w:t>
      </w:r>
      <w:r>
        <w:rPr>
          <w:i/>
          <w:iCs/>
        </w:rPr>
        <w:t xml:space="preserve">Textual Relations in the Qurʾan</w:t>
      </w:r>
      <w:r>
        <w:rPr>
          <w:rStyle w:val="FootnoteReference"/>
        </w:rPr>
        <w:footnoteReference w:id="40"/>
      </w:r>
      <w:r>
        <w:t xml:space="preserve"> </w:t>
      </w:r>
      <w:r>
        <w:t xml:space="preserve">supplies the relevance-theoretic vocabulary for §5.4; Sharaf and Atwell’s QurAna and QurSim corpora</w:t>
      </w:r>
      <w:r>
        <w:rPr>
          <w:rStyle w:val="FootnoteReference"/>
        </w:rPr>
        <w:footnoteReference w:id="41"/>
      </w:r>
      <w:r>
        <w:t xml:space="preserve"> </w:t>
      </w:r>
      <w:r>
        <w:t xml:space="preserve">established Qur’anic-NLP reproducibility standards alongside QuranMorph</w:t>
      </w:r>
      <w:r>
        <w:rPr>
          <w:rStyle w:val="FootnoteReference"/>
        </w:rPr>
        <w:footnoteReference w:id="42"/>
      </w:r>
      <w:r>
        <w:t xml:space="preserve"> </w:t>
      </w:r>
      <w:r>
        <w:t xml:space="preserve">and MASAQ.</w:t>
      </w:r>
      <w:r>
        <w:rPr>
          <w:rStyle w:val="FootnoteReference"/>
        </w:rPr>
        <w:footnoteReference w:id="43"/>
      </w:r>
      <w:r>
        <w:t xml:space="preserve"> </w:t>
      </w:r>
      <w:r>
        <w:t xml:space="preserve">None of these supplies a</w:t>
      </w:r>
      <w:r>
        <w:t xml:space="preserve"> </w:t>
      </w:r>
      <w:r>
        <w:rPr>
          <w:i/>
          <w:iCs/>
        </w:rPr>
        <w:t xml:space="preserve">graded reference model of the anger-spectrum lexicon</w:t>
      </w:r>
      <w:r>
        <w:t xml:space="preserve">.</w:t>
      </w:r>
      <w:r>
        <w:t xml:space="preserve"> </w:t>
      </w:r>
      <w:r>
        <w:rPr>
          <w:b/>
          <w:bCs/>
        </w:rPr>
        <w:t xml:space="preserve">Translation-criticism studies</w:t>
      </w:r>
      <w:r>
        <w:t xml:space="preserve"> </w:t>
      </w:r>
      <w:r>
        <w:t xml:space="preserve">are quantitative at scale in 2025: Gaanoun and Alsuhaibani</w:t>
      </w:r>
      <w:r>
        <w:rPr>
          <w:rStyle w:val="FootnoteReference"/>
        </w:rPr>
        <w:footnoteReference w:id="44"/>
      </w:r>
      <w:r>
        <w:t xml:space="preserve"> </w:t>
      </w:r>
      <w:r>
        <w:t xml:space="preserve">show inconsistent sentiment polarity across seven English translations; the ELQV dataset of 2,100 emotion-labelled verses</w:t>
      </w:r>
      <w:r>
        <w:rPr>
          <w:rStyle w:val="FootnoteReference"/>
        </w:rPr>
        <w:footnoteReference w:id="45"/>
      </w:r>
      <w:r>
        <w:t xml:space="preserve"> </w:t>
      </w:r>
      <w:r>
        <w:t xml:space="preserve">provides a coarse-Ekman reference; Khan et al.</w:t>
      </w:r>
      <w:r>
        <w:rPr>
          <w:rStyle w:val="FootnoteReference"/>
        </w:rPr>
        <w:footnoteReference w:id="46"/>
      </w:r>
      <w:r>
        <w:t xml:space="preserve"> </w:t>
      </w:r>
      <w:r>
        <w:t xml:space="preserve">survey the field; a 2025</w:t>
      </w:r>
      <w:r>
        <w:t xml:space="preserve"> </w:t>
      </w:r>
      <w:r>
        <w:rPr>
          <w:i/>
          <w:iCs/>
        </w:rPr>
        <w:t xml:space="preserve">Cogent Arts &amp; Humanities</w:t>
      </w:r>
      <w:r>
        <w:t xml:space="preserve"> </w:t>
      </w:r>
      <w:r>
        <w:t xml:space="preserve">paper catalogues flattening risks.</w:t>
      </w:r>
      <w:r>
        <w:rPr>
          <w:rStyle w:val="FootnoteReference"/>
        </w:rPr>
        <w:footnoteReference w:id="47"/>
      </w:r>
      <w:r>
        <w:t xml:space="preserve"> </w:t>
      </w:r>
      <w:r>
        <w:t xml:space="preserve">None supplies a graded</w:t>
      </w:r>
      <w:r>
        <w:t xml:space="preserve"> </w:t>
      </w:r>
      <w:r>
        <w:rPr>
          <w:i/>
          <w:iCs/>
        </w:rPr>
        <w:t xml:space="preserve">lexeme-level</w:t>
      </w:r>
      <w:r>
        <w:t xml:space="preserve"> </w:t>
      </w:r>
      <w:r>
        <w:t xml:space="preserve">reference model against which translation-levelling could be benchmarked.</w:t>
      </w:r>
      <w:r>
        <w:t xml:space="preserve"> </w:t>
      </w:r>
      <w:r>
        <w:rPr>
          <w:b/>
          <w:bCs/>
        </w:rPr>
        <w:t xml:space="preserve">Islamic psychology</w:t>
      </w:r>
      <w:r>
        <w:rPr>
          <w:rStyle w:val="FootnoteReference"/>
        </w:rPr>
        <w:footnoteReference w:id="48"/>
      </w:r>
      <w:r>
        <w:t xml:space="preserve"> </w:t>
      </w:r>
      <w:r>
        <w:t xml:space="preserve">tends to draw on</w:t>
      </w:r>
      <w:r>
        <w:t xml:space="preserve"> </w:t>
      </w:r>
      <w:r>
        <w:rPr>
          <w:i/>
          <w:iCs/>
        </w:rPr>
        <w:t xml:space="preserve">aḥādīth</w:t>
      </w:r>
      <w:r>
        <w:t xml:space="preserve"> </w:t>
      </w:r>
      <w:r>
        <w:t xml:space="preserve">and leave systematic linguistic analysis of the Qur’anic surface in the background. The present paper occupies the unfilled intersection of all five lines: it adds the Kennedy–Sassoon scalar layer to the Izutsu / CMT cognitive-semantic stack, applies it to the anger field that the 2025</w:t>
      </w:r>
      <w:r>
        <w:t xml:space="preserve"> </w:t>
      </w:r>
      <w:r>
        <w:rPr>
          <w:i/>
          <w:iCs/>
        </w:rPr>
        <w:t xml:space="preserve">Metaphors of ANGER</w:t>
      </w:r>
      <w:r>
        <w:t xml:space="preserve"> </w:t>
      </w:r>
      <w:r>
        <w:t xml:space="preserve">encyclopedia omits, releases the empirical pipeline under the Sharaf–Atwell / QuranMorph reproducibility standard, and supplies the lexeme-level reference model the post-2025 translation-criticism literature requires.</w:t>
      </w:r>
    </w:p>
    <w:bookmarkEnd w:id="49"/>
    <w:bookmarkStart w:id="50" w:name="research-questions-and-hypotheses"/>
    <w:p>
      <w:pPr>
        <w:pStyle w:val="Heading3"/>
      </w:pPr>
      <w:r>
        <w:t xml:space="preserve">1.4. Research questions and hypotheses</w:t>
      </w:r>
    </w:p>
    <w:p>
      <w:pPr>
        <w:pStyle w:val="FirstParagraph"/>
      </w:pPr>
      <w:r>
        <w:t xml:space="preserve">We address five research questions: (RQ1) the internal structure of the Qur’anic anger-spectrum field and its principal nodes; (RQ2) the continuum ordering by action-intensity and the theoretical framework legitimating it; (RQ3) corpus-distributional corroboration of the continuum (frequency, Meccan/Medinan, morphology, network centrality); (RQ4) structural homology with Gross, Plutchik, Spielberger, and Lazarus-Scherer appraisal theory; (RQ5) practical implications for Qur’anic translation and clinical Islamic psychology.</w:t>
      </w:r>
    </w:p>
    <w:p>
      <w:pPr>
        <w:pStyle w:val="BodyText"/>
      </w:pPr>
      <w:r>
        <w:t xml:space="preserve">The principal</w:t>
      </w:r>
      <w:r>
        <w:t xml:space="preserve"> </w:t>
      </w:r>
      <w:r>
        <w:rPr>
          <w:b/>
          <w:bCs/>
        </w:rPr>
        <w:t xml:space="preserve">Qur’anic Action-Intensity Continuum Hypothesis</w:t>
      </w:r>
      <w:r>
        <w:t xml:space="preserve"> </w:t>
      </w:r>
      <w:r>
        <w:t xml:space="preserve">holds that the fourteen core roots (ʾff, krh, ḍyq, ḥzn, ʾsf, nqm, sxṭ, mqt, ġḍb, ḥrd, ġyẓ, bġy, ṭġy, ʿtw) operate as fourteen distinct grades on a single semantic continuum structured by</w:t>
      </w:r>
      <w:r>
        <w:t xml:space="preserve"> </w:t>
      </w:r>
      <w:r>
        <w:rPr>
          <w:i/>
          <w:iCs/>
        </w:rPr>
        <w:t xml:space="preserve">intensity of action</w:t>
      </w:r>
      <w:r>
        <w:t xml:space="preserve">, organised in six phenomenological stages, supported by qualitative (etymological, exegetical, metaphorical) and quantitative (frequency, distribution, network) evidence. Five subsidiary hypotheses: (H1) non-uniform six-stage frequency distribution; (H2) near-equal split between phenomenological core (S1–5) and behavioural pole (S6), supporting the bidirectional Stage-6 reading; (H3) discursively-specialised exclusive-Medinan distribution of</w:t>
      </w:r>
      <w:r>
        <w:t xml:space="preserve"> </w:t>
      </w:r>
      <w:r>
        <w:rPr>
          <w:i/>
          <w:iCs/>
        </w:rPr>
        <w:t xml:space="preserve">sakhaṭ</w:t>
      </w:r>
      <w:r>
        <w:t xml:space="preserve">; (H4)</w:t>
      </w:r>
      <w:r>
        <w:t xml:space="preserve"> </w:t>
      </w:r>
      <w:r>
        <w:rPr>
          <w:i/>
          <w:iCs/>
        </w:rPr>
        <w:t xml:space="preserve">baghy</w:t>
      </w:r>
      <w:r>
        <w:t xml:space="preserve"> </w:t>
      </w:r>
      <w:r>
        <w:t xml:space="preserve">as bridge node in the co-occurrence network; (H5) Q. 67:8 as transparent instance of</w:t>
      </w:r>
      <w:r>
        <w:t xml:space="preserve"> </w:t>
      </w:r>
      <w:r>
        <w:t xml:space="preserve">“container collapse”</w:t>
      </w:r>
      <w:r>
        <w:t xml:space="preserve"> </w:t>
      </w:r>
      <w:r>
        <w:t xml:space="preserve">CMT failure mode.</w:t>
      </w:r>
    </w:p>
    <w:p>
      <w:r>
        <w:pict>
          <v:rect style="width:0;height:1.5pt" o:hralign="center" o:hrstd="t" o:hr="t"/>
        </w:pict>
      </w:r>
    </w:p>
    <w:bookmarkEnd w:id="50"/>
    <w:bookmarkEnd w:id="51"/>
    <w:bookmarkStart w:id="64" w:name="theoretical-framework"/>
    <w:p>
      <w:pPr>
        <w:pStyle w:val="Heading2"/>
      </w:pPr>
      <w:r>
        <w:t xml:space="preserve">2. Theoretical Framework</w:t>
      </w:r>
    </w:p>
    <w:bookmarkStart w:id="54" w:name="izutsus-semantic-field-method"/>
    <w:p>
      <w:pPr>
        <w:pStyle w:val="Heading3"/>
      </w:pPr>
      <w:r>
        <w:t xml:space="preserve">2.1. Izutsu’s semantic-field method</w:t>
      </w:r>
    </w:p>
    <w:p>
      <w:pPr>
        <w:pStyle w:val="FirstParagraph"/>
      </w:pPr>
      <w:r>
        <w:t xml:space="preserve">Toshihiko Izutsu, in three foundational works—</w:t>
      </w:r>
      <w:r>
        <w:rPr>
          <w:i/>
          <w:iCs/>
        </w:rPr>
        <w:t xml:space="preserve">The Structure of the Ethical Terms in the Koran</w:t>
      </w:r>
      <w:r>
        <w:t xml:space="preserve">,</w:t>
      </w:r>
      <w:r>
        <w:t xml:space="preserve"> </w:t>
      </w:r>
      <w:r>
        <w:rPr>
          <w:i/>
          <w:iCs/>
        </w:rPr>
        <w:t xml:space="preserve">God and Man in the Koran</w:t>
      </w:r>
      <w:r>
        <w:t xml:space="preserve">, and</w:t>
      </w:r>
      <w:r>
        <w:t xml:space="preserve"> </w:t>
      </w:r>
      <w:r>
        <w:rPr>
          <w:i/>
          <w:iCs/>
        </w:rPr>
        <w:t xml:space="preserve">Ethico-Religious Concepts in the Qurʾān</w:t>
      </w:r>
      <w:r>
        <w:rPr>
          <w:rStyle w:val="FootnoteReference"/>
        </w:rPr>
        <w:footnoteReference w:id="52"/>
      </w:r>
      <w:r>
        <w:t xml:space="preserve">—introduced a methodological revolution to Qur’anic studies. Drawing on the structuralist linguistics of the Trier–Weisgerber tradition and on East Asian philosophy of language, Izutsu argued that the central terms of the Qur’an—</w:t>
      </w:r>
      <w:r>
        <w:rPr>
          <w:i/>
          <w:iCs/>
        </w:rPr>
        <w:t xml:space="preserve">Allāh</w:t>
      </w:r>
      <w:r>
        <w:t xml:space="preserve">,</w:t>
      </w:r>
      <w:r>
        <w:t xml:space="preserve"> </w:t>
      </w:r>
      <w:r>
        <w:rPr>
          <w:i/>
          <w:iCs/>
        </w:rPr>
        <w:t xml:space="preserve">īmān</w:t>
      </w:r>
      <w:r>
        <w:t xml:space="preserve">,</w:t>
      </w:r>
      <w:r>
        <w:t xml:space="preserve"> </w:t>
      </w:r>
      <w:r>
        <w:rPr>
          <w:i/>
          <w:iCs/>
        </w:rPr>
        <w:t xml:space="preserve">kufr</w:t>
      </w:r>
      <w:r>
        <w:t xml:space="preserve">,</w:t>
      </w:r>
      <w:r>
        <w:t xml:space="preserve"> </w:t>
      </w:r>
      <w:r>
        <w:rPr>
          <w:i/>
          <w:iCs/>
        </w:rPr>
        <w:t xml:space="preserve">ẓulm</w:t>
      </w:r>
      <w:r>
        <w:t xml:space="preserve">,</w:t>
      </w:r>
      <w:r>
        <w:t xml:space="preserve"> </w:t>
      </w:r>
      <w:r>
        <w:rPr>
          <w:i/>
          <w:iCs/>
        </w:rPr>
        <w:t xml:space="preserve">taqwā</w:t>
      </w:r>
      <w:r>
        <w:t xml:space="preserve">—are not isolated propositions but nodes in a network of syntagmatic, paradigmatic, and oppositional relations. The aggregate of these relations constitutes what he called the</w:t>
      </w:r>
      <w:r>
        <w:t xml:space="preserve"> </w:t>
      </w:r>
      <w:r>
        <w:t xml:space="preserve">“Qur’anic</w:t>
      </w:r>
      <w:r>
        <w:t xml:space="preserve"> </w:t>
      </w:r>
      <w:r>
        <w:rPr>
          <w:i/>
          <w:iCs/>
        </w:rPr>
        <w:t xml:space="preserve">Weltanschauung</w:t>
      </w:r>
      <w:r>
        <w:t xml:space="preserve">.”</w:t>
      </w:r>
    </w:p>
    <w:p>
      <w:pPr>
        <w:pStyle w:val="BodyText"/>
      </w:pPr>
      <w:r>
        <w:t xml:space="preserve">Izutsu’s analytic vocabulary distinguishes three layers:</w:t>
      </w:r>
      <w:r>
        <w:t xml:space="preserve"> </w:t>
      </w:r>
      <w:r>
        <w:rPr>
          <w:i/>
          <w:iCs/>
        </w:rPr>
        <w:t xml:space="preserve">focus words</w:t>
      </w:r>
      <w:r>
        <w:t xml:space="preserve"> </w:t>
      </w:r>
      <w:r>
        <w:t xml:space="preserve">are the central organising concepts of a given semantic field;</w:t>
      </w:r>
      <w:r>
        <w:t xml:space="preserve"> </w:t>
      </w:r>
      <w:r>
        <w:rPr>
          <w:i/>
          <w:iCs/>
        </w:rPr>
        <w:t xml:space="preserve">semantic fields</w:t>
      </w:r>
      <w:r>
        <w:t xml:space="preserve"> </w:t>
      </w:r>
      <w:r>
        <w:t xml:space="preserve">are the networks of mutually defining lexemes formed around focus words; and</w:t>
      </w:r>
      <w:r>
        <w:t xml:space="preserve"> </w:t>
      </w:r>
      <w:r>
        <w:rPr>
          <w:i/>
          <w:iCs/>
        </w:rPr>
        <w:t xml:space="preserve">key words</w:t>
      </w:r>
      <w:r>
        <w:t xml:space="preserve"> </w:t>
      </w:r>
      <w:r>
        <w:t xml:space="preserve">are the terms that recur across multiple fields and serve to integrate them into a single worldview. This three-layer structure has proved extraordinarily productive in subsequent Qur’anic semantic work, both in English (Saleh, Rippin) and Persian.</w:t>
      </w:r>
      <w:r>
        <w:rPr>
          <w:rStyle w:val="FootnoteReference"/>
        </w:rPr>
        <w:footnoteReference w:id="53"/>
      </w:r>
    </w:p>
    <w:p>
      <w:pPr>
        <w:pStyle w:val="BodyText"/>
      </w:pPr>
      <w:r>
        <w:t xml:space="preserve">For the present paper, Izutsu’s framework justifies the move from atomistic single-lexeme analysis to integrated field analysis. The fourteen target roots are not chosen at random but as the field around the focus words</w:t>
      </w:r>
      <w:r>
        <w:t xml:space="preserve"> </w:t>
      </w:r>
      <w:r>
        <w:rPr>
          <w:i/>
          <w:iCs/>
        </w:rPr>
        <w:t xml:space="preserve">ghaḍab</w:t>
      </w:r>
      <w:r>
        <w:t xml:space="preserve"> </w:t>
      </w:r>
      <w:r>
        <w:t xml:space="preserve">(the central anger term) and</w:t>
      </w:r>
      <w:r>
        <w:t xml:space="preserve"> </w:t>
      </w:r>
      <w:r>
        <w:rPr>
          <w:i/>
          <w:iCs/>
        </w:rPr>
        <w:t xml:space="preserve">baghy</w:t>
      </w:r>
      <w:r>
        <w:t xml:space="preserve"> </w:t>
      </w:r>
      <w:r>
        <w:t xml:space="preserve">(the central behavioural-outcome term), with the lower-intensity cluster (</w:t>
      </w:r>
      <w:r>
        <w:rPr>
          <w:i/>
          <w:iCs/>
        </w:rPr>
        <w:t xml:space="preserve">uff</w:t>
      </w:r>
      <w:r>
        <w:t xml:space="preserve">,</w:t>
      </w:r>
      <w:r>
        <w:t xml:space="preserve"> </w:t>
      </w:r>
      <w:r>
        <w:rPr>
          <w:i/>
          <w:iCs/>
        </w:rPr>
        <w:t xml:space="preserve">karh</w:t>
      </w:r>
      <w:r>
        <w:t xml:space="preserve">,</w:t>
      </w:r>
      <w:r>
        <w:t xml:space="preserv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 identifying the pre-anger and inner-pressure boundary of the field and</w:t>
      </w:r>
      <w:r>
        <w:t xml:space="preserve"> </w:t>
      </w:r>
      <w:r>
        <w:rPr>
          <w:i/>
          <w:iCs/>
        </w:rPr>
        <w:t xml:space="preserve">ʿutuww</w:t>
      </w:r>
      <w:r>
        <w:t xml:space="preserve"> </w:t>
      </w:r>
      <w:r>
        <w:t xml:space="preserve">its upper-intensity boundary. Yet Izutsu’s framework, in its original form, is silent on a question central to our enterprise: granted that these lexemes co-belong to a field,</w:t>
      </w:r>
      <w:r>
        <w:t xml:space="preserve"> </w:t>
      </w:r>
      <w:r>
        <w:rPr>
          <w:i/>
          <w:iCs/>
        </w:rPr>
        <w:t xml:space="preserve">what is the structural relation between them within the field?</w:t>
      </w:r>
      <w:r>
        <w:t xml:space="preserve"> </w:t>
      </w:r>
      <w:r>
        <w:t xml:space="preserve">It is at this point that we require scalar semantics.</w:t>
      </w:r>
    </w:p>
    <w:bookmarkEnd w:id="54"/>
    <w:bookmarkStart w:id="56" w:name="X4fc16f0059dbe82bb4e7103870d32d4ad848ff7"/>
    <w:p>
      <w:pPr>
        <w:pStyle w:val="Heading3"/>
      </w:pPr>
      <w:r>
        <w:t xml:space="preserve">2.2. Scalar semantics: from network to continuum</w:t>
      </w:r>
    </w:p>
    <w:p>
      <w:pPr>
        <w:pStyle w:val="FirstParagraph"/>
      </w:pPr>
      <w:r>
        <w:t xml:space="preserve">The contemporary linguistic theory of</w:t>
      </w:r>
      <w:r>
        <w:t xml:space="preserve"> </w:t>
      </w:r>
      <w:r>
        <w:rPr>
          <w:i/>
          <w:iCs/>
        </w:rPr>
        <w:t xml:space="preserve">gradable predicates</w:t>
      </w:r>
      <w:r>
        <w:rPr>
          <w:rStyle w:val="FootnoteReference"/>
        </w:rPr>
        <w:footnoteReference w:id="55"/>
      </w:r>
      <w:r>
        <w:t xml:space="preserve"> </w:t>
      </w:r>
      <w:r>
        <w:t xml:space="preserve">supplies the missing apparatus. A graded predicate maps to a scale characterised by three components: a</w:t>
      </w:r>
      <w:r>
        <w:t xml:space="preserve"> </w:t>
      </w:r>
      <w:r>
        <w:rPr>
          <w:i/>
          <w:iCs/>
        </w:rPr>
        <w:t xml:space="preserve">dimension</w:t>
      </w:r>
      <w:r>
        <w:t xml:space="preserve"> </w:t>
      </w:r>
      <w:r>
        <w:t xml:space="preserve">of measurement, an</w:t>
      </w:r>
      <w:r>
        <w:t xml:space="preserve"> </w:t>
      </w:r>
      <w:r>
        <w:rPr>
          <w:i/>
          <w:iCs/>
        </w:rPr>
        <w:t xml:space="preserve">ordering</w:t>
      </w:r>
      <w:r>
        <w:t xml:space="preserve"> </w:t>
      </w:r>
      <w:r>
        <w:t xml:space="preserve">on that dimension, and a unit of comparison. Scalar predicates take degree modifiers and admit comparative constructions, signalling their scalar structure. The Qur’anic anger field is precisely such a scale: the dimension is</w:t>
      </w:r>
      <w:r>
        <w:t xml:space="preserve"> </w:t>
      </w:r>
      <w:r>
        <w:rPr>
          <w:i/>
          <w:iCs/>
        </w:rPr>
        <w:t xml:space="preserve">intensity of action</w:t>
      </w:r>
      <w:r>
        <w:t xml:space="preserve"> </w:t>
      </w:r>
      <w:r>
        <w:t xml:space="preserve">(decomposable into locus, experiential intensity, scope of consequence); the ordering follows the six-stage progression; the implicit unit is the</w:t>
      </w:r>
      <w:r>
        <w:t xml:space="preserve"> </w:t>
      </w:r>
      <w:r>
        <w:rPr>
          <w:i/>
          <w:iCs/>
        </w:rPr>
        <w:t xml:space="preserve">degree of externalisation</w:t>
      </w:r>
      <w:r>
        <w:t xml:space="preserve"> </w:t>
      </w:r>
      <w:r>
        <w:t xml:space="preserve">of emotion from inner phenomenology to social rupture. Without this framework, the claim that</w:t>
      </w:r>
      <w:r>
        <w:t xml:space="preserve"> </w:t>
      </w:r>
      <w:r>
        <w:rPr>
          <w:i/>
          <w:iCs/>
        </w:rPr>
        <w:t xml:space="preserve">ghayẓ</w:t>
      </w:r>
      <w:r>
        <w:t xml:space="preserve"> </w:t>
      </w:r>
      <w:r>
        <w:t xml:space="preserve">is</w:t>
      </w:r>
      <w:r>
        <w:t xml:space="preserve"> </w:t>
      </w:r>
      <w:r>
        <w:t xml:space="preserve">“more intense than”</w:t>
      </w:r>
      <w:r>
        <w:t xml:space="preserve"> </w:t>
      </w:r>
      <w:r>
        <w:rPr>
          <w:i/>
          <w:iCs/>
        </w:rPr>
        <w:t xml:space="preserve">ghaḍab</w:t>
      </w:r>
      <w:r>
        <w:t xml:space="preserve"> </w:t>
      </w:r>
      <w:r>
        <w:t xml:space="preserve">relies on tacit native-speaker intuition.</w:t>
      </w:r>
    </w:p>
    <w:bookmarkEnd w:id="56"/>
    <w:bookmarkStart w:id="59" w:name="X6483b6c1b26b4cc97c995157bd2ece1428cab5a"/>
    <w:p>
      <w:pPr>
        <w:pStyle w:val="Heading3"/>
      </w:pPr>
      <w:r>
        <w:t xml:space="preserve">2.3. Conceptual metaphor theory and the container schema</w:t>
      </w:r>
    </w:p>
    <w:p>
      <w:pPr>
        <w:pStyle w:val="FirstParagraph"/>
      </w:pPr>
      <w:r>
        <w:t xml:space="preserve">Conceptual metaphor theory</w:t>
      </w:r>
      <w:r>
        <w:rPr>
          <w:rStyle w:val="FootnoteReference"/>
        </w:rPr>
        <w:footnoteReference w:id="57"/>
      </w:r>
      <w:r>
        <w:t xml:space="preserve"> </w:t>
      </w:r>
      <w:r>
        <w:t xml:space="preserve">treats metaphor as a cognitive structure that allows abstract domains (emotion) to be understood through concrete ones (container, heat). Lakoff and Kövecses</w:t>
      </w:r>
      <w:r>
        <w:rPr>
          <w:rStyle w:val="FootnoteReference"/>
        </w:rPr>
        <w:footnoteReference w:id="58"/>
      </w:r>
      <w:r>
        <w:t xml:space="preserve"> </w:t>
      </w:r>
      <w:r>
        <w:t xml:space="preserve">established that English anger is organised around ANGER IS THE HEAT OF A FLUID IN A PRESSURIZED CONTAINER, accommodating a four-step trajectory: fluid in container → intensifying pressure → containment attempts → container collapse. Our central observation is that the Qur’anic triplet</w:t>
      </w:r>
      <w:r>
        <w:t xml:space="preserve"> </w:t>
      </w:r>
      <w:r>
        <w:rPr>
          <w:i/>
          <w:iCs/>
        </w:rPr>
        <w:t xml:space="preserve">ghayẓ–kaẓm–tamayyuz</w:t>
      </w:r>
      <w:r>
        <w:t xml:space="preserve"> </w:t>
      </w:r>
      <w:r>
        <w:t xml:space="preserve">operationalises this exact structure thirteen centuries early.</w:t>
      </w:r>
      <w:r>
        <w:t xml:space="preserve"> </w:t>
      </w:r>
      <w:r>
        <w:rPr>
          <w:i/>
          <w:iCs/>
        </w:rPr>
        <w:t xml:space="preserve">Ghayẓ</w:t>
      </w:r>
      <w:r>
        <w:t xml:space="preserve"> </w:t>
      </w:r>
      <w:r>
        <w:t xml:space="preserve">is glossed by all four authoritative lexica as</w:t>
      </w:r>
      <w:r>
        <w:t xml:space="preserve"> </w:t>
      </w:r>
      <w:r>
        <w:t xml:space="preserve">“compressed contained anger”</w:t>
      </w:r>
      <w:r>
        <w:t xml:space="preserve"> </w:t>
      </w:r>
      <w:r>
        <w:t xml:space="preserve">— fluid in sealed vessel.</w:t>
      </w:r>
      <w:r>
        <w:t xml:space="preserve"> </w:t>
      </w:r>
      <w:r>
        <w:rPr>
          <w:i/>
          <w:iCs/>
        </w:rPr>
        <w:t xml:space="preserve">Kaẓm</w:t>
      </w:r>
      <w:r>
        <w:t xml:space="preserve">, etymologically tying off a waterskin, is the agent-internal regulation that maintains containment (Q. 3:134</w:t>
      </w:r>
      <w:r>
        <w:t xml:space="preserve"> </w:t>
      </w:r>
      <w:r>
        <w:rPr>
          <w:i/>
          <w:iCs/>
        </w:rPr>
        <w:t xml:space="preserve">al-kāẓimīn al-ghayẓ</w:t>
      </w:r>
      <w:r>
        <w:t xml:space="preserve">).</w:t>
      </w:r>
      <w:r>
        <w:t xml:space="preserve"> </w:t>
      </w:r>
      <w:r>
        <w:rPr>
          <w:i/>
          <w:iCs/>
        </w:rPr>
        <w:t xml:space="preserve">Tamayyuz</w:t>
      </w:r>
      <w:r>
        <w:t xml:space="preserve"> </w:t>
      </w:r>
      <w:r>
        <w:t xml:space="preserve">(Q. 67:8) depicts the failure mode: the container itself bursts apart. The Qur’anic verb derives from</w:t>
      </w:r>
      <w:r>
        <w:t xml:space="preserve"> </w:t>
      </w:r>
      <w:r>
        <w:rPr>
          <w:i/>
          <w:iCs/>
        </w:rPr>
        <w:t xml:space="preserve">m-y-z</w:t>
      </w:r>
      <w:r>
        <w:t xml:space="preserve"> </w:t>
      </w:r>
      <w:r>
        <w:t xml:space="preserve">(to part, sever) and figures the disintegration of the</w:t>
      </w:r>
      <w:r>
        <w:t xml:space="preserve"> </w:t>
      </w:r>
      <w:r>
        <w:rPr>
          <w:i/>
          <w:iCs/>
        </w:rPr>
        <w:t xml:space="preserve">vessel</w:t>
      </w:r>
      <w:r>
        <w:t xml:space="preserve">, not (as in English</w:t>
      </w:r>
      <w:r>
        <w:t xml:space="preserve"> </w:t>
      </w:r>
      <w:r>
        <w:rPr>
          <w:i/>
          <w:iCs/>
        </w:rPr>
        <w:t xml:space="preserve">explode</w:t>
      </w:r>
      <w:r>
        <w:t xml:space="preserve">,</w:t>
      </w:r>
      <w:r>
        <w:t xml:space="preserve"> </w:t>
      </w:r>
      <w:r>
        <w:rPr>
          <w:i/>
          <w:iCs/>
        </w:rPr>
        <w:t xml:space="preserve">burst</w:t>
      </w:r>
      <w:r>
        <w:t xml:space="preserve">,</w:t>
      </w:r>
      <w:r>
        <w:t xml:space="preserve"> </w:t>
      </w:r>
      <w:r>
        <w:rPr>
          <w:i/>
          <w:iCs/>
        </w:rPr>
        <w:t xml:space="preserve">blow up</w:t>
      </w:r>
      <w:r>
        <w:t xml:space="preserve">) the</w:t>
      </w:r>
      <w:r>
        <w:t xml:space="preserve"> </w:t>
      </w:r>
      <w:r>
        <w:rPr>
          <w:i/>
          <w:iCs/>
        </w:rPr>
        <w:t xml:space="preserve">exit</w:t>
      </w:r>
      <w:r>
        <w:t xml:space="preserve"> </w:t>
      </w:r>
      <w:r>
        <w:t xml:space="preserve">of contents — an unusually transparent instantiation of the failure-mode schema. We treat</w:t>
      </w:r>
      <w:r>
        <w:t xml:space="preserve"> </w:t>
      </w:r>
      <w:r>
        <w:rPr>
          <w:i/>
          <w:iCs/>
        </w:rPr>
        <w:t xml:space="preserve">tamayyuz</w:t>
      </w:r>
      <w:r>
        <w:t xml:space="preserve"> </w:t>
      </w:r>
      <w:r>
        <w:t xml:space="preserve">as a</w:t>
      </w:r>
      <w:r>
        <w:t xml:space="preserve"> </w:t>
      </w:r>
      <w:r>
        <w:rPr>
          <w:i/>
          <w:iCs/>
        </w:rPr>
        <w:t xml:space="preserve">manifestation</w:t>
      </w:r>
      <w:r>
        <w:t xml:space="preserve"> </w:t>
      </w:r>
      <w:r>
        <w:t xml:space="preserve">of Stage 5, not an independent core root.</w:t>
      </w:r>
    </w:p>
    <w:bookmarkEnd w:id="59"/>
    <w:bookmarkStart w:id="63" w:name="the-integrated-framework"/>
    <w:p>
      <w:pPr>
        <w:pStyle w:val="Heading3"/>
      </w:pPr>
      <w:r>
        <w:t xml:space="preserve">2.4. The integrated framework</w:t>
      </w:r>
    </w:p>
    <w:p>
      <w:pPr>
        <w:pStyle w:val="FirstParagraph"/>
      </w:pPr>
      <w:r>
        <w:t xml:space="preserve">The three layers operate complementarily: Izutsu identifies field boundaries; Kennedy-Sassoon scalar semantics order members along the action-intensity dimension; CMT explains the cognitive basis of the pressurisation-collapse metaphor organising Stage 5. Each supplies what the others lack — without Izutsu, no motivation for field-coordination; without scalar semantics, no apparatus for ordering; without CMT, no cognitive grounding for the climactic</w:t>
      </w:r>
      <w:r>
        <w:t xml:space="preserve"> </w:t>
      </w:r>
      <w:r>
        <w:rPr>
          <w:i/>
          <w:iCs/>
        </w:rPr>
        <w:t xml:space="preserve">kaẓm–tamayyuz</w:t>
      </w:r>
      <w:r>
        <w:t xml:space="preserve"> </w:t>
      </w:r>
      <w:r>
        <w:t xml:space="preserve">sequence.</w:t>
      </w:r>
    </w:p>
    <w:p>
      <w:r>
        <w:pict>
          <v:rect style="width:0;height:1.5pt" o:hralign="center" o:hrstd="t" o:hr="t"/>
        </w:pict>
      </w:r>
    </w:p>
    <w:p>
      <w:pPr>
        <w:pStyle w:val="CaptionedFigure"/>
      </w:pPr>
      <w:r>
        <w:drawing>
          <wp:inline>
            <wp:extent cx="5334000" cy="2222042"/>
            <wp:effectExtent b="0" l="0" r="0" t="0"/>
            <wp:docPr descr="The six-stage Qur’anic anger-spectrum continuum along the action-intensity axis. Node area scales with QAC attestation frequency. Stages: S1 pre-anger displeasure (ʾff–krh); S2 inner pressure (ḍyq–ḥzn–ʾsf); S3 evaluative aversion (nqm–sxṭ–mqt); S4 active anger (ġḍb–ḥrd); S5 compressed/explosive rage (ġyẓ; tamayyuz as manifestation); S6 behavioural outcomes (bġy–ṭġy–ʿtw) — causation bidirectional rather than purely downstream (§4.8.5). Mass at S6 (n=145) ≈ S1–5 (n=167); the χ²(1) = 1.55 near-balance is theoretically consistent with the bidirectional reading." title="" id="61" name="Picture"/>
            <a:graphic>
              <a:graphicData uri="http://schemas.openxmlformats.org/drawingml/2006/picture">
                <pic:pic>
                  <pic:nvPicPr>
                    <pic:cNvPr descr="fig1_continuum_v2.jpg" id="62" name="Picture"/>
                    <pic:cNvPicPr>
                      <a:picLocks noChangeArrowheads="1" noChangeAspect="1"/>
                    </pic:cNvPicPr>
                  </pic:nvPicPr>
                  <pic:blipFill>
                    <a:blip r:embed="rId60"/>
                    <a:stretch>
                      <a:fillRect/>
                    </a:stretch>
                  </pic:blipFill>
                  <pic:spPr bwMode="auto">
                    <a:xfrm>
                      <a:off x="0" y="0"/>
                      <a:ext cx="5334000" cy="2222042"/>
                    </a:xfrm>
                    <a:prstGeom prst="rect">
                      <a:avLst/>
                    </a:prstGeom>
                    <a:noFill/>
                    <a:ln w="9525">
                      <a:noFill/>
                      <a:headEnd/>
                      <a:tailEnd/>
                    </a:ln>
                  </pic:spPr>
                </pic:pic>
              </a:graphicData>
            </a:graphic>
          </wp:inline>
        </w:drawing>
      </w:r>
    </w:p>
    <w:p>
      <w:pPr>
        <w:pStyle w:val="ImageCaption"/>
      </w:pPr>
      <w:r>
        <w:t xml:space="preserve">The six-stage Qur’anic anger-spectrum continuum along the</w:t>
      </w:r>
      <w:r>
        <w:t xml:space="preserve"> </w:t>
      </w:r>
      <w:r>
        <w:rPr>
          <w:i/>
          <w:iCs/>
        </w:rPr>
        <w:t xml:space="preserve">action-intensity</w:t>
      </w:r>
      <w:r>
        <w:t xml:space="preserve"> </w:t>
      </w:r>
      <w:r>
        <w:t xml:space="preserve">axis. Node area scales with QAC attestation frequency. Stages: S1 pre-anger displeasure (</w:t>
      </w:r>
      <w:r>
        <w:rPr>
          <w:i/>
          <w:iCs/>
        </w:rPr>
        <w:t xml:space="preserve">ʾff–krh</w:t>
      </w:r>
      <w:r>
        <w:t xml:space="preserve">); S2 inner pressure (</w:t>
      </w:r>
      <w:r>
        <w:rPr>
          <w:i/>
          <w:iCs/>
        </w:rPr>
        <w:t xml:space="preserve">ḍyq–ḥzn–ʾsf</w:t>
      </w:r>
      <w:r>
        <w:t xml:space="preserve">); S3 evaluative aversion (</w:t>
      </w:r>
      <w:r>
        <w:rPr>
          <w:i/>
          <w:iCs/>
        </w:rPr>
        <w:t xml:space="preserve">nqm–sxṭ–mqt</w:t>
      </w:r>
      <w:r>
        <w:t xml:space="preserve">); S4 active anger (</w:t>
      </w:r>
      <w:r>
        <w:rPr>
          <w:i/>
          <w:iCs/>
        </w:rPr>
        <w:t xml:space="preserve">ġḍb–ḥrd</w:t>
      </w:r>
      <w:r>
        <w:t xml:space="preserve">); S5 compressed/explosive rage (</w:t>
      </w:r>
      <w:r>
        <w:rPr>
          <w:i/>
          <w:iCs/>
        </w:rPr>
        <w:t xml:space="preserve">ġyẓ</w:t>
      </w:r>
      <w:r>
        <w:t xml:space="preserve">;</w:t>
      </w:r>
      <w:r>
        <w:t xml:space="preserve"> </w:t>
      </w:r>
      <w:r>
        <w:rPr>
          <w:i/>
          <w:iCs/>
        </w:rPr>
        <w:t xml:space="preserve">tamayyuz</w:t>
      </w:r>
      <w:r>
        <w:t xml:space="preserve"> </w:t>
      </w:r>
      <w:r>
        <w:t xml:space="preserve">as manifestation); S6 behavioural outcomes (</w:t>
      </w:r>
      <w:r>
        <w:rPr>
          <w:i/>
          <w:iCs/>
        </w:rPr>
        <w:t xml:space="preserve">bġy–ṭġy–ʿtw</w:t>
      </w:r>
      <w:r>
        <w:t xml:space="preserve">) — causation</w:t>
      </w:r>
      <w:r>
        <w:t xml:space="preserve"> </w:t>
      </w:r>
      <w:r>
        <w:rPr>
          <w:i/>
          <w:iCs/>
        </w:rPr>
        <w:t xml:space="preserve">bidirectional</w:t>
      </w:r>
      <w:r>
        <w:t xml:space="preserve"> </w:t>
      </w:r>
      <w:r>
        <w:t xml:space="preserve">rather than purely downstream (§4.8.5). Mass at S6 (n=145) ≈ S1–5 (n=167); the χ²(1) = 1.55 near-balance is theoretically consistent with the bidirectional reading.</w:t>
      </w:r>
    </w:p>
    <w:bookmarkEnd w:id="63"/>
    <w:bookmarkEnd w:id="64"/>
    <w:bookmarkStart w:id="84" w:name="methods"/>
    <w:p>
      <w:pPr>
        <w:pStyle w:val="Heading2"/>
      </w:pPr>
      <w:r>
        <w:t xml:space="preserve">3. Methods</w:t>
      </w:r>
    </w:p>
    <w:bookmarkStart w:id="67" w:name="corpus"/>
    <w:p>
      <w:pPr>
        <w:pStyle w:val="Heading3"/>
      </w:pPr>
      <w:r>
        <w:t xml:space="preserve">3.1. Corpus</w:t>
      </w:r>
    </w:p>
    <w:p>
      <w:pPr>
        <w:pStyle w:val="FirstParagraph"/>
      </w:pPr>
      <w:r>
        <w:t xml:space="preserve">The empirical analysis uses the</w:t>
      </w:r>
      <w:r>
        <w:t xml:space="preserve"> </w:t>
      </w:r>
      <w:r>
        <w:rPr>
          <w:b/>
          <w:bCs/>
        </w:rPr>
        <w:t xml:space="preserve">Quranic Arabic Corpus</w:t>
      </w:r>
      <w:r>
        <w:t xml:space="preserve"> </w:t>
      </w:r>
      <w:r>
        <w:t xml:space="preserve">(QAC), version 0.4, prepared by Kais Dukes at the University of Leeds and released under the GPL.</w:t>
      </w:r>
      <w:r>
        <w:rPr>
          <w:rStyle w:val="FootnoteReference"/>
        </w:rPr>
        <w:footnoteReference w:id="65"/>
      </w:r>
      <w:r>
        <w:t xml:space="preserve"> </w:t>
      </w:r>
      <w:r>
        <w:t xml:space="preserve">The QAC provides a morphologically tagged record for each of the 128,219 segmentable units in the Qur’anic text. Every record specifies: (a) location in the form</w:t>
      </w:r>
      <w:r>
        <w:t xml:space="preserve"> </w:t>
      </w:r>
      <w:r>
        <w:rPr>
          <w:i/>
          <w:iCs/>
        </w:rPr>
        <w:t xml:space="preserve">(sūra:āya:word:segment)</w:t>
      </w:r>
      <w:r>
        <w:t xml:space="preserve">; (b) surface form in Buckwalter ASCII transliteration; (c) part-of-speech tag; (d) morphological features including root, lemma, gender, number, case, and (where applicable) semantic flags. Verse text in Uthmanic</w:t>
      </w:r>
      <w:r>
        <w:t xml:space="preserve"> </w:t>
      </w:r>
      <w:r>
        <w:rPr>
          <w:i/>
          <w:iCs/>
        </w:rPr>
        <w:t xml:space="preserve">rasm</w:t>
      </w:r>
      <w:r>
        <w:t xml:space="preserve"> </w:t>
      </w:r>
      <w:r>
        <w:t xml:space="preserve">and Meccan/Medinan classification of suras are drawn from the Tanzil project,</w:t>
      </w:r>
      <w:r>
        <w:rPr>
          <w:rStyle w:val="FootnoteReference"/>
        </w:rPr>
        <w:footnoteReference w:id="66"/>
      </w:r>
      <w:r>
        <w:t xml:space="preserve"> </w:t>
      </w:r>
      <w:r>
        <w:t xml:space="preserve">distributed under CC-BY-ND 3.0.</w:t>
      </w:r>
    </w:p>
    <w:bookmarkEnd w:id="67"/>
    <w:bookmarkStart w:id="68" w:name="selection-of-target-roots"/>
    <w:p>
      <w:pPr>
        <w:pStyle w:val="Heading3"/>
      </w:pPr>
      <w:r>
        <w:t xml:space="preserve">3.2. Selection of target roots</w:t>
      </w:r>
    </w:p>
    <w:p>
      <w:pPr>
        <w:pStyle w:val="FirstParagraph"/>
      </w:pPr>
      <w:r>
        <w:t xml:space="preserve">The fourteen core roots were selected by three concurrent criteria, applied transparently and reported here so that the inventory is not vulnerable to the charge of post-hoc selection: (i)</w:t>
      </w:r>
      <w:r>
        <w:t xml:space="preserve"> </w:t>
      </w:r>
      <w:r>
        <w:rPr>
          <w:i/>
          <w:iCs/>
        </w:rPr>
        <w:t xml:space="preserve">exegetical centrality</w:t>
      </w:r>
      <w:r>
        <w:t xml:space="preserve"> </w:t>
      </w:r>
      <w:r>
        <w:t xml:space="preserve">— appearance as a focal reference in at least three of the four authoritative lexica (Ibn Fāris’s</w:t>
      </w:r>
      <w:r>
        <w:t xml:space="preserve"> </w:t>
      </w:r>
      <w:r>
        <w:rPr>
          <w:i/>
          <w:iCs/>
        </w:rPr>
        <w:t xml:space="preserve">Maqāyīs</w:t>
      </w:r>
      <w:r>
        <w:t xml:space="preserve">, al-Rāghib’s</w:t>
      </w:r>
      <w:r>
        <w:t xml:space="preserve"> </w:t>
      </w:r>
      <w:r>
        <w:rPr>
          <w:i/>
          <w:iCs/>
        </w:rPr>
        <w:t xml:space="preserve">Mufradāt</w:t>
      </w:r>
      <w:r>
        <w:t xml:space="preserve">, Ibn Manẓūr’s</w:t>
      </w:r>
      <w:r>
        <w:t xml:space="preserve"> </w:t>
      </w:r>
      <w:r>
        <w:rPr>
          <w:i/>
          <w:iCs/>
        </w:rPr>
        <w:t xml:space="preserve">Lisān</w:t>
      </w:r>
      <w:r>
        <w:t xml:space="preserve">, and Mostafavi’s twentieth-century</w:t>
      </w:r>
      <w:r>
        <w:t xml:space="preserve"> </w:t>
      </w:r>
      <w:r>
        <w:rPr>
          <w:i/>
          <w:iCs/>
        </w:rPr>
        <w:t xml:space="preserve">Taḥqīq</w:t>
      </w:r>
      <w:r>
        <w:t xml:space="preserve">); (ii)</w:t>
      </w:r>
      <w:r>
        <w:t xml:space="preserve"> </w:t>
      </w:r>
      <w:r>
        <w:rPr>
          <w:i/>
          <w:iCs/>
        </w:rPr>
        <w:t xml:space="preserve">minimum corpus frequency</w:t>
      </w:r>
      <w:r>
        <w:t xml:space="preserve"> </w:t>
      </w:r>
      <w:r>
        <w:t xml:space="preserve">of one attestation, admitting Qur’anic hapax legomena (</w:t>
      </w:r>
      <w:r>
        <w:rPr>
          <w:i/>
          <w:iCs/>
        </w:rPr>
        <w:t xml:space="preserve">ḥard</w:t>
      </w:r>
      <w:r>
        <w:t xml:space="preserve">, Q. 68:25) when supported by an explicit gloss in at least three of the four lexica plus consistent treatment in the four canonical tafsirs of §3.5; (iii)</w:t>
      </w:r>
      <w:r>
        <w:t xml:space="preserve"> </w:t>
      </w:r>
      <w:r>
        <w:rPr>
          <w:i/>
          <w:iCs/>
        </w:rPr>
        <w:t xml:space="preserve">thematic membership</w:t>
      </w:r>
      <w:r>
        <w:t xml:space="preserve"> </w:t>
      </w:r>
      <w:r>
        <w:t xml:space="preserve">in the anger-spectrum field without significant overlap with adjacent fields (epistemology, faith, normative ethics).</w:t>
      </w:r>
    </w:p>
    <w:p>
      <w:pPr>
        <w:pStyle w:val="BodyText"/>
      </w:pPr>
      <w:r>
        <w:rPr>
          <w:b/>
          <w:bCs/>
        </w:rPr>
        <w:t xml:space="preserve">Excluded candidate roots</w:t>
      </w:r>
      <w:r>
        <w:t xml:space="preserve"> </w:t>
      </w:r>
      <w:r>
        <w:t xml:space="preserve">(transparency):</w:t>
      </w:r>
      <w:r>
        <w:t xml:space="preserve"> </w:t>
      </w:r>
      <w:r>
        <w:rPr>
          <w:i/>
          <w:iCs/>
        </w:rPr>
        <w:t xml:space="preserve">q-h-r</w:t>
      </w:r>
      <w:r>
        <w:t xml:space="preserve"> </w:t>
      </w:r>
      <w:r>
        <w:t xml:space="preserve">(dominance/power,</w:t>
      </w:r>
      <w:r>
        <w:t xml:space="preserve"> </w:t>
      </w:r>
      <w:r>
        <w:rPr>
          <w:i/>
          <w:iCs/>
        </w:rPr>
        <w:t xml:space="preserve">al-Qahhār</w:t>
      </w:r>
      <w:r>
        <w:t xml:space="preserve"> </w:t>
      </w:r>
      <w:r>
        <w:t xml:space="preserve">divine name);</w:t>
      </w:r>
      <w:r>
        <w:t xml:space="preserve"> </w:t>
      </w:r>
      <w:r>
        <w:rPr>
          <w:i/>
          <w:iCs/>
        </w:rPr>
        <w:t xml:space="preserve">ḥ-n-q</w:t>
      </w:r>
      <w:r>
        <w:t xml:space="preserve"> </w:t>
      </w:r>
      <w:r>
        <w:t xml:space="preserve">(post-Qur’anic, ḥadīth-only);</w:t>
      </w:r>
      <w:r>
        <w:t xml:space="preserve"> </w:t>
      </w:r>
      <w:r>
        <w:rPr>
          <w:i/>
          <w:iCs/>
        </w:rPr>
        <w:t xml:space="preserve">ʿ-n-f</w:t>
      </w:r>
      <w:r>
        <w:t xml:space="preserve"> </w:t>
      </w:r>
      <w:r>
        <w:t xml:space="preserve">(adverbial harshness, not emotion);</w:t>
      </w:r>
      <w:r>
        <w:t xml:space="preserve"> </w:t>
      </w:r>
      <w:r>
        <w:rPr>
          <w:i/>
          <w:iCs/>
        </w:rPr>
        <w:t xml:space="preserve">ḍ-r-b</w:t>
      </w:r>
      <w:r>
        <w:t xml:space="preserve"> </w:t>
      </w:r>
      <w:r>
        <w:t xml:space="preserve">(polysemous, conflict-scene);</w:t>
      </w:r>
      <w:r>
        <w:t xml:space="preserve"> </w:t>
      </w:r>
      <w:r>
        <w:rPr>
          <w:i/>
          <w:iCs/>
        </w:rPr>
        <w:t xml:space="preserve">q-ṣ-w</w:t>
      </w:r>
      <w:r>
        <w:t xml:space="preserve">/</w:t>
      </w:r>
      <w:r>
        <w:rPr>
          <w:i/>
          <w:iCs/>
        </w:rPr>
        <w:t xml:space="preserve">q-s-y</w:t>
      </w:r>
      <w:r>
        <w:t xml:space="preserve"> </w:t>
      </w:r>
      <w:r>
        <w:t xml:space="preserve">(hardness-of-heart, epistemic-moral);</w:t>
      </w:r>
      <w:r>
        <w:t xml:space="preserve"> </w:t>
      </w:r>
      <w:r>
        <w:rPr>
          <w:i/>
          <w:iCs/>
        </w:rPr>
        <w:t xml:space="preserve">gh-l-ẓ</w:t>
      </w:r>
      <w:r>
        <w:t xml:space="preserve"> </w:t>
      </w:r>
      <w:r>
        <w:t xml:space="preserve">(adverbial harshness);</w:t>
      </w:r>
      <w:r>
        <w:t xml:space="preserve"> </w:t>
      </w:r>
      <w:r>
        <w:rPr>
          <w:i/>
          <w:iCs/>
        </w:rPr>
        <w:t xml:space="preserve">ʾ-n-f</w:t>
      </w:r>
      <w:r>
        <w:t xml:space="preserve"> </w:t>
      </w:r>
      <w:r>
        <w:t xml:space="preserve">(nominal</w:t>
      </w:r>
      <w:r>
        <w:t xml:space="preserve"> </w:t>
      </w:r>
      <w:r>
        <w:rPr>
          <w:i/>
          <w:iCs/>
        </w:rPr>
        <w:t xml:space="preserve">anf</w:t>
      </w:r>
      <w:r>
        <w:t xml:space="preserve"> </w:t>
      </w:r>
      <w:r>
        <w:t xml:space="preserve">“nose”</w:t>
      </w:r>
      <w:r>
        <w:t xml:space="preserve">, post-Qur’anic anger sense);</w:t>
      </w:r>
      <w:r>
        <w:t xml:space="preserve"> </w:t>
      </w:r>
      <w:r>
        <w:rPr>
          <w:i/>
          <w:iCs/>
        </w:rPr>
        <w:t xml:space="preserve">š-n-ʾ</w:t>
      </w:r>
      <w:r>
        <w:t xml:space="preserve"> </w:t>
      </w:r>
      <w:r>
        <w:t xml:space="preserve">(binary loving/hating, reclassified as umbrella).</w:t>
      </w:r>
      <w:r>
        <w:t xml:space="preserve"> </w:t>
      </w:r>
      <w:r>
        <w:rPr>
          <w:i/>
          <w:iCs/>
        </w:rPr>
        <w:t xml:space="preserve">Karh</w:t>
      </w:r>
      <w:r>
        <w:t xml:space="preserve"> </w:t>
      </w:r>
      <w:r>
        <w:t xml:space="preserve">(Stage 1) is borderline —</w:t>
      </w:r>
      <w:r>
        <w:t xml:space="preserve"> </w:t>
      </w:r>
      <w:r>
        <w:rPr>
          <w:i/>
          <w:iCs/>
        </w:rPr>
        <w:t xml:space="preserve">karāha</w:t>
      </w:r>
      <w:r>
        <w:t xml:space="preserve"> </w:t>
      </w:r>
      <w:r>
        <w:t xml:space="preserve">is affective,</w:t>
      </w:r>
      <w:r>
        <w:t xml:space="preserve"> </w:t>
      </w:r>
      <w:r>
        <w:rPr>
          <w:i/>
          <w:iCs/>
        </w:rPr>
        <w:t xml:space="preserve">ikrāh</w:t>
      </w:r>
      <w:r>
        <w:t xml:space="preserve"> </w:t>
      </w:r>
      <w:r>
        <w:t xml:space="preserve">(coercion) structural; we include the affective sense and discuss the structural extension separately (§4.3.1). Five umbrella moral terms (</w:t>
      </w:r>
      <w:r>
        <w:rPr>
          <w:b/>
          <w:bCs/>
        </w:rPr>
        <w:t xml:space="preserve">šnʾ, jrm, fsq, ẓlm, ʿdw</w:t>
      </w:r>
      <w:r>
        <w:t xml:space="preserve">) are used for robustness (§4.9) and cross-field co-occurrence (Table 4), excluded from the principal continuum either because of inflated cardinality (</w:t>
      </w:r>
      <w:r>
        <w:rPr>
          <w:i/>
          <w:iCs/>
        </w:rPr>
        <w:t xml:space="preserve">ẓlm</w:t>
      </w:r>
      <w:r>
        <w:t xml:space="preserve"> </w:t>
      </w:r>
      <w:r>
        <w:t xml:space="preserve">n=315 functions as a meta-category) or because they belong to adjacent normative-ethics fields.</w:t>
      </w:r>
    </w:p>
    <w:bookmarkEnd w:id="68"/>
    <w:bookmarkStart w:id="73" w:name="computational-pipeline"/>
    <w:p>
      <w:pPr>
        <w:pStyle w:val="Heading3"/>
      </w:pPr>
      <w:r>
        <w:t xml:space="preserve">3.3. Computational pipeline</w:t>
      </w:r>
    </w:p>
    <w:p>
      <w:pPr>
        <w:pStyle w:val="FirstParagraph"/>
      </w:pPr>
      <w:r>
        <w:t xml:space="preserve">The Python (MIT-licensed) pipeline operates in five steps: parse the QAC morphology file; filter on target roots; collapse multi-segment morphemes to surface words preserving the</w:t>
      </w:r>
      <w:r>
        <w:t xml:space="preserve"> </w:t>
      </w:r>
      <w:r>
        <w:rPr>
          <w:i/>
          <w:iCs/>
        </w:rPr>
        <w:t xml:space="preserve">(sūra:āya)</w:t>
      </w:r>
      <w:r>
        <w:t xml:space="preserve"> </w:t>
      </w:r>
      <w:r>
        <w:t xml:space="preserve">coordinate; join with sura-level metadata for Meccan/Medinan classification; emit master concordance, per-root concordances, distributional summaries, and network/centrality CSVs. The complete analysis is reproducible from a fresh clone of the repository in four commands (</w:t>
      </w:r>
      <w:r>
        <w:rPr>
          <w:rStyle w:val="VerbatimChar"/>
        </w:rPr>
        <w:t xml:space="preserve">pip install</w:t>
      </w:r>
      <w:r>
        <w:t xml:space="preserve">,</w:t>
      </w:r>
      <w:r>
        <w:t xml:space="preserve"> </w:t>
      </w:r>
      <w:r>
        <w:rPr>
          <w:rStyle w:val="VerbatimChar"/>
        </w:rPr>
        <w:t xml:space="preserve">extract_concordance.py</w:t>
      </w:r>
      <w:r>
        <w:t xml:space="preserve">,</w:t>
      </w:r>
      <w:r>
        <w:t xml:space="preserve"> </w:t>
      </w:r>
      <w:r>
        <w:rPr>
          <w:rStyle w:val="VerbatimChar"/>
        </w:rPr>
        <w:t xml:space="preserve">advanced_metrics.py</w:t>
      </w:r>
      <w:r>
        <w:t xml:space="preserve">,</w:t>
      </w:r>
      <w:r>
        <w:t xml:space="preserve"> </w:t>
      </w:r>
      <w:r>
        <w:rPr>
          <w:rStyle w:val="VerbatimChar"/>
        </w:rPr>
        <w:t xml:space="preserve">visualize_*.py</w:t>
      </w:r>
      <w:r>
        <w:t xml:space="preserve">).</w:t>
      </w:r>
    </w:p>
    <w:p>
      <w:pPr>
        <w:pStyle w:val="BodyText"/>
      </w:pPr>
      <w:r>
        <w:rPr>
          <w:b/>
          <w:bCs/>
        </w:rPr>
        <w:t xml:space="preserve">Reproducibility audit (summary).</w:t>
      </w:r>
      <w:r>
        <w:t xml:space="preserve"> </w:t>
      </w:r>
      <w:r>
        <w:t xml:space="preserve">QAC v0.4</w:t>
      </w:r>
      <w:r>
        <w:rPr>
          <w:rStyle w:val="FootnoteReference"/>
        </w:rPr>
        <w:footnoteReference w:id="69"/>
      </w:r>
      <w:r>
        <w:t xml:space="preserve"> </w:t>
      </w:r>
      <w:r>
        <w:t xml:space="preserve">is pinned by SHA-256 in the repository; minimum-version dependencies are listed in</w:t>
      </w:r>
      <w:r>
        <w:t xml:space="preserve"> </w:t>
      </w:r>
      <w:r>
        <w:rPr>
          <w:rStyle w:val="VerbatimChar"/>
        </w:rPr>
        <w:t xml:space="preserve">requirements.txt</w:t>
      </w:r>
      <w:r>
        <w:t xml:space="preserve">; outputs are released under MIT (code) and CC-BY 4.0 (manuscripts/figures); the 14 headline exemplar verses and a stratified 50-segment audit on the four most frequent core roots (</w:t>
      </w:r>
      <w:r>
        <w:rPr>
          <w:i/>
          <w:iCs/>
        </w:rPr>
        <w:t xml:space="preserve">ḥzn</w:t>
      </w:r>
      <w:r>
        <w:t xml:space="preserve">,</w:t>
      </w:r>
      <w:r>
        <w:t xml:space="preserve"> </w:t>
      </w:r>
      <w:r>
        <w:rPr>
          <w:i/>
          <w:iCs/>
        </w:rPr>
        <w:t xml:space="preserve">bġy</w:t>
      </w:r>
      <w:r>
        <w:t xml:space="preserve">,</w:t>
      </w:r>
      <w:r>
        <w:t xml:space="preserve"> </w:t>
      </w:r>
      <w:r>
        <w:rPr>
          <w:i/>
          <w:iCs/>
        </w:rPr>
        <w:t xml:space="preserve">ġḍb</w:t>
      </w:r>
      <w:r>
        <w:t xml:space="preserve">,</w:t>
      </w:r>
      <w:r>
        <w:t xml:space="preserve"> </w:t>
      </w:r>
      <w:r>
        <w:rPr>
          <w:i/>
          <w:iCs/>
        </w:rPr>
        <w:t xml:space="preserve">ṭġy</w:t>
      </w:r>
      <w:r>
        <w:t xml:space="preserve">) returned 100% correct segment-to-root assignment against Tanzil. Full audit at</w:t>
      </w:r>
      <w:r>
        <w:t xml:space="preserve"> </w:t>
      </w:r>
      <w:r>
        <w:rPr>
          <w:rStyle w:val="VerbatimChar"/>
        </w:rPr>
        <w:t xml:space="preserve">data/concordance/validation_audit.md</w:t>
      </w:r>
      <w:r>
        <w:t xml:space="preserve">.</w:t>
      </w:r>
    </w:p>
    <w:p>
      <w:pPr>
        <w:pStyle w:val="CaptionedFigure"/>
      </w:pPr>
      <w:r>
        <w:drawing>
          <wp:inline>
            <wp:extent cx="5067300" cy="7600950"/>
            <wp:effectExtent b="0" l="0" r="0" t="0"/>
            <wp:docPr descr="End-to-end pipeline from corpus to findings. Sources tier: QAC v0.4 (Dukes 2011, GPL), Tanzil Project Uthmani text (CC-BY-ND 3.0), and the nine classical tafāsīr whose qualitative readings ground §§4–5. Parse tier: Buckwalter → Unicode collapse, segment-to-word aggregation. Selection tier: the fourteen spectrum roots and the five umbrella-moral roots used for the robustness checks of §4.9. Analyses tier: distributional statistics (χ² with marginal-preserving permutation null, Holm-Bonferroni-adjusted binomials, Cochran–Armitage trend), network analysis (aya-level co-occurrence, weighted degree/betweenness/closeness with bootstrap 95% CIs), tafsīr-grounded coding (145 Stage-6 attestations, κ = 0.79), and the illustrative comparative-translation audit. Outputs tier: 312 attestations across six stages (S1 = 44, S2 = 60, S3 = 27, S4 = 25, S5 = 11, S6 = 145), seven figures and the supporting CSV tables, and the Stage-6 causation breakdown (26% anger-derived / 49% structurally derived / 25% mixed). Pipeline is deterministic — identical inputs produce byte-identical CSVs and figures from a fresh repository clone." title="" id="71" name="Picture"/>
            <a:graphic>
              <a:graphicData uri="http://schemas.openxmlformats.org/drawingml/2006/picture">
                <pic:pic>
                  <pic:nvPicPr>
                    <pic:cNvPr descr="fig8_methodology.jpg" id="72" name="Picture"/>
                    <pic:cNvPicPr>
                      <a:picLocks noChangeArrowheads="1" noChangeAspect="1"/>
                    </pic:cNvPicPr>
                  </pic:nvPicPr>
                  <pic:blipFill>
                    <a:blip r:embed="rId70"/>
                    <a:stretch>
                      <a:fillRect/>
                    </a:stretch>
                  </pic:blipFill>
                  <pic:spPr bwMode="auto">
                    <a:xfrm>
                      <a:off x="0" y="0"/>
                      <a:ext cx="5067300" cy="7600950"/>
                    </a:xfrm>
                    <a:prstGeom prst="rect">
                      <a:avLst/>
                    </a:prstGeom>
                    <a:noFill/>
                    <a:ln w="9525">
                      <a:noFill/>
                      <a:headEnd/>
                      <a:tailEnd/>
                    </a:ln>
                  </pic:spPr>
                </pic:pic>
              </a:graphicData>
            </a:graphic>
          </wp:inline>
        </w:drawing>
      </w:r>
    </w:p>
    <w:p>
      <w:pPr>
        <w:pStyle w:val="ImageCaption"/>
      </w:pPr>
      <w:r>
        <w:t xml:space="preserve">End-to-end pipeline from corpus to findings. Sources tier: QAC v0.4 (Dukes 2011, GPL), Tanzil Project Uthmani text (CC-BY-ND 3.0), and the nine classical</w:t>
      </w:r>
      <w:r>
        <w:t xml:space="preserve"> </w:t>
      </w:r>
      <w:r>
        <w:rPr>
          <w:i/>
          <w:iCs/>
        </w:rPr>
        <w:t xml:space="preserve">tafāsīr</w:t>
      </w:r>
      <w:r>
        <w:t xml:space="preserve"> </w:t>
      </w:r>
      <w:r>
        <w:t xml:space="preserve">whose qualitative readings ground §§4–5. Parse tier: Buckwalter → Unicode collapse, segment-to-word aggregation. Selection tier: the fourteen spectrum roots and the five umbrella-moral roots used for the robustness checks of §4.9. Analyses tier: distributional statistics (χ² with marginal-preserving permutation null, Holm-Bonferroni-adjusted binomials, Cochran–Armitage trend), network analysis (aya-level co-occurrence, weighted degree/betweenness/closeness with bootstrap 95% CIs),</w:t>
      </w:r>
      <w:r>
        <w:t xml:space="preserve"> </w:t>
      </w:r>
      <w:r>
        <w:rPr>
          <w:i/>
          <w:iCs/>
        </w:rPr>
        <w:t xml:space="preserve">tafsīr</w:t>
      </w:r>
      <w:r>
        <w:t xml:space="preserve">-grounded coding (145 Stage-6 attestations, κ = 0.79), and the illustrative comparative-translation audit. Outputs tier: 312 attestations across six stages (S1 = 44, S2 = 60, S3 = 27, S4 = 25, S5 = 11, S6 = 145), seven figures and the supporting CSV tables, and the Stage-6 causation breakdown (26% anger-derived / 49% structurally derived / 25% mixed). Pipeline is deterministic — identical inputs produce byte-identical CSVs and figures from a fresh repository clone.</w:t>
      </w:r>
    </w:p>
    <w:bookmarkEnd w:id="73"/>
    <w:bookmarkStart w:id="76" w:name="quantitative-analyses"/>
    <w:p>
      <w:pPr>
        <w:pStyle w:val="Heading3"/>
      </w:pPr>
      <w:r>
        <w:t xml:space="preserve">3.4. Quantitative analyses</w:t>
      </w:r>
    </w:p>
    <w:p>
      <w:pPr>
        <w:pStyle w:val="FirstParagraph"/>
      </w:pPr>
      <w:r>
        <w:t xml:space="preserve">Quantitative tests beyond frequency tabulation: (a) χ²(5) and χ²(1) for uniform-stage and S1–5/S6 nulls, with Cramér’s</w:t>
      </w:r>
      <w:r>
        <w:t xml:space="preserve"> </w:t>
      </w:r>
      <w:r>
        <w:rPr>
          <w:i/>
          <w:iCs/>
        </w:rPr>
        <w:t xml:space="preserve">V</w:t>
      </w:r>
      <w:r>
        <w:t xml:space="preserve"> </w:t>
      </w:r>
      <w:r>
        <w:t xml:space="preserve">and Cohen’s</w:t>
      </w:r>
      <w:r>
        <w:t xml:space="preserve"> </w:t>
      </w:r>
      <w:r>
        <w:rPr>
          <w:i/>
          <w:iCs/>
        </w:rPr>
        <w:t xml:space="preserve">w</w:t>
      </w:r>
      <w:r>
        <w:t xml:space="preserve">, plus a marginal-preserving permutation null (10,000 perms, deterministic seed) for the omnibus; (b) three monotonic-trend tests (Spearman ρ, Mann-Kendall, Cochran-Armitage-style OLS slope); (c) two-sided exact binomials with the corpus-derived 0.74 Meccan-ayat baseline, Holm-Bonferroni step-down adjusted over the family of fourteen per-root tests, and a granular sensitivity table at baselines 0.70–0.78; (d) morphological breakdown by POS; (e) aya-level co-occurrence network</w:t>
      </w:r>
      <w:r>
        <w:rPr>
          <w:rStyle w:val="FootnoteReference"/>
        </w:rPr>
        <w:footnoteReference w:id="74"/>
      </w:r>
      <w:r>
        <w:t xml:space="preserve"> </w:t>
      </w:r>
      <w:r>
        <w:t xml:space="preserve">with weighted degree, betweenness, closeness, and eigenvector centrality, accompanied by non-parametric bootstrap 95% percentile CIs (1,000 ayat-resamples with replacement). The combined uncertainty-aware reporting is, to our knowledge, the most rigorous yet applied to Qur’anic computational-corpus studies; the wider 2025 cross-scripture NLP literature</w:t>
      </w:r>
      <w:r>
        <w:rPr>
          <w:rStyle w:val="FootnoteReference"/>
        </w:rPr>
        <w:footnoteReference w:id="75"/>
      </w:r>
      <w:r>
        <w:t xml:space="preserve"> </w:t>
      </w:r>
      <w:r>
        <w:t xml:space="preserve">operates at the discourse-topic level on coarse sentiment and does not yet apply this battery at the lexeme level.</w:t>
      </w:r>
    </w:p>
    <w:bookmarkEnd w:id="76"/>
    <w:bookmarkStart w:id="77" w:name="qualitative-analyses"/>
    <w:p>
      <w:pPr>
        <w:pStyle w:val="Heading3"/>
      </w:pPr>
      <w:r>
        <w:t xml:space="preserve">3.5. Qualitative analyses</w:t>
      </w:r>
    </w:p>
    <w:p>
      <w:pPr>
        <w:pStyle w:val="FirstParagraph"/>
      </w:pPr>
      <w:r>
        <w:t xml:space="preserve">Qualitative complements: (a) comparative etymology across the four authoritative lexica (Maqāyīs, Mufradāt, Lisān, Taḥqīq); (b) comparative</w:t>
      </w:r>
      <w:r>
        <w:t xml:space="preserve"> </w:t>
      </w:r>
      <w:r>
        <w:rPr>
          <w:i/>
          <w:iCs/>
        </w:rPr>
        <w:t xml:space="preserve">tafsīr</w:t>
      </w:r>
      <w:r>
        <w:t xml:space="preserve"> </w:t>
      </w:r>
      <w:r>
        <w:t xml:space="preserve">analysis on a broadened set of nine commentaries — the four primary (al-Ṭabāṭabāʾī’s</w:t>
      </w:r>
      <w:r>
        <w:t xml:space="preserve"> </w:t>
      </w:r>
      <w:r>
        <w:rPr>
          <w:i/>
          <w:iCs/>
        </w:rPr>
        <w:t xml:space="preserve">al-Mīzān</w:t>
      </w:r>
      <w:r>
        <w:t xml:space="preserve">, al-Zamakhsharī’s</w:t>
      </w:r>
      <w:r>
        <w:t xml:space="preserve"> </w:t>
      </w:r>
      <w:r>
        <w:rPr>
          <w:i/>
          <w:iCs/>
        </w:rPr>
        <w:t xml:space="preserve">al-Kashshāf</w:t>
      </w:r>
      <w:r>
        <w:t xml:space="preserve">, al-Ṭabarsī’s</w:t>
      </w:r>
      <w:r>
        <w:t xml:space="preserve"> </w:t>
      </w:r>
      <w:r>
        <w:rPr>
          <w:i/>
          <w:iCs/>
        </w:rPr>
        <w:t xml:space="preserve">Majmaʿ al-Bayān</w:t>
      </w:r>
      <w:r>
        <w:t xml:space="preserve">, Ibn ʿĀshūr’s</w:t>
      </w:r>
      <w:r>
        <w:t xml:space="preserve"> </w:t>
      </w:r>
      <w:r>
        <w:rPr>
          <w:i/>
          <w:iCs/>
        </w:rPr>
        <w:t xml:space="preserve">al-Taḥrīr</w:t>
      </w:r>
      <w:r>
        <w:t xml:space="preserve">) supplemented with al-Ṭabarī, al-Qurṭubī, Ibn Kathīr, Sayyid Quṭb, and ʿAbduh-Riḍā’s</w:t>
      </w:r>
      <w:r>
        <w:t xml:space="preserve"> </w:t>
      </w:r>
      <w:r>
        <w:rPr>
          <w:i/>
          <w:iCs/>
        </w:rPr>
        <w:t xml:space="preserve">al-Manār</w:t>
      </w:r>
      <w:r>
        <w:t xml:space="preserve">; for Sufi-tradition cross-checking on</w:t>
      </w:r>
      <w:r>
        <w:t xml:space="preserve"> </w:t>
      </w:r>
      <w:r>
        <w:rPr>
          <w:i/>
          <w:iCs/>
        </w:rPr>
        <w:t xml:space="preserve">kaẓm al-ghayẓ</w:t>
      </w:r>
      <w:r>
        <w:t xml:space="preserve"> </w:t>
      </w:r>
      <w:r>
        <w:t xml:space="preserve">(§4.7), al-Qushayrī’s</w:t>
      </w:r>
      <w:r>
        <w:t xml:space="preserve"> </w:t>
      </w:r>
      <w:r>
        <w:rPr>
          <w:i/>
          <w:iCs/>
        </w:rPr>
        <w:t xml:space="preserve">Laṭāʾif al-Ishārāt</w:t>
      </w:r>
      <w:r>
        <w:t xml:space="preserve">. Where the broader set diverges from the primary four on key claims (whether</w:t>
      </w:r>
      <w:r>
        <w:t xml:space="preserve"> </w:t>
      </w:r>
      <w:r>
        <w:rPr>
          <w:i/>
          <w:iCs/>
        </w:rPr>
        <w:t xml:space="preserve">ghayẓ</w:t>
      </w:r>
      <w:r>
        <w:t xml:space="preserve"> </w:t>
      </w:r>
      <w:r>
        <w:t xml:space="preserve">is exclusively predicated of unbelievers; whether</w:t>
      </w:r>
      <w:r>
        <w:t xml:space="preserve"> </w:t>
      </w:r>
      <w:r>
        <w:rPr>
          <w:i/>
          <w:iCs/>
        </w:rPr>
        <w:t xml:space="preserve">sakhaṭ</w:t>
      </w:r>
      <w:r>
        <w:t xml:space="preserve"> </w:t>
      </w:r>
      <w:r>
        <w:t xml:space="preserve">is exclusively directed at the</w:t>
      </w:r>
      <w:r>
        <w:t xml:space="preserve"> </w:t>
      </w:r>
      <w:r>
        <w:rPr>
          <w:i/>
          <w:iCs/>
        </w:rPr>
        <w:t xml:space="preserve">Munāfiqūn</w:t>
      </w:r>
      <w:r>
        <w:t xml:space="preserve">; whether</w:t>
      </w:r>
      <w:r>
        <w:t xml:space="preserve"> </w:t>
      </w:r>
      <w:r>
        <w:rPr>
          <w:i/>
          <w:iCs/>
        </w:rPr>
        <w:t xml:space="preserve">naqm</w:t>
      </w:r>
      <w:r>
        <w:t xml:space="preserve"> </w:t>
      </w:r>
      <w:r>
        <w:t xml:space="preserve">admits a non-retributive sense), divergences are recorded in §4 and corresponding claims qualified. (c) phenomenological analysis of contextual markers (</w:t>
      </w:r>
      <w:r>
        <w:rPr>
          <w:i/>
          <w:iCs/>
        </w:rPr>
        <w:t xml:space="preserve">ḍīq al-ṣadr</w:t>
      </w:r>
      <w:r>
        <w:t xml:space="preserve">,</w:t>
      </w:r>
      <w:r>
        <w:t xml:space="preserve"> </w:t>
      </w:r>
      <w:r>
        <w:rPr>
          <w:i/>
          <w:iCs/>
        </w:rPr>
        <w:t xml:space="preserve">ḥuzn al-qalb</w:t>
      </w:r>
      <w:r>
        <w:t xml:space="preserve">,</w:t>
      </w:r>
      <w:r>
        <w:t xml:space="preserve"> </w:t>
      </w:r>
      <w:r>
        <w:rPr>
          <w:i/>
          <w:iCs/>
        </w:rPr>
        <w:t xml:space="preserve">asaf al-nafs</w:t>
      </w:r>
      <w:r>
        <w:t xml:space="preserve">,</w:t>
      </w:r>
      <w:r>
        <w:t xml:space="preserve"> </w:t>
      </w:r>
      <w:r>
        <w:rPr>
          <w:i/>
          <w:iCs/>
        </w:rPr>
        <w:t xml:space="preserve">ḍāqa dharʿan</w:t>
      </w:r>
      <w:r>
        <w:t xml:space="preserve">); (d) illustrative translation-criticism on five English translations (Yusuf Ali, Pickthall, Arberry, Saheeh International, Hilali-Khan) at canonical exemplar verses (§4.10) — framed throughout as illustrative rather than systematic.</w:t>
      </w:r>
    </w:p>
    <w:bookmarkEnd w:id="77"/>
    <w:bookmarkStart w:id="83" w:name="validity-check"/>
    <w:p>
      <w:pPr>
        <w:pStyle w:val="Heading3"/>
      </w:pPr>
      <w:r>
        <w:t xml:space="preserve">3.6. Validity check</w:t>
      </w:r>
    </w:p>
    <w:p>
      <w:pPr>
        <w:pStyle w:val="FirstParagraph"/>
      </w:pPr>
      <w:r>
        <w:t xml:space="preserve">To verify the integrity of the pipeline, fourteen</w:t>
      </w:r>
      <w:r>
        <w:t xml:space="preserve"> </w:t>
      </w:r>
      <w:r>
        <w:t xml:space="preserve">“headline”</w:t>
      </w:r>
      <w:r>
        <w:t xml:space="preserve"> </w:t>
      </w:r>
      <w:r>
        <w:t xml:space="preserve">exemplar verses—one per core root—were independently verified against the corpus output:</w:t>
      </w:r>
    </w:p>
    <w:p>
      <w:pPr>
        <w:pStyle w:val="Compact"/>
        <w:numPr>
          <w:ilvl w:val="0"/>
          <w:numId w:val="1001"/>
        </w:numPr>
      </w:pPr>
      <w:r>
        <w:t xml:space="preserve">Q. 17:23 (</w:t>
      </w:r>
      <w:r>
        <w:rPr>
          <w:i/>
          <w:iCs/>
        </w:rPr>
        <w:t xml:space="preserve">uff</w:t>
      </w:r>
      <w:r>
        <w:t xml:space="preserve">); Q. 2:216 (</w:t>
      </w:r>
      <w:r>
        <w:rPr>
          <w:i/>
          <w:iCs/>
        </w:rPr>
        <w:t xml:space="preserve">karh</w:t>
      </w:r>
      <w:r>
        <w:t xml:space="preserve">); Q. 15:97 (</w:t>
      </w:r>
      <w:r>
        <w:rPr>
          <w:i/>
          <w:iCs/>
        </w:rPr>
        <w:t xml:space="preserve">ḍyq</w:t>
      </w:r>
      <w:r>
        <w:t xml:space="preserve">); Q. 2:38 (</w:t>
      </w:r>
      <w:r>
        <w:rPr>
          <w:i/>
          <w:iCs/>
        </w:rPr>
        <w:t xml:space="preserve">ḥzn</w:t>
      </w:r>
      <w:r>
        <w:t xml:space="preserve">); Q. 43:55 (</w:t>
      </w:r>
      <w:r>
        <w:rPr>
          <w:i/>
          <w:iCs/>
        </w:rPr>
        <w:t xml:space="preserve">asaf</w:t>
      </w:r>
      <w:r>
        <w:t xml:space="preserve">); Q. 7:126 (</w:t>
      </w:r>
      <w:r>
        <w:rPr>
          <w:i/>
          <w:iCs/>
        </w:rPr>
        <w:t xml:space="preserve">naqm</w:t>
      </w:r>
      <w:r>
        <w:t xml:space="preserve">); Q. 47:28 (</w:t>
      </w:r>
      <w:r>
        <w:rPr>
          <w:i/>
          <w:iCs/>
        </w:rPr>
        <w:t xml:space="preserve">sakhaṭ</w:t>
      </w:r>
      <w:r>
        <w:t xml:space="preserve">); Q. 40:10 (</w:t>
      </w:r>
      <w:r>
        <w:rPr>
          <w:i/>
          <w:iCs/>
        </w:rPr>
        <w:t xml:space="preserve">maqt</w:t>
      </w:r>
      <w:r>
        <w:t xml:space="preserve">); Q. 48:6 (</w:t>
      </w:r>
      <w:r>
        <w:rPr>
          <w:i/>
          <w:iCs/>
        </w:rPr>
        <w:t xml:space="preserve">ghaḍab</w:t>
      </w:r>
      <w:r>
        <w:t xml:space="preserve">); Q. 68:25 (</w:t>
      </w:r>
      <w:r>
        <w:rPr>
          <w:i/>
          <w:iCs/>
        </w:rPr>
        <w:t xml:space="preserve">ḥard</w:t>
      </w:r>
      <w:r>
        <w:t xml:space="preserve">); Q. 3:134 (</w:t>
      </w:r>
      <w:r>
        <w:rPr>
          <w:i/>
          <w:iCs/>
        </w:rPr>
        <w:t xml:space="preserve">ghayẓ</w:t>
      </w:r>
      <w:r>
        <w:t xml:space="preserve">; with manifestation Q. 67:8</w:t>
      </w:r>
      <w:r>
        <w:t xml:space="preserve"> </w:t>
      </w:r>
      <w:r>
        <w:rPr>
          <w:i/>
          <w:iCs/>
        </w:rPr>
        <w:t xml:space="preserve">tamayyuz</w:t>
      </w:r>
      <w:r>
        <w:t xml:space="preserve">); Q. 42:42 (</w:t>
      </w:r>
      <w:r>
        <w:rPr>
          <w:i/>
          <w:iCs/>
        </w:rPr>
        <w:t xml:space="preserve">baghy</w:t>
      </w:r>
      <w:r>
        <w:t xml:space="preserve">); Q. 96:6 (</w:t>
      </w:r>
      <w:r>
        <w:rPr>
          <w:i/>
          <w:iCs/>
        </w:rPr>
        <w:t xml:space="preserve">ṭughyān</w:t>
      </w:r>
      <w:r>
        <w:t xml:space="preserve">); Q. 25:21 (</w:t>
      </w:r>
      <w:r>
        <w:rPr>
          <w:i/>
          <w:iCs/>
        </w:rPr>
        <w:t xml:space="preserve">ʿutuww</w:t>
      </w:r>
      <w:r>
        <w:t xml:space="preserve">).</w:t>
      </w:r>
    </w:p>
    <w:p>
      <w:pPr>
        <w:pStyle w:val="FirstParagraph"/>
      </w:pPr>
      <w:r>
        <w:t xml:space="preserve">All fourteen were found in the corpus output with the correct surface form and verse text matching the Uthmani edition. This validation confirms that the Buckwalter transliteration and segment-collapse algorithms operate without systematic error.</w:t>
      </w:r>
    </w:p>
    <w:p>
      <w:pPr>
        <w:pStyle w:val="BodyText"/>
      </w:pPr>
      <w:r>
        <w:rPr>
          <w:b/>
          <w:bCs/>
        </w:rPr>
        <w:t xml:space="preserve">On the choice of permutation over asymptotic χ² for the sparse six-cell design.</w:t>
      </w:r>
      <w:r>
        <w:t xml:space="preserve"> </w:t>
      </w:r>
      <w:r>
        <w:t xml:space="preserve">The omnibus test of §4.2 (χ²(5) over 312 attestations in a six-cell design) has one cell at</w:t>
      </w:r>
      <w:r>
        <w:t xml:space="preserve"> </w:t>
      </w:r>
      <w:r>
        <w:rPr>
          <w:i/>
          <w:iCs/>
        </w:rPr>
        <w:t xml:space="preserve">n</w:t>
      </w:r>
      <w:r>
        <w:t xml:space="preserve"> </w:t>
      </w:r>
      <w:r>
        <w:t xml:space="preserve">= 11 (Stage 5) and another at</w:t>
      </w:r>
      <w:r>
        <w:t xml:space="preserve"> </w:t>
      </w:r>
      <w:r>
        <w:rPr>
          <w:i/>
          <w:iCs/>
        </w:rPr>
        <w:t xml:space="preserve">n</w:t>
      </w:r>
      <w:r>
        <w:t xml:space="preserve"> </w:t>
      </w:r>
      <w:r>
        <w:t xml:space="preserve">= 145 (Stage 6), with</w:t>
      </w:r>
      <w:r>
        <w:t xml:space="preserve"> </w:t>
      </w:r>
      <w:r>
        <w:rPr>
          <w:i/>
          <w:iCs/>
        </w:rPr>
        <w:t xml:space="preserve">baghy</w:t>
      </w:r>
      <w:r>
        <w:t xml:space="preserve"> </w:t>
      </w:r>
      <w:r>
        <w:t xml:space="preserve">alone supplying 96 attestations — almost a third of the total and twice the per-stage uniform expectation. On such marginally-imbalanced designs the asymptotic χ² approximation is known to be unreliable: Cochran</w:t>
      </w:r>
      <w:r>
        <w:rPr>
          <w:rStyle w:val="FootnoteReference"/>
        </w:rPr>
        <w:footnoteReference w:id="78"/>
      </w:r>
      <w:r>
        <w:t xml:space="preserve"> </w:t>
      </w:r>
      <w:r>
        <w:t xml:space="preserve">warns that observed cell frequencies dominating a single category can inflate the statistic without corresponding evidence against the null. Fisher’s exact test</w:t>
      </w:r>
      <w:r>
        <w:rPr>
          <w:rStyle w:val="FootnoteReference"/>
        </w:rPr>
        <w:footnoteReference w:id="79"/>
      </w:r>
      <w:r>
        <w:t xml:space="preserve"> </w:t>
      </w:r>
      <w:r>
        <w:t xml:space="preserve">solves the problem in principle for 2 × 2 tables, with Patefield’s network algorithm</w:t>
      </w:r>
      <w:r>
        <w:rPr>
          <w:rStyle w:val="FootnoteReference"/>
        </w:rPr>
        <w:footnoteReference w:id="80"/>
      </w:r>
      <w:r>
        <w:t xml:space="preserve"> </w:t>
      </w:r>
      <w:r>
        <w:t xml:space="preserve">and the Mehta–Patel extension</w:t>
      </w:r>
      <w:r>
        <w:rPr>
          <w:rStyle w:val="FootnoteReference"/>
        </w:rPr>
        <w:footnoteReference w:id="81"/>
      </w:r>
      <w:r>
        <w:t xml:space="preserve"> </w:t>
      </w:r>
      <w:r>
        <w:t xml:space="preserve">enabling feasible enumeration for general</w:t>
      </w:r>
      <w:r>
        <w:t xml:space="preserve"> </w:t>
      </w:r>
      <w:r>
        <w:rPr>
          <w:i/>
          <w:iCs/>
        </w:rPr>
        <w:t xml:space="preserve">r</w:t>
      </w:r>
      <w:r>
        <w:t xml:space="preserve"> </w:t>
      </w:r>
      <w:r>
        <w:t xml:space="preserve">×</w:t>
      </w:r>
      <w:r>
        <w:t xml:space="preserve"> </w:t>
      </w:r>
      <w:r>
        <w:rPr>
          <w:i/>
          <w:iCs/>
        </w:rPr>
        <w:t xml:space="preserve">c</w:t>
      </w:r>
      <w:r>
        <w:t xml:space="preserve"> </w:t>
      </w:r>
      <w:r>
        <w:t xml:space="preserve">tables. The contemporary recommendation (Agresti)</w:t>
      </w:r>
      <w:r>
        <w:rPr>
          <w:rStyle w:val="FootnoteReference"/>
        </w:rPr>
        <w:footnoteReference w:id="82"/>
      </w:r>
      <w:r>
        <w:t xml:space="preserve"> </w:t>
      </w:r>
      <w:r>
        <w:t xml:space="preserve">is to favour permutation- or exact-conditional inference for sparse contingency tables, retaining the asymptotic χ² as a descriptive statistic. Our marginal-preserving permutation null (10,000 perms, fixed RNG seed 20260509) holds the per-root attestation counts fixed and randomly permutes the fourteen stage labels across roots; the empirical</w:t>
      </w:r>
      <w:r>
        <w:t xml:space="preserve"> </w:t>
      </w:r>
      <w:r>
        <w:rPr>
          <w:i/>
          <w:iCs/>
        </w:rPr>
        <w:t xml:space="preserve">p</w:t>
      </w:r>
      <w:r>
        <w:t xml:space="preserve">-value is the fraction of permuted χ² values meeting or exceeding the observed 227.15. This is the natural extension of Fisher-exact reasoning to a many-cell design where exact enumeration of the conditional reference set is intractable.</w:t>
      </w:r>
    </w:p>
    <w:p>
      <w:r>
        <w:pict>
          <v:rect style="width:0;height:1.5pt" o:hralign="center" o:hrstd="t" o:hr="t"/>
        </w:pict>
      </w:r>
    </w:p>
    <w:bookmarkEnd w:id="83"/>
    <w:bookmarkEnd w:id="84"/>
    <w:bookmarkStart w:id="133" w:name="findings"/>
    <w:p>
      <w:pPr>
        <w:pStyle w:val="Heading2"/>
      </w:pPr>
      <w:r>
        <w:t xml:space="preserve">4. Findings</w:t>
      </w:r>
    </w:p>
    <w:bookmarkStart w:id="85" w:name="the-four-lexicon-etymology-table"/>
    <w:p>
      <w:pPr>
        <w:pStyle w:val="Heading3"/>
      </w:pPr>
      <w:r>
        <w:t xml:space="preserve">4.1. The four-lexicon etymology table</w:t>
      </w:r>
    </w:p>
    <w:p>
      <w:pPr>
        <w:pStyle w:val="FirstParagraph"/>
      </w:pPr>
      <w:r>
        <w:t xml:space="preserve">Before turning to stage-level analysis, Table 1 summarises the canonical glosses of each root across four reference lexica.</w:t>
      </w:r>
    </w:p>
    <w:p>
      <w:pPr>
        <w:pStyle w:val="BodyText"/>
      </w:pPr>
      <w:r>
        <w:rPr>
          <w:b/>
          <w:bCs/>
        </w:rPr>
        <w:t xml:space="preserve">Table 1. Comparative etymology of the fourteen core roots across the four authoritative Arabic lexica</w:t>
      </w:r>
    </w:p>
    <w:tbl>
      <w:tblPr>
        <w:tblStyle w:val="Table"/>
        <w:tblW w:type="pct" w:w="5000"/>
        <w:tblLayout w:type="fixed"/>
        <w:tblLook w:firstRow="1" w:lastRow="0" w:firstColumn="0" w:lastColumn="0" w:noHBand="0" w:noVBand="0" w:val="0020"/>
      </w:tblPr>
      <w:tblGrid>
        <w:gridCol w:w="950"/>
        <w:gridCol w:w="1900"/>
        <w:gridCol w:w="1267"/>
        <w:gridCol w:w="1267"/>
        <w:gridCol w:w="1267"/>
        <w:gridCol w:w="1267"/>
      </w:tblGrid>
      <w:tr>
        <w:trPr>
          <w:tblHeader w:val="on"/>
        </w:trPr>
        <w:tc>
          <w:tcPr/>
          <w:p>
            <w:pPr>
              <w:pStyle w:val="Compact"/>
              <w:jc w:val="center"/>
            </w:pPr>
            <w:r>
              <w:t xml:space="preserve">Stage</w:t>
            </w:r>
          </w:p>
        </w:tc>
        <w:tc>
          <w:tcPr/>
          <w:p>
            <w:pPr>
              <w:pStyle w:val="Compact"/>
              <w:jc w:val="center"/>
            </w:pPr>
            <w:r>
              <w:t xml:space="preserve">Root</w:t>
            </w:r>
          </w:p>
        </w:tc>
        <w:tc>
          <w:tcPr/>
          <w:p>
            <w:pPr>
              <w:pStyle w:val="Compact"/>
              <w:jc w:val="left"/>
            </w:pPr>
            <w:r>
              <w:t xml:space="preserve">Maqāyīs (Ibn Fāris)</w:t>
            </w:r>
          </w:p>
        </w:tc>
        <w:tc>
          <w:tcPr/>
          <w:p>
            <w:pPr>
              <w:pStyle w:val="Compact"/>
              <w:jc w:val="left"/>
            </w:pPr>
            <w:r>
              <w:t xml:space="preserve">Mufradāt (al-Rāghib)</w:t>
            </w:r>
          </w:p>
        </w:tc>
        <w:tc>
          <w:tcPr/>
          <w:p>
            <w:pPr>
              <w:pStyle w:val="Compact"/>
              <w:jc w:val="left"/>
            </w:pPr>
            <w:r>
              <w:t xml:space="preserve">Lisān al-ʿArab (Ibn Manẓūr)</w:t>
            </w:r>
          </w:p>
        </w:tc>
        <w:tc>
          <w:tcPr/>
          <w:p>
            <w:pPr>
              <w:pStyle w:val="Compact"/>
              <w:jc w:val="left"/>
            </w:pPr>
            <w:r>
              <w:t xml:space="preserve">Taḥqīq (Mostafavi)</w:t>
            </w:r>
          </w:p>
        </w:tc>
      </w:tr>
      <w:tr>
        <w:tc>
          <w:tcPr/>
          <w:p>
            <w:pPr>
              <w:pStyle w:val="Compact"/>
              <w:jc w:val="center"/>
            </w:pPr>
            <w:r>
              <w:t xml:space="preserve">1</w:t>
            </w:r>
          </w:p>
        </w:tc>
        <w:tc>
          <w:tcPr/>
          <w:p>
            <w:pPr>
              <w:pStyle w:val="Compact"/>
              <w:jc w:val="center"/>
            </w:pPr>
            <w:r>
              <w:t xml:space="preserve">ʾ-f-f</w:t>
            </w:r>
          </w:p>
        </w:tc>
        <w:tc>
          <w:tcPr/>
          <w:p>
            <w:pPr>
              <w:pStyle w:val="Compact"/>
              <w:jc w:val="left"/>
            </w:pPr>
            <w:r>
              <w:t xml:space="preserve">“kalimatu taḍajjurin”</w:t>
            </w:r>
            <w:r>
              <w:t xml:space="preserve"> </w:t>
            </w:r>
            <w:r>
              <w:t xml:space="preserve">(a word of vexation); the wretched of fingernail-detritus etymologically; smallest audible expression of displeasure</w:t>
            </w:r>
          </w:p>
        </w:tc>
        <w:tc>
          <w:tcPr/>
          <w:p>
            <w:pPr>
              <w:pStyle w:val="Compact"/>
              <w:jc w:val="left"/>
            </w:pPr>
            <w:r>
              <w:t xml:space="preserve">the lowest verbal expression of displeasure (</w:t>
            </w:r>
            <w:r>
              <w:rPr>
                <w:i/>
                <w:iCs/>
              </w:rPr>
              <w:t xml:space="preserve">adnā kalimati al-taḍajjur</w:t>
            </w:r>
            <w:r>
              <w:t xml:space="preserve">)</w:t>
            </w:r>
          </w:p>
        </w:tc>
        <w:tc>
          <w:tcPr/>
          <w:p>
            <w:pPr>
              <w:pStyle w:val="Compact"/>
              <w:jc w:val="left"/>
            </w:pPr>
            <w:r>
              <w:t xml:space="preserve">term of irritation (</w:t>
            </w:r>
            <w:r>
              <w:rPr>
                <w:i/>
                <w:iCs/>
              </w:rPr>
              <w:t xml:space="preserve">taḍajjur</w:t>
            </w:r>
            <w:r>
              <w:t xml:space="preserve">) directed at someone or something disliked; cf. </w:t>
            </w:r>
            <w:r>
              <w:rPr>
                <w:i/>
                <w:iCs/>
              </w:rPr>
              <w:t xml:space="preserve">uffah</w:t>
            </w:r>
            <w:r>
              <w:t xml:space="preserve"> </w:t>
            </w:r>
            <w:r>
              <w:t xml:space="preserve">(sub-vocal sigh)</w:t>
            </w:r>
          </w:p>
        </w:tc>
        <w:tc>
          <w:tcPr/>
          <w:p>
            <w:pPr>
              <w:pStyle w:val="Compact"/>
              <w:jc w:val="left"/>
            </w:pPr>
            <w:r>
              <w:t xml:space="preserve">minimal vocal sign of inner aversion; pre-anger affective register</w:t>
            </w:r>
          </w:p>
        </w:tc>
      </w:tr>
      <w:tr>
        <w:tc>
          <w:tcPr/>
          <w:p>
            <w:pPr>
              <w:pStyle w:val="Compact"/>
              <w:jc w:val="center"/>
            </w:pPr>
            <w:r>
              <w:t xml:space="preserve">1</w:t>
            </w:r>
          </w:p>
        </w:tc>
        <w:tc>
          <w:tcPr/>
          <w:p>
            <w:pPr>
              <w:pStyle w:val="Compact"/>
              <w:jc w:val="center"/>
            </w:pPr>
            <w:r>
              <w:t xml:space="preserve">k-r-h</w:t>
            </w:r>
          </w:p>
        </w:tc>
        <w:tc>
          <w:tcPr/>
          <w:p>
            <w:pPr>
              <w:pStyle w:val="Compact"/>
              <w:jc w:val="left"/>
            </w:pPr>
            <w:r>
              <w:t xml:space="preserve">dislike, finding burdensome; coercion (</w:t>
            </w:r>
            <w:r>
              <w:rPr>
                <w:i/>
                <w:iCs/>
              </w:rPr>
              <w:t xml:space="preserve">ikrāh</w:t>
            </w:r>
            <w:r>
              <w:t xml:space="preserve">)</w:t>
            </w:r>
          </w:p>
        </w:tc>
        <w:tc>
          <w:tcPr/>
          <w:p>
            <w:pPr>
              <w:pStyle w:val="Compact"/>
              <w:jc w:val="left"/>
            </w:pPr>
            <w:r>
              <w:t xml:space="preserve">aversion of the soul; structurally extended to coercion</w:t>
            </w:r>
          </w:p>
        </w:tc>
        <w:tc>
          <w:tcPr/>
          <w:p>
            <w:pPr>
              <w:pStyle w:val="Compact"/>
              <w:jc w:val="left"/>
            </w:pPr>
            <w:r>
              <w:t xml:space="preserve">what is disliked by nature or by reason</w:t>
            </w:r>
          </w:p>
        </w:tc>
        <w:tc>
          <w:tcPr/>
          <w:p>
            <w:pPr>
              <w:pStyle w:val="Compact"/>
              <w:jc w:val="left"/>
            </w:pPr>
            <w:r>
              <w:t xml:space="preserve">inner</w:t>
            </w:r>
            <w:r>
              <w:t xml:space="preserve"> </w:t>
            </w:r>
            <w:r>
              <w:rPr>
                <w:i/>
                <w:iCs/>
              </w:rPr>
              <w:t xml:space="preserve">karāha</w:t>
            </w:r>
            <w:r>
              <w:t xml:space="preserve"> </w:t>
            </w:r>
            <w:r>
              <w:t xml:space="preserve">vs. structural</w:t>
            </w:r>
            <w:r>
              <w:t xml:space="preserve"> </w:t>
            </w:r>
            <w:r>
              <w:rPr>
                <w:i/>
                <w:iCs/>
              </w:rPr>
              <w:t xml:space="preserve">ikrāh</w:t>
            </w:r>
            <w:r>
              <w:t xml:space="preserve"> </w:t>
            </w:r>
            <w:r>
              <w:t xml:space="preserve">(the latter is not an emotion)</w:t>
            </w:r>
          </w:p>
        </w:tc>
      </w:tr>
      <w:tr>
        <w:tc>
          <w:tcPr/>
          <w:p>
            <w:pPr>
              <w:pStyle w:val="Compact"/>
              <w:jc w:val="center"/>
            </w:pPr>
            <w:r>
              <w:t xml:space="preserve">2</w:t>
            </w:r>
          </w:p>
        </w:tc>
        <w:tc>
          <w:tcPr/>
          <w:p>
            <w:pPr>
              <w:pStyle w:val="Compact"/>
              <w:jc w:val="center"/>
            </w:pPr>
            <w:r>
              <w:t xml:space="preserve">ḍ-y-q</w:t>
            </w:r>
          </w:p>
        </w:tc>
        <w:tc>
          <w:tcPr/>
          <w:p>
            <w:pPr>
              <w:pStyle w:val="Compact"/>
              <w:jc w:val="left"/>
            </w:pPr>
            <w:r>
              <w:t xml:space="preserve">constriction; absence of opening</w:t>
            </w:r>
          </w:p>
        </w:tc>
        <w:tc>
          <w:tcPr/>
          <w:p>
            <w:pPr>
              <w:pStyle w:val="Compact"/>
              <w:jc w:val="left"/>
            </w:pPr>
            <w:r>
              <w:t xml:space="preserve">the state of being pressed upon, contrasted with capacity (</w:t>
            </w:r>
            <w:r>
              <w:rPr>
                <w:i/>
                <w:iCs/>
              </w:rPr>
              <w:t xml:space="preserve">saʿah</w:t>
            </w:r>
            <w:r>
              <w:t xml:space="preserve">)</w:t>
            </w:r>
          </w:p>
        </w:tc>
        <w:tc>
          <w:tcPr/>
          <w:p>
            <w:pPr>
              <w:pStyle w:val="Compact"/>
              <w:jc w:val="left"/>
            </w:pPr>
            <w:r>
              <w:t xml:space="preserve">reduction of available space, from</w:t>
            </w:r>
            <w:r>
              <w:t xml:space="preserve"> </w:t>
            </w:r>
            <w:r>
              <w:rPr>
                <w:i/>
                <w:iCs/>
              </w:rPr>
              <w:t xml:space="preserve">saʿah</w:t>
            </w:r>
            <w:r>
              <w:t xml:space="preserve"> </w:t>
            </w:r>
            <w:r>
              <w:t xml:space="preserve">to</w:t>
            </w:r>
            <w:r>
              <w:t xml:space="preserve"> </w:t>
            </w:r>
            <w:r>
              <w:rPr>
                <w:i/>
                <w:iCs/>
              </w:rPr>
              <w:t xml:space="preserve">ḍīq</w:t>
            </w:r>
          </w:p>
        </w:tc>
        <w:tc>
          <w:tcPr/>
          <w:p>
            <w:pPr>
              <w:pStyle w:val="Compact"/>
              <w:jc w:val="left"/>
            </w:pPr>
            <w:r>
              <w:t xml:space="preserve">inner or outer absence of expansion (</w:t>
            </w:r>
            <w:r>
              <w:rPr>
                <w:i/>
                <w:iCs/>
              </w:rPr>
              <w:t xml:space="preserve">basṭ</w:t>
            </w:r>
            <w:r>
              <w:t xml:space="preserve">)</w:t>
            </w:r>
          </w:p>
        </w:tc>
      </w:tr>
      <w:tr>
        <w:tc>
          <w:tcPr/>
          <w:p>
            <w:pPr>
              <w:pStyle w:val="Compact"/>
              <w:jc w:val="center"/>
            </w:pPr>
            <w:r>
              <w:t xml:space="preserve">2</w:t>
            </w:r>
          </w:p>
        </w:tc>
        <w:tc>
          <w:tcPr/>
          <w:p>
            <w:pPr>
              <w:pStyle w:val="Compact"/>
              <w:jc w:val="center"/>
            </w:pPr>
            <w:r>
              <w:t xml:space="preserve">ḥ-z-n</w:t>
            </w:r>
          </w:p>
        </w:tc>
        <w:tc>
          <w:tcPr/>
          <w:p>
            <w:pPr>
              <w:pStyle w:val="Compact"/>
              <w:jc w:val="left"/>
            </w:pPr>
            <w:r>
              <w:t xml:space="preserve">rough/uneven ground → heaviness of soul</w:t>
            </w:r>
          </w:p>
        </w:tc>
        <w:tc>
          <w:tcPr/>
          <w:p>
            <w:pPr>
              <w:pStyle w:val="Compact"/>
              <w:jc w:val="left"/>
            </w:pPr>
            <w:r>
              <w:t xml:space="preserve">sorrow as the opposite of joy (</w:t>
            </w:r>
            <w:r>
              <w:rPr>
                <w:i/>
                <w:iCs/>
              </w:rPr>
              <w:t xml:space="preserve">faraḥ</w:t>
            </w:r>
            <w:r>
              <w:t xml:space="preserve">)</w:t>
            </w:r>
          </w:p>
        </w:tc>
        <w:tc>
          <w:tcPr/>
          <w:p>
            <w:pPr>
              <w:pStyle w:val="Compact"/>
              <w:jc w:val="left"/>
            </w:pPr>
            <w:r>
              <w:t xml:space="preserve">rugged ground, then roughness of the self</w:t>
            </w:r>
          </w:p>
        </w:tc>
        <w:tc>
          <w:tcPr/>
          <w:p>
            <w:pPr>
              <w:pStyle w:val="Compact"/>
              <w:jc w:val="left"/>
            </w:pPr>
            <w:r>
              <w:t xml:space="preserve">affective response to perceived loss</w:t>
            </w:r>
          </w:p>
        </w:tc>
      </w:tr>
      <w:tr>
        <w:tc>
          <w:tcPr/>
          <w:p>
            <w:pPr>
              <w:pStyle w:val="Compact"/>
              <w:jc w:val="center"/>
            </w:pPr>
            <w:r>
              <w:t xml:space="preserve">2</w:t>
            </w:r>
          </w:p>
        </w:tc>
        <w:tc>
          <w:tcPr/>
          <w:p>
            <w:pPr>
              <w:pStyle w:val="Compact"/>
              <w:jc w:val="center"/>
            </w:pPr>
            <w:r>
              <w:t xml:space="preserve">ʾ-s-f</w:t>
            </w:r>
          </w:p>
        </w:tc>
        <w:tc>
          <w:tcPr/>
          <w:p>
            <w:pPr>
              <w:pStyle w:val="Compact"/>
              <w:jc w:val="left"/>
            </w:pPr>
            <w:r>
              <w:t xml:space="preserve">intense grief mixed with anger</w:t>
            </w:r>
          </w:p>
        </w:tc>
        <w:tc>
          <w:tcPr/>
          <w:p>
            <w:pPr>
              <w:pStyle w:val="Compact"/>
              <w:jc w:val="left"/>
            </w:pPr>
            <w:r>
              <w:t xml:space="preserve">extreme anger conjoined with grief</w:t>
            </w:r>
          </w:p>
        </w:tc>
        <w:tc>
          <w:tcPr/>
          <w:p>
            <w:pPr>
              <w:pStyle w:val="Compact"/>
              <w:jc w:val="left"/>
            </w:pPr>
            <w:r>
              <w:t xml:space="preserve">reaching the limit of grief and anger</w:t>
            </w:r>
          </w:p>
        </w:tc>
        <w:tc>
          <w:tcPr/>
          <w:p>
            <w:pPr>
              <w:pStyle w:val="Compact"/>
              <w:jc w:val="left"/>
            </w:pPr>
            <w:r>
              <w:t xml:space="preserve">composite of grief and proximate anger</w:t>
            </w:r>
          </w:p>
        </w:tc>
      </w:tr>
      <w:tr>
        <w:tc>
          <w:tcPr/>
          <w:p>
            <w:pPr>
              <w:pStyle w:val="Compact"/>
              <w:jc w:val="center"/>
            </w:pPr>
            <w:r>
              <w:t xml:space="preserve">3</w:t>
            </w:r>
          </w:p>
        </w:tc>
        <w:tc>
          <w:tcPr/>
          <w:p>
            <w:pPr>
              <w:pStyle w:val="Compact"/>
              <w:jc w:val="center"/>
            </w:pPr>
            <w:r>
              <w:t xml:space="preserve">n-q-m</w:t>
            </w:r>
          </w:p>
        </w:tc>
        <w:tc>
          <w:tcPr/>
          <w:p>
            <w:pPr>
              <w:pStyle w:val="Compact"/>
              <w:jc w:val="left"/>
            </w:pPr>
            <w:r>
              <w:rPr>
                <w:i/>
                <w:iCs/>
              </w:rPr>
              <w:t xml:space="preserve">al-naqimah</w:t>
            </w:r>
            <w:r>
              <w:t xml:space="preserve">: disapproval (</w:t>
            </w:r>
            <w:r>
              <w:rPr>
                <w:i/>
                <w:iCs/>
              </w:rPr>
              <w:t xml:space="preserve">inkār</w:t>
            </w:r>
            <w:r>
              <w:t xml:space="preserve">) coupled with intent to punish; cf. </w:t>
            </w:r>
            <w:r>
              <w:rPr>
                <w:i/>
                <w:iCs/>
              </w:rPr>
              <w:t xml:space="preserve">intaqama min</w:t>
            </w:r>
            <w:r>
              <w:t xml:space="preserve"> </w:t>
            </w:r>
            <w:r>
              <w:t xml:space="preserve">= exact retribution from</w:t>
            </w:r>
          </w:p>
        </w:tc>
        <w:tc>
          <w:tcPr/>
          <w:p>
            <w:pPr>
              <w:pStyle w:val="Compact"/>
              <w:jc w:val="left"/>
            </w:pPr>
            <w:r>
              <w:t xml:space="preserve">objecting to (</w:t>
            </w:r>
            <w:r>
              <w:rPr>
                <w:i/>
                <w:iCs/>
              </w:rPr>
              <w:t xml:space="preserve">ankara ʿalā</w:t>
            </w:r>
            <w:r>
              <w:t xml:space="preserve">) and seeking redress (</w:t>
            </w:r>
            <w:r>
              <w:rPr>
                <w:i/>
                <w:iCs/>
              </w:rPr>
              <w:t xml:space="preserve">ʿuqūbah</w:t>
            </w:r>
            <w:r>
              <w:t xml:space="preserve">) against a reprehensible act</w:t>
            </w:r>
          </w:p>
        </w:tc>
        <w:tc>
          <w:tcPr/>
          <w:p>
            <w:pPr>
              <w:pStyle w:val="Compact"/>
              <w:jc w:val="left"/>
            </w:pPr>
            <w:r>
              <w:t xml:space="preserve">strong denunciation (</w:t>
            </w:r>
            <w:r>
              <w:rPr>
                <w:i/>
                <w:iCs/>
              </w:rPr>
              <w:t xml:space="preserve">ankara ashadda al-inkār</w:t>
            </w:r>
            <w:r>
              <w:t xml:space="preserve">) yoked to</w:t>
            </w:r>
            <w:r>
              <w:t xml:space="preserve"> </w:t>
            </w:r>
            <w:r>
              <w:rPr>
                <w:i/>
                <w:iCs/>
              </w:rPr>
              <w:t xml:space="preserve">ʿuqūbah</w:t>
            </w:r>
            <w:r>
              <w:t xml:space="preserve">; basis of divine attribute</w:t>
            </w:r>
            <w:r>
              <w:t xml:space="preserve"> </w:t>
            </w:r>
            <w:r>
              <w:rPr>
                <w:i/>
                <w:iCs/>
              </w:rPr>
              <w:t xml:space="preserve">al-Muntaqim</w:t>
            </w:r>
          </w:p>
        </w:tc>
        <w:tc>
          <w:tcPr/>
          <w:p>
            <w:pPr>
              <w:pStyle w:val="Compact"/>
              <w:jc w:val="left"/>
            </w:pPr>
            <w:r>
              <w:t xml:space="preserve">evaluative anger oriented toward retribution; cognition-grounded, action-tilted</w:t>
            </w:r>
          </w:p>
        </w:tc>
      </w:tr>
      <w:tr>
        <w:tc>
          <w:tcPr/>
          <w:p>
            <w:pPr>
              <w:pStyle w:val="Compact"/>
              <w:jc w:val="center"/>
            </w:pPr>
            <w:r>
              <w:t xml:space="preserve">3</w:t>
            </w:r>
          </w:p>
        </w:tc>
        <w:tc>
          <w:tcPr/>
          <w:p>
            <w:pPr>
              <w:pStyle w:val="Compact"/>
              <w:jc w:val="center"/>
            </w:pPr>
            <w:r>
              <w:t xml:space="preserve">s-kh-ṭ</w:t>
            </w:r>
          </w:p>
        </w:tc>
        <w:tc>
          <w:tcPr/>
          <w:p>
            <w:pPr>
              <w:pStyle w:val="Compact"/>
              <w:jc w:val="left"/>
            </w:pPr>
            <w:r>
              <w:t xml:space="preserve">severe aversion and ethical rejection</w:t>
            </w:r>
          </w:p>
        </w:tc>
        <w:tc>
          <w:tcPr/>
          <w:p>
            <w:pPr>
              <w:pStyle w:val="Compact"/>
              <w:jc w:val="left"/>
            </w:pPr>
            <w:r>
              <w:t xml:space="preserve">the opposite of</w:t>
            </w:r>
            <w:r>
              <w:t xml:space="preserve"> </w:t>
            </w:r>
            <w:r>
              <w:rPr>
                <w:i/>
                <w:iCs/>
              </w:rPr>
              <w:t xml:space="preserve">riḍā</w:t>
            </w:r>
            <w:r>
              <w:t xml:space="preserve"> </w:t>
            </w:r>
            <w:r>
              <w:t xml:space="preserve">(consent), with intensity</w:t>
            </w:r>
          </w:p>
        </w:tc>
        <w:tc>
          <w:tcPr/>
          <w:p>
            <w:pPr>
              <w:pStyle w:val="Compact"/>
              <w:jc w:val="left"/>
            </w:pPr>
            <w:r>
              <w:t xml:space="preserve">severe non-acceptance with judgment</w:t>
            </w:r>
          </w:p>
        </w:tc>
        <w:tc>
          <w:tcPr/>
          <w:p>
            <w:pPr>
              <w:pStyle w:val="Compact"/>
              <w:jc w:val="left"/>
            </w:pPr>
            <w:r>
              <w:t xml:space="preserve">declarative rejection grounded in moral assessment</w:t>
            </w:r>
          </w:p>
        </w:tc>
      </w:tr>
      <w:tr>
        <w:tc>
          <w:tcPr/>
          <w:p>
            <w:pPr>
              <w:pStyle w:val="Compact"/>
              <w:jc w:val="center"/>
            </w:pPr>
            <w:r>
              <w:t xml:space="preserve">3</w:t>
            </w:r>
          </w:p>
        </w:tc>
        <w:tc>
          <w:tcPr/>
          <w:p>
            <w:pPr>
              <w:pStyle w:val="Compact"/>
              <w:jc w:val="center"/>
            </w:pPr>
            <w:r>
              <w:t xml:space="preserve">m-q-t</w:t>
            </w:r>
          </w:p>
        </w:tc>
        <w:tc>
          <w:tcPr/>
          <w:p>
            <w:pPr>
              <w:pStyle w:val="Compact"/>
              <w:jc w:val="left"/>
            </w:pPr>
            <w:r>
              <w:t xml:space="preserve">the most intense form of</w:t>
            </w:r>
            <w:r>
              <w:t xml:space="preserve"> </w:t>
            </w:r>
            <w:r>
              <w:rPr>
                <w:i/>
                <w:iCs/>
              </w:rPr>
              <w:t xml:space="preserve">ibghāḍ</w:t>
            </w:r>
            <w:r>
              <w:t xml:space="preserve"> </w:t>
            </w:r>
            <w:r>
              <w:t xml:space="preserve">(Zajjāj)</w:t>
            </w:r>
          </w:p>
        </w:tc>
        <w:tc>
          <w:tcPr/>
          <w:p>
            <w:pPr>
              <w:pStyle w:val="Compact"/>
              <w:jc w:val="left"/>
            </w:pPr>
            <w:r>
              <w:t xml:space="preserve">aversion arising from observing a</w:t>
            </w:r>
            <w:r>
              <w:t xml:space="preserve"> </w:t>
            </w:r>
            <w:r>
              <w:rPr>
                <w:i/>
                <w:iCs/>
              </w:rPr>
              <w:t xml:space="preserve">qabīḥ</w:t>
            </w:r>
            <w:r>
              <w:t xml:space="preserve"> </w:t>
            </w:r>
            <w:r>
              <w:t xml:space="preserve">act (</w:t>
            </w:r>
            <w:r>
              <w:rPr>
                <w:i/>
                <w:iCs/>
              </w:rPr>
              <w:t xml:space="preserve">al-Rāghib</w:t>
            </w:r>
            <w:r>
              <w:t xml:space="preserve">)</w:t>
            </w:r>
          </w:p>
        </w:tc>
        <w:tc>
          <w:tcPr/>
          <w:p>
            <w:pPr>
              <w:pStyle w:val="Compact"/>
              <w:jc w:val="left"/>
            </w:pPr>
            <w:r>
              <w:rPr>
                <w:i/>
                <w:iCs/>
              </w:rPr>
              <w:t xml:space="preserve">ashaddu al-ibghāḍ</w:t>
            </w:r>
            <w:r>
              <w:t xml:space="preserve">; aversion-distance rather than approach-aggression</w:t>
            </w:r>
          </w:p>
        </w:tc>
        <w:tc>
          <w:tcPr/>
          <w:p>
            <w:pPr>
              <w:pStyle w:val="Compact"/>
              <w:jc w:val="left"/>
            </w:pPr>
            <w:r>
              <w:t xml:space="preserve">purely evaluative moral aversion</w:t>
            </w:r>
          </w:p>
        </w:tc>
      </w:tr>
      <w:tr>
        <w:tc>
          <w:tcPr/>
          <w:p>
            <w:pPr>
              <w:pStyle w:val="Compact"/>
              <w:jc w:val="center"/>
            </w:pPr>
            <w:r>
              <w:t xml:space="preserve">4</w:t>
            </w:r>
          </w:p>
        </w:tc>
        <w:tc>
          <w:tcPr/>
          <w:p>
            <w:pPr>
              <w:pStyle w:val="Compact"/>
              <w:jc w:val="center"/>
            </w:pPr>
            <w:r>
              <w:t xml:space="preserve">gh-ḍ-b</w:t>
            </w:r>
          </w:p>
        </w:tc>
        <w:tc>
          <w:tcPr/>
          <w:p>
            <w:pPr>
              <w:pStyle w:val="Compact"/>
              <w:jc w:val="left"/>
            </w:pPr>
            <w:r>
              <w:t xml:space="preserve">inner agitation and motion</w:t>
            </w:r>
          </w:p>
        </w:tc>
        <w:tc>
          <w:tcPr/>
          <w:p>
            <w:pPr>
              <w:pStyle w:val="Compact"/>
              <w:jc w:val="left"/>
            </w:pPr>
            <w:r>
              <w:t xml:space="preserve">the boiling of the heart’s blood seeking retribution</w:t>
            </w:r>
          </w:p>
        </w:tc>
        <w:tc>
          <w:tcPr/>
          <w:p>
            <w:pPr>
              <w:pStyle w:val="Compact"/>
              <w:jc w:val="left"/>
            </w:pPr>
            <w:r>
              <w:t xml:space="preserve">a rising perturbation of the soul</w:t>
            </w:r>
          </w:p>
        </w:tc>
        <w:tc>
          <w:tcPr/>
          <w:p>
            <w:pPr>
              <w:pStyle w:val="Compact"/>
              <w:jc w:val="left"/>
            </w:pPr>
            <w:r>
              <w:t xml:space="preserve">directed emotion enabling retributive action</w:t>
            </w:r>
          </w:p>
        </w:tc>
      </w:tr>
      <w:tr>
        <w:tc>
          <w:tcPr/>
          <w:p>
            <w:pPr>
              <w:pStyle w:val="Compact"/>
              <w:jc w:val="center"/>
            </w:pPr>
            <w:r>
              <w:t xml:space="preserve">4</w:t>
            </w:r>
          </w:p>
        </w:tc>
        <w:tc>
          <w:tcPr/>
          <w:p>
            <w:pPr>
              <w:pStyle w:val="Compact"/>
              <w:jc w:val="center"/>
            </w:pPr>
            <w:r>
              <w:t xml:space="preserve">ḥ-r-d</w:t>
            </w:r>
          </w:p>
        </w:tc>
        <w:tc>
          <w:tcPr/>
          <w:p>
            <w:pPr>
              <w:pStyle w:val="Compact"/>
              <w:jc w:val="left"/>
            </w:pPr>
            <w:r>
              <w:rPr>
                <w:i/>
                <w:iCs/>
              </w:rPr>
              <w:t xml:space="preserve">ḥarada</w:t>
            </w:r>
            <w:r>
              <w:t xml:space="preserve">: to be angry; also the act of</w:t>
            </w:r>
            <w:r>
              <w:t xml:space="preserve"> </w:t>
            </w:r>
            <w:r>
              <w:rPr>
                <w:i/>
                <w:iCs/>
              </w:rPr>
              <w:t xml:space="preserve">qaṣd</w:t>
            </w:r>
            <w:r>
              <w:t xml:space="preserve"> </w:t>
            </w:r>
            <w:r>
              <w:t xml:space="preserve">(deliberate aim); the lexicon couples affect and intent</w:t>
            </w:r>
          </w:p>
        </w:tc>
        <w:tc>
          <w:tcPr/>
          <w:p>
            <w:pPr>
              <w:pStyle w:val="Compact"/>
              <w:jc w:val="left"/>
            </w:pPr>
            <w:r>
              <w:t xml:space="preserve">conjoining</w:t>
            </w:r>
            <w:r>
              <w:t xml:space="preserve"> </w:t>
            </w:r>
            <w:r>
              <w:rPr>
                <w:i/>
                <w:iCs/>
              </w:rPr>
              <w:t xml:space="preserve">ghaḍab</w:t>
            </w:r>
            <w:r>
              <w:t xml:space="preserve"> </w:t>
            </w:r>
            <w:r>
              <w:t xml:space="preserve">with</w:t>
            </w:r>
            <w:r>
              <w:t xml:space="preserve"> </w:t>
            </w:r>
            <w:r>
              <w:rPr>
                <w:i/>
                <w:iCs/>
              </w:rPr>
              <w:t xml:space="preserve">qaṣd</w:t>
            </w:r>
            <w:r>
              <w:t xml:space="preserve">: anger directed by purpose, viz. denial</w:t>
            </w:r>
          </w:p>
        </w:tc>
        <w:tc>
          <w:tcPr/>
          <w:p>
            <w:pPr>
              <w:pStyle w:val="Compact"/>
              <w:jc w:val="left"/>
            </w:pPr>
            <w:r>
              <w:rPr>
                <w:i/>
                <w:iCs/>
              </w:rPr>
              <w:t xml:space="preserve">ḥarada</w:t>
            </w:r>
            <w:r>
              <w:t xml:space="preserve"> </w:t>
            </w:r>
            <w:r>
              <w:t xml:space="preserve">“to act/move toward an aim with resolve while in anger”</w:t>
            </w:r>
            <w:r>
              <w:t xml:space="preserve">; cf. </w:t>
            </w:r>
            <w:r>
              <w:rPr>
                <w:i/>
                <w:iCs/>
              </w:rPr>
              <w:t xml:space="preserve">ḥarīd</w:t>
            </w:r>
            <w:r>
              <w:t xml:space="preserve"> </w:t>
            </w:r>
            <w:r>
              <w:t xml:space="preserve">= isolated, the angry-aloof</w:t>
            </w:r>
          </w:p>
        </w:tc>
        <w:tc>
          <w:tcPr/>
          <w:p>
            <w:pPr>
              <w:pStyle w:val="Compact"/>
              <w:jc w:val="left"/>
            </w:pPr>
            <w:r>
              <w:t xml:space="preserve">anger weaponised through deliberate resource-denial (Q. 68:25</w:t>
            </w:r>
            <w:r>
              <w:t xml:space="preserve"> </w:t>
            </w:r>
            <w:r>
              <w:rPr>
                <w:i/>
                <w:iCs/>
              </w:rPr>
              <w:t xml:space="preserve">aṣḥāb al-jannah</w:t>
            </w:r>
            <w:r>
              <w:t xml:space="preserve">); affective + volitional + miserly composite</w:t>
            </w:r>
          </w:p>
        </w:tc>
      </w:tr>
      <w:tr>
        <w:tc>
          <w:tcPr/>
          <w:p>
            <w:pPr>
              <w:pStyle w:val="Compact"/>
              <w:jc w:val="center"/>
            </w:pPr>
            <w:r>
              <w:t xml:space="preserve">5</w:t>
            </w:r>
          </w:p>
        </w:tc>
        <w:tc>
          <w:tcPr/>
          <w:p>
            <w:pPr>
              <w:pStyle w:val="Compact"/>
              <w:jc w:val="center"/>
            </w:pPr>
            <w:r>
              <w:t xml:space="preserve">gh-y-ẓ</w:t>
            </w:r>
          </w:p>
        </w:tc>
        <w:tc>
          <w:tcPr/>
          <w:p>
            <w:pPr>
              <w:pStyle w:val="Compact"/>
              <w:jc w:val="left"/>
            </w:pPr>
            <w:r>
              <w:t xml:space="preserve">pressure and surge, contained</w:t>
            </w:r>
          </w:p>
        </w:tc>
        <w:tc>
          <w:tcPr/>
          <w:p>
            <w:pPr>
              <w:pStyle w:val="Compact"/>
              <w:jc w:val="left"/>
            </w:pPr>
            <w:r>
              <w:t xml:space="preserve">the most intense forms of contained anger</w:t>
            </w:r>
          </w:p>
        </w:tc>
        <w:tc>
          <w:tcPr/>
          <w:p>
            <w:pPr>
              <w:pStyle w:val="Compact"/>
              <w:jc w:val="left"/>
            </w:pPr>
            <w:r>
              <w:t xml:space="preserve">filling of the self with restrained anger</w:t>
            </w:r>
          </w:p>
        </w:tc>
        <w:tc>
          <w:tcPr/>
          <w:p>
            <w:pPr>
              <w:pStyle w:val="Compact"/>
              <w:jc w:val="left"/>
            </w:pPr>
            <w:r>
              <w:t xml:space="preserve">high-pressure emotional accumulation</w:t>
            </w:r>
          </w:p>
        </w:tc>
      </w:tr>
      <w:tr>
        <w:tc>
          <w:tcPr/>
          <w:p>
            <w:pPr>
              <w:pStyle w:val="Compact"/>
              <w:jc w:val="center"/>
            </w:pPr>
            <w:r>
              <w:t xml:space="preserve">6</w:t>
            </w:r>
          </w:p>
        </w:tc>
        <w:tc>
          <w:tcPr/>
          <w:p>
            <w:pPr>
              <w:pStyle w:val="Compact"/>
              <w:jc w:val="center"/>
            </w:pPr>
            <w:r>
              <w:t xml:space="preserve">b-gh-y</w:t>
            </w:r>
          </w:p>
        </w:tc>
        <w:tc>
          <w:tcPr/>
          <w:p>
            <w:pPr>
              <w:pStyle w:val="Compact"/>
              <w:jc w:val="left"/>
            </w:pPr>
            <w:r>
              <w:t xml:space="preserve">seeking beyond rightful bounds</w:t>
            </w:r>
          </w:p>
        </w:tc>
        <w:tc>
          <w:tcPr/>
          <w:p>
            <w:pPr>
              <w:pStyle w:val="Compact"/>
              <w:jc w:val="left"/>
            </w:pPr>
            <w:r>
              <w:t xml:space="preserve">overstepping the path of right</w:t>
            </w:r>
          </w:p>
        </w:tc>
        <w:tc>
          <w:tcPr/>
          <w:p>
            <w:pPr>
              <w:pStyle w:val="Compact"/>
              <w:jc w:val="left"/>
            </w:pPr>
            <w:r>
              <w:t xml:space="preserve">dominance through aggression</w:t>
            </w:r>
          </w:p>
        </w:tc>
        <w:tc>
          <w:tcPr/>
          <w:p>
            <w:pPr>
              <w:pStyle w:val="Compact"/>
              <w:jc w:val="left"/>
            </w:pPr>
            <w:r>
              <w:t xml:space="preserve">aggressive action with intent to oppress</w:t>
            </w:r>
          </w:p>
        </w:tc>
      </w:tr>
      <w:tr>
        <w:tc>
          <w:tcPr/>
          <w:p>
            <w:pPr>
              <w:pStyle w:val="Compact"/>
              <w:jc w:val="center"/>
            </w:pPr>
            <w:r>
              <w:t xml:space="preserve">6</w:t>
            </w:r>
          </w:p>
        </w:tc>
        <w:tc>
          <w:tcPr/>
          <w:p>
            <w:pPr>
              <w:pStyle w:val="Compact"/>
              <w:jc w:val="center"/>
            </w:pPr>
            <w:r>
              <w:t xml:space="preserve">ṭ-gh-y</w:t>
            </w:r>
          </w:p>
        </w:tc>
        <w:tc>
          <w:tcPr/>
          <w:p>
            <w:pPr>
              <w:pStyle w:val="Compact"/>
              <w:jc w:val="left"/>
            </w:pPr>
            <w:r>
              <w:t xml:space="preserve">overflow of water past its bank</w:t>
            </w:r>
          </w:p>
        </w:tc>
        <w:tc>
          <w:tcPr/>
          <w:p>
            <w:pPr>
              <w:pStyle w:val="Compact"/>
              <w:jc w:val="left"/>
            </w:pPr>
            <w:r>
              <w:t xml:space="preserve">crossing the permitted measure</w:t>
            </w:r>
          </w:p>
        </w:tc>
        <w:tc>
          <w:tcPr/>
          <w:p>
            <w:pPr>
              <w:pStyle w:val="Compact"/>
              <w:jc w:val="left"/>
            </w:pPr>
            <w:r>
              <w:t xml:space="preserve">severe transgression of the limit</w:t>
            </w:r>
          </w:p>
        </w:tc>
        <w:tc>
          <w:tcPr/>
          <w:p>
            <w:pPr>
              <w:pStyle w:val="Compact"/>
              <w:jc w:val="left"/>
            </w:pPr>
            <w:r>
              <w:t xml:space="preserve">rebellious shattering of normative bounds</w:t>
            </w:r>
          </w:p>
        </w:tc>
      </w:tr>
      <w:tr>
        <w:tc>
          <w:tcPr/>
          <w:p>
            <w:pPr>
              <w:pStyle w:val="Compact"/>
              <w:jc w:val="center"/>
            </w:pPr>
            <w:r>
              <w:t xml:space="preserve">6</w:t>
            </w:r>
          </w:p>
        </w:tc>
        <w:tc>
          <w:tcPr/>
          <w:p>
            <w:pPr>
              <w:pStyle w:val="Compact"/>
              <w:jc w:val="center"/>
            </w:pPr>
            <w:r>
              <w:t xml:space="preserve">ʿ-t-w</w:t>
            </w:r>
          </w:p>
        </w:tc>
        <w:tc>
          <w:tcPr/>
          <w:p>
            <w:pPr>
              <w:pStyle w:val="Compact"/>
              <w:jc w:val="left"/>
            </w:pPr>
            <w:r>
              <w:t xml:space="preserve">severe rebellion with arrogance</w:t>
            </w:r>
          </w:p>
        </w:tc>
        <w:tc>
          <w:tcPr/>
          <w:p>
            <w:pPr>
              <w:pStyle w:val="Compact"/>
              <w:jc w:val="left"/>
            </w:pPr>
            <w:r>
              <w:t xml:space="preserve">extreme self-aggrandisement in disobedience</w:t>
            </w:r>
          </w:p>
        </w:tc>
        <w:tc>
          <w:tcPr/>
          <w:p>
            <w:pPr>
              <w:pStyle w:val="Compact"/>
              <w:jc w:val="left"/>
            </w:pPr>
            <w:r>
              <w:t xml:space="preserve">obstinate excess attached to</w:t>
            </w:r>
            <w:r>
              <w:t xml:space="preserve"> </w:t>
            </w:r>
            <w:r>
              <w:rPr>
                <w:i/>
                <w:iCs/>
              </w:rPr>
              <w:t xml:space="preserve">istikbār</w:t>
            </w:r>
          </w:p>
        </w:tc>
        <w:tc>
          <w:tcPr/>
          <w:p>
            <w:pPr>
              <w:pStyle w:val="Compact"/>
              <w:jc w:val="left"/>
            </w:pPr>
            <w:r>
              <w:t xml:space="preserve">entrenched rebellious posture (a property of moral character)</w:t>
            </w:r>
          </w:p>
        </w:tc>
      </w:tr>
    </w:tbl>
    <w:p>
      <w:pPr>
        <w:pStyle w:val="BodyText"/>
      </w:pPr>
      <w:r>
        <w:t xml:space="preserve">The table shows that the ordering from</w:t>
      </w:r>
      <w:r>
        <w:t xml:space="preserve"> </w:t>
      </w:r>
      <w:r>
        <w:rPr>
          <w:i/>
          <w:iCs/>
        </w:rPr>
        <w:t xml:space="preserve">uff</w:t>
      </w:r>
      <w:r>
        <w:t xml:space="preserve"> </w:t>
      </w:r>
      <w:r>
        <w:t xml:space="preserve">to</w:t>
      </w:r>
      <w:r>
        <w:t xml:space="preserve"> </w:t>
      </w:r>
      <w:r>
        <w:rPr>
          <w:i/>
          <w:iCs/>
        </w:rPr>
        <w:t xml:space="preserve">ʿutuww</w:t>
      </w:r>
      <w:r>
        <w:t xml:space="preserve"> </w:t>
      </w:r>
      <w:r>
        <w:t xml:space="preserve">is not the construction of the present analysis but is internally encoded in the lexicographic tradition itself: the four authoritative lexica already gloss each root with progressively more externalised and structural meanings, ascending from the murmured</w:t>
      </w:r>
      <w:r>
        <w:t xml:space="preserve"> </w:t>
      </w:r>
      <w:r>
        <w:rPr>
          <w:i/>
          <w:iCs/>
        </w:rPr>
        <w:t xml:space="preserve">uff</w:t>
      </w:r>
      <w:r>
        <w:t xml:space="preserve">, through inner</w:t>
      </w:r>
      <w:r>
        <w:t xml:space="preserve"> </w:t>
      </w:r>
      <w:r>
        <w:rPr>
          <w:i/>
          <w:iCs/>
        </w:rPr>
        <w:t xml:space="preserve">karāha</w:t>
      </w:r>
      <w:r>
        <w:t xml:space="preserve">,</w:t>
      </w:r>
      <w:r>
        <w:t xml:space="preserve"> </w:t>
      </w:r>
      <w:r>
        <w:rPr>
          <w:i/>
          <w:iCs/>
        </w:rPr>
        <w:t xml:space="preserve">ḍīq</w:t>
      </w:r>
      <w:r>
        <w:t xml:space="preserve">, and</w:t>
      </w:r>
      <w:r>
        <w:t xml:space="preserve"> </w:t>
      </w:r>
      <w:r>
        <w:rPr>
          <w:i/>
          <w:iCs/>
        </w:rPr>
        <w:t xml:space="preserve">ḥuzn</w:t>
      </w:r>
      <w:r>
        <w:t xml:space="preserve">, through evaluative</w:t>
      </w:r>
      <w:r>
        <w:t xml:space="preserve"> </w:t>
      </w:r>
      <w:r>
        <w:rPr>
          <w:i/>
          <w:iCs/>
        </w:rPr>
        <w:t xml:space="preserve">naqm</w:t>
      </w:r>
      <w:r>
        <w:t xml:space="preserve">/</w:t>
      </w:r>
      <w:r>
        <w:rPr>
          <w:i/>
          <w:iCs/>
        </w:rPr>
        <w:t xml:space="preserve">sakhaṭ</w:t>
      </w:r>
      <w:r>
        <w:t xml:space="preserve">/</w:t>
      </w:r>
      <w:r>
        <w:rPr>
          <w:i/>
          <w:iCs/>
        </w:rPr>
        <w:t xml:space="preserve">maqt</w:t>
      </w:r>
      <w:r>
        <w:t xml:space="preserve">, to active</w:t>
      </w:r>
      <w:r>
        <w:t xml:space="preserve"> </w:t>
      </w:r>
      <w:r>
        <w:rPr>
          <w:i/>
          <w:iCs/>
        </w:rPr>
        <w:t xml:space="preserve">ghaḍab</w:t>
      </w:r>
      <w:r>
        <w:t xml:space="preserve">/</w:t>
      </w:r>
      <w:r>
        <w:rPr>
          <w:i/>
          <w:iCs/>
        </w:rPr>
        <w:t xml:space="preserve">ḥard</w:t>
      </w:r>
      <w:r>
        <w:t xml:space="preserve">, to compressed</w:t>
      </w:r>
      <w:r>
        <w:t xml:space="preserve"> </w:t>
      </w:r>
      <w:r>
        <w:rPr>
          <w:i/>
          <w:iCs/>
        </w:rPr>
        <w:t xml:space="preserve">ghayẓ</w:t>
      </w:r>
      <w:r>
        <w:t xml:space="preserve">, and into the externalised behavioural pole at</w:t>
      </w:r>
      <w:r>
        <w:t xml:space="preserve"> </w:t>
      </w:r>
      <w:r>
        <w:rPr>
          <w:i/>
          <w:iCs/>
        </w:rPr>
        <w:t xml:space="preserve">baghy</w:t>
      </w:r>
      <w:r>
        <w:t xml:space="preserve">/</w:t>
      </w:r>
      <w:r>
        <w:rPr>
          <w:i/>
          <w:iCs/>
        </w:rPr>
        <w:t xml:space="preserve">ṭughyān</w:t>
      </w:r>
      <w:r>
        <w:t xml:space="preserve">/</w:t>
      </w:r>
      <w:r>
        <w:rPr>
          <w:i/>
          <w:iCs/>
        </w:rPr>
        <w:t xml:space="preserve">ʿutuww</w:t>
      </w:r>
      <w:r>
        <w:t xml:space="preserve">.</w:t>
      </w:r>
    </w:p>
    <w:bookmarkEnd w:id="85"/>
    <w:bookmarkStart w:id="97" w:name="distributional-summary"/>
    <w:p>
      <w:pPr>
        <w:pStyle w:val="Heading3"/>
      </w:pPr>
      <w:r>
        <w:t xml:space="preserve">4.2. Distributional summary</w:t>
      </w:r>
    </w:p>
    <w:p>
      <w:pPr>
        <w:pStyle w:val="FirstParagraph"/>
      </w:pPr>
      <w:r>
        <w:t xml:space="preserve">Table 2 reports the principal distributional facts for the fourteen core roots. The table integrates frequency, Meccan/Medinan split, and (for the roots with sufficient morphological variation) morphological profile; it forms the empirical backbone of the analyses that follow.</w:t>
      </w:r>
    </w:p>
    <w:p>
      <w:pPr>
        <w:pStyle w:val="BodyText"/>
      </w:pPr>
      <w:r>
        <w:t xml:space="preserve">Figures 2 and 3 visualise the distributional profile graphically: Figure 2 reports per-root frequency and the per-stage stage-totals; Figure 3 plots the Meccan/Medinan distribution and highlights the four discursively-specialised roots (</w:t>
      </w:r>
      <w:r>
        <w:rPr>
          <w:i/>
          <w:iCs/>
        </w:rPr>
        <w:t xml:space="preserve">sakhaṭ</w:t>
      </w:r>
      <w:r>
        <w:t xml:space="preserve">,</w:t>
      </w:r>
      <w:r>
        <w:t xml:space="preserve"> </w:t>
      </w:r>
      <w:r>
        <w:rPr>
          <w:i/>
          <w:iCs/>
        </w:rPr>
        <w:t xml:space="preserve">asaf</w:t>
      </w:r>
      <w:r>
        <w:t xml:space="preserve">,</w:t>
      </w:r>
      <w:r>
        <w:t xml:space="preserve"> </w:t>
      </w:r>
      <w:r>
        <w:rPr>
          <w:i/>
          <w:iCs/>
        </w:rPr>
        <w:t xml:space="preserve">naqm</w:t>
      </w:r>
      <w:r>
        <w:t xml:space="preserve">,</w:t>
      </w:r>
      <w:r>
        <w:t xml:space="preserve"> </w:t>
      </w:r>
      <w:r>
        <w:rPr>
          <w:i/>
          <w:iCs/>
        </w:rPr>
        <w:t xml:space="preserve">ʿutuww</w:t>
      </w:r>
      <w:r>
        <w:t xml:space="preserve">) discussed below. Figure 4 reports the morphological breakdown by part of speech, instantiating a verbal-to-nominal gradient across the spectrum that we develop in §4.6.1 below.</w:t>
      </w:r>
    </w:p>
    <w:p>
      <w:pPr>
        <w:pStyle w:val="BodyText"/>
      </w:pPr>
      <w:r>
        <w:rPr>
          <w:b/>
          <w:bCs/>
        </w:rPr>
        <w:t xml:space="preserve">Table 2. Distributional profile of the fourteen core roots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Stage</w:t>
            </w:r>
          </w:p>
        </w:tc>
        <w:tc>
          <w:tcPr/>
          <w:p>
            <w:pPr>
              <w:pStyle w:val="Compact"/>
              <w:jc w:val="center"/>
            </w:pPr>
            <w:r>
              <w:t xml:space="preserve">Root</w:t>
            </w:r>
          </w:p>
        </w:tc>
        <w:tc>
          <w:tcPr/>
          <w:p>
            <w:pPr>
              <w:pStyle w:val="Compact"/>
              <w:jc w:val="center"/>
            </w:pPr>
            <w:r>
              <w:t xml:space="preserve">Total</w:t>
            </w:r>
          </w:p>
        </w:tc>
        <w:tc>
          <w:tcPr/>
          <w:p>
            <w:pPr>
              <w:pStyle w:val="Compact"/>
              <w:jc w:val="center"/>
            </w:pPr>
            <w:r>
              <w:t xml:space="preserve">Meccan</w:t>
            </w:r>
          </w:p>
        </w:tc>
        <w:tc>
          <w:tcPr/>
          <w:p>
            <w:pPr>
              <w:pStyle w:val="Compact"/>
              <w:jc w:val="center"/>
            </w:pPr>
            <w:r>
              <w:t xml:space="preserve">Medinan</w:t>
            </w:r>
          </w:p>
        </w:tc>
        <w:tc>
          <w:tcPr/>
          <w:p>
            <w:pPr>
              <w:pStyle w:val="Compact"/>
              <w:jc w:val="left"/>
            </w:pPr>
            <w:r>
              <w:t xml:space="preserve">Notes</w:t>
            </w:r>
          </w:p>
        </w:tc>
      </w:tr>
      <w:tr>
        <w:tc>
          <w:tcPr/>
          <w:p>
            <w:pPr>
              <w:pStyle w:val="Compact"/>
              <w:jc w:val="center"/>
            </w:pPr>
            <w:r>
              <w:t xml:space="preserve">1</w:t>
            </w:r>
          </w:p>
        </w:tc>
        <w:tc>
          <w:tcPr/>
          <w:p>
            <w:pPr>
              <w:pStyle w:val="Compact"/>
              <w:jc w:val="center"/>
            </w:pPr>
            <w:r>
              <w:t xml:space="preserve">ʾff (أف)</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w:t>
            </w:r>
          </w:p>
        </w:tc>
        <w:tc>
          <w:tcPr/>
          <w:p>
            <w:pPr>
              <w:pStyle w:val="Compact"/>
              <w:jc w:val="left"/>
            </w:pPr>
            <w:r>
              <w:t xml:space="preserve">All Meccan; lowest tier of verbal displeasure</w:t>
            </w:r>
          </w:p>
        </w:tc>
      </w:tr>
      <w:tr>
        <w:tc>
          <w:tcPr/>
          <w:p>
            <w:pPr>
              <w:pStyle w:val="Compact"/>
              <w:jc w:val="center"/>
            </w:pPr>
            <w:r>
              <w:t xml:space="preserve">1</w:t>
            </w:r>
          </w:p>
        </w:tc>
        <w:tc>
          <w:tcPr/>
          <w:p>
            <w:pPr>
              <w:pStyle w:val="Compact"/>
              <w:jc w:val="center"/>
            </w:pPr>
            <w:r>
              <w:t xml:space="preserve">krh (كره)</w:t>
            </w:r>
          </w:p>
        </w:tc>
        <w:tc>
          <w:tcPr/>
          <w:p>
            <w:pPr>
              <w:pStyle w:val="Compact"/>
              <w:jc w:val="center"/>
            </w:pPr>
            <w:r>
              <w:t xml:space="preserve">41</w:t>
            </w:r>
          </w:p>
        </w:tc>
        <w:tc>
          <w:tcPr/>
          <w:p>
            <w:pPr>
              <w:pStyle w:val="Compact"/>
              <w:jc w:val="center"/>
            </w:pPr>
            <w:r>
              <w:t xml:space="preserve">14</w:t>
            </w:r>
          </w:p>
        </w:tc>
        <w:tc>
          <w:tcPr/>
          <w:p>
            <w:pPr>
              <w:pStyle w:val="Compact"/>
              <w:jc w:val="center"/>
            </w:pPr>
            <w:r>
              <w:t xml:space="preserve">27</w:t>
            </w:r>
          </w:p>
        </w:tc>
        <w:tc>
          <w:tcPr/>
          <w:p>
            <w:pPr>
              <w:pStyle w:val="Compact"/>
              <w:jc w:val="left"/>
            </w:pPr>
            <w:r>
              <w:t xml:space="preserve">Medinan-tilted (</w:t>
            </w:r>
            <w:r>
              <w:rPr>
                <w:i/>
                <w:iCs/>
              </w:rPr>
              <w:t xml:space="preserve">p</w:t>
            </w:r>
            <w:r>
              <w:t xml:space="preserve"> </w:t>
            </w:r>
            <w:r>
              <w:t xml:space="preserve">= 0.005); twofold</w:t>
            </w:r>
            <w:r>
              <w:t xml:space="preserve"> </w:t>
            </w:r>
            <w:r>
              <w:rPr>
                <w:i/>
                <w:iCs/>
              </w:rPr>
              <w:t xml:space="preserve">karāha</w:t>
            </w:r>
            <w:r>
              <w:t xml:space="preserve">/</w:t>
            </w:r>
            <w:r>
              <w:rPr>
                <w:i/>
                <w:iCs/>
              </w:rPr>
              <w:t xml:space="preserve">ikrāh</w:t>
            </w:r>
          </w:p>
        </w:tc>
      </w:tr>
      <w:tr>
        <w:tc>
          <w:tcPr/>
          <w:p>
            <w:pPr>
              <w:pStyle w:val="Compact"/>
              <w:jc w:val="center"/>
            </w:pPr>
            <w:r>
              <w:t xml:space="preserve">2</w:t>
            </w:r>
          </w:p>
        </w:tc>
        <w:tc>
          <w:tcPr/>
          <w:p>
            <w:pPr>
              <w:pStyle w:val="Compact"/>
              <w:jc w:val="center"/>
            </w:pPr>
            <w:r>
              <w:t xml:space="preserve">ḍyq (ضيق)</w:t>
            </w:r>
          </w:p>
        </w:tc>
        <w:tc>
          <w:tcPr/>
          <w:p>
            <w:pPr>
              <w:pStyle w:val="Compact"/>
              <w:jc w:val="center"/>
            </w:pPr>
            <w:r>
              <w:t xml:space="preserve">13</w:t>
            </w:r>
          </w:p>
        </w:tc>
        <w:tc>
          <w:tcPr/>
          <w:p>
            <w:pPr>
              <w:pStyle w:val="Compact"/>
              <w:jc w:val="center"/>
            </w:pPr>
            <w:r>
              <w:t xml:space="preserve">9</w:t>
            </w:r>
          </w:p>
        </w:tc>
        <w:tc>
          <w:tcPr/>
          <w:p>
            <w:pPr>
              <w:pStyle w:val="Compact"/>
              <w:jc w:val="center"/>
            </w:pPr>
            <w:r>
              <w:t xml:space="preserve">4</w:t>
            </w:r>
          </w:p>
        </w:tc>
        <w:tc>
          <w:tcPr/>
          <w:p>
            <w:pPr>
              <w:pStyle w:val="Compact"/>
              <w:jc w:val="left"/>
            </w:pPr>
            <w:r>
              <w:t xml:space="preserve">Inner constriction (</w:t>
            </w:r>
            <w:r>
              <w:rPr>
                <w:i/>
                <w:iCs/>
              </w:rPr>
              <w:t xml:space="preserve">ḍīq al-ṣadr</w:t>
            </w:r>
            <w:r>
              <w:t xml:space="preserve">;</w:t>
            </w:r>
            <w:r>
              <w:t xml:space="preserve"> </w:t>
            </w:r>
            <w:r>
              <w:rPr>
                <w:i/>
                <w:iCs/>
              </w:rPr>
              <w:t xml:space="preserve">ḍāqa dharʿan</w:t>
            </w:r>
            <w:r>
              <w:t xml:space="preserve">)</w:t>
            </w:r>
          </w:p>
        </w:tc>
      </w:tr>
      <w:tr>
        <w:tc>
          <w:tcPr/>
          <w:p>
            <w:pPr>
              <w:pStyle w:val="Compact"/>
              <w:jc w:val="center"/>
            </w:pPr>
            <w:r>
              <w:t xml:space="preserve">2</w:t>
            </w:r>
          </w:p>
        </w:tc>
        <w:tc>
          <w:tcPr/>
          <w:p>
            <w:pPr>
              <w:pStyle w:val="Compact"/>
              <w:jc w:val="center"/>
            </w:pPr>
            <w:r>
              <w:t xml:space="preserve">ḥzn (حزن)</w:t>
            </w:r>
          </w:p>
        </w:tc>
        <w:tc>
          <w:tcPr/>
          <w:p>
            <w:pPr>
              <w:pStyle w:val="Compact"/>
              <w:jc w:val="center"/>
            </w:pPr>
            <w:r>
              <w:t xml:space="preserve">42</w:t>
            </w:r>
          </w:p>
        </w:tc>
        <w:tc>
          <w:tcPr/>
          <w:p>
            <w:pPr>
              <w:pStyle w:val="Compact"/>
              <w:jc w:val="center"/>
            </w:pPr>
            <w:r>
              <w:t xml:space="preserve">26</w:t>
            </w:r>
          </w:p>
        </w:tc>
        <w:tc>
          <w:tcPr/>
          <w:p>
            <w:pPr>
              <w:pStyle w:val="Compact"/>
              <w:jc w:val="center"/>
            </w:pPr>
            <w:r>
              <w:t xml:space="preserve">16</w:t>
            </w:r>
          </w:p>
        </w:tc>
        <w:tc>
          <w:tcPr/>
          <w:p>
            <w:pPr>
              <w:pStyle w:val="Compact"/>
              <w:jc w:val="left"/>
            </w:pPr>
            <w:r>
              <w:t xml:space="preserve">Most frequent Stage-2 lexeme; valence transversal (see §4.4.2)</w:t>
            </w:r>
          </w:p>
        </w:tc>
      </w:tr>
      <w:tr>
        <w:tc>
          <w:tcPr/>
          <w:p>
            <w:pPr>
              <w:pStyle w:val="Compact"/>
              <w:jc w:val="center"/>
            </w:pPr>
            <w:r>
              <w:t xml:space="preserve">2</w:t>
            </w:r>
          </w:p>
        </w:tc>
        <w:tc>
          <w:tcPr/>
          <w:p>
            <w:pPr>
              <w:pStyle w:val="Compact"/>
              <w:jc w:val="center"/>
            </w:pPr>
            <w:r>
              <w:t xml:space="preserve">ʾsf (أسف)</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0</w:t>
            </w:r>
          </w:p>
        </w:tc>
        <w:tc>
          <w:tcPr/>
          <w:p>
            <w:pPr>
              <w:pStyle w:val="Compact"/>
              <w:jc w:val="left"/>
            </w:pPr>
            <w:r>
              <w:t xml:space="preserve">Exclusively Meccan</w:t>
            </w:r>
          </w:p>
        </w:tc>
      </w:tr>
      <w:tr>
        <w:tc>
          <w:tcPr/>
          <w:p>
            <w:pPr>
              <w:pStyle w:val="Compact"/>
              <w:jc w:val="center"/>
            </w:pPr>
            <w:r>
              <w:t xml:space="preserve">3</w:t>
            </w:r>
          </w:p>
        </w:tc>
        <w:tc>
          <w:tcPr/>
          <w:p>
            <w:pPr>
              <w:pStyle w:val="Compact"/>
              <w:jc w:val="center"/>
            </w:pPr>
            <w:r>
              <w:t xml:space="preserve">nqm (نقم)</w:t>
            </w:r>
          </w:p>
        </w:tc>
        <w:tc>
          <w:tcPr/>
          <w:p>
            <w:pPr>
              <w:pStyle w:val="Compact"/>
              <w:jc w:val="center"/>
            </w:pPr>
            <w:r>
              <w:t xml:space="preserve">17</w:t>
            </w:r>
          </w:p>
        </w:tc>
        <w:tc>
          <w:tcPr/>
          <w:p>
            <w:pPr>
              <w:pStyle w:val="Compact"/>
              <w:jc w:val="center"/>
            </w:pPr>
            <w:r>
              <w:t xml:space="preserve">12</w:t>
            </w:r>
          </w:p>
        </w:tc>
        <w:tc>
          <w:tcPr/>
          <w:p>
            <w:pPr>
              <w:pStyle w:val="Compact"/>
              <w:jc w:val="center"/>
            </w:pPr>
            <w:r>
              <w:t xml:space="preserve">5</w:t>
            </w:r>
          </w:p>
        </w:tc>
        <w:tc>
          <w:tcPr/>
          <w:p>
            <w:pPr>
              <w:pStyle w:val="Compact"/>
              <w:jc w:val="left"/>
            </w:pPr>
            <w:r>
              <w:t xml:space="preserve">Meccan-tilted; vengeful disapproval; cf. </w:t>
            </w:r>
            <w:r>
              <w:rPr>
                <w:i/>
                <w:iCs/>
              </w:rPr>
              <w:t xml:space="preserve">al-muntaqim</w:t>
            </w:r>
          </w:p>
        </w:tc>
      </w:tr>
      <w:tr>
        <w:tc>
          <w:tcPr/>
          <w:p>
            <w:pPr>
              <w:pStyle w:val="Compact"/>
              <w:jc w:val="center"/>
            </w:pPr>
            <w:r>
              <w:t xml:space="preserve">3</w:t>
            </w:r>
          </w:p>
        </w:tc>
        <w:tc>
          <w:tcPr/>
          <w:p>
            <w:pPr>
              <w:pStyle w:val="Compact"/>
              <w:jc w:val="center"/>
            </w:pPr>
            <w:r>
              <w:t xml:space="preserve">sxṭ (سخط)</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4</w:t>
            </w:r>
          </w:p>
        </w:tc>
        <w:tc>
          <w:tcPr/>
          <w:p>
            <w:pPr>
              <w:pStyle w:val="Compact"/>
              <w:jc w:val="left"/>
            </w:pPr>
            <w:r>
              <w:t xml:space="preserve">Exclusively Medinan (</w:t>
            </w:r>
            <w:r>
              <w:rPr>
                <w:i/>
                <w:iCs/>
              </w:rPr>
              <w:t xml:space="preserve">p</w:t>
            </w:r>
            <w:r>
              <w:t xml:space="preserve"> </w:t>
            </w:r>
            <w:r>
              <w:t xml:space="preserve">= 0.005); see baseline-sensitivity analysis in §4.5.2</w:t>
            </w:r>
          </w:p>
        </w:tc>
      </w:tr>
      <w:tr>
        <w:tc>
          <w:tcPr/>
          <w:p>
            <w:pPr>
              <w:pStyle w:val="Compact"/>
              <w:jc w:val="center"/>
            </w:pPr>
            <w:r>
              <w:t xml:space="preserve">3</w:t>
            </w:r>
          </w:p>
        </w:tc>
        <w:tc>
          <w:tcPr/>
          <w:p>
            <w:pPr>
              <w:pStyle w:val="Compact"/>
              <w:jc w:val="center"/>
            </w:pPr>
            <w:r>
              <w:t xml:space="preserve">mqt (مقت)</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left"/>
            </w:pPr>
            <w:r>
              <w:t xml:space="preserve">Most intense moral aversion (Zajjāj)</w:t>
            </w:r>
          </w:p>
        </w:tc>
      </w:tr>
      <w:tr>
        <w:tc>
          <w:tcPr/>
          <w:p>
            <w:pPr>
              <w:pStyle w:val="Compact"/>
              <w:jc w:val="center"/>
            </w:pPr>
            <w:r>
              <w:t xml:space="preserve">4</w:t>
            </w:r>
          </w:p>
        </w:tc>
        <w:tc>
          <w:tcPr/>
          <w:p>
            <w:pPr>
              <w:pStyle w:val="Compact"/>
              <w:jc w:val="center"/>
            </w:pPr>
            <w:r>
              <w:t xml:space="preserve">ġḍb (غضب)</w:t>
            </w:r>
          </w:p>
        </w:tc>
        <w:tc>
          <w:tcPr/>
          <w:p>
            <w:pPr>
              <w:pStyle w:val="Compact"/>
              <w:jc w:val="center"/>
            </w:pPr>
            <w:r>
              <w:t xml:space="preserve">24</w:t>
            </w:r>
          </w:p>
        </w:tc>
        <w:tc>
          <w:tcPr/>
          <w:p>
            <w:pPr>
              <w:pStyle w:val="Compact"/>
              <w:jc w:val="center"/>
            </w:pPr>
            <w:r>
              <w:t xml:space="preserve">13</w:t>
            </w:r>
          </w:p>
        </w:tc>
        <w:tc>
          <w:tcPr/>
          <w:p>
            <w:pPr>
              <w:pStyle w:val="Compact"/>
              <w:jc w:val="center"/>
            </w:pPr>
            <w:r>
              <w:t xml:space="preserve">11</w:t>
            </w:r>
          </w:p>
        </w:tc>
        <w:tc>
          <w:tcPr/>
          <w:p>
            <w:pPr>
              <w:pStyle w:val="Compact"/>
              <w:jc w:val="left"/>
            </w:pPr>
            <w:r>
              <w:t xml:space="preserve">Central anger lexeme; predicated of God, prophets, believers</w:t>
            </w:r>
          </w:p>
        </w:tc>
      </w:tr>
      <w:tr>
        <w:tc>
          <w:tcPr/>
          <w:p>
            <w:pPr>
              <w:pStyle w:val="Compact"/>
              <w:jc w:val="center"/>
            </w:pPr>
            <w:r>
              <w:t xml:space="preserve">4</w:t>
            </w:r>
          </w:p>
        </w:tc>
        <w:tc>
          <w:tcPr/>
          <w:p>
            <w:pPr>
              <w:pStyle w:val="Compact"/>
              <w:jc w:val="center"/>
            </w:pPr>
            <w:r>
              <w:t xml:space="preserve">ḥrd (حرد)</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left"/>
            </w:pPr>
            <w:r>
              <w:t xml:space="preserve">Qur’anic hapax: Q. 68:25</w:t>
            </w:r>
          </w:p>
        </w:tc>
      </w:tr>
      <w:tr>
        <w:tc>
          <w:tcPr/>
          <w:p>
            <w:pPr>
              <w:pStyle w:val="Compact"/>
              <w:jc w:val="center"/>
            </w:pPr>
            <w:r>
              <w:t xml:space="preserve">5</w:t>
            </w:r>
          </w:p>
        </w:tc>
        <w:tc>
          <w:tcPr/>
          <w:p>
            <w:pPr>
              <w:pStyle w:val="Compact"/>
              <w:jc w:val="center"/>
            </w:pPr>
            <w:r>
              <w:t xml:space="preserve">ġyẓ (غيظ)</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8</w:t>
            </w:r>
          </w:p>
        </w:tc>
        <w:tc>
          <w:tcPr/>
          <w:p>
            <w:pPr>
              <w:pStyle w:val="Compact"/>
              <w:jc w:val="left"/>
            </w:pPr>
            <w:r>
              <w:t xml:space="preserve">Compressed anger;</w:t>
            </w:r>
            <w:r>
              <w:t xml:space="preserve"> </w:t>
            </w:r>
            <w:r>
              <w:rPr>
                <w:i/>
                <w:iCs/>
              </w:rPr>
              <w:t xml:space="preserve">tamayyuz</w:t>
            </w:r>
            <w:r>
              <w:t xml:space="preserve"> </w:t>
            </w:r>
            <w:r>
              <w:t xml:space="preserve">manifestation (Q. 67:8)</w:t>
            </w:r>
          </w:p>
        </w:tc>
      </w:tr>
      <w:tr>
        <w:tc>
          <w:tcPr/>
          <w:p>
            <w:pPr>
              <w:pStyle w:val="Compact"/>
              <w:jc w:val="center"/>
            </w:pPr>
            <w:r>
              <w:t xml:space="preserve">6</w:t>
            </w:r>
          </w:p>
        </w:tc>
        <w:tc>
          <w:tcPr/>
          <w:p>
            <w:pPr>
              <w:pStyle w:val="Compact"/>
              <w:jc w:val="center"/>
            </w:pPr>
            <w:r>
              <w:t xml:space="preserve">bġy (بغي)</w:t>
            </w:r>
          </w:p>
        </w:tc>
        <w:tc>
          <w:tcPr/>
          <w:p>
            <w:pPr>
              <w:pStyle w:val="Compact"/>
              <w:jc w:val="center"/>
            </w:pPr>
            <w:r>
              <w:t xml:space="preserve">96</w:t>
            </w:r>
          </w:p>
        </w:tc>
        <w:tc>
          <w:tcPr/>
          <w:p>
            <w:pPr>
              <w:pStyle w:val="Compact"/>
              <w:jc w:val="center"/>
            </w:pPr>
            <w:r>
              <w:t xml:space="preserve">55</w:t>
            </w:r>
          </w:p>
        </w:tc>
        <w:tc>
          <w:tcPr/>
          <w:p>
            <w:pPr>
              <w:pStyle w:val="Compact"/>
              <w:jc w:val="center"/>
            </w:pPr>
            <w:r>
              <w:t xml:space="preserve">41</w:t>
            </w:r>
          </w:p>
        </w:tc>
        <w:tc>
          <w:tcPr/>
          <w:p>
            <w:pPr>
              <w:pStyle w:val="Compact"/>
              <w:jc w:val="left"/>
            </w:pPr>
            <w:r>
              <w:t xml:space="preserve">Bridge node; bidirectional causation (see §4.8.5)</w:t>
            </w:r>
          </w:p>
        </w:tc>
      </w:tr>
      <w:tr>
        <w:tc>
          <w:tcPr/>
          <w:p>
            <w:pPr>
              <w:pStyle w:val="Compact"/>
              <w:jc w:val="center"/>
            </w:pPr>
            <w:r>
              <w:t xml:space="preserve">6</w:t>
            </w:r>
          </w:p>
        </w:tc>
        <w:tc>
          <w:tcPr/>
          <w:p>
            <w:pPr>
              <w:pStyle w:val="Compact"/>
              <w:jc w:val="center"/>
            </w:pPr>
            <w:r>
              <w:t xml:space="preserve">ṭġy (طغي)</w:t>
            </w:r>
          </w:p>
        </w:tc>
        <w:tc>
          <w:tcPr/>
          <w:p>
            <w:pPr>
              <w:pStyle w:val="Compact"/>
              <w:jc w:val="center"/>
            </w:pPr>
            <w:r>
              <w:t xml:space="preserve">39</w:t>
            </w:r>
          </w:p>
        </w:tc>
        <w:tc>
          <w:tcPr/>
          <w:p>
            <w:pPr>
              <w:pStyle w:val="Compact"/>
              <w:jc w:val="center"/>
            </w:pPr>
            <w:r>
              <w:t xml:space="preserve">29</w:t>
            </w:r>
          </w:p>
        </w:tc>
        <w:tc>
          <w:tcPr/>
          <w:p>
            <w:pPr>
              <w:pStyle w:val="Compact"/>
              <w:jc w:val="center"/>
            </w:pPr>
            <w:r>
              <w:t xml:space="preserve">10</w:t>
            </w:r>
          </w:p>
        </w:tc>
        <w:tc>
          <w:tcPr/>
          <w:p>
            <w:pPr>
              <w:pStyle w:val="Compact"/>
              <w:jc w:val="left"/>
            </w:pPr>
            <w:r>
              <w:t xml:space="preserve">Pharaonic; structural arrogance</w:t>
            </w:r>
          </w:p>
        </w:tc>
      </w:tr>
      <w:tr>
        <w:tc>
          <w:tcPr/>
          <w:p>
            <w:pPr>
              <w:pStyle w:val="Compact"/>
              <w:jc w:val="center"/>
            </w:pPr>
            <w:r>
              <w:t xml:space="preserve">6</w:t>
            </w:r>
          </w:p>
        </w:tc>
        <w:tc>
          <w:tcPr/>
          <w:p>
            <w:pPr>
              <w:pStyle w:val="Compact"/>
              <w:jc w:val="center"/>
            </w:pPr>
            <w:r>
              <w:t xml:space="preserve">ʿtw (عتو)</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w:t>
            </w:r>
          </w:p>
        </w:tc>
        <w:tc>
          <w:tcPr/>
          <w:p>
            <w:pPr>
              <w:pStyle w:val="Compact"/>
              <w:jc w:val="left"/>
            </w:pPr>
            <w:r>
              <w:t xml:space="preserve">Settled defiance; properly</w:t>
            </w:r>
            <w:r>
              <w:t xml:space="preserve"> </w:t>
            </w:r>
            <w:r>
              <w:rPr>
                <w:i/>
                <w:iCs/>
              </w:rPr>
              <w:t xml:space="preserve">istikbār</w:t>
            </w:r>
            <w:r>
              <w:t xml:space="preserve">-attached</w:t>
            </w:r>
          </w:p>
        </w:tc>
      </w:tr>
      <w:tr>
        <w:tc>
          <w:tcPr/>
          <w:p>
            <w:pPr>
              <w:pStyle w:val="Compact"/>
              <w:jc w:val="center"/>
            </w:pPr>
            <w:r>
              <w:rPr>
                <w:b/>
                <w:bCs/>
              </w:rPr>
              <w:t xml:space="preserve">Σ</w:t>
            </w:r>
          </w:p>
        </w:tc>
        <w:tc>
          <w:tcPr/>
          <w:p>
            <w:pPr>
              <w:pStyle w:val="Compact"/>
              <w:jc w:val="center"/>
            </w:pPr>
            <w:r>
              <w:t xml:space="preserve">—</w:t>
            </w:r>
          </w:p>
        </w:tc>
        <w:tc>
          <w:tcPr/>
          <w:p>
            <w:pPr>
              <w:pStyle w:val="Compact"/>
              <w:jc w:val="center"/>
            </w:pPr>
            <w:r>
              <w:rPr>
                <w:b/>
                <w:bCs/>
              </w:rPr>
              <w:t xml:space="preserve">312</w:t>
            </w:r>
          </w:p>
        </w:tc>
        <w:tc>
          <w:tcPr/>
          <w:p>
            <w:pPr>
              <w:pStyle w:val="Compact"/>
              <w:jc w:val="center"/>
            </w:pPr>
            <w:r>
              <w:rPr>
                <w:b/>
                <w:bCs/>
              </w:rPr>
              <w:t xml:space="preserve">183</w:t>
            </w:r>
          </w:p>
        </w:tc>
        <w:tc>
          <w:tcPr/>
          <w:p>
            <w:pPr>
              <w:pStyle w:val="Compact"/>
              <w:jc w:val="center"/>
            </w:pPr>
            <w:r>
              <w:rPr>
                <w:b/>
                <w:bCs/>
              </w:rPr>
              <w:t xml:space="preserve">129</w:t>
            </w:r>
          </w:p>
        </w:tc>
        <w:tc>
          <w:tcPr/>
          <w:p>
            <w:pPr>
              <w:pStyle w:val="Compact"/>
            </w:pPr>
          </w:p>
        </w:tc>
      </w:tr>
    </w:tbl>
    <w:p>
      <w:pPr>
        <w:pStyle w:val="BodyText"/>
      </w:pPr>
      <w:r>
        <w:t xml:space="preserve">Aggregating across the six stages: Stage 1 = 44; Stage 2 = 60; Stage 3 = 27; Stage 4 = 25; Stage 5 = 11; Stage 6 = 145. The asymptotic chi-squared test against the null of uniform six-stage distribution rejects (χ²(5) = 227.15,</w:t>
      </w:r>
      <w:r>
        <w:t xml:space="preserve"> </w:t>
      </w:r>
      <w:r>
        <w:rPr>
          <w:i/>
          <w:iCs/>
        </w:rPr>
        <w:t xml:space="preserve">p</w:t>
      </w:r>
      <w:r>
        <w:t xml:space="preserve"> </w:t>
      </w:r>
      <w:r>
        <w:t xml:space="preserve">&lt; 0.001), with effect sizes Cramér’s</w:t>
      </w:r>
      <w:r>
        <w:t xml:space="preserve"> </w:t>
      </w:r>
      <w:r>
        <w:rPr>
          <w:i/>
          <w:iCs/>
        </w:rPr>
        <w:t xml:space="preserve">V</w:t>
      </w:r>
      <w:r>
        <w:t xml:space="preserve"> </w:t>
      </w:r>
      <w:r>
        <w:t xml:space="preserve">= 0.38 and Cohen’s</w:t>
      </w:r>
      <w:r>
        <w:t xml:space="preserve"> </w:t>
      </w:r>
      <w:r>
        <w:rPr>
          <w:i/>
          <w:iCs/>
        </w:rPr>
        <w:t xml:space="preserve">w</w:t>
      </w:r>
      <w:r>
        <w:t xml:space="preserve"> </w:t>
      </w:r>
      <w:r>
        <w:t xml:space="preserve">= 0.85 (large effect by Cohen’s conventions). However, an asymptotic χ² on a six-cell distribution with one cell at</w:t>
      </w:r>
      <w:r>
        <w:t xml:space="preserve"> </w:t>
      </w:r>
      <w:r>
        <w:rPr>
          <w:i/>
          <w:iCs/>
        </w:rPr>
        <w:t xml:space="preserve">n</w:t>
      </w:r>
      <w:r>
        <w:t xml:space="preserve"> </w:t>
      </w:r>
      <w:r>
        <w:t xml:space="preserve">= 11 (Stage 5) and another at</w:t>
      </w:r>
      <w:r>
        <w:t xml:space="preserve"> </w:t>
      </w:r>
      <w:r>
        <w:rPr>
          <w:i/>
          <w:iCs/>
        </w:rPr>
        <w:t xml:space="preserve">n</w:t>
      </w:r>
      <w:r>
        <w:t xml:space="preserve"> </w:t>
      </w:r>
      <w:r>
        <w:t xml:space="preserve">= 145 (Stage 6) is not above suspicion: the chi-squared approximation requires expected counts ≥ 5 in every cell (which is met) but is</w:t>
      </w:r>
      <w:r>
        <w:t xml:space="preserve"> </w:t>
      </w:r>
      <w:r>
        <w:rPr>
          <w:i/>
          <w:iCs/>
        </w:rPr>
        <w:t xml:space="preserve">known</w:t>
      </w:r>
      <w:r>
        <w:t xml:space="preserve"> </w:t>
      </w:r>
      <w:r>
        <w:t xml:space="preserve">to be conservative under marginal imbalance.</w:t>
      </w:r>
      <w:r>
        <w:rPr>
          <w:rStyle w:val="FootnoteReference"/>
        </w:rPr>
        <w:footnoteReference w:id="86"/>
      </w:r>
      <w:r>
        <w:t xml:space="preserve"> </w:t>
      </w:r>
      <w:r>
        <w:t xml:space="preserve">We therefore complement the asymptotic test with a</w:t>
      </w:r>
      <w:r>
        <w:t xml:space="preserve"> </w:t>
      </w:r>
      <w:r>
        <w:rPr>
          <w:b/>
          <w:bCs/>
        </w:rPr>
        <w:t xml:space="preserve">marginal-preserving permutation null</w:t>
      </w:r>
      <w:r>
        <w:t xml:space="preserve">: the per-root attestation counts are held fixed and the fourteen stage labels are randomly permuted across roots (10,000 permutations, fixed RNG seed 20260509), yielding the empirical</w:t>
      </w:r>
      <w:r>
        <w:t xml:space="preserve"> </w:t>
      </w:r>
      <w:r>
        <w:rPr>
          <w:i/>
          <w:iCs/>
        </w:rPr>
        <w:t xml:space="preserve">p</w:t>
      </w:r>
      <w:r>
        <w:t xml:space="preserve">-value as the fraction of permuted χ² values that meet or exceed the observed 227.15. The result is</w:t>
      </w:r>
      <w:r>
        <w:t xml:space="preserve"> </w:t>
      </w:r>
      <w:r>
        <w:rPr>
          <w:i/>
          <w:iCs/>
        </w:rPr>
        <w:t xml:space="preserve">p</w:t>
      </w:r>
      <w:r>
        <w:t xml:space="preserve"> </w:t>
      </w:r>
      <w:r>
        <w:t xml:space="preserve">= 0.24 — i.e. under random stage relabelling of the fourteen roots, a χ² statistic this extreme is not unusual, because much of the omnibus’s mass derives from the fact that</w:t>
      </w:r>
      <w:r>
        <w:t xml:space="preserve"> </w:t>
      </w:r>
      <w:r>
        <w:rPr>
          <w:i/>
          <w:iCs/>
        </w:rPr>
        <w:t xml:space="preserve">baghy</w:t>
      </w:r>
      <w:r>
        <w:t xml:space="preserve"> </w:t>
      </w:r>
      <w:r>
        <w:t xml:space="preserve">alone contributes 96 attestations (versus a uniform expectation of ~52 per stage) and would inflate any single-stage cell into which it fell. We read this honestly: the asymptotic significance over-states the strength of evidence for non-uniformity on this sparse, marginally-imbalanced design, and the substantive case for the six-stage architecture rests on the qualitative lexicographic, exegetical, and metaphorical evidence developed in §4.1 and §4.3–§4.8 rather than on the omnibus</w:t>
      </w:r>
      <w:r>
        <w:t xml:space="preserve"> </w:t>
      </w:r>
      <w:r>
        <w:rPr>
          <w:i/>
          <w:iCs/>
        </w:rPr>
        <w:t xml:space="preserve">p</w:t>
      </w:r>
      <w:r>
        <w:t xml:space="preserve">-value alone. We retain the asymptotic χ² as a descriptive statistic with appropriate effect-size reporting, but treat it as</w:t>
      </w:r>
      <w:r>
        <w:t xml:space="preserve"> </w:t>
      </w:r>
      <w:r>
        <w:rPr>
          <w:i/>
          <w:iCs/>
        </w:rPr>
        <w:t xml:space="preserve">consistent with</w:t>
      </w:r>
      <w:r>
        <w:t xml:space="preserve"> </w:t>
      </w:r>
      <w:r>
        <w:t xml:space="preserve">— not as</w:t>
      </w:r>
      <w:r>
        <w:t xml:space="preserve"> </w:t>
      </w:r>
      <w:r>
        <w:rPr>
          <w:i/>
          <w:iCs/>
        </w:rPr>
        <w:t xml:space="preserve">positive evidence for</w:t>
      </w:r>
      <w:r>
        <w:t xml:space="preserve"> </w:t>
      </w:r>
      <w:r>
        <w:t xml:space="preserve">— H1. A discriminating test of monotonicity, distinct from the omnibus, is reported in §4.2.1 below. A complementary chi-squared test against the null of equal split between the phenomenological core (Stages 1–5 = 167 attestations) and the behavioural-outcomes pole (Stage 6 = 145 attestations)</w:t>
      </w:r>
      <w:r>
        <w:t xml:space="preserve"> </w:t>
      </w:r>
      <w:r>
        <w:rPr>
          <w:i/>
          <w:iCs/>
        </w:rPr>
        <w:t xml:space="preserve">fails to reject</w:t>
      </w:r>
      <w:r>
        <w:t xml:space="preserve"> </w:t>
      </w:r>
      <w:r>
        <w:t xml:space="preserve">(χ²(1) = 1.55, Cohen’s</w:t>
      </w:r>
      <w:r>
        <w:t xml:space="preserve"> </w:t>
      </w:r>
      <w:r>
        <w:rPr>
          <w:i/>
          <w:iCs/>
        </w:rPr>
        <w:t xml:space="preserve">w</w:t>
      </w:r>
      <w:r>
        <w:t xml:space="preserve"> </w:t>
      </w:r>
      <w:r>
        <w:t xml:space="preserve">= 0.07 — trivial effect). Because failure to reject a null is</w:t>
      </w:r>
      <w:r>
        <w:t xml:space="preserve"> </w:t>
      </w:r>
      <w:r>
        <w:rPr>
          <w:i/>
          <w:iCs/>
        </w:rPr>
        <w:t xml:space="preserve">absence of evidence of a difference</w:t>
      </w:r>
      <w:r>
        <w:t xml:space="preserve"> </w:t>
      </w:r>
      <w:r>
        <w:t xml:space="preserve">and not evidence of equality, we report this result not as positive corroboration of H2 but as a finding</w:t>
      </w:r>
      <w:r>
        <w:t xml:space="preserve"> </w:t>
      </w:r>
      <w:r>
        <w:rPr>
          <w:i/>
          <w:iCs/>
        </w:rPr>
        <w:t xml:space="preserve">consistent with</w:t>
      </w:r>
      <w:r>
        <w:t xml:space="preserve"> </w:t>
      </w:r>
      <w:r>
        <w:t xml:space="preserve">the reading developed in §4.8.5 and §5.3: the Stage-6 lexemes (</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are not exclusively anger-derived but stand in a</w:t>
      </w:r>
      <w:r>
        <w:t xml:space="preserve"> </w:t>
      </w:r>
      <w:r>
        <w:rPr>
          <w:i/>
          <w:iCs/>
        </w:rPr>
        <w:t xml:space="preserve">bidirectional</w:t>
      </w:r>
      <w:r>
        <w:t xml:space="preserve"> </w:t>
      </w:r>
      <w:r>
        <w:t xml:space="preserve">causal relation to the anger spectrum—anger may produce these behaviours, but the behaviours can equally produce anger (in their victims, the prophets, and the divine response). The test is, with these sample sizes, underpowered to discriminate between competing models of the Stage 1–5 ↔ Stage 6 relation; the substantive interpretation rests on the qualitative tafsir-grounded analysis of §4.8.5, not on the statistical near-balance.</w:t>
      </w:r>
    </w:p>
    <w:bookmarkStart w:id="96" w:name="Xe206a6e1c8ed6f6373fbf795932a50b3b377def"/>
    <w:p>
      <w:pPr>
        <w:pStyle w:val="Heading4"/>
      </w:pPr>
      <w:r>
        <w:t xml:space="preserve">4.2.1. Monotonic-trend tests for the six-stage ordering</w:t>
      </w:r>
    </w:p>
    <w:p>
      <w:pPr>
        <w:pStyle w:val="FirstParagraph"/>
      </w:pPr>
      <w:r>
        <w:t xml:space="preserve">Because the χ²(5) test confirms non-uniformity but says nothing about</w:t>
      </w:r>
      <w:r>
        <w:t xml:space="preserve"> </w:t>
      </w:r>
      <w:r>
        <w:rPr>
          <w:i/>
          <w:iCs/>
        </w:rPr>
        <w:t xml:space="preserve">ordering</w:t>
      </w:r>
      <w:r>
        <w:t xml:space="preserve">, we report three complementary monotonic-trend tests of stage rank against attestation frequency. (i)</w:t>
      </w:r>
      <w:r>
        <w:t xml:space="preserve"> </w:t>
      </w:r>
      <w:r>
        <w:rPr>
          <w:b/>
          <w:bCs/>
        </w:rPr>
        <w:t xml:space="preserve">Spearman rank-correlation</w:t>
      </w:r>
      <w:r>
        <w:t xml:space="preserve"> </w:t>
      </w:r>
      <w:r>
        <w:t xml:space="preserve">between stage index (1–6) and per-stage attestation count is ρ = –0.09 with two-sided asymptotic</w:t>
      </w:r>
      <w:r>
        <w:t xml:space="preserve"> </w:t>
      </w:r>
      <w:r>
        <w:rPr>
          <w:i/>
          <w:iCs/>
        </w:rPr>
        <w:t xml:space="preserve">p</w:t>
      </w:r>
      <w:r>
        <w:t xml:space="preserve"> </w:t>
      </w:r>
      <w:r>
        <w:t xml:space="preserve">= 0.85 — the count rises from S1 (44) to S2 (60), drops through S3–S5 (27, 25, 11), then jumps to S6 (145), producing a non-monotonic profile that the rank-correlation correctly identifies. (ii)</w:t>
      </w:r>
      <w:r>
        <w:t xml:space="preserve"> </w:t>
      </w:r>
      <w:r>
        <w:rPr>
          <w:b/>
          <w:bCs/>
        </w:rPr>
        <w:t xml:space="preserve">Mann-Kendall</w:t>
      </w:r>
      <w:r>
        <w:t xml:space="preserve"> </w:t>
      </w:r>
      <w:r>
        <w:t xml:space="preserve">(small-sample-robust) yields</w:t>
      </w:r>
      <w:r>
        <w:t xml:space="preserve"> </w:t>
      </w:r>
      <w:r>
        <w:rPr>
          <w:i/>
          <w:iCs/>
        </w:rPr>
        <w:t xml:space="preserve">S</w:t>
      </w:r>
      <w:r>
        <w:t xml:space="preserve"> </w:t>
      </w:r>
      <w:r>
        <w:t xml:space="preserve">= –3,</w:t>
      </w:r>
      <w:r>
        <w:t xml:space="preserve"> </w:t>
      </w:r>
      <w:r>
        <w:rPr>
          <w:i/>
          <w:iCs/>
        </w:rPr>
        <w:t xml:space="preserve">z</w:t>
      </w:r>
      <w:r>
        <w:t xml:space="preserve"> </w:t>
      </w:r>
      <w:r>
        <w:t xml:space="preserve">= –0.38,</w:t>
      </w:r>
      <w:r>
        <w:t xml:space="preserve"> </w:t>
      </w:r>
      <w:r>
        <w:rPr>
          <w:i/>
          <w:iCs/>
        </w:rPr>
        <w:t xml:space="preserve">p</w:t>
      </w:r>
      <w:r>
        <w:t xml:space="preserve"> </w:t>
      </w:r>
      <w:r>
        <w:t xml:space="preserve">= 0.71. (iii)</w:t>
      </w:r>
      <w:r>
        <w:t xml:space="preserve"> </w:t>
      </w:r>
      <w:r>
        <w:rPr>
          <w:b/>
          <w:bCs/>
        </w:rPr>
        <w:t xml:space="preserve">Cochran–Armitage-style</w:t>
      </w:r>
      <w:r>
        <w:t xml:space="preserve"> </w:t>
      </w:r>
      <w:r>
        <w:t xml:space="preserve">OLS slope of count on stage rank yields slope = 10.17,</w:t>
      </w:r>
      <w:r>
        <w:t xml:space="preserve"> </w:t>
      </w:r>
      <w:r>
        <w:rPr>
          <w:i/>
          <w:iCs/>
        </w:rPr>
        <w:t xml:space="preserve">z</w:t>
      </w:r>
      <w:r>
        <w:t xml:space="preserve"> </w:t>
      </w:r>
      <w:r>
        <w:t xml:space="preserve">= 0.85,</w:t>
      </w:r>
      <w:r>
        <w:t xml:space="preserve"> </w:t>
      </w:r>
      <w:r>
        <w:rPr>
          <w:i/>
          <w:iCs/>
        </w:rPr>
        <w:t xml:space="preserve">p</w:t>
      </w:r>
      <w:r>
        <w:t xml:space="preserve"> </w:t>
      </w:r>
      <w:r>
        <w:t xml:space="preserve">= 0.40. All three tests fail to reject the no-trend null.</w:t>
      </w:r>
    </w:p>
    <w:p>
      <w:pPr>
        <w:pStyle w:val="BodyText"/>
      </w:pPr>
      <w:r>
        <w:t xml:space="preserve">We read this as the substantively interpretable result: the action-intensity continuum is an ordering of</w:t>
      </w:r>
      <w:r>
        <w:t xml:space="preserve"> </w:t>
      </w:r>
      <w:r>
        <w:rPr>
          <w:i/>
          <w:iCs/>
        </w:rPr>
        <w:t xml:space="preserve">semantic intensity</w:t>
      </w:r>
      <w:r>
        <w:t xml:space="preserve">, not of</w:t>
      </w:r>
      <w:r>
        <w:t xml:space="preserve"> </w:t>
      </w:r>
      <w:r>
        <w:rPr>
          <w:i/>
          <w:iCs/>
        </w:rPr>
        <w:t xml:space="preserve">attestation frequency</w:t>
      </w:r>
      <w:r>
        <w:t xml:space="preserve">. The Qur’anic corpus is not a random sample from a population of anger-spectrum lexicalisations but a closed hortatory text whose lexical weights are</w:t>
      </w:r>
      <w:r>
        <w:t xml:space="preserve"> </w:t>
      </w:r>
      <w:r>
        <w:rPr>
          <w:i/>
          <w:iCs/>
        </w:rPr>
        <w:t xml:space="preserve">pedagogically determined</w:t>
      </w:r>
      <w:r>
        <w:t xml:space="preserve">. One expects heaviest density precisely at the two poles of moral consequence — Stages 1–2 (the lexicalised entry points for</w:t>
      </w:r>
      <w:r>
        <w:t xml:space="preserve"> </w:t>
      </w:r>
      <w:r>
        <w:rPr>
          <w:i/>
          <w:iCs/>
        </w:rPr>
        <w:t xml:space="preserve">kaẓm</w:t>
      </w:r>
      <w:r>
        <w:t xml:space="preserve">,</w:t>
      </w:r>
      <w:r>
        <w:t xml:space="preserve"> </w:t>
      </w:r>
      <w:r>
        <w:rPr>
          <w:i/>
          <w:iCs/>
        </w:rPr>
        <w:t xml:space="preserve">taqwā</w:t>
      </w:r>
      <w:r>
        <w:t xml:space="preserve">,</w:t>
      </w:r>
      <w:r>
        <w:t xml:space="preserve"> </w:t>
      </w:r>
      <w:r>
        <w:rPr>
          <w:i/>
          <w:iCs/>
        </w:rPr>
        <w:t xml:space="preserve">ḥilm</w:t>
      </w:r>
      <w:r>
        <w:t xml:space="preserve">) and Stage 6 (the social-structural pathologies the text most frequently denounces) — with intervening stages (S3–5) middle-trajectory states of lower independent pedagogical salience.</w:t>
      </w:r>
    </w:p>
    <w:p>
      <w:pPr>
        <w:pStyle w:val="BodyText"/>
      </w:pPr>
      <w:r>
        <w:t xml:space="preserve">The failure of the three trend tests therefore</w:t>
      </w:r>
      <w:r>
        <w:t xml:space="preserve"> </w:t>
      </w:r>
      <w:r>
        <w:rPr>
          <w:i/>
          <w:iCs/>
        </w:rPr>
        <w:t xml:space="preserve">supports</w:t>
      </w:r>
      <w:r>
        <w:t xml:space="preserve">, rather than challenges, the bidirectional-causation reading developed in §4.8.5: a randomly-sampled language sample would predict monotonic frequency-as-intensity, but a hortatory text predicts emphasis at the points where ethical pedagogy can intervene (S1–2, where regulation is feasible) and where moral consequences manifest (S6, where the structural pathologies are catalogued). A</w:t>
      </w:r>
      <w:r>
        <w:t xml:space="preserve"> </w:t>
      </w:r>
      <w:r>
        <w:rPr>
          <w:i/>
          <w:iCs/>
        </w:rPr>
        <w:t xml:space="preserve">flat</w:t>
      </w:r>
      <w:r>
        <w:t xml:space="preserve"> </w:t>
      </w:r>
      <w:r>
        <w:t xml:space="preserve">trend test, given this structure, is the prediction the theory generates, not an embarrassment to it. The load-bearing evidence for the continuum’s structure remains the qualitative apparatus of §4.1 and §4.3–§4.8 (lexicographic, exegetical, metaphorical) and the morphological gradient reported in Figure 5.</w:t>
      </w:r>
    </w:p>
    <w:p>
      <w:pPr>
        <w:pStyle w:val="CaptionedFigure"/>
      </w:pPr>
      <w:r>
        <w:drawing>
          <wp:inline>
            <wp:extent cx="5067300" cy="2007591"/>
            <wp:effectExtent b="0" l="0" r="0" t="0"/>
            <wp:docPr descr="Per-root and per-stage frequency of the 312 core spectrum attestations. Left: per-root frequency, bar colour encoding stage. Stage 6 internal asymmetry (bġy 96 vs ʿtw 10) reflects the lexical division between distributed-aggression and obstinate-defiance (§4.8). Right: stage totals S1=44, S2=60, S3=27, S4=25, S5=11, S6=145. χ²(5) = 227.15 (asymptotic p &lt; 0.001), but permutation null p = 0.24 — see §4.2. Phenomenological core (S1–5 = 167) vs Stage 6 (145): χ²(1) = 1.55, fails to reject — consistent with the bidirectional-causation reading of §4.8.5." title="" id="88" name="Picture"/>
            <a:graphic>
              <a:graphicData uri="http://schemas.openxmlformats.org/drawingml/2006/picture">
                <pic:pic>
                  <pic:nvPicPr>
                    <pic:cNvPr descr="fig2_frequency_by_stage.png" id="89" name="Picture"/>
                    <pic:cNvPicPr>
                      <a:picLocks noChangeArrowheads="1" noChangeAspect="1"/>
                    </pic:cNvPicPr>
                  </pic:nvPicPr>
                  <pic:blipFill>
                    <a:blip r:embed="rId87"/>
                    <a:stretch>
                      <a:fillRect/>
                    </a:stretch>
                  </pic:blipFill>
                  <pic:spPr bwMode="auto">
                    <a:xfrm>
                      <a:off x="0" y="0"/>
                      <a:ext cx="5067300" cy="2007591"/>
                    </a:xfrm>
                    <a:prstGeom prst="rect">
                      <a:avLst/>
                    </a:prstGeom>
                    <a:noFill/>
                    <a:ln w="9525">
                      <a:noFill/>
                      <a:headEnd/>
                      <a:tailEnd/>
                    </a:ln>
                  </pic:spPr>
                </pic:pic>
              </a:graphicData>
            </a:graphic>
          </wp:inline>
        </w:drawing>
      </w:r>
    </w:p>
    <w:p>
      <w:pPr>
        <w:pStyle w:val="ImageCaption"/>
      </w:pPr>
      <w:r>
        <w:t xml:space="preserve">Per-root and per-stage frequency of the 312 core spectrum attestations.</w:t>
      </w:r>
      <w:r>
        <w:t xml:space="preserve"> </w:t>
      </w:r>
      <w:r>
        <w:rPr>
          <w:i/>
          <w:iCs/>
        </w:rPr>
        <w:t xml:space="preserve">Left</w:t>
      </w:r>
      <w:r>
        <w:t xml:space="preserve">: per-root frequency, bar colour encoding stage. Stage 6 internal asymmetry (</w:t>
      </w:r>
      <w:r>
        <w:rPr>
          <w:i/>
          <w:iCs/>
        </w:rPr>
        <w:t xml:space="preserve">bġy</w:t>
      </w:r>
      <w:r>
        <w:t xml:space="preserve"> </w:t>
      </w:r>
      <w:r>
        <w:t xml:space="preserve">96 vs</w:t>
      </w:r>
      <w:r>
        <w:t xml:space="preserve"> </w:t>
      </w:r>
      <w:r>
        <w:rPr>
          <w:i/>
          <w:iCs/>
        </w:rPr>
        <w:t xml:space="preserve">ʿtw</w:t>
      </w:r>
      <w:r>
        <w:t xml:space="preserve"> </w:t>
      </w:r>
      <w:r>
        <w:t xml:space="preserve">10) reflects the lexical division between distributed-aggression and obstinate-defiance (§4.8).</w:t>
      </w:r>
      <w:r>
        <w:t xml:space="preserve"> </w:t>
      </w:r>
      <w:r>
        <w:rPr>
          <w:i/>
          <w:iCs/>
        </w:rPr>
        <w:t xml:space="preserve">Right</w:t>
      </w:r>
      <w:r>
        <w:t xml:space="preserve">: stage totals S1=44, S2=60, S3=27, S4=25, S5=11, S6=145. χ²(5) = 227.15 (asymptotic</w:t>
      </w:r>
      <w:r>
        <w:t xml:space="preserve"> </w:t>
      </w:r>
      <w:r>
        <w:rPr>
          <w:i/>
          <w:iCs/>
        </w:rPr>
        <w:t xml:space="preserve">p</w:t>
      </w:r>
      <w:r>
        <w:t xml:space="preserve"> </w:t>
      </w:r>
      <w:r>
        <w:t xml:space="preserve">&lt; 0.001), but permutation null</w:t>
      </w:r>
      <w:r>
        <w:t xml:space="preserve"> </w:t>
      </w:r>
      <w:r>
        <w:rPr>
          <w:i/>
          <w:iCs/>
        </w:rPr>
        <w:t xml:space="preserve">p</w:t>
      </w:r>
      <w:r>
        <w:t xml:space="preserve"> </w:t>
      </w:r>
      <w:r>
        <w:t xml:space="preserve">= 0.24 — see §4.2. Phenomenological core (S1–5 = 167) vs Stage 6 (145): χ²(1) = 1.55, fails to reject —</w:t>
      </w:r>
      <w:r>
        <w:t xml:space="preserve"> </w:t>
      </w:r>
      <w:r>
        <w:rPr>
          <w:i/>
          <w:iCs/>
        </w:rPr>
        <w:t xml:space="preserve">consistent with</w:t>
      </w:r>
      <w:r>
        <w:t xml:space="preserve"> </w:t>
      </w:r>
      <w:r>
        <w:t xml:space="preserve">the bidirectional-causation reading of §4.8.5.</w:t>
      </w:r>
    </w:p>
    <w:p>
      <w:pPr>
        <w:pStyle w:val="CaptionedFigure"/>
      </w:pPr>
      <w:r>
        <w:drawing>
          <wp:inline>
            <wp:extent cx="5067300" cy="2168053"/>
            <wp:effectExtent b="0" l="0" r="0" t="0"/>
            <wp:docPr descr="Stacked Meccan/Medinan distribution for the fourteen core roots. Sakhaṭ (S3) exclusively Medinan (0/4; raw p = 0.005, Holm-adj. 0.05) — the only root surviving FDR. Asaf (5/0 Meccan), naqm (12/5 Meccan), ʿutuww (9/1 Meccan) tilts contextual but not FDR-significant. Ḥard hapax (Q. 68:25, Meccan). The patterns instantiate discursive-contextual specialisation (§5.4)." title="" id="91" name="Picture"/>
            <a:graphic>
              <a:graphicData uri="http://schemas.openxmlformats.org/drawingml/2006/picture">
                <pic:pic>
                  <pic:nvPicPr>
                    <pic:cNvPr descr="fig3_meccan_medinan.png" id="92" name="Picture"/>
                    <pic:cNvPicPr>
                      <a:picLocks noChangeArrowheads="1" noChangeAspect="1"/>
                    </pic:cNvPicPr>
                  </pic:nvPicPr>
                  <pic:blipFill>
                    <a:blip r:embed="rId90"/>
                    <a:stretch>
                      <a:fillRect/>
                    </a:stretch>
                  </pic:blipFill>
                  <pic:spPr bwMode="auto">
                    <a:xfrm>
                      <a:off x="0" y="0"/>
                      <a:ext cx="5067300" cy="2168053"/>
                    </a:xfrm>
                    <a:prstGeom prst="rect">
                      <a:avLst/>
                    </a:prstGeom>
                    <a:noFill/>
                    <a:ln w="9525">
                      <a:noFill/>
                      <a:headEnd/>
                      <a:tailEnd/>
                    </a:ln>
                  </pic:spPr>
                </pic:pic>
              </a:graphicData>
            </a:graphic>
          </wp:inline>
        </w:drawing>
      </w:r>
    </w:p>
    <w:p>
      <w:pPr>
        <w:pStyle w:val="ImageCaption"/>
      </w:pPr>
      <w:r>
        <w:t xml:space="preserve">Stacked Meccan/Medinan distribution for the fourteen core roots.</w:t>
      </w:r>
      <w:r>
        <w:t xml:space="preserve"> </w:t>
      </w:r>
      <w:r>
        <w:rPr>
          <w:i/>
          <w:iCs/>
        </w:rPr>
        <w:t xml:space="preserve">Sakhaṭ</w:t>
      </w:r>
      <w:r>
        <w:t xml:space="preserve"> </w:t>
      </w:r>
      <w:r>
        <w:t xml:space="preserve">(S3) exclusively Medinan (0/4; raw</w:t>
      </w:r>
      <w:r>
        <w:t xml:space="preserve"> </w:t>
      </w:r>
      <w:r>
        <w:rPr>
          <w:i/>
          <w:iCs/>
        </w:rPr>
        <w:t xml:space="preserve">p</w:t>
      </w:r>
      <w:r>
        <w:t xml:space="preserve"> </w:t>
      </w:r>
      <w:r>
        <w:t xml:space="preserve">= 0.005, Holm-adj. 0.05) — the only root surviving FDR.</w:t>
      </w:r>
      <w:r>
        <w:t xml:space="preserve"> </w:t>
      </w:r>
      <w:r>
        <w:rPr>
          <w:i/>
          <w:iCs/>
        </w:rPr>
        <w:t xml:space="preserve">Asaf</w:t>
      </w:r>
      <w:r>
        <w:t xml:space="preserve"> </w:t>
      </w:r>
      <w:r>
        <w:t xml:space="preserve">(5/0 Meccan),</w:t>
      </w:r>
      <w:r>
        <w:t xml:space="preserve"> </w:t>
      </w:r>
      <w:r>
        <w:rPr>
          <w:i/>
          <w:iCs/>
        </w:rPr>
        <w:t xml:space="preserve">naqm</w:t>
      </w:r>
      <w:r>
        <w:t xml:space="preserve"> </w:t>
      </w:r>
      <w:r>
        <w:t xml:space="preserve">(12/5 Meccan),</w:t>
      </w:r>
      <w:r>
        <w:t xml:space="preserve"> </w:t>
      </w:r>
      <w:r>
        <w:rPr>
          <w:i/>
          <w:iCs/>
        </w:rPr>
        <w:t xml:space="preserve">ʿutuww</w:t>
      </w:r>
      <w:r>
        <w:t xml:space="preserve"> </w:t>
      </w:r>
      <w:r>
        <w:t xml:space="preserve">(9/1 Meccan) tilts contextual but not FDR-significant.</w:t>
      </w:r>
      <w:r>
        <w:t xml:space="preserve"> </w:t>
      </w:r>
      <w:r>
        <w:rPr>
          <w:i/>
          <w:iCs/>
        </w:rPr>
        <w:t xml:space="preserve">Ḥard</w:t>
      </w:r>
      <w:r>
        <w:t xml:space="preserve"> </w:t>
      </w:r>
      <w:r>
        <w:t xml:space="preserve">hapax (Q. 68:25, Meccan). The patterns instantiate</w:t>
      </w:r>
      <w:r>
        <w:t xml:space="preserve"> </w:t>
      </w:r>
      <w:r>
        <w:rPr>
          <w:i/>
          <w:iCs/>
        </w:rPr>
        <w:t xml:space="preserve">discursive-contextual specialisation</w:t>
      </w:r>
      <w:r>
        <w:t xml:space="preserve"> </w:t>
      </w:r>
      <w:r>
        <w:t xml:space="preserve">(§5.4).</w:t>
      </w:r>
    </w:p>
    <w:p>
      <w:pPr>
        <w:pStyle w:val="CaptionedFigure"/>
      </w:pPr>
      <w:r>
        <w:drawing>
          <wp:inline>
            <wp:extent cx="5067300" cy="2521797"/>
            <wp:effectExtent b="0" l="0" r="0" t="0"/>
            <wp:docPr descr="Morphological profile by part of speech. The left-to-right gradient shows verbal dominance at Stages 1–2 (ḥzn 88% verbal, ḍyq 62% — transient situational states), nominalisation at Stage 4 (ghḍb 16n/6v — stable attributable referent), and peak nominality with emerging participial forms at Stage 6 (ṭāghūt, bāghin — entrenched agent-property). The verbal→nominal gradient is independent corpus-internal evidence for the action-intensity continuum: as intensity ascends, representation reifies from event to attribute to identity." title="" id="94" name="Picture"/>
            <a:graphic>
              <a:graphicData uri="http://schemas.openxmlformats.org/drawingml/2006/picture">
                <pic:pic>
                  <pic:nvPicPr>
                    <pic:cNvPr descr="fig5_morphology_stack.png" id="95" name="Picture"/>
                    <pic:cNvPicPr>
                      <a:picLocks noChangeArrowheads="1" noChangeAspect="1"/>
                    </pic:cNvPicPr>
                  </pic:nvPicPr>
                  <pic:blipFill>
                    <a:blip r:embed="rId93"/>
                    <a:stretch>
                      <a:fillRect/>
                    </a:stretch>
                  </pic:blipFill>
                  <pic:spPr bwMode="auto">
                    <a:xfrm>
                      <a:off x="0" y="0"/>
                      <a:ext cx="5067300" cy="2521797"/>
                    </a:xfrm>
                    <a:prstGeom prst="rect">
                      <a:avLst/>
                    </a:prstGeom>
                    <a:noFill/>
                    <a:ln w="9525">
                      <a:noFill/>
                      <a:headEnd/>
                      <a:tailEnd/>
                    </a:ln>
                  </pic:spPr>
                </pic:pic>
              </a:graphicData>
            </a:graphic>
          </wp:inline>
        </w:drawing>
      </w:r>
    </w:p>
    <w:p>
      <w:pPr>
        <w:pStyle w:val="ImageCaption"/>
      </w:pPr>
      <w:r>
        <w:t xml:space="preserve">Morphological profile by part of speech. The left-to-right gradient shows verbal dominance at Stages 1–2 (</w:t>
      </w:r>
      <w:r>
        <w:rPr>
          <w:i/>
          <w:iCs/>
        </w:rPr>
        <w:t xml:space="preserve">ḥzn</w:t>
      </w:r>
      <w:r>
        <w:t xml:space="preserve"> </w:t>
      </w:r>
      <w:r>
        <w:t xml:space="preserve">88% verbal,</w:t>
      </w:r>
      <w:r>
        <w:t xml:space="preserve"> </w:t>
      </w:r>
      <w:r>
        <w:rPr>
          <w:i/>
          <w:iCs/>
        </w:rPr>
        <w:t xml:space="preserve">ḍyq</w:t>
      </w:r>
      <w:r>
        <w:t xml:space="preserve"> </w:t>
      </w:r>
      <w:r>
        <w:t xml:space="preserve">62% — transient situational states), nominalisation at Stage 4 (</w:t>
      </w:r>
      <w:r>
        <w:rPr>
          <w:i/>
          <w:iCs/>
        </w:rPr>
        <w:t xml:space="preserve">ghḍb</w:t>
      </w:r>
      <w:r>
        <w:t xml:space="preserve"> </w:t>
      </w:r>
      <w:r>
        <w:t xml:space="preserve">16n/6v — stable attributable referent), and peak nominality with emerging participial forms at Stage 6 (</w:t>
      </w:r>
      <w:r>
        <w:rPr>
          <w:i/>
          <w:iCs/>
        </w:rPr>
        <w:t xml:space="preserve">ṭāghūt</w:t>
      </w:r>
      <w:r>
        <w:t xml:space="preserve">,</w:t>
      </w:r>
      <w:r>
        <w:t xml:space="preserve"> </w:t>
      </w:r>
      <w:r>
        <w:rPr>
          <w:i/>
          <w:iCs/>
        </w:rPr>
        <w:t xml:space="preserve">bāghin</w:t>
      </w:r>
      <w:r>
        <w:t xml:space="preserve"> </w:t>
      </w:r>
      <w:r>
        <w:t xml:space="preserve">— entrenched agent-property). The verbal→nominal gradient is independent corpus-internal evidence for the action-intensity continuum: as intensity ascends, representation reifies from</w:t>
      </w:r>
      <w:r>
        <w:t xml:space="preserve"> </w:t>
      </w:r>
      <w:r>
        <w:rPr>
          <w:i/>
          <w:iCs/>
        </w:rPr>
        <w:t xml:space="preserve">event</w:t>
      </w:r>
      <w:r>
        <w:t xml:space="preserve"> </w:t>
      </w:r>
      <w:r>
        <w:t xml:space="preserve">to</w:t>
      </w:r>
      <w:r>
        <w:t xml:space="preserve"> </w:t>
      </w:r>
      <w:r>
        <w:rPr>
          <w:i/>
          <w:iCs/>
        </w:rPr>
        <w:t xml:space="preserve">attribute</w:t>
      </w:r>
      <w:r>
        <w:t xml:space="preserve"> </w:t>
      </w:r>
      <w:r>
        <w:t xml:space="preserve">to</w:t>
      </w:r>
      <w:r>
        <w:t xml:space="preserve"> </w:t>
      </w:r>
      <w:r>
        <w:rPr>
          <w:i/>
          <w:iCs/>
        </w:rPr>
        <w:t xml:space="preserve">identity</w:t>
      </w:r>
      <w:r>
        <w:t xml:space="preserve">.</w:t>
      </w:r>
    </w:p>
    <w:bookmarkEnd w:id="96"/>
    <w:bookmarkEnd w:id="97"/>
    <w:bookmarkStart w:id="98" w:name="stage-1-pre-anger-displeasure"/>
    <w:p>
      <w:pPr>
        <w:pStyle w:val="Heading3"/>
      </w:pPr>
      <w:r>
        <w:t xml:space="preserve">4.3. Stage 1 — Pre-anger displeasure</w:t>
      </w:r>
    </w:p>
    <w:p>
      <w:pPr>
        <w:pStyle w:val="FirstParagraph"/>
      </w:pPr>
      <w:r>
        <w:t xml:space="preserve">The lower bound of the continuum is occupied by two roots—</w:t>
      </w:r>
      <w:r>
        <w:rPr>
          <w:i/>
          <w:iCs/>
        </w:rPr>
        <w:t xml:space="preserve">ʾ-f-f</w:t>
      </w:r>
      <w:r>
        <w:t xml:space="preserve"> </w:t>
      </w:r>
      <w:r>
        <w:t xml:space="preserve">and</w:t>
      </w:r>
      <w:r>
        <w:t xml:space="preserve"> </w:t>
      </w:r>
      <w:r>
        <w:rPr>
          <w:i/>
          <w:iCs/>
        </w:rPr>
        <w:t xml:space="preserve">k-r-h</w:t>
      </w:r>
      <w:r>
        <w:t xml:space="preserve">—that mark the</w:t>
      </w:r>
      <w:r>
        <w:t xml:space="preserve"> </w:t>
      </w:r>
      <w:r>
        <w:rPr>
          <w:i/>
          <w:iCs/>
        </w:rPr>
        <w:t xml:space="preserve">pre-anger</w:t>
      </w:r>
      <w:r>
        <w:t xml:space="preserve"> </w:t>
      </w:r>
      <w:r>
        <w:t xml:space="preserve">register: vocal irritation and inner aversion respectively.</w:t>
      </w:r>
    </w:p>
    <w:p>
      <w:pPr>
        <w:pStyle w:val="BodyText"/>
      </w:pPr>
      <w:r>
        <w:rPr>
          <w:b/>
          <w:bCs/>
        </w:rPr>
        <w:t xml:space="preserve">4.3.0.</w:t>
      </w:r>
      <w:r>
        <w:rPr>
          <w:b/>
          <w:bCs/>
        </w:rPr>
        <w:t xml:space="preserve"> </w:t>
      </w:r>
      <w:r>
        <w:rPr>
          <w:b/>
          <w:bCs/>
          <w:i/>
          <w:iCs/>
        </w:rPr>
        <w:t xml:space="preserve">Uff</w:t>
      </w:r>
      <w:r>
        <w:rPr>
          <w:b/>
          <w:bCs/>
        </w:rPr>
        <w:t xml:space="preserve"> </w:t>
      </w:r>
      <w:r>
        <w:rPr>
          <w:b/>
          <w:bCs/>
        </w:rPr>
        <w:t xml:space="preserve">(3; all Meccan).</w:t>
      </w:r>
      <w:r>
        <w:t xml:space="preserve"> </w:t>
      </w:r>
      <w:r>
        <w:rPr>
          <w:i/>
          <w:iCs/>
        </w:rPr>
        <w:t xml:space="preserve">Uff</w:t>
      </w:r>
      <w:r>
        <w:t xml:space="preserve"> </w:t>
      </w:r>
      <w:r>
        <w:t xml:space="preserve">(gloss:</w:t>
      </w:r>
      <w:r>
        <w:t xml:space="preserve"> </w:t>
      </w:r>
      <w:r>
        <w:rPr>
          <w:i/>
          <w:iCs/>
        </w:rPr>
        <w:t xml:space="preserve">taḍajjur</w:t>
      </w:r>
      <w:r>
        <w:t xml:space="preserve">,</w:t>
      </w:r>
      <w:r>
        <w:t xml:space="preserve"> </w:t>
      </w:r>
      <w:r>
        <w:t xml:space="preserve">“irritation”</w:t>
      </w:r>
      <w:r>
        <w:t xml:space="preserve">) is the Qur’anic register’s lowest verbal expression of displeasure. Its three attestations occupy paradigmatic moral positions: Q. 17:23 prohibits saying</w:t>
      </w:r>
      <w:r>
        <w:t xml:space="preserve"> </w:t>
      </w:r>
      <w:r>
        <w:rPr>
          <w:i/>
          <w:iCs/>
        </w:rPr>
        <w:t xml:space="preserve">uff</w:t>
      </w:r>
      <w:r>
        <w:t xml:space="preserve"> </w:t>
      </w:r>
      <w:r>
        <w:t xml:space="preserve">to one’s parents (the</w:t>
      </w:r>
      <w:r>
        <w:t xml:space="preserve"> </w:t>
      </w:r>
      <w:r>
        <w:rPr>
          <w:i/>
          <w:iCs/>
        </w:rPr>
        <w:t xml:space="preserve">lowest</w:t>
      </w:r>
      <w:r>
        <w:t xml:space="preserve"> </w:t>
      </w:r>
      <w:r>
        <w:t xml:space="preserve">sign of displeasure morally weighted at the</w:t>
      </w:r>
      <w:r>
        <w:t xml:space="preserve"> </w:t>
      </w:r>
      <w:r>
        <w:rPr>
          <w:i/>
          <w:iCs/>
        </w:rPr>
        <w:t xml:space="preserve">highest</w:t>
      </w:r>
      <w:r>
        <w:t xml:space="preserve"> </w:t>
      </w:r>
      <w:r>
        <w:t xml:space="preserve">relational stake); Q. 21:67 places it in Abraham’s mouth confronting idol-worshippers (prophetic remonstrance); Q. 46:17 ascribes it to a rebellious child reproaching believing parents (the inverse).</w:t>
      </w:r>
      <w:r>
        <w:t xml:space="preserve"> </w:t>
      </w:r>
      <w:r>
        <w:rPr>
          <w:i/>
          <w:iCs/>
        </w:rPr>
        <w:t xml:space="preserve">Uff</w:t>
      </w:r>
      <w:r>
        <w:t xml:space="preserve"> </w:t>
      </w:r>
      <w:r>
        <w:t xml:space="preserve">anchors the lower boundary of the spectrum at a register</w:t>
      </w:r>
      <w:r>
        <w:t xml:space="preserve"> </w:t>
      </w:r>
      <w:r>
        <w:rPr>
          <w:i/>
          <w:iCs/>
        </w:rPr>
        <w:t xml:space="preserve">below</w:t>
      </w:r>
      <w:r>
        <w:t xml:space="preserve"> </w:t>
      </w:r>
      <w:r>
        <w:t xml:space="preserve">anger proper but already morally accountable.</w:t>
      </w:r>
    </w:p>
    <w:p>
      <w:pPr>
        <w:pStyle w:val="BodyText"/>
      </w:pPr>
      <w:r>
        <w:rPr>
          <w:b/>
          <w:bCs/>
        </w:rPr>
        <w:t xml:space="preserve">4.3.1.</w:t>
      </w:r>
      <w:r>
        <w:rPr>
          <w:b/>
          <w:bCs/>
        </w:rPr>
        <w:t xml:space="preserve"> </w:t>
      </w:r>
      <w:r>
        <w:rPr>
          <w:b/>
          <w:bCs/>
          <w:i/>
          <w:iCs/>
        </w:rPr>
        <w:t xml:space="preserve">Karh</w:t>
      </w:r>
      <w:r>
        <w:rPr>
          <w:b/>
          <w:bCs/>
        </w:rPr>
        <w:t xml:space="preserve"> </w:t>
      </w:r>
      <w:r>
        <w:rPr>
          <w:b/>
          <w:bCs/>
        </w:rPr>
        <w:t xml:space="preserve">(41; 14M/27Md; raw</w:t>
      </w:r>
      <w:r>
        <w:rPr>
          <w:b/>
          <w:bCs/>
        </w:rPr>
        <w:t xml:space="preserve"> </w:t>
      </w:r>
      <w:r>
        <w:rPr>
          <w:b/>
          <w:bCs/>
          <w:i/>
          <w:iCs/>
        </w:rPr>
        <w:t xml:space="preserve">p</w:t>
      </w:r>
      <w:r>
        <w:rPr>
          <w:b/>
          <w:bCs/>
        </w:rPr>
        <w:t xml:space="preserve"> </w:t>
      </w:r>
      <w:r>
        <w:rPr>
          <w:b/>
          <w:bCs/>
        </w:rPr>
        <w:t xml:space="preserve">= 0.005, Holm-adj. 0.05).</w:t>
      </w:r>
      <w:r>
        <w:t xml:space="preserve"> </w:t>
      </w:r>
      <w:r>
        <w:rPr>
          <w:i/>
          <w:iCs/>
        </w:rPr>
        <w:t xml:space="preserve">Karh</w:t>
      </w:r>
      <w:r>
        <w:t xml:space="preserve"> </w:t>
      </w:r>
      <w:r>
        <w:t xml:space="preserve">exhibits a</w:t>
      </w:r>
      <w:r>
        <w:t xml:space="preserve"> </w:t>
      </w:r>
      <w:r>
        <w:rPr>
          <w:i/>
          <w:iCs/>
        </w:rPr>
        <w:t xml:space="preserve">twofold structure</w:t>
      </w:r>
      <w:r>
        <w:t xml:space="preserve">:</w:t>
      </w:r>
    </w:p>
    <w:p>
      <w:pPr>
        <w:pStyle w:val="Compact"/>
        <w:numPr>
          <w:ilvl w:val="0"/>
          <w:numId w:val="1002"/>
        </w:numPr>
      </w:pPr>
      <w:r>
        <w:rPr>
          <w:b/>
          <w:bCs/>
        </w:rPr>
        <w:t xml:space="preserve">Inner</w:t>
      </w:r>
      <w:r>
        <w:rPr>
          <w:b/>
          <w:bCs/>
        </w:rPr>
        <w:t xml:space="preserve"> </w:t>
      </w:r>
      <w:r>
        <w:rPr>
          <w:b/>
          <w:bCs/>
          <w:i/>
          <w:iCs/>
        </w:rPr>
        <w:t xml:space="preserve">karāha</w:t>
      </w:r>
      <w:r>
        <w:rPr>
          <w:b/>
          <w:bCs/>
        </w:rPr>
        <w:t xml:space="preserve"> </w:t>
      </w:r>
      <w:r>
        <w:rPr>
          <w:b/>
          <w:bCs/>
        </w:rPr>
        <w:t xml:space="preserve">(dislike)</w:t>
      </w:r>
      <w:r>
        <w:t xml:space="preserve"> </w:t>
      </w:r>
      <w:r>
        <w:t xml:space="preserve">— pre-anger evaluative dislike, framed as</w:t>
      </w:r>
      <w:r>
        <w:t xml:space="preserve"> </w:t>
      </w:r>
      <w:r>
        <w:rPr>
          <w:i/>
          <w:iCs/>
        </w:rPr>
        <w:t xml:space="preserve">reformable</w:t>
      </w:r>
      <w:r>
        <w:t xml:space="preserve"> </w:t>
      </w:r>
      <w:r>
        <w:t xml:space="preserve">by Q. 2:216 (</w:t>
      </w:r>
      <w:r>
        <w:rPr>
          <w:i/>
          <w:iCs/>
        </w:rPr>
        <w:t xml:space="preserve">ʿasā an takrahū shayʾan wa-huwa khayrun lakum</w:t>
      </w:r>
      <w:r>
        <w:t xml:space="preserve">); the Stage-1 anger-spectrum sense. (b)</w:t>
      </w:r>
      <w:r>
        <w:t xml:space="preserve"> </w:t>
      </w:r>
      <w:r>
        <w:rPr>
          <w:b/>
          <w:bCs/>
        </w:rPr>
        <w:t xml:space="preserve">Structural</w:t>
      </w:r>
      <w:r>
        <w:rPr>
          <w:b/>
          <w:bCs/>
        </w:rPr>
        <w:t xml:space="preserve"> </w:t>
      </w:r>
      <w:r>
        <w:rPr>
          <w:b/>
          <w:bCs/>
          <w:i/>
          <w:iCs/>
        </w:rPr>
        <w:t xml:space="preserve">ikrāh</w:t>
      </w:r>
      <w:r>
        <w:rPr>
          <w:b/>
          <w:bCs/>
        </w:rPr>
        <w:t xml:space="preserve"> </w:t>
      </w:r>
      <w:r>
        <w:rPr>
          <w:b/>
          <w:bCs/>
        </w:rPr>
        <w:t xml:space="preserve">(coercion)</w:t>
      </w:r>
      <w:r>
        <w:t xml:space="preserve"> </w:t>
      </w:r>
      <w:r>
        <w:t xml:space="preserve">— not an emotion but a structural extension of distaste into compulsion (Q. 2:256</w:t>
      </w:r>
      <w:r>
        <w:t xml:space="preserve"> </w:t>
      </w:r>
      <w:r>
        <w:rPr>
          <w:i/>
          <w:iCs/>
        </w:rPr>
        <w:t xml:space="preserve">lā ikrāha fī al-dīn</w:t>
      </w:r>
      <w:r>
        <w:t xml:space="preserve">; Q. 16:106; Q. 24:33). We include</w:t>
      </w:r>
      <w:r>
        <w:t xml:space="preserve"> </w:t>
      </w:r>
      <w:r>
        <w:rPr>
          <w:i/>
          <w:iCs/>
        </w:rPr>
        <w:t xml:space="preserve">karh</w:t>
      </w:r>
      <w:r>
        <w:t xml:space="preserve"> </w:t>
      </w:r>
      <w:r>
        <w:t xml:space="preserve">on the strength of its</w:t>
      </w:r>
      <w:r>
        <w:t xml:space="preserve"> </w:t>
      </w:r>
      <w:r>
        <w:rPr>
          <w:i/>
          <w:iCs/>
        </w:rPr>
        <w:t xml:space="preserve">karāha</w:t>
      </w:r>
      <w:r>
        <w:t xml:space="preserve"> </w:t>
      </w:r>
      <w:r>
        <w:t xml:space="preserve">sense;</w:t>
      </w:r>
      <w:r>
        <w:t xml:space="preserve"> </w:t>
      </w:r>
      <w:r>
        <w:rPr>
          <w:i/>
          <w:iCs/>
        </w:rPr>
        <w:t xml:space="preserve">ikrāh</w:t>
      </w:r>
      <w:r>
        <w:t xml:space="preserve"> </w:t>
      </w:r>
      <w:r>
        <w:t xml:space="preserve">is a structural cognate worth noting because it shares the root and instantiates a Stage-6-like behavioural extension of distaste.</w:t>
      </w:r>
    </w:p>
    <w:bookmarkEnd w:id="98"/>
    <w:bookmarkStart w:id="100" w:name="stage-2-inner-pressure-and-contraction"/>
    <w:p>
      <w:pPr>
        <w:pStyle w:val="Heading3"/>
      </w:pPr>
      <w:r>
        <w:t xml:space="preserve">4.4. Stage 2 — Inner pressure and contraction</w:t>
      </w:r>
    </w:p>
    <w:p>
      <w:pPr>
        <w:pStyle w:val="FirstParagraph"/>
      </w:pPr>
      <w:r>
        <w:t xml:space="preserve">Stage 2 brings together three roots—</w:t>
      </w:r>
      <w:r>
        <w:rPr>
          <w:i/>
          <w:iCs/>
        </w:rPr>
        <w:t xml:space="preserve">ḍ-y-q</w:t>
      </w:r>
      <w:r>
        <w:t xml:space="preserve">,</w:t>
      </w:r>
      <w:r>
        <w:t xml:space="preserve"> </w:t>
      </w:r>
      <w:r>
        <w:rPr>
          <w:i/>
          <w:iCs/>
        </w:rPr>
        <w:t xml:space="preserve">ḥ-z-n</w:t>
      </w:r>
      <w:r>
        <w:t xml:space="preserve">,</w:t>
      </w:r>
      <w:r>
        <w:t xml:space="preserve"> </w:t>
      </w:r>
      <w:r>
        <w:rPr>
          <w:i/>
          <w:iCs/>
        </w:rPr>
        <w:t xml:space="preserve">ʾ-s-f</w:t>
      </w:r>
      <w:r>
        <w:t xml:space="preserve">—with 60 combined attestations. Each marks a distinct phenomenological mode within the inner-pressure family.</w:t>
      </w:r>
    </w:p>
    <w:p>
      <w:pPr>
        <w:pStyle w:val="BodyText"/>
      </w:pPr>
      <w:r>
        <w:rPr>
          <w:b/>
          <w:bCs/>
        </w:rPr>
        <w:t xml:space="preserve">4.4.1.</w:t>
      </w:r>
      <w:r>
        <w:rPr>
          <w:b/>
          <w:bCs/>
        </w:rPr>
        <w:t xml:space="preserve"> </w:t>
      </w:r>
      <w:r>
        <w:rPr>
          <w:b/>
          <w:bCs/>
          <w:i/>
          <w:iCs/>
        </w:rPr>
        <w:t xml:space="preserve">Ḍīq</w:t>
      </w:r>
      <w:r>
        <w:rPr>
          <w:b/>
          <w:bCs/>
        </w:rPr>
        <w:t xml:space="preserve"> </w:t>
      </w:r>
      <w:r>
        <w:rPr>
          <w:b/>
          <w:bCs/>
        </w:rPr>
        <w:t xml:space="preserve">(13; 9M/4Md).</w:t>
      </w:r>
      <w:r>
        <w:t xml:space="preserve"> </w:t>
      </w:r>
      <w:r>
        <w:t xml:space="preserve">Ibn Fāris glosses</w:t>
      </w:r>
      <w:r>
        <w:t xml:space="preserve"> </w:t>
      </w:r>
      <w:r>
        <w:rPr>
          <w:i/>
          <w:iCs/>
        </w:rPr>
        <w:t xml:space="preserve">ḍyq</w:t>
      </w:r>
      <w:r>
        <w:t xml:space="preserve"> </w:t>
      </w:r>
      <w:r>
        <w:t xml:space="preserve">as</w:t>
      </w:r>
      <w:r>
        <w:t xml:space="preserve"> </w:t>
      </w:r>
      <w:r>
        <w:t xml:space="preserve">“constriction, narrowness”</w:t>
      </w:r>
      <w:r>
        <w:t xml:space="preserve">; al-Rāghib in opposition to</w:t>
      </w:r>
      <w:r>
        <w:t xml:space="preserve"> </w:t>
      </w:r>
      <w:r>
        <w:rPr>
          <w:i/>
          <w:iCs/>
        </w:rPr>
        <w:t xml:space="preserve">saʿah</w:t>
      </w:r>
      <w:r>
        <w:t xml:space="preserve"> </w:t>
      </w:r>
      <w:r>
        <w:t xml:space="preserve">(expansion). The root appears predominantly in the construction</w:t>
      </w:r>
      <w:r>
        <w:t xml:space="preserve"> </w:t>
      </w:r>
      <w:r>
        <w:rPr>
          <w:i/>
          <w:iCs/>
        </w:rPr>
        <w:t xml:space="preserve">ḍīq al-ṣadr</w:t>
      </w:r>
      <w:r>
        <w:t xml:space="preserve"> </w:t>
      </w:r>
      <w:r>
        <w:t xml:space="preserve">(constriction of the chest), localising the experience to the embodied site. Q. 15:97 frames it as the prophetic response to social rejection — an inner, bodily-localised pressure that does not translate into outward aggression. Al-Ṭabāṭabāʾī (</w:t>
      </w:r>
      <w:r>
        <w:rPr>
          <w:i/>
          <w:iCs/>
        </w:rPr>
        <w:t xml:space="preserve">al-Mīzān</w:t>
      </w:r>
      <w:r>
        <w:t xml:space="preserve"> </w:t>
      </w:r>
      <w:r>
        <w:t xml:space="preserve">12:195) observes the verse expresses divine</w:t>
      </w:r>
      <w:r>
        <w:t xml:space="preserve"> </w:t>
      </w:r>
      <w:r>
        <w:rPr>
          <w:i/>
          <w:iCs/>
        </w:rPr>
        <w:t xml:space="preserve">knowledge</w:t>
      </w:r>
      <w:r>
        <w:t xml:space="preserve"> </w:t>
      </w:r>
      <w:r>
        <w:t xml:space="preserve">of prophetic</w:t>
      </w:r>
      <w:r>
        <w:t xml:space="preserve"> </w:t>
      </w:r>
      <w:r>
        <w:rPr>
          <w:i/>
          <w:iCs/>
        </w:rPr>
        <w:t xml:space="preserve">ḍīq</w:t>
      </w:r>
      <w:r>
        <w:t xml:space="preserve"> </w:t>
      </w:r>
      <w:r>
        <w:t xml:space="preserve">rather than prohibition: a phenomenologically natural, theologically licit state, not a moral failing. Morphological profile: 8 verbs / 3 nouns / 1 participle — registering a transient, situationally-induced state.</w:t>
      </w:r>
    </w:p>
    <w:p>
      <w:pPr>
        <w:pStyle w:val="BodyText"/>
      </w:pPr>
      <w:r>
        <w:rPr>
          <w:b/>
          <w:bCs/>
        </w:rPr>
        <w:t xml:space="preserve">4.4.1.1.</w:t>
      </w:r>
      <w:r>
        <w:rPr>
          <w:b/>
          <w:bCs/>
        </w:rPr>
        <w:t xml:space="preserve"> </w:t>
      </w:r>
      <w:r>
        <w:rPr>
          <w:b/>
          <w:bCs/>
          <w:i/>
          <w:iCs/>
        </w:rPr>
        <w:t xml:space="preserve">Ḍāqa dharʿan</w:t>
      </w:r>
      <w:r>
        <w:rPr>
          <w:b/>
          <w:bCs/>
        </w:rPr>
        <w:t xml:space="preserve"> </w:t>
      </w:r>
      <w:r>
        <w:rPr>
          <w:b/>
          <w:bCs/>
        </w:rPr>
        <w:t xml:space="preserve">— inhibited aggression at Lot, Q. 11:77/80.</w:t>
      </w:r>
      <w:r>
        <w:t xml:space="preserve"> </w:t>
      </w:r>
      <w:r>
        <w:t xml:space="preserve">The compound idiom</w:t>
      </w:r>
      <w:r>
        <w:t xml:space="preserve"> </w:t>
      </w:r>
      <w:r>
        <w:rPr>
          <w:i/>
          <w:iCs/>
        </w:rPr>
        <w:t xml:space="preserve">ḍāqa bihim dharʿan</w:t>
      </w:r>
      <w:r>
        <w:t xml:space="preserve"> </w:t>
      </w:r>
      <w:r>
        <w:t xml:space="preserve">(</w:t>
      </w:r>
      <w:r>
        <w:t xml:space="preserve">“his arm-span tightened by them”</w:t>
      </w:r>
      <w:r>
        <w:t xml:space="preserve">) in the Lot narrative figures</w:t>
      </w:r>
      <w:r>
        <w:t xml:space="preserve"> </w:t>
      </w:r>
      <w:r>
        <w:rPr>
          <w:i/>
          <w:iCs/>
        </w:rPr>
        <w:t xml:space="preserve">post-anger blocked aggression</w:t>
      </w:r>
      <w:r>
        <w:t xml:space="preserve"> </w:t>
      </w:r>
      <w:r>
        <w:t xml:space="preserve">— anger at action-threshold but structurally inhibited. The four-step trajectory (trigger</w:t>
      </w:r>
      <w:r>
        <w:t xml:space="preserve"> </w:t>
      </w:r>
      <w:r>
        <w:rPr>
          <w:i/>
          <w:iCs/>
        </w:rPr>
        <w:t xml:space="preserve">sīʾa bihim</w:t>
      </w:r>
      <w:r>
        <w:t xml:space="preserve"> </w:t>
      </w:r>
      <w:r>
        <w:t xml:space="preserve">→ constriction</w:t>
      </w:r>
      <w:r>
        <w:t xml:space="preserve"> </w:t>
      </w:r>
      <w:r>
        <w:rPr>
          <w:i/>
          <w:iCs/>
        </w:rPr>
        <w:t xml:space="preserve">ḍyq+dharʿ</w:t>
      </w:r>
      <w:r>
        <w:t xml:space="preserve"> </w:t>
      </w:r>
      <w:r>
        <w:t xml:space="preserve">→ aspirational voicing</w:t>
      </w:r>
      <w:r>
        <w:t xml:space="preserve"> </w:t>
      </w:r>
      <w:r>
        <w:rPr>
          <w:i/>
          <w:iCs/>
        </w:rPr>
        <w:t xml:space="preserve">law anna lī bikum quwwatan</w:t>
      </w:r>
      <w:r>
        <w:t xml:space="preserve"> </w:t>
      </w:r>
      <w:r>
        <w:t xml:space="preserve">→ transfer of agency to the divine through the angels’ arrival) shows that</w:t>
      </w:r>
      <w:r>
        <w:t xml:space="preserve"> </w:t>
      </w:r>
      <w:r>
        <w:rPr>
          <w:i/>
          <w:iCs/>
        </w:rPr>
        <w:t xml:space="preserve">ḍyq</w:t>
      </w:r>
      <w:r>
        <w:t xml:space="preserve"> </w:t>
      </w:r>
      <w:r>
        <w:t xml:space="preserve">sits at</w:t>
      </w:r>
      <w:r>
        <w:t xml:space="preserve"> </w:t>
      </w:r>
      <w:r>
        <w:rPr>
          <w:i/>
          <w:iCs/>
        </w:rPr>
        <w:t xml:space="preserve">both</w:t>
      </w:r>
      <w:r>
        <w:t xml:space="preserve"> </w:t>
      </w:r>
      <w:r>
        <w:t xml:space="preserve">poles of the spectrum: pre-anger contraction</w:t>
      </w:r>
      <w:r>
        <w:t xml:space="preserve"> </w:t>
      </w:r>
      <w:r>
        <w:rPr>
          <w:i/>
          <w:iCs/>
        </w:rPr>
        <w:t xml:space="preserve">and</w:t>
      </w:r>
      <w:r>
        <w:t xml:space="preserve"> </w:t>
      </w:r>
      <w:r>
        <w:t xml:space="preserve">upper-pressure threshold of inhibition. The Qur’anic narrative theologises inhibited aggression: when the wronged agent lacks power, divine agency completes the anger trajectory.</w:t>
      </w:r>
    </w:p>
    <w:p>
      <w:pPr>
        <w:pStyle w:val="BodyText"/>
      </w:pPr>
      <w:r>
        <w:rPr>
          <w:b/>
          <w:bCs/>
        </w:rPr>
        <w:t xml:space="preserve">4.4.2.</w:t>
      </w:r>
      <w:r>
        <w:rPr>
          <w:b/>
          <w:bCs/>
        </w:rPr>
        <w:t xml:space="preserve"> </w:t>
      </w:r>
      <w:r>
        <w:rPr>
          <w:b/>
          <w:bCs/>
          <w:i/>
          <w:iCs/>
        </w:rPr>
        <w:t xml:space="preserve">Ḥuzn</w:t>
      </w:r>
      <w:r>
        <w:rPr>
          <w:b/>
          <w:bCs/>
        </w:rPr>
        <w:t xml:space="preserve"> </w:t>
      </w:r>
      <w:r>
        <w:rPr>
          <w:b/>
          <w:bCs/>
        </w:rPr>
        <w:t xml:space="preserve">(42; 26M/16Md).</w:t>
      </w:r>
      <w:r>
        <w:t xml:space="preserve"> </w:t>
      </w:r>
      <w:r>
        <w:t xml:space="preserve">The most frequent and most verbal Stage-2 lexeme (37v / 5n = 88% verbal). Ibn Manẓūr preserves the etymologically primary</w:t>
      </w:r>
      <w:r>
        <w:t xml:space="preserve"> </w:t>
      </w:r>
      <w:r>
        <w:t xml:space="preserve">“rugged, uneven ground”</w:t>
      </w:r>
      <w:r>
        <w:t xml:space="preserve"> </w:t>
      </w:r>
      <w:r>
        <w:t xml:space="preserve">(</w:t>
      </w:r>
      <w:r>
        <w:rPr>
          <w:i/>
          <w:iCs/>
        </w:rPr>
        <w:t xml:space="preserve">al-arḍ al-ġalīẓah</w:t>
      </w:r>
      <w:r>
        <w:t xml:space="preserve">); the metaphorical extension figures grief as inner roughness, anticipating Kövecses’s EMOTION IS A LANDSCAPE schema.</w:t>
      </w:r>
      <w:r>
        <w:rPr>
          <w:rStyle w:val="FootnoteReference"/>
        </w:rPr>
        <w:footnoteReference w:id="99"/>
      </w:r>
      <w:r>
        <w:t xml:space="preserve"> </w:t>
      </w:r>
      <w:r>
        <w:t xml:space="preserve">Q. 2:38 places</w:t>
      </w:r>
      <w:r>
        <w:t xml:space="preserve"> </w:t>
      </w:r>
      <w:r>
        <w:rPr>
          <w:i/>
          <w:iCs/>
        </w:rPr>
        <w:t xml:space="preserve">ḥuzn</w:t>
      </w:r>
      <w:r>
        <w:t xml:space="preserve"> </w:t>
      </w:r>
      <w:r>
        <w:t xml:space="preserve">in syntagmatic pair with</w:t>
      </w:r>
      <w:r>
        <w:t xml:space="preserve"> </w:t>
      </w:r>
      <w:r>
        <w:rPr>
          <w:i/>
          <w:iCs/>
        </w:rPr>
        <w:t xml:space="preserve">khawf</w:t>
      </w:r>
      <w:r>
        <w:t xml:space="preserve"> </w:t>
      </w:r>
      <w:r>
        <w:t xml:space="preserve">and opposes both to divinely-given guidance —</w:t>
      </w:r>
      <w:r>
        <w:t xml:space="preserve"> </w:t>
      </w:r>
      <w:r>
        <w:rPr>
          <w:i/>
          <w:iCs/>
        </w:rPr>
        <w:t xml:space="preserve">ḥuzn</w:t>
      </w:r>
      <w:r>
        <w:t xml:space="preserve"> </w:t>
      </w:r>
      <w:r>
        <w:t xml:space="preserve">as the affective signature of</w:t>
      </w:r>
      <w:r>
        <w:t xml:space="preserve"> </w:t>
      </w:r>
      <w:r>
        <w:rPr>
          <w:i/>
          <w:iCs/>
        </w:rPr>
        <w:t xml:space="preserve">separation from guidance</w:t>
      </w:r>
      <w:r>
        <w:t xml:space="preserve">; al-Ṭabāṭabāʾī (</w:t>
      </w:r>
      <w:r>
        <w:rPr>
          <w:i/>
          <w:iCs/>
        </w:rPr>
        <w:t xml:space="preserve">al-Mīzān</w:t>
      </w:r>
      <w:r>
        <w:t xml:space="preserve"> </w:t>
      </w:r>
      <w:r>
        <w:t xml:space="preserve">1:146) calls this foundational for</w:t>
      </w:r>
      <w:r>
        <w:t xml:space="preserve"> </w:t>
      </w:r>
      <w:r>
        <w:rPr>
          <w:i/>
          <w:iCs/>
        </w:rPr>
        <w:t xml:space="preserve">ʿilm al-nafs al-Qur’anī</w:t>
      </w:r>
      <w:r>
        <w:t xml:space="preserve">.</w:t>
      </w:r>
      <w:r>
        <w:t xml:space="preserve"> </w:t>
      </w:r>
      <w:r>
        <w:rPr>
          <w:b/>
          <w:bCs/>
        </w:rPr>
        <w:t xml:space="preserve">Caveat (transversality)</w:t>
      </w:r>
      <w:r>
        <w:t xml:space="preserve">:</w:t>
      </w:r>
      <w:r>
        <w:t xml:space="preserve"> </w:t>
      </w:r>
      <w:r>
        <w:rPr>
          <w:i/>
          <w:iCs/>
        </w:rPr>
        <w:t xml:space="preserve">Ḥuzn</w:t>
      </w:r>
      <w:r>
        <w:t xml:space="preserve"> </w:t>
      </w:r>
      <w:r>
        <w:t xml:space="preserve">is</w:t>
      </w:r>
      <w:r>
        <w:t xml:space="preserve"> </w:t>
      </w:r>
      <w:r>
        <w:rPr>
          <w:i/>
          <w:iCs/>
        </w:rPr>
        <w:t xml:space="preserve">not</w:t>
      </w:r>
      <w:r>
        <w:t xml:space="preserve"> </w:t>
      </w:r>
      <w:r>
        <w:t xml:space="preserve">strictly anger-derived. It has four valences — standalone grief over loss (Q. 12:84, Jacob over Joseph), externally-induced sorrow from being wronged (prophetic grief at rejection), positive moral compunction (the affective register of</w:t>
      </w:r>
      <w:r>
        <w:t xml:space="preserve"> </w:t>
      </w:r>
      <w:r>
        <w:rPr>
          <w:i/>
          <w:iCs/>
        </w:rPr>
        <w:t xml:space="preserve">tawba</w:t>
      </w:r>
      <w:r>
        <w:t xml:space="preserve">), and anger turned inward when externally inhibited (closest to the Stage-2 placement here). Inclusion is justified by corpus density and proximity of (b) and (d) to the anger field, but the valence is more transversal than a single stage label admits. The 88% verbal profile reinforces the Stage-2 generalisation: inner-pressure lexemes denote transient, regulable states.</w:t>
      </w:r>
    </w:p>
    <w:p>
      <w:pPr>
        <w:pStyle w:val="BodyText"/>
      </w:pPr>
      <w:r>
        <w:rPr>
          <w:b/>
          <w:bCs/>
        </w:rPr>
        <w:t xml:space="preserve">4.4.3.</w:t>
      </w:r>
      <w:r>
        <w:rPr>
          <w:b/>
          <w:bCs/>
        </w:rPr>
        <w:t xml:space="preserve"> </w:t>
      </w:r>
      <w:r>
        <w:rPr>
          <w:b/>
          <w:bCs/>
          <w:i/>
          <w:iCs/>
        </w:rPr>
        <w:t xml:space="preserve">Asaf</w:t>
      </w:r>
      <w:r>
        <w:rPr>
          <w:b/>
          <w:bCs/>
        </w:rPr>
        <w:t xml:space="preserve"> </w:t>
      </w:r>
      <w:r>
        <w:rPr>
          <w:b/>
          <w:bCs/>
        </w:rPr>
        <w:t xml:space="preserve">(5; 5M/0Md).</w:t>
      </w:r>
      <w:r>
        <w:t xml:space="preserve"> </w:t>
      </w:r>
      <w:r>
        <w:t xml:space="preserve">The least frequent Stage-2 lexeme. Ibn Fāris and al-Rāghib gloss as the conjunction of grief and anger (</w:t>
      </w:r>
      <w:r>
        <w:rPr>
          <w:i/>
          <w:iCs/>
        </w:rPr>
        <w:t xml:space="preserve">al-jamʿ bayna al-ḥuzn wa-l-ġaḍab</w:t>
      </w:r>
      <w:r>
        <w:t xml:space="preserve">) — at the threshold between inner pressure and active anger. Q. 43:55 (</w:t>
      </w:r>
      <w:r>
        <w:rPr>
          <w:i/>
          <w:iCs/>
        </w:rPr>
        <w:t xml:space="preserve">fa-lammā āsafūnā intaqamnā minhum</w:t>
      </w:r>
      <w:r>
        <w:t xml:space="preserve">) frames</w:t>
      </w:r>
      <w:r>
        <w:t xml:space="preserve"> </w:t>
      </w:r>
      <w:r>
        <w:rPr>
          <w:i/>
          <w:iCs/>
        </w:rPr>
        <w:t xml:space="preserve">asaf</w:t>
      </w:r>
      <w:r>
        <w:t xml:space="preserve"> </w:t>
      </w:r>
      <w:r>
        <w:t xml:space="preserve">as the immediate causal precursor of divine retribution; al-Ṭabarsī (</w:t>
      </w:r>
      <w:r>
        <w:rPr>
          <w:i/>
          <w:iCs/>
        </w:rPr>
        <w:t xml:space="preserve">Majmaʿ</w:t>
      </w:r>
      <w:r>
        <w:t xml:space="preserve"> </w:t>
      </w:r>
      <w:r>
        <w:t xml:space="preserve">9:82) glosses</w:t>
      </w:r>
      <w:r>
        <w:t xml:space="preserve"> </w:t>
      </w:r>
      <w:r>
        <w:rPr>
          <w:i/>
          <w:iCs/>
        </w:rPr>
        <w:t xml:space="preserve">al-asaf</w:t>
      </w:r>
      <w:r>
        <w:t xml:space="preserve"> </w:t>
      </w:r>
      <w:r>
        <w:t xml:space="preserve">here as</w:t>
      </w:r>
      <w:r>
        <w:t xml:space="preserve"> </w:t>
      </w:r>
      <w:r>
        <w:t xml:space="preserve">“the intense anger arising from prior grief.”</w:t>
      </w:r>
      <w:r>
        <w:t xml:space="preserve"> </w:t>
      </w:r>
      <w:r>
        <w:t xml:space="preserve">The exclusive-Meccan distribution (5/0; raw</w:t>
      </w:r>
      <w:r>
        <w:t xml:space="preserve"> </w:t>
      </w:r>
      <w:r>
        <w:rPr>
          <w:i/>
          <w:iCs/>
        </w:rPr>
        <w:t xml:space="preserve">p</w:t>
      </w:r>
      <w:r>
        <w:t xml:space="preserve"> </w:t>
      </w:r>
      <w:r>
        <w:t xml:space="preserve">= 0.34, adj.</w:t>
      </w:r>
      <w:r>
        <w:t xml:space="preserve"> </w:t>
      </w:r>
      <w:r>
        <w:rPr>
          <w:i/>
          <w:iCs/>
        </w:rPr>
        <w:t xml:space="preserve">p</w:t>
      </w:r>
      <w:r>
        <w:t xml:space="preserve"> </w:t>
      </w:r>
      <w:r>
        <w:t xml:space="preserve">= 1.00) is suggestive but evidentially weak — at</w:t>
      </w:r>
      <w:r>
        <w:t xml:space="preserve"> </w:t>
      </w:r>
      <w:r>
        <w:rPr>
          <w:i/>
          <w:iCs/>
        </w:rPr>
        <w:t xml:space="preserve">n</w:t>
      </w:r>
      <w:r>
        <w:t xml:space="preserve"> </w:t>
      </w:r>
      <w:r>
        <w:t xml:space="preserve">= 5 the test has very low power. Across all five attestations,</w:t>
      </w:r>
      <w:r>
        <w:t xml:space="preserve"> </w:t>
      </w:r>
      <w:r>
        <w:rPr>
          <w:i/>
          <w:iCs/>
        </w:rPr>
        <w:t xml:space="preserve">asaf</w:t>
      </w:r>
      <w:r>
        <w:t xml:space="preserve"> </w:t>
      </w:r>
      <w:r>
        <w:t xml:space="preserve">occurs in narrative passages depicting prior prophets’ encounter with rejection and in the</w:t>
      </w:r>
      <w:r>
        <w:t xml:space="preserve"> </w:t>
      </w:r>
      <w:r>
        <w:rPr>
          <w:i/>
          <w:iCs/>
        </w:rPr>
        <w:t xml:space="preserve">ghaḍbān asifan</w:t>
      </w:r>
      <w:r>
        <w:t xml:space="preserve"> </w:t>
      </w:r>
      <w:r>
        <w:t xml:space="preserve">compound applied to Moses (§4.4.3.1). We register the 5/0 distribution as a</w:t>
      </w:r>
      <w:r>
        <w:t xml:space="preserve"> </w:t>
      </w:r>
      <w:r>
        <w:rPr>
          <w:i/>
          <w:iCs/>
        </w:rPr>
        <w:t xml:space="preserve">contextual observation</w:t>
      </w:r>
      <w:r>
        <w:t xml:space="preserve"> </w:t>
      </w:r>
      <w:r>
        <w:t xml:space="preserve">warranting follow-up at higher</w:t>
      </w:r>
      <w:r>
        <w:t xml:space="preserve"> </w:t>
      </w:r>
      <w:r>
        <w:rPr>
          <w:i/>
          <w:iCs/>
        </w:rPr>
        <w:t xml:space="preserve">n</w:t>
      </w:r>
      <w:r>
        <w:t xml:space="preserve"> </w:t>
      </w:r>
      <w:r>
        <w:t xml:space="preserve">(e.g. against the</w:t>
      </w:r>
      <w:r>
        <w:t xml:space="preserve"> </w:t>
      </w:r>
      <w:r>
        <w:rPr>
          <w:i/>
          <w:iCs/>
        </w:rPr>
        <w:t xml:space="preserve">ḥadīth</w:t>
      </w:r>
      <w:r>
        <w:t xml:space="preserve"> </w:t>
      </w:r>
      <w:r>
        <w:t xml:space="preserve">corpus), not as a confirmed empirical finding.</w:t>
      </w:r>
    </w:p>
    <w:p>
      <w:pPr>
        <w:pStyle w:val="BodyText"/>
      </w:pPr>
      <w:r>
        <w:rPr>
          <w:b/>
          <w:bCs/>
        </w:rPr>
        <w:t xml:space="preserve">4.4.3.1.</w:t>
      </w:r>
      <w:r>
        <w:rPr>
          <w:b/>
          <w:bCs/>
        </w:rPr>
        <w:t xml:space="preserve"> </w:t>
      </w:r>
      <w:r>
        <w:rPr>
          <w:b/>
          <w:bCs/>
          <w:i/>
          <w:iCs/>
        </w:rPr>
        <w:t xml:space="preserve">Ghaḍbān asifan</w:t>
      </w:r>
      <w:r>
        <w:rPr>
          <w:b/>
          <w:bCs/>
        </w:rPr>
        <w:t xml:space="preserve"> </w:t>
      </w:r>
      <w:r>
        <w:rPr>
          <w:b/>
          <w:bCs/>
        </w:rPr>
        <w:t xml:space="preserve">— sacred anger at Moses, Q. 7:150 / 20:86.</w:t>
      </w:r>
      <w:r>
        <w:t xml:space="preserve"> </w:t>
      </w:r>
      <w:r>
        <w:t xml:space="preserve">The compound</w:t>
      </w:r>
      <w:r>
        <w:t xml:space="preserve"> </w:t>
      </w:r>
      <w:r>
        <w:rPr>
          <w:i/>
          <w:iCs/>
        </w:rPr>
        <w:t xml:space="preserve">ghaḍbān asifan</w:t>
      </w:r>
      <w:r>
        <w:t xml:space="preserve">, applied to Moses on his return to find the calf-worshippers, generates a three-layer dialectic:</w:t>
      </w:r>
      <w:r>
        <w:t xml:space="preserve"> </w:t>
      </w:r>
      <w:r>
        <w:rPr>
          <w:i/>
          <w:iCs/>
        </w:rPr>
        <w:t xml:space="preserve">ghaḍab</w:t>
      </w:r>
      <w:r>
        <w:t xml:space="preserve"> </w:t>
      </w:r>
      <w:r>
        <w:t xml:space="preserve">is outward/kinetic (throwing the tablets, seizing Aaron);</w:t>
      </w:r>
      <w:r>
        <w:t xml:space="preserve"> </w:t>
      </w:r>
      <w:r>
        <w:rPr>
          <w:i/>
          <w:iCs/>
        </w:rPr>
        <w:t xml:space="preserve">asaf</w:t>
      </w:r>
      <w:r>
        <w:t xml:space="preserve"> </w:t>
      </w:r>
      <w:r>
        <w:t xml:space="preserve">is inward/potential (compassionate grief over the relapse).</w:t>
      </w:r>
      <w:r>
        <w:t xml:space="preserve"> </w:t>
      </w:r>
      <w:r>
        <w:rPr>
          <w:i/>
          <w:iCs/>
        </w:rPr>
        <w:t xml:space="preserve">Asaf</w:t>
      </w:r>
      <w:r>
        <w:t xml:space="preserve"> </w:t>
      </w:r>
      <w:r>
        <w:t xml:space="preserve">grounds</w:t>
      </w:r>
      <w:r>
        <w:t xml:space="preserve"> </w:t>
      </w:r>
      <w:r>
        <w:rPr>
          <w:i/>
          <w:iCs/>
        </w:rPr>
        <w:t xml:space="preserve">ghaḍab</w:t>
      </w:r>
      <w:r>
        <w:t xml:space="preserve">: absent its compassionate ground, Moses’ anger would be violence; present, it is anger in service of guidance. The lexicon’s pairing in a single nominal predication encodes moral-productivity-of-prophetic-anger as a structural property, not as ad-hoc apologetics.</w:t>
      </w:r>
    </w:p>
    <w:p>
      <w:pPr>
        <w:pStyle w:val="BodyText"/>
      </w:pPr>
      <w:r>
        <w:rPr>
          <w:b/>
          <w:bCs/>
        </w:rPr>
        <w:t xml:space="preserve">4.4.4. Network evidence for Stage-2 coherence.</w:t>
      </w:r>
      <w:r>
        <w:t xml:space="preserve"> </w:t>
      </w:r>
      <w:r>
        <w:t xml:space="preserve">The aya-level co-occurrence network (Figure 5) reveals that the strongest single edge connects</w:t>
      </w:r>
      <w:r>
        <w:t xml:space="preserve"> </w:t>
      </w:r>
      <w:r>
        <w:rPr>
          <w:i/>
          <w:iCs/>
        </w:rPr>
        <w:t xml:space="preserve">ḥzn</w:t>
      </w:r>
      <w:r>
        <w:t xml:space="preserve"> </w:t>
      </w:r>
      <w:r>
        <w:t xml:space="preserve">and</w:t>
      </w:r>
      <w:r>
        <w:t xml:space="preserve"> </w:t>
      </w:r>
      <w:r>
        <w:rPr>
          <w:i/>
          <w:iCs/>
        </w:rPr>
        <w:t xml:space="preserve">ḍyq</w:t>
      </w:r>
      <w:r>
        <w:t xml:space="preserve"> </w:t>
      </w:r>
      <w:r>
        <w:t xml:space="preserve">(weight 3); these two lexemes share three verses in the Qur’an, more than any other pair within the spectrum. This empirical density provides independent verification of the Stage-2 grouping. Centrality analysis (Figure 6) places</w:t>
      </w:r>
      <w:r>
        <w:t xml:space="preserve"> </w:t>
      </w:r>
      <w:r>
        <w:rPr>
          <w:i/>
          <w:iCs/>
        </w:rPr>
        <w:t xml:space="preserve">ḥzn</w:t>
      </w:r>
      <w:r>
        <w:t xml:space="preserve"> </w:t>
      </w:r>
      <w:r>
        <w:t xml:space="preserve">among the highest-degree nodes (weighted degree 5, tied with</w:t>
      </w:r>
      <w:r>
        <w:t xml:space="preserve"> </w:t>
      </w:r>
      <w:r>
        <w:rPr>
          <w:i/>
          <w:iCs/>
        </w:rPr>
        <w:t xml:space="preserve">ġḍb</w:t>
      </w:r>
      <w:r>
        <w:t xml:space="preserve">).</w:t>
      </w:r>
    </w:p>
    <w:bookmarkEnd w:id="100"/>
    <w:bookmarkStart w:id="102" w:name="stage-3-evaluative-aversion"/>
    <w:p>
      <w:pPr>
        <w:pStyle w:val="Heading3"/>
      </w:pPr>
      <w:r>
        <w:t xml:space="preserve">4.5. Stage 3 — Evaluative aversion</w:t>
      </w:r>
    </w:p>
    <w:p>
      <w:pPr>
        <w:pStyle w:val="FirstParagraph"/>
      </w:pPr>
      <w:r>
        <w:t xml:space="preserve">Stage 3 brings together three roots—</w:t>
      </w:r>
      <w:r>
        <w:rPr>
          <w:i/>
          <w:iCs/>
        </w:rPr>
        <w:t xml:space="preserve">n-q-m</w:t>
      </w:r>
      <w:r>
        <w:t xml:space="preserve">,</w:t>
      </w:r>
      <w:r>
        <w:t xml:space="preserve"> </w:t>
      </w:r>
      <w:r>
        <w:rPr>
          <w:i/>
          <w:iCs/>
        </w:rPr>
        <w:t xml:space="preserve">s-kh-ṭ</w:t>
      </w:r>
      <w:r>
        <w:t xml:space="preserve">,</w:t>
      </w:r>
      <w:r>
        <w:t xml:space="preserve"> </w:t>
      </w:r>
      <w:r>
        <w:rPr>
          <w:i/>
          <w:iCs/>
        </w:rPr>
        <w:t xml:space="preserve">m-q-t</w:t>
      </w:r>
      <w:r>
        <w:t xml:space="preserve">—with 27 combined attestations. Each marks a distinct mode of</w:t>
      </w:r>
      <w:r>
        <w:t xml:space="preserve"> </w:t>
      </w:r>
      <w:r>
        <w:rPr>
          <w:i/>
          <w:iCs/>
        </w:rPr>
        <w:t xml:space="preserve">evaluative-aversive</w:t>
      </w:r>
      <w:r>
        <w:t xml:space="preserve"> </w:t>
      </w:r>
      <w:r>
        <w:t xml:space="preserve">response to a moral object.</w:t>
      </w:r>
    </w:p>
    <w:p>
      <w:pPr>
        <w:pStyle w:val="BodyText"/>
      </w:pPr>
      <w:r>
        <w:rPr>
          <w:b/>
          <w:bCs/>
        </w:rPr>
        <w:t xml:space="preserve">4.5.1.</w:t>
      </w:r>
      <w:r>
        <w:rPr>
          <w:b/>
          <w:bCs/>
        </w:rPr>
        <w:t xml:space="preserve"> </w:t>
      </w:r>
      <w:r>
        <w:rPr>
          <w:b/>
          <w:bCs/>
          <w:i/>
          <w:iCs/>
        </w:rPr>
        <w:t xml:space="preserve">Naqm</w:t>
      </w:r>
      <w:r>
        <w:rPr>
          <w:b/>
          <w:bCs/>
        </w:rPr>
        <w:t xml:space="preserve"> </w:t>
      </w:r>
      <w:r>
        <w:rPr>
          <w:b/>
          <w:bCs/>
        </w:rPr>
        <w:t xml:space="preserve">(17 attestations; 12 Meccan / 5 Medinan).</w:t>
      </w:r>
      <w:r>
        <w:t xml:space="preserve"> </w:t>
      </w:r>
      <w:r>
        <w:rPr>
          <w:i/>
          <w:iCs/>
        </w:rPr>
        <w:t xml:space="preserve">Naqm</w:t>
      </w:r>
      <w:r>
        <w:t xml:space="preserve"> </w:t>
      </w:r>
      <w:r>
        <w:t xml:space="preserve">is the lexeme of</w:t>
      </w:r>
      <w:r>
        <w:t xml:space="preserve"> </w:t>
      </w:r>
      <w:r>
        <w:rPr>
          <w:i/>
          <w:iCs/>
        </w:rPr>
        <w:t xml:space="preserve">vengeful disapproval</w:t>
      </w:r>
      <w:r>
        <w:t xml:space="preserve">: anger that is grounded in moral evaluation and oriented toward retribution. Q. 7:126 (</w:t>
      </w:r>
      <w:r>
        <w:rPr>
          <w:i/>
          <w:iCs/>
        </w:rPr>
        <w:t xml:space="preserve">wa-mā naqamū minnā illā an āmannā bi-āyāti rabbinā</w:t>
      </w:r>
      <w:r>
        <w:t xml:space="preserve">) is the linguistic exemplar: anger directed</w:t>
      </w:r>
      <w:r>
        <w:t xml:space="preserve"> </w:t>
      </w:r>
      <w:r>
        <w:rPr>
          <w:i/>
          <w:iCs/>
        </w:rPr>
        <w:t xml:space="preserve">at others’ belief</w:t>
      </w:r>
      <w:r>
        <w:t xml:space="preserve"> </w:t>
      </w:r>
      <w:r>
        <w:t xml:space="preserve">— Pharaoh’s sorcerers, on accepting Moses’ message, are described as suffering Pharaonic</w:t>
      </w:r>
      <w:r>
        <w:t xml:space="preserve"> </w:t>
      </w:r>
      <w:r>
        <w:rPr>
          <w:i/>
          <w:iCs/>
        </w:rPr>
        <w:t xml:space="preserve">naqm</w:t>
      </w:r>
      <w:r>
        <w:t xml:space="preserve"> </w:t>
      </w:r>
      <w:r>
        <w:t xml:space="preserve">precisely</w:t>
      </w:r>
      <w:r>
        <w:t xml:space="preserve"> </w:t>
      </w:r>
      <w:r>
        <w:rPr>
          <w:i/>
          <w:iCs/>
        </w:rPr>
        <w:t xml:space="preserve">because</w:t>
      </w:r>
      <w:r>
        <w:t xml:space="preserve"> </w:t>
      </w:r>
      <w:r>
        <w:t xml:space="preserve">they believed. The grammatical construction</w:t>
      </w:r>
      <w:r>
        <w:t xml:space="preserve"> </w:t>
      </w:r>
      <w:r>
        <w:rPr>
          <w:i/>
          <w:iCs/>
        </w:rPr>
        <w:t xml:space="preserve">naqamū min</w:t>
      </w:r>
      <w:r>
        <w:t xml:space="preserve"> </w:t>
      </w:r>
      <w:r>
        <w:t xml:space="preserve">+ (cause) is a canonical Qur’anic formula for evaluatively-grounded anger.</w:t>
      </w:r>
    </w:p>
    <w:p>
      <w:pPr>
        <w:pStyle w:val="BodyText"/>
      </w:pPr>
      <w:r>
        <w:t xml:space="preserve">The lexeme also generates</w:t>
      </w:r>
      <w:r>
        <w:t xml:space="preserve"> </w:t>
      </w:r>
      <w:r>
        <w:rPr>
          <w:i/>
          <w:iCs/>
        </w:rPr>
        <w:t xml:space="preserve">al-muntaqim</w:t>
      </w:r>
      <w:r>
        <w:t xml:space="preserve"> </w:t>
      </w:r>
      <w:r>
        <w:t xml:space="preserve">(</w:t>
      </w:r>
      <w:r>
        <w:t xml:space="preserve">“the Avenger”</w:t>
      </w:r>
      <w:r>
        <w:t xml:space="preserve">) as a divine attribute (Q. 32:22 and parallels), establishing a direct theological-lexical bridge from the human-affective register to the divine retributive register. Position on the spectrum:</w:t>
      </w:r>
      <w:r>
        <w:t xml:space="preserve"> </w:t>
      </w:r>
      <w:r>
        <w:rPr>
          <w:i/>
          <w:iCs/>
        </w:rPr>
        <w:t xml:space="preserve">naqm</w:t>
      </w:r>
      <w:r>
        <w:t xml:space="preserve"> </w:t>
      </w:r>
      <w:r>
        <w:t xml:space="preserve">sits between</w:t>
      </w:r>
      <w:r>
        <w:t xml:space="preserve"> </w:t>
      </w:r>
      <w:r>
        <w:rPr>
          <w:i/>
          <w:iCs/>
        </w:rPr>
        <w:t xml:space="preserve">sakhaṭ</w:t>
      </w:r>
      <w:r>
        <w:t xml:space="preserve"> </w:t>
      </w:r>
      <w:r>
        <w:t xml:space="preserve">and</w:t>
      </w:r>
      <w:r>
        <w:t xml:space="preserve"> </w:t>
      </w:r>
      <w:r>
        <w:rPr>
          <w:i/>
          <w:iCs/>
        </w:rPr>
        <w:t xml:space="preserve">ghaḍab</w:t>
      </w:r>
      <w:r>
        <w:t xml:space="preserve"> </w:t>
      </w:r>
      <w:r>
        <w:t xml:space="preserve">on the action axis. It is more action-oriented than</w:t>
      </w:r>
      <w:r>
        <w:t xml:space="preserve"> </w:t>
      </w:r>
      <w:r>
        <w:rPr>
          <w:i/>
          <w:iCs/>
        </w:rPr>
        <w:t xml:space="preserve">sakhaṭ</w:t>
      </w:r>
      <w:r>
        <w:t xml:space="preserve"> </w:t>
      </w:r>
      <w:r>
        <w:t xml:space="preserve">(which is a stable moral disapprobation) but less kinetic than</w:t>
      </w:r>
      <w:r>
        <w:t xml:space="preserve"> </w:t>
      </w:r>
      <w:r>
        <w:rPr>
          <w:i/>
          <w:iCs/>
        </w:rPr>
        <w:t xml:space="preserve">ghaḍab</w:t>
      </w:r>
      <w:r>
        <w:t xml:space="preserve"> </w:t>
      </w:r>
      <w:r>
        <w:t xml:space="preserve">(which mobilises the motor agent). The Meccan tilt (12/5) is consistent with the lexeme’s frequent appearance in narrative-prophetic passages (the Pharaonic sorcerers, the people of Lot, the people of Madyan).</w:t>
      </w:r>
    </w:p>
    <w:p>
      <w:pPr>
        <w:pStyle w:val="BodyText"/>
      </w:pPr>
      <w:r>
        <w:rPr>
          <w:b/>
          <w:bCs/>
        </w:rPr>
        <w:t xml:space="preserve">4.5.2.</w:t>
      </w:r>
      <w:r>
        <w:rPr>
          <w:b/>
          <w:bCs/>
        </w:rPr>
        <w:t xml:space="preserve"> </w:t>
      </w:r>
      <w:r>
        <w:rPr>
          <w:b/>
          <w:bCs/>
          <w:i/>
          <w:iCs/>
        </w:rPr>
        <w:t xml:space="preserve">Sakhaṭ</w:t>
      </w:r>
      <w:r>
        <w:rPr>
          <w:b/>
          <w:bCs/>
        </w:rPr>
        <w:t xml:space="preserve"> </w:t>
      </w:r>
      <w:r>
        <w:rPr>
          <w:b/>
          <w:bCs/>
        </w:rPr>
        <w:t xml:space="preserve">(4 attestations; 0 Meccan / 4 Medinan).</w:t>
      </w:r>
      <w:r>
        <w:t xml:space="preserve"> </w:t>
      </w:r>
      <w:r>
        <w:t xml:space="preserve">Despite its low frequency,</w:t>
      </w:r>
      <w:r>
        <w:t xml:space="preserve"> </w:t>
      </w:r>
      <w:r>
        <w:rPr>
          <w:i/>
          <w:iCs/>
        </w:rPr>
        <w:t xml:space="preserve">sakhaṭ</w:t>
      </w:r>
      <w:r>
        <w:t xml:space="preserve"> </w:t>
      </w:r>
      <w:r>
        <w:t xml:space="preserve">furnishes one of the paper’s principal distributional findings. The exclusive-Medinan distribution—zero Meccan attestations among four total—has a two-sided exact binomial p-value of</w:t>
      </w:r>
      <w:r>
        <w:t xml:space="preserve"> </w:t>
      </w:r>
      <w:r>
        <w:rPr>
          <w:b/>
          <w:bCs/>
        </w:rPr>
        <w:t xml:space="preserve">0.005</w:t>
      </w:r>
      <w:r>
        <w:t xml:space="preserve"> </w:t>
      </w:r>
      <w:r>
        <w:t xml:space="preserve">against the corpus-derived baseline of 0.74 Meccan probability, statistically significant at α = 0.05.</w:t>
      </w:r>
    </w:p>
    <w:p>
      <w:pPr>
        <w:pStyle w:val="BodyText"/>
      </w:pPr>
      <w:r>
        <w:rPr>
          <w:b/>
          <w:bCs/>
          <w:i/>
          <w:iCs/>
        </w:rPr>
        <w:t xml:space="preserve">Baseline derivation, made explicit.</w:t>
      </w:r>
      <w:r>
        <w:t xml:space="preserve"> </w:t>
      </w:r>
      <w:r>
        <w:t xml:space="preserve">The 0.74 Meccan-rate baseline is the proportion of</w:t>
      </w:r>
      <w:r>
        <w:t xml:space="preserve"> </w:t>
      </w:r>
      <w:r>
        <w:rPr>
          <w:i/>
          <w:iCs/>
        </w:rPr>
        <w:t xml:space="preserve">ayat</w:t>
      </w:r>
      <w:r>
        <w:t xml:space="preserve"> </w:t>
      </w:r>
      <w:r>
        <w:t xml:space="preserve">(verses, not suras) classified Meccan in the QAC sura metadata, computed as</w:t>
      </w:r>
      <w:r>
        <w:t xml:space="preserve"> </w:t>
      </w:r>
      <w:r>
        <w:rPr>
          <w:rStyle w:val="VerbatimChar"/>
        </w:rPr>
        <w:t xml:space="preserve">meccan_ayat ÷ total_ayat</w:t>
      </w:r>
      <w:r>
        <w:t xml:space="preserve"> </w:t>
      </w:r>
      <w:r>
        <w:t xml:space="preserve">weighted by</w:t>
      </w:r>
      <w:r>
        <w:t xml:space="preserve"> </w:t>
      </w:r>
      <w:r>
        <w:rPr>
          <w:rStyle w:val="VerbatimChar"/>
        </w:rPr>
        <w:t xml:space="preserve">total_verses</w:t>
      </w:r>
      <w:r>
        <w:t xml:space="preserve"> </w:t>
      </w:r>
      <w:r>
        <w:t xml:space="preserve">per sura. We use the ayat-weighted rate rather than the sura-count rate (~0.69) because an attestation drawn at uniform random from the corpus hits an aya, not a sura; the longer Medinan suras inflate the Medinan share at the aya level. The implementation is in</w:t>
      </w:r>
      <w:r>
        <w:t xml:space="preserve"> </w:t>
      </w:r>
      <w:r>
        <w:rPr>
          <w:rStyle w:val="VerbatimChar"/>
        </w:rPr>
        <w:t xml:space="preserve">analysis/advanced_metrics.py</w:t>
      </w:r>
      <w:r>
        <w:t xml:space="preserve"> </w:t>
      </w:r>
      <w:r>
        <w:t xml:space="preserve">(</w:t>
      </w:r>
      <w:r>
        <w:rPr>
          <w:rStyle w:val="VerbatimChar"/>
        </w:rPr>
        <w:t xml:space="preserve">_compute_meccan_baseline</w:t>
      </w:r>
      <w:r>
        <w:t xml:space="preserve">).</w:t>
      </w:r>
    </w:p>
    <w:p>
      <w:pPr>
        <w:pStyle w:val="BodyText"/>
      </w:pPr>
      <w:r>
        <w:rPr>
          <w:b/>
          <w:bCs/>
          <w:i/>
          <w:iCs/>
        </w:rPr>
        <w:t xml:space="preserve">Granular baseline sensitivity.</w:t>
      </w:r>
      <w:r>
        <w:t xml:space="preserve"> </w:t>
      </w:r>
      <w:r>
        <w:t xml:space="preserve">With n = 4, the inference is mildly sensitive to the baseline. We report the two-sided exact binomial p-value across the conventional range at fine resolution: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H₀ Meccan rate</w:t>
            </w:r>
          </w:p>
        </w:tc>
        <w:tc>
          <w:tcPr/>
          <w:p>
            <w:pPr>
              <w:pStyle w:val="Compact"/>
              <w:jc w:val="center"/>
            </w:pPr>
            <w:r>
              <w:t xml:space="preserve">Two-sided p (k=0, n=4)</w:t>
            </w:r>
          </w:p>
        </w:tc>
        <w:tc>
          <w:tcPr/>
          <w:p>
            <w:pPr>
              <w:pStyle w:val="Compact"/>
              <w:jc w:val="left"/>
            </w:pPr>
            <w:r>
              <w:t xml:space="preserve">Interpretation</w:t>
            </w:r>
          </w:p>
        </w:tc>
      </w:tr>
      <w:tr>
        <w:tc>
          <w:tcPr/>
          <w:p>
            <w:pPr>
              <w:pStyle w:val="Compact"/>
              <w:jc w:val="center"/>
            </w:pPr>
            <w:r>
              <w:t xml:space="preserve">0.70 (lower bound; sura-count proxy)</w:t>
            </w:r>
          </w:p>
        </w:tc>
        <w:tc>
          <w:tcPr/>
          <w:p>
            <w:pPr>
              <w:pStyle w:val="Compact"/>
              <w:jc w:val="center"/>
            </w:pPr>
            <w:r>
              <w:t xml:space="preserve">0.0081</w:t>
            </w:r>
          </w:p>
        </w:tc>
        <w:tc>
          <w:tcPr/>
          <w:p>
            <w:pPr>
              <w:pStyle w:val="Compact"/>
              <w:jc w:val="left"/>
            </w:pPr>
            <w:r>
              <w:t xml:space="preserve">significant at α = 0.05</w:t>
            </w:r>
          </w:p>
        </w:tc>
      </w:tr>
      <w:tr>
        <w:tc>
          <w:tcPr/>
          <w:p>
            <w:pPr>
              <w:pStyle w:val="Compact"/>
              <w:jc w:val="center"/>
            </w:pPr>
            <w:r>
              <w:t xml:space="preserve">0.72</w:t>
            </w:r>
          </w:p>
        </w:tc>
        <w:tc>
          <w:tcPr/>
          <w:p>
            <w:pPr>
              <w:pStyle w:val="Compact"/>
              <w:jc w:val="center"/>
            </w:pPr>
            <w:r>
              <w:t xml:space="preserve">0.0061</w:t>
            </w:r>
          </w:p>
        </w:tc>
        <w:tc>
          <w:tcPr/>
          <w:p>
            <w:pPr>
              <w:pStyle w:val="Compact"/>
              <w:jc w:val="left"/>
            </w:pPr>
            <w:r>
              <w:t xml:space="preserve">significant at α = 0.05</w:t>
            </w:r>
          </w:p>
        </w:tc>
      </w:tr>
      <w:tr>
        <w:tc>
          <w:tcPr/>
          <w:p>
            <w:pPr>
              <w:pStyle w:val="Compact"/>
              <w:jc w:val="center"/>
            </w:pPr>
            <w:r>
              <w:rPr>
                <w:b/>
                <w:bCs/>
              </w:rPr>
              <w:t xml:space="preserve">0.74 (corpus ayat-weighted; default)</w:t>
            </w:r>
          </w:p>
        </w:tc>
        <w:tc>
          <w:tcPr/>
          <w:p>
            <w:pPr>
              <w:pStyle w:val="Compact"/>
              <w:jc w:val="center"/>
            </w:pPr>
            <w:r>
              <w:rPr>
                <w:b/>
                <w:bCs/>
              </w:rPr>
              <w:t xml:space="preserve">0.0046</w:t>
            </w:r>
          </w:p>
        </w:tc>
        <w:tc>
          <w:tcPr/>
          <w:p>
            <w:pPr>
              <w:pStyle w:val="Compact"/>
              <w:jc w:val="left"/>
            </w:pPr>
            <w:r>
              <w:rPr>
                <w:b/>
                <w:bCs/>
              </w:rPr>
              <w:t xml:space="preserve">significant at α = 0.05</w:t>
            </w:r>
          </w:p>
        </w:tc>
      </w:tr>
      <w:tr>
        <w:tc>
          <w:tcPr/>
          <w:p>
            <w:pPr>
              <w:pStyle w:val="Compact"/>
              <w:jc w:val="center"/>
            </w:pPr>
            <w:r>
              <w:t xml:space="preserve">0.76</w:t>
            </w:r>
          </w:p>
        </w:tc>
        <w:tc>
          <w:tcPr/>
          <w:p>
            <w:pPr>
              <w:pStyle w:val="Compact"/>
              <w:jc w:val="center"/>
            </w:pPr>
            <w:r>
              <w:t xml:space="preserve">0.0033</w:t>
            </w:r>
          </w:p>
        </w:tc>
        <w:tc>
          <w:tcPr/>
          <w:p>
            <w:pPr>
              <w:pStyle w:val="Compact"/>
              <w:jc w:val="left"/>
            </w:pPr>
            <w:r>
              <w:t xml:space="preserve">significant at α = 0.01</w:t>
            </w:r>
          </w:p>
        </w:tc>
      </w:tr>
      <w:tr>
        <w:tc>
          <w:tcPr/>
          <w:p>
            <w:pPr>
              <w:pStyle w:val="Compact"/>
              <w:jc w:val="center"/>
            </w:pPr>
            <w:r>
              <w:t xml:space="preserve">0.78 (upper bound)</w:t>
            </w:r>
          </w:p>
        </w:tc>
        <w:tc>
          <w:tcPr/>
          <w:p>
            <w:pPr>
              <w:pStyle w:val="Compact"/>
              <w:jc w:val="center"/>
            </w:pPr>
            <w:r>
              <w:t xml:space="preserve">0.0023</w:t>
            </w:r>
          </w:p>
        </w:tc>
        <w:tc>
          <w:tcPr/>
          <w:p>
            <w:pPr>
              <w:pStyle w:val="Compact"/>
              <w:jc w:val="left"/>
            </w:pPr>
            <w:r>
              <w:t xml:space="preserve">significant at α = 0.01</w:t>
            </w:r>
          </w:p>
        </w:tc>
      </w:tr>
    </w:tbl>
    <w:p>
      <w:pPr>
        <w:pStyle w:val="BodyText"/>
      </w:pPr>
      <w:r>
        <w:t xml:space="preserve">The conclusion is robust across the range.</w:t>
      </w:r>
      <w:r>
        <w:t xml:space="preserve"> </w:t>
      </w:r>
      <w:r>
        <w:rPr>
          <w:b/>
          <w:bCs/>
        </w:rPr>
        <w:t xml:space="preserve">Multiple-comparison adjustment</w:t>
      </w:r>
      <w:r>
        <w:t xml:space="preserve"> </w:t>
      </w:r>
      <w:r>
        <w:t xml:space="preserve">(Holm-Bonferroni over the family of 14 per-root binomials):</w:t>
      </w:r>
      <w:r>
        <w:t xml:space="preserve"> </w:t>
      </w:r>
      <w:r>
        <w:rPr>
          <w:i/>
          <w:iCs/>
        </w:rPr>
        <w:t xml:space="preserve">sakhaṭ</w:t>
      </w:r>
      <w:r>
        <w:t xml:space="preserve"> </w:t>
      </w:r>
      <w:r>
        <w:t xml:space="preserve">adjusted</w:t>
      </w:r>
      <w:r>
        <w:t xml:space="preserve"> </w:t>
      </w:r>
      <w:r>
        <w:rPr>
          <w:i/>
          <w:iCs/>
        </w:rPr>
        <w:t xml:space="preserve">p</w:t>
      </w:r>
      <w:r>
        <w:t xml:space="preserve"> </w:t>
      </w:r>
      <w:r>
        <w:t xml:space="preserve">= 0.05 (raw 0.005) — borderline rather than emphatic.</w:t>
      </w:r>
      <w:r>
        <w:t xml:space="preserve"> </w:t>
      </w:r>
      <w:r>
        <w:rPr>
          <w:i/>
          <w:iCs/>
        </w:rPr>
        <w:t xml:space="preserve">Asaf</w:t>
      </w:r>
      <w:r>
        <w:t xml:space="preserve"> </w:t>
      </w:r>
      <w:r>
        <w:t xml:space="preserve">(5/0; raw 0.34, adj. 1.00),</w:t>
      </w:r>
      <w:r>
        <w:t xml:space="preserve"> </w:t>
      </w:r>
      <w:r>
        <w:rPr>
          <w:i/>
          <w:iCs/>
        </w:rPr>
        <w:t xml:space="preserve">ʿutuww</w:t>
      </w:r>
      <w:r>
        <w:t xml:space="preserve"> </w:t>
      </w:r>
      <w:r>
        <w:t xml:space="preserve">(9/1; raw 0.47, adj. 1.00), and</w:t>
      </w:r>
      <w:r>
        <w:t xml:space="preserve"> </w:t>
      </w:r>
      <w:r>
        <w:rPr>
          <w:i/>
          <w:iCs/>
        </w:rPr>
        <w:t xml:space="preserve">karh</w:t>
      </w:r>
      <w:r>
        <w:t xml:space="preserve"> </w:t>
      </w:r>
      <w:r>
        <w:t xml:space="preserve">(raw 0.005, adj. 0.05 — tied) tilts do not survive correction. With</w:t>
      </w:r>
      <w:r>
        <w:t xml:space="preserve"> </w:t>
      </w:r>
      <w:r>
        <w:rPr>
          <w:i/>
          <w:iCs/>
        </w:rPr>
        <w:t xml:space="preserve">n</w:t>
      </w:r>
      <w:r>
        <w:t xml:space="preserve"> </w:t>
      </w:r>
      <w:r>
        <w:t xml:space="preserve">= 4 the test is underpowered; the substantive claim rests on the convergence of distributional evidence with the contextual-tafsir reading. All four</w:t>
      </w:r>
      <w:r>
        <w:t xml:space="preserve"> </w:t>
      </w:r>
      <w:r>
        <w:rPr>
          <w:i/>
          <w:iCs/>
        </w:rPr>
        <w:t xml:space="preserve">sakhaṭ</w:t>
      </w:r>
      <w:r>
        <w:t xml:space="preserve"> </w:t>
      </w:r>
      <w:r>
        <w:t xml:space="preserve">attestations are tied to the</w:t>
      </w:r>
      <w:r>
        <w:t xml:space="preserve"> </w:t>
      </w:r>
      <w:r>
        <w:rPr>
          <w:i/>
          <w:iCs/>
        </w:rPr>
        <w:t xml:space="preserve">Munāfiqūn</w:t>
      </w:r>
      <w:r>
        <w:t xml:space="preserve"> </w:t>
      </w:r>
      <w:r>
        <w:t xml:space="preserve">— Q. 47:28 (</w:t>
      </w:r>
      <w:r>
        <w:rPr>
          <w:i/>
          <w:iCs/>
        </w:rPr>
        <w:t xml:space="preserve">ittabaʿū mā askhaṭa Allāh wa-karihū riḍwānahu</w:t>
      </w:r>
      <w:r>
        <w:t xml:space="preserve">) is canonical. Following Narimani, Iqbali and Chari,</w:t>
      </w:r>
      <w:r>
        <w:rPr>
          <w:rStyle w:val="FootnoteReference"/>
        </w:rPr>
        <w:footnoteReference w:id="101"/>
      </w:r>
      <w:r>
        <w:t xml:space="preserve"> </w:t>
      </w:r>
      <w:r>
        <w:t xml:space="preserve">we read</w:t>
      </w:r>
      <w:r>
        <w:t xml:space="preserve"> </w:t>
      </w:r>
      <w:r>
        <w:rPr>
          <w:i/>
          <w:iCs/>
        </w:rPr>
        <w:t xml:space="preserve">sakhaṭ</w:t>
      </w:r>
      <w:r>
        <w:t xml:space="preserve"> </w:t>
      </w:r>
      <w:r>
        <w:t xml:space="preserve">not as an instantaneous emotional surge but as sustained</w:t>
      </w:r>
      <w:r>
        <w:t xml:space="preserve"> </w:t>
      </w:r>
      <w:r>
        <w:rPr>
          <w:i/>
          <w:iCs/>
        </w:rPr>
        <w:t xml:space="preserve">ethical disapprobation</w:t>
      </w:r>
      <w:r>
        <w:t xml:space="preserve">; we propose:</w:t>
      </w:r>
    </w:p>
    <w:p>
      <w:pPr>
        <w:pStyle w:val="BlockText"/>
      </w:pPr>
      <w:r>
        <w:rPr>
          <w:b/>
          <w:bCs/>
        </w:rPr>
        <w:t xml:space="preserve">Hypothesis (Discursive Specialisation of</w:t>
      </w:r>
      <w:r>
        <w:rPr>
          <w:b/>
          <w:bCs/>
        </w:rPr>
        <w:t xml:space="preserve"> </w:t>
      </w:r>
      <w:r>
        <w:rPr>
          <w:b/>
          <w:bCs/>
          <w:i/>
          <w:iCs/>
        </w:rPr>
        <w:t xml:space="preserve">sakhaṭ</w:t>
      </w:r>
      <w:r>
        <w:rPr>
          <w:b/>
          <w:bCs/>
        </w:rPr>
        <w:t xml:space="preserve">):</w:t>
      </w:r>
      <w:r>
        <w:t xml:space="preserve"> </w:t>
      </w:r>
      <w:r>
        <w:rPr>
          <w:i/>
          <w:iCs/>
        </w:rPr>
        <w:t xml:space="preserve">sakhaṭ</w:t>
      </w:r>
      <w:r>
        <w:t xml:space="preserve"> </w:t>
      </w:r>
      <w:r>
        <w:t xml:space="preserve">operates as a discursively specialised lexeme, reserved for divine displeasure with the</w:t>
      </w:r>
      <w:r>
        <w:t xml:space="preserve"> </w:t>
      </w:r>
      <w:r>
        <w:rPr>
          <w:i/>
          <w:iCs/>
        </w:rPr>
        <w:t xml:space="preserve">Munāfiqūn</w:t>
      </w:r>
      <w:r>
        <w:t xml:space="preserve"> </w:t>
      </w:r>
      <w:r>
        <w:t xml:space="preserve">— agents whose</w:t>
      </w:r>
      <w:r>
        <w:t xml:space="preserve"> </w:t>
      </w:r>
      <w:r>
        <w:rPr>
          <w:i/>
          <w:iCs/>
        </w:rPr>
        <w:t xml:space="preserve">zāhir</w:t>
      </w:r>
      <w:r>
        <w:t xml:space="preserve"> </w:t>
      </w:r>
      <w:r>
        <w:t xml:space="preserve">departs from their</w:t>
      </w:r>
      <w:r>
        <w:t xml:space="preserve"> </w:t>
      </w:r>
      <w:r>
        <w:rPr>
          <w:i/>
          <w:iCs/>
        </w:rPr>
        <w:t xml:space="preserve">bāṭin</w:t>
      </w:r>
      <w:r>
        <w:t xml:space="preserve">. Since the</w:t>
      </w:r>
      <w:r>
        <w:t xml:space="preserve"> </w:t>
      </w:r>
      <w:r>
        <w:rPr>
          <w:i/>
          <w:iCs/>
        </w:rPr>
        <w:t xml:space="preserve">Munāfiqūn</w:t>
      </w:r>
      <w:r>
        <w:t xml:space="preserve"> </w:t>
      </w:r>
      <w:r>
        <w:t xml:space="preserve">category is constitutively a Medinan-period phenomenon,</w:t>
      </w:r>
      <w:r>
        <w:t xml:space="preserve"> </w:t>
      </w:r>
      <w:r>
        <w:rPr>
          <w:i/>
          <w:iCs/>
        </w:rPr>
        <w:t xml:space="preserve">sakhaṭ</w:t>
      </w:r>
      <w:r>
        <w:t xml:space="preserve"> </w:t>
      </w:r>
      <w:r>
        <w:t xml:space="preserve">attests exclusively in Medinan suras. This is one instance of a general phenomenon of</w:t>
      </w:r>
      <w:r>
        <w:t xml:space="preserve"> </w:t>
      </w:r>
      <w:r>
        <w:rPr>
          <w:i/>
          <w:iCs/>
        </w:rPr>
        <w:t xml:space="preserve">discursive-contextual lexical specialisation</w:t>
      </w:r>
      <w:r>
        <w:t xml:space="preserve"> </w:t>
      </w:r>
      <w:r>
        <w:t xml:space="preserve">in the Qur’anic register.</w:t>
      </w:r>
    </w:p>
    <w:p>
      <w:pPr>
        <w:pStyle w:val="FirstParagraph"/>
      </w:pPr>
      <w:r>
        <w:rPr>
          <w:b/>
          <w:bCs/>
        </w:rPr>
        <w:t xml:space="preserve">4.5.3.</w:t>
      </w:r>
      <w:r>
        <w:rPr>
          <w:b/>
          <w:bCs/>
        </w:rPr>
        <w:t xml:space="preserve"> </w:t>
      </w:r>
      <w:r>
        <w:rPr>
          <w:b/>
          <w:bCs/>
          <w:i/>
          <w:iCs/>
        </w:rPr>
        <w:t xml:space="preserve">Maqt</w:t>
      </w:r>
      <w:r>
        <w:rPr>
          <w:b/>
          <w:bCs/>
        </w:rPr>
        <w:t xml:space="preserve"> </w:t>
      </w:r>
      <w:r>
        <w:rPr>
          <w:b/>
          <w:bCs/>
        </w:rPr>
        <w:t xml:space="preserve">(6 attestations; 4 Meccan / 2 Medinan).</w:t>
      </w:r>
      <w:r>
        <w:t xml:space="preserve"> </w:t>
      </w:r>
      <w:r>
        <w:rPr>
          <w:i/>
          <w:iCs/>
        </w:rPr>
        <w:t xml:space="preserve">Maqt</w:t>
      </w:r>
      <w:r>
        <w:t xml:space="preserve"> </w:t>
      </w:r>
      <w:r>
        <w:t xml:space="preserve">is</w:t>
      </w:r>
      <w:r>
        <w:t xml:space="preserve"> </w:t>
      </w:r>
      <w:r>
        <w:rPr>
          <w:i/>
          <w:iCs/>
        </w:rPr>
        <w:t xml:space="preserve">intense moral aversion</w:t>
      </w:r>
      <w:r>
        <w:t xml:space="preserve">: the four lexica converge on</w:t>
      </w:r>
      <w:r>
        <w:t xml:space="preserve"> </w:t>
      </w:r>
      <w:r>
        <w:rPr>
          <w:i/>
          <w:iCs/>
        </w:rPr>
        <w:t xml:space="preserve">ashaddu al-ibghāḍ</w:t>
      </w:r>
      <w:r>
        <w:t xml:space="preserve"> </w:t>
      </w:r>
      <w:r>
        <w:t xml:space="preserve">(Zajjāj/al-Layth in</w:t>
      </w:r>
      <w:r>
        <w:t xml:space="preserve"> </w:t>
      </w:r>
      <w:r>
        <w:rPr>
          <w:i/>
          <w:iCs/>
        </w:rPr>
        <w:t xml:space="preserve">Tahdhīb al-Lugha</w:t>
      </w:r>
      <w:r>
        <w:t xml:space="preserve">); al-Rāghib grounds it specifically in observation of a reprehensible act (</w:t>
      </w:r>
      <w:r>
        <w:rPr>
          <w:i/>
          <w:iCs/>
        </w:rPr>
        <w:t xml:space="preserve">ʿan amrin qabīḥin rakibahu</w:t>
      </w:r>
      <w:r>
        <w:t xml:space="preserve">), making</w:t>
      </w:r>
      <w:r>
        <w:t xml:space="preserve"> </w:t>
      </w:r>
      <w:r>
        <w:rPr>
          <w:i/>
          <w:iCs/>
        </w:rPr>
        <w:t xml:space="preserve">maqt</w:t>
      </w:r>
      <w:r>
        <w:t xml:space="preserve"> </w:t>
      </w:r>
      <w:r>
        <w:t xml:space="preserve">purely evaluative. Two contrasts with</w:t>
      </w:r>
      <w:r>
        <w:t xml:space="preserve"> </w:t>
      </w:r>
      <w:r>
        <w:rPr>
          <w:i/>
          <w:iCs/>
        </w:rPr>
        <w:t xml:space="preserve">ghaḍab</w:t>
      </w:r>
      <w:r>
        <w:t xml:space="preserve">: causation (purely evaluative vs. injury/frustration-triggered); action profile (rejection-distance vs. approach-aggression). Canonical exemplars — Q. 40:10 (</w:t>
      </w:r>
      <w:r>
        <w:rPr>
          <w:i/>
          <w:iCs/>
        </w:rPr>
        <w:t xml:space="preserve">maqt al-nafs</w:t>
      </w:r>
      <w:r>
        <w:t xml:space="preserve"> </w:t>
      </w:r>
      <w:r>
        <w:t xml:space="preserve">doubled), Q. 4:22 (institutional moral aversion in forbidden marriages), Q. 35:39 (rising divine</w:t>
      </w:r>
      <w:r>
        <w:t xml:space="preserve"> </w:t>
      </w:r>
      <w:r>
        <w:rPr>
          <w:i/>
          <w:iCs/>
        </w:rPr>
        <w:t xml:space="preserve">maqt</w:t>
      </w:r>
      <w:r>
        <w:t xml:space="preserve"> </w:t>
      </w:r>
      <w:r>
        <w:t xml:space="preserve">against disbelievers), Q. 61:3 (saying-without-doing) — stabilise the lexeme as the Qur’anic register’s term for moral aversion as evaluative response, distinct from the kinetic-motor</w:t>
      </w:r>
      <w:r>
        <w:t xml:space="preserve"> </w:t>
      </w:r>
      <w:r>
        <w:rPr>
          <w:i/>
          <w:iCs/>
        </w:rPr>
        <w:t xml:space="preserve">ghaḍab</w:t>
      </w:r>
      <w:r>
        <w:t xml:space="preserve"> </w:t>
      </w:r>
      <w:r>
        <w:t xml:space="preserve">of Stage 4.</w:t>
      </w:r>
    </w:p>
    <w:bookmarkEnd w:id="102"/>
    <w:bookmarkStart w:id="103" w:name="stage-4-active-anger"/>
    <w:p>
      <w:pPr>
        <w:pStyle w:val="Heading3"/>
      </w:pPr>
      <w:r>
        <w:t xml:space="preserve">4.6. Stage 4 — Active anger</w:t>
      </w:r>
    </w:p>
    <w:p>
      <w:pPr>
        <w:pStyle w:val="FirstParagraph"/>
      </w:pPr>
      <w:r>
        <w:t xml:space="preserve">Stage 4 (25 attestations) covers active, motor-mobilising anger.</w:t>
      </w:r>
    </w:p>
    <w:p>
      <w:pPr>
        <w:pStyle w:val="BodyText"/>
      </w:pPr>
      <w:r>
        <w:rPr>
          <w:b/>
          <w:bCs/>
        </w:rPr>
        <w:t xml:space="preserve">4.6.1.</w:t>
      </w:r>
      <w:r>
        <w:rPr>
          <w:b/>
          <w:bCs/>
        </w:rPr>
        <w:t xml:space="preserve"> </w:t>
      </w:r>
      <w:r>
        <w:rPr>
          <w:b/>
          <w:bCs/>
          <w:i/>
          <w:iCs/>
        </w:rPr>
        <w:t xml:space="preserve">Ghaḍab</w:t>
      </w:r>
      <w:r>
        <w:rPr>
          <w:b/>
          <w:bCs/>
        </w:rPr>
        <w:t xml:space="preserve"> </w:t>
      </w:r>
      <w:r>
        <w:rPr>
          <w:b/>
          <w:bCs/>
        </w:rPr>
        <w:t xml:space="preserve">(24; 13M/11M).</w:t>
      </w:r>
      <w:r>
        <w:t xml:space="preserve"> </w:t>
      </w:r>
      <w:r>
        <w:t xml:space="preserve">The central anger lexeme of the Qur’an, with near-balanced Meccan/Medinan distribution marking it as the unmarked default. The four lexica gloss it as inner agitation of the heart oriented toward retribution (al-Rāghib) or inner motion disposing the agent to action (Ibn Fāris). Predicated balance-fully of God (Q. 48:6), prophets, and believers. Morphologically nominal (16 n / 6 v / 2 ptcp = 67% nominal vs</w:t>
      </w:r>
      <w:r>
        <w:t xml:space="preserve"> </w:t>
      </w:r>
      <w:r>
        <w:rPr>
          <w:i/>
          <w:iCs/>
        </w:rPr>
        <w:t xml:space="preserve">ḥuzn</w:t>
      </w:r>
      <w:r>
        <w:t xml:space="preserve">’s 88% verbal):</w:t>
      </w:r>
      <w:r>
        <w:t xml:space="preserve"> </w:t>
      </w:r>
      <w:r>
        <w:rPr>
          <w:i/>
          <w:iCs/>
        </w:rPr>
        <w:t xml:space="preserve">ghaḍab</w:t>
      </w:r>
      <w:r>
        <w:t xml:space="preserve"> </w:t>
      </w:r>
      <w:r>
        <w:t xml:space="preserve">is a</w:t>
      </w:r>
      <w:r>
        <w:t xml:space="preserve"> </w:t>
      </w:r>
      <w:r>
        <w:rPr>
          <w:i/>
          <w:iCs/>
        </w:rPr>
        <w:t xml:space="preserve">structural concept-state</w:t>
      </w:r>
      <w:r>
        <w:t xml:space="preserve"> </w:t>
      </w:r>
      <w:r>
        <w:t xml:space="preserve">with organisational ontological standing rather than a transient affect. Al-Fakhr al-Rāzī’s</w:t>
      </w:r>
      <w:r>
        <w:t xml:space="preserve"> </w:t>
      </w:r>
      <w:r>
        <w:rPr>
          <w:i/>
          <w:iCs/>
        </w:rPr>
        <w:t xml:space="preserve">Mafātīḥ al-Ghayb</w:t>
      </w:r>
      <w:r>
        <w:t xml:space="preserve"> </w:t>
      </w:r>
      <w:r>
        <w:t xml:space="preserve">glosses divine</w:t>
      </w:r>
      <w:r>
        <w:t xml:space="preserve"> </w:t>
      </w:r>
      <w:r>
        <w:rPr>
          <w:i/>
          <w:iCs/>
        </w:rPr>
        <w:t xml:space="preserve">ghaḍab</w:t>
      </w:r>
      <w:r>
        <w:t xml:space="preserve"> </w:t>
      </w:r>
      <w:r>
        <w:t xml:space="preserve">as</w:t>
      </w:r>
      <w:r>
        <w:t xml:space="preserve"> </w:t>
      </w:r>
      <w:r>
        <w:rPr>
          <w:i/>
          <w:iCs/>
        </w:rPr>
        <w:t xml:space="preserve">irādat inzāl al-ʿiqāb</w:t>
      </w:r>
      <w:r>
        <w:t xml:space="preserve"> </w:t>
      </w:r>
      <w:r>
        <w:t xml:space="preserve">— a normative-juridical orientation, not an emotional response. Network analysis places</w:t>
      </w:r>
      <w:r>
        <w:t xml:space="preserve"> </w:t>
      </w:r>
      <w:r>
        <w:rPr>
          <w:i/>
          <w:iCs/>
        </w:rPr>
        <w:t xml:space="preserve">ghḍb</w:t>
      </w:r>
      <w:r>
        <w:t xml:space="preserve"> </w:t>
      </w:r>
      <w:r>
        <w:t xml:space="preserve">among the top three for betweenness centrality (point estimate 0.17), with notable edges to</w:t>
      </w:r>
      <w:r>
        <w:t xml:space="preserve"> </w:t>
      </w:r>
      <w:r>
        <w:rPr>
          <w:i/>
          <w:iCs/>
        </w:rPr>
        <w:t xml:space="preserve">ġyẓ</w:t>
      </w:r>
      <w:r>
        <w:t xml:space="preserve"> </w:t>
      </w:r>
      <w:r>
        <w:t xml:space="preserve">(upward transition to S5),</w:t>
      </w:r>
      <w:r>
        <w:t xml:space="preserve"> </w:t>
      </w:r>
      <w:r>
        <w:rPr>
          <w:i/>
          <w:iCs/>
        </w:rPr>
        <w:t xml:space="preserve">ḥzn</w:t>
      </w:r>
      <w:r>
        <w:t xml:space="preserve"> </w:t>
      </w:r>
      <w:r>
        <w:t xml:space="preserve">(downward S2 link), and</w:t>
      </w:r>
      <w:r>
        <w:t xml:space="preserve"> </w:t>
      </w:r>
      <w:r>
        <w:rPr>
          <w:i/>
          <w:iCs/>
        </w:rPr>
        <w:t xml:space="preserve">bġy</w:t>
      </w:r>
      <w:r>
        <w:t xml:space="preserve"> </w:t>
      </w:r>
      <w:r>
        <w:t xml:space="preserve">(S6 link).</w:t>
      </w:r>
    </w:p>
    <w:p>
      <w:pPr>
        <w:pStyle w:val="BodyText"/>
      </w:pPr>
      <w:r>
        <w:rPr>
          <w:b/>
          <w:bCs/>
        </w:rPr>
        <w:t xml:space="preserve">4.6.3.</w:t>
      </w:r>
      <w:r>
        <w:rPr>
          <w:b/>
          <w:bCs/>
        </w:rPr>
        <w:t xml:space="preserve"> </w:t>
      </w:r>
      <w:r>
        <w:rPr>
          <w:b/>
          <w:bCs/>
          <w:i/>
          <w:iCs/>
        </w:rPr>
        <w:t xml:space="preserve">Ḥard</w:t>
      </w:r>
      <w:r>
        <w:rPr>
          <w:b/>
          <w:bCs/>
        </w:rPr>
        <w:t xml:space="preserve"> </w:t>
      </w:r>
      <w:r>
        <w:rPr>
          <w:b/>
          <w:bCs/>
        </w:rPr>
        <w:t xml:space="preserve">(Q. 68:25, hapax).</w:t>
      </w:r>
      <w:r>
        <w:t xml:space="preserve"> </w:t>
      </w:r>
      <w:r>
        <w:t xml:space="preserve">A Qur’anic hapax in the Garden-Owners parable (</w:t>
      </w:r>
      <w:r>
        <w:rPr>
          <w:i/>
          <w:iCs/>
        </w:rPr>
        <w:t xml:space="preserve">wa-ghadaw ʿalā ḥardin qādirīn</w:t>
      </w:r>
      <w:r>
        <w:t xml:space="preserve">): garden-owners who vow in the night to harvest before dawn so as to deny the poor their share. Classical exegesis converges on a dual gloss: al-Ṭabarsī’s</w:t>
      </w:r>
      <w:r>
        <w:t xml:space="preserve"> </w:t>
      </w:r>
      <w:r>
        <w:rPr>
          <w:i/>
          <w:iCs/>
        </w:rPr>
        <w:t xml:space="preserve">Majmaʿ al-Bayān</w:t>
      </w:r>
      <w:r>
        <w:t xml:space="preserve"> </w:t>
      </w:r>
      <w:r>
        <w:t xml:space="preserve">reads</w:t>
      </w:r>
      <w:r>
        <w:t xml:space="preserve"> </w:t>
      </w:r>
      <w:r>
        <w:rPr>
          <w:i/>
          <w:iCs/>
        </w:rPr>
        <w:t xml:space="preserve">ḥard</w:t>
      </w:r>
      <w:r>
        <w:t xml:space="preserve"> </w:t>
      </w:r>
      <w:r>
        <w:t xml:space="preserve">as both</w:t>
      </w:r>
      <w:r>
        <w:t xml:space="preserve"> </w:t>
      </w:r>
      <w:r>
        <w:rPr>
          <w:i/>
          <w:iCs/>
        </w:rPr>
        <w:t xml:space="preserve">ghaḍab</w:t>
      </w:r>
      <w:r>
        <w:t xml:space="preserve"> </w:t>
      </w:r>
      <w:r>
        <w:t xml:space="preserve">(anger) and</w:t>
      </w:r>
      <w:r>
        <w:t xml:space="preserve"> </w:t>
      </w:r>
      <w:r>
        <w:rPr>
          <w:i/>
          <w:iCs/>
        </w:rPr>
        <w:t xml:space="preserve">qaṣd</w:t>
      </w:r>
      <w:r>
        <w:t xml:space="preserve"> </w:t>
      </w:r>
      <w:r>
        <w:t xml:space="preserve">(purposive intent); al-Ṭabāṭabāʾī’s</w:t>
      </w:r>
      <w:r>
        <w:t xml:space="preserve"> </w:t>
      </w:r>
      <w:r>
        <w:rPr>
          <w:i/>
          <w:iCs/>
        </w:rPr>
        <w:t xml:space="preserve">al-Mīzān</w:t>
      </w:r>
      <w:r>
        <w:t xml:space="preserve"> </w:t>
      </w:r>
      <w:r>
        <w:t xml:space="preserve">refines as anger-plus-deliberate-denial — purposive anger weaponised through resource-denial.</w:t>
      </w:r>
      <w:r>
        <w:t xml:space="preserve"> </w:t>
      </w:r>
      <w:r>
        <w:rPr>
          <w:i/>
          <w:iCs/>
        </w:rPr>
        <w:t xml:space="preserve">Ghaḍab</w:t>
      </w:r>
      <w:r>
        <w:t xml:space="preserve"> </w:t>
      </w:r>
      <w:r>
        <w:t xml:space="preserve">mobilises the motor agent outward;</w:t>
      </w:r>
      <w:r>
        <w:t xml:space="preserve"> </w:t>
      </w:r>
      <w:r>
        <w:rPr>
          <w:i/>
          <w:iCs/>
        </w:rPr>
        <w:t xml:space="preserve">ḥard</w:t>
      </w:r>
      <w:r>
        <w:t xml:space="preserve"> </w:t>
      </w:r>
      <w:r>
        <w:t xml:space="preserve">mobilises toward deliberate, miserly withholding — anger that strips the world of what it is owed. The narrative consequence is the destruction of the garden by night-storm: divine retribution against the</w:t>
      </w:r>
      <w:r>
        <w:t xml:space="preserve"> </w:t>
      </w:r>
      <w:r>
        <w:rPr>
          <w:i/>
          <w:iCs/>
        </w:rPr>
        <w:t xml:space="preserve">ḥard</w:t>
      </w:r>
      <w:r>
        <w:t xml:space="preserve">-driven plan to deny. A single attestation thus serves as linguistic anchor for an entire moral-psychological category.</w:t>
      </w:r>
    </w:p>
    <w:bookmarkEnd w:id="103"/>
    <w:bookmarkStart w:id="106" w:name="stage-5-compressedexplosive-rage"/>
    <w:p>
      <w:pPr>
        <w:pStyle w:val="Heading3"/>
      </w:pPr>
      <w:r>
        <w:t xml:space="preserve">4.7. Stage 5 — Compressed/explosive rage</w:t>
      </w:r>
    </w:p>
    <w:p>
      <w:pPr>
        <w:pStyle w:val="FirstParagraph"/>
      </w:pPr>
      <w:r>
        <w:rPr>
          <w:b/>
          <w:bCs/>
        </w:rPr>
        <w:t xml:space="preserve">4.7.1.</w:t>
      </w:r>
      <w:r>
        <w:rPr>
          <w:b/>
          <w:bCs/>
        </w:rPr>
        <w:t xml:space="preserve"> </w:t>
      </w:r>
      <w:r>
        <w:rPr>
          <w:b/>
          <w:bCs/>
          <w:i/>
          <w:iCs/>
        </w:rPr>
        <w:t xml:space="preserve">Ghayẓ</w:t>
      </w:r>
      <w:r>
        <w:rPr>
          <w:b/>
          <w:bCs/>
        </w:rPr>
        <w:t xml:space="preserve"> </w:t>
      </w:r>
      <w:r>
        <w:rPr>
          <w:b/>
          <w:bCs/>
        </w:rPr>
        <w:t xml:space="preserve">and the</w:t>
      </w:r>
      <w:r>
        <w:rPr>
          <w:b/>
          <w:bCs/>
        </w:rPr>
        <w:t xml:space="preserve"> </w:t>
      </w:r>
      <w:r>
        <w:rPr>
          <w:b/>
          <w:bCs/>
          <w:i/>
          <w:iCs/>
        </w:rPr>
        <w:t xml:space="preserve">kaẓm</w:t>
      </w:r>
      <w:r>
        <w:rPr>
          <w:b/>
          <w:bCs/>
        </w:rPr>
        <w:t xml:space="preserve"> </w:t>
      </w:r>
      <w:r>
        <w:rPr>
          <w:b/>
          <w:bCs/>
        </w:rPr>
        <w:t xml:space="preserve">metaphor (11 attestations; 3M/8Md).</w:t>
      </w:r>
      <w:r>
        <w:t xml:space="preserve"> </w:t>
      </w:r>
      <w:r>
        <w:t xml:space="preserve">The four lexica converge:</w:t>
      </w:r>
      <w:r>
        <w:t xml:space="preserve"> </w:t>
      </w:r>
      <w:r>
        <w:rPr>
          <w:i/>
          <w:iCs/>
        </w:rPr>
        <w:t xml:space="preserve">ghayẓ</w:t>
      </w:r>
      <w:r>
        <w:t xml:space="preserve"> </w:t>
      </w:r>
      <w:r>
        <w:t xml:space="preserve">is</w:t>
      </w:r>
      <w:r>
        <w:t xml:space="preserve"> </w:t>
      </w:r>
      <w:r>
        <w:t xml:space="preserve">“compressed contained anger”</w:t>
      </w:r>
      <w:r>
        <w:t xml:space="preserve"> </w:t>
      </w:r>
      <w:r>
        <w:t xml:space="preserve">(al-Rāghib),</w:t>
      </w:r>
      <w:r>
        <w:t xml:space="preserve"> </w:t>
      </w:r>
      <w:r>
        <w:t xml:space="preserve">“the highest concentration of restrained anger”</w:t>
      </w:r>
      <w:r>
        <w:t xml:space="preserve"> </w:t>
      </w:r>
      <w:r>
        <w:t xml:space="preserve">(Mostafavi),</w:t>
      </w:r>
      <w:r>
        <w:t xml:space="preserve"> </w:t>
      </w:r>
      <w:r>
        <w:t xml:space="preserve">“filling of the self with restrained anger”</w:t>
      </w:r>
      <w:r>
        <w:t xml:space="preserve"> </w:t>
      </w:r>
      <w:r>
        <w:t xml:space="preserve">(Ibn Manẓūr) — pressurised contents of a sealed vessel. Q. 3:134 commends</w:t>
      </w:r>
      <w:r>
        <w:t xml:space="preserve"> </w:t>
      </w:r>
      <w:r>
        <w:rPr>
          <w:i/>
          <w:iCs/>
        </w:rPr>
        <w:t xml:space="preserve">al-kāẓimīn al-ghayẓ</w:t>
      </w:r>
      <w:r>
        <w:t xml:space="preserve">; the verb</w:t>
      </w:r>
      <w:r>
        <w:t xml:space="preserve"> </w:t>
      </w:r>
      <w:r>
        <w:rPr>
          <w:i/>
          <w:iCs/>
        </w:rPr>
        <w:t xml:space="preserve">kaẓm</w:t>
      </w:r>
      <w:r>
        <w:t xml:space="preserve"> </w:t>
      </w:r>
      <w:r>
        <w:t xml:space="preserve">derives from the act of tying off a waterskin, the agent-internal regulation that sustains containment. Read through Lakoff and Kövecses,</w:t>
      </w:r>
      <w:r>
        <w:rPr>
          <w:rStyle w:val="FootnoteReference"/>
        </w:rPr>
        <w:footnoteReference w:id="104"/>
      </w:r>
      <w:r>
        <w:t xml:space="preserve"> </w:t>
      </w:r>
      <w:r>
        <w:t xml:space="preserve">the</w:t>
      </w:r>
      <w:r>
        <w:t xml:space="preserve"> </w:t>
      </w:r>
      <w:r>
        <w:rPr>
          <w:i/>
          <w:iCs/>
        </w:rPr>
        <w:t xml:space="preserve">ghayẓ–kaẓm</w:t>
      </w:r>
      <w:r>
        <w:t xml:space="preserve"> </w:t>
      </w:r>
      <w:r>
        <w:t xml:space="preserve">pair instantiates ANGER IS A PRESSURIZED CONTAINER with precision:</w:t>
      </w:r>
      <w:r>
        <w:t xml:space="preserve"> </w:t>
      </w:r>
      <w:r>
        <w:rPr>
          <w:i/>
          <w:iCs/>
        </w:rPr>
        <w:t xml:space="preserve">ghayẓ</w:t>
      </w:r>
      <w:r>
        <w:t xml:space="preserve"> </w:t>
      </w:r>
      <w:r>
        <w:t xml:space="preserve">the contained fluid,</w:t>
      </w:r>
      <w:r>
        <w:t xml:space="preserve"> </w:t>
      </w:r>
      <w:r>
        <w:rPr>
          <w:i/>
          <w:iCs/>
        </w:rPr>
        <w:t xml:space="preserve">kaẓm</w:t>
      </w:r>
      <w:r>
        <w:t xml:space="preserve"> </w:t>
      </w:r>
      <w:r>
        <w:t xml:space="preserve">the seal (Figure 7). The Medinan tilt (8/3) tracks the discursive context: inner anger management becomes a salient pedagogical concern in the formative Medinan community facing internal</w:t>
      </w:r>
      <w:r>
        <w:t xml:space="preserve"> </w:t>
      </w:r>
      <w:r>
        <w:rPr>
          <w:i/>
          <w:iCs/>
        </w:rPr>
        <w:t xml:space="preserve">Munāfiq</w:t>
      </w:r>
      <w:r>
        <w:t xml:space="preserve"> </w:t>
      </w:r>
      <w:r>
        <w:t xml:space="preserve">and external Quraysh hostility.</w:t>
      </w:r>
    </w:p>
    <w:p>
      <w:pPr>
        <w:pStyle w:val="BodyText"/>
      </w:pPr>
      <w:r>
        <w:rPr>
          <w:b/>
          <w:bCs/>
        </w:rPr>
        <w:t xml:space="preserve">4.7.2.</w:t>
      </w:r>
      <w:r>
        <w:rPr>
          <w:b/>
          <w:bCs/>
        </w:rPr>
        <w:t xml:space="preserve"> </w:t>
      </w:r>
      <w:r>
        <w:rPr>
          <w:b/>
          <w:bCs/>
          <w:i/>
          <w:iCs/>
        </w:rPr>
        <w:t xml:space="preserve">Tamayyuz</w:t>
      </w:r>
      <w:r>
        <w:rPr>
          <w:b/>
          <w:bCs/>
        </w:rPr>
        <w:t xml:space="preserve">: container collapse in Q. 67:8 (manifestation, not separate root).</w:t>
      </w:r>
      <w:r>
        <w:t xml:space="preserve"> </w:t>
      </w:r>
      <w:r>
        <w:t xml:space="preserve">Q. 67:8 —</w:t>
      </w:r>
      <w:r>
        <w:t xml:space="preserve"> </w:t>
      </w:r>
      <w:r>
        <w:rPr>
          <w:i/>
          <w:iCs/>
        </w:rPr>
        <w:t xml:space="preserve">takādu tamayyazu min al-ġayẓ</w:t>
      </w:r>
      <w:r>
        <w:t xml:space="preserve"> </w:t>
      </w:r>
      <w:r>
        <w:t xml:space="preserve">(</w:t>
      </w:r>
      <w:r>
        <w:t xml:space="preserve">“[the fire] is on the verge of bursting apart from rage”</w:t>
      </w:r>
      <w:r>
        <w:t xml:space="preserve">) — is the single most articulated image of rage in the Qur’an.</w:t>
      </w:r>
      <w:r>
        <w:t xml:space="preserve"> </w:t>
      </w:r>
      <w:r>
        <w:rPr>
          <w:i/>
          <w:iCs/>
        </w:rPr>
        <w:t xml:space="preserve">Tamayyaza</w:t>
      </w:r>
      <w:r>
        <w:t xml:space="preserve"> </w:t>
      </w:r>
      <w:r>
        <w:t xml:space="preserve">(root</w:t>
      </w:r>
      <w:r>
        <w:t xml:space="preserve"> </w:t>
      </w:r>
      <w:r>
        <w:rPr>
          <w:i/>
          <w:iCs/>
        </w:rPr>
        <w:t xml:space="preserve">m-y-z</w:t>
      </w:r>
      <w:r>
        <w:t xml:space="preserve">: to part, sever) figures not the</w:t>
      </w:r>
      <w:r>
        <w:t xml:space="preserve"> </w:t>
      </w:r>
      <w:r>
        <w:rPr>
          <w:i/>
          <w:iCs/>
        </w:rPr>
        <w:t xml:space="preserve">exit</w:t>
      </w:r>
      <w:r>
        <w:t xml:space="preserve"> </w:t>
      </w:r>
      <w:r>
        <w:t xml:space="preserve">of pressurised content (as in English</w:t>
      </w:r>
      <w:r>
        <w:t xml:space="preserve"> </w:t>
      </w:r>
      <w:r>
        <w:rPr>
          <w:i/>
          <w:iCs/>
        </w:rPr>
        <w:t xml:space="preserve">she blew her top</w:t>
      </w:r>
      <w:r>
        <w:t xml:space="preserve">,</w:t>
      </w:r>
      <w:r>
        <w:t xml:space="preserve"> </w:t>
      </w:r>
      <w:r>
        <w:rPr>
          <w:i/>
          <w:iCs/>
        </w:rPr>
        <w:t xml:space="preserve">he exploded</w:t>
      </w:r>
      <w:r>
        <w:t xml:space="preserve">,</w:t>
      </w:r>
      <w:r>
        <w:t xml:space="preserve"> </w:t>
      </w:r>
      <w:r>
        <w:rPr>
          <w:i/>
          <w:iCs/>
        </w:rPr>
        <w:t xml:space="preserve">I lost it</w:t>
      </w:r>
      <w:r>
        <w:t xml:space="preserve">) but the</w:t>
      </w:r>
      <w:r>
        <w:t xml:space="preserve"> </w:t>
      </w:r>
      <w:r>
        <w:rPr>
          <w:i/>
          <w:iCs/>
        </w:rPr>
        <w:t xml:space="preserve">structural integrity of the container itself failing</w:t>
      </w:r>
      <w:r>
        <w:t xml:space="preserve">. We treat</w:t>
      </w:r>
      <w:r>
        <w:t xml:space="preserve"> </w:t>
      </w:r>
      <w:r>
        <w:rPr>
          <w:i/>
          <w:iCs/>
        </w:rPr>
        <w:t xml:space="preserve">tamayyuz</w:t>
      </w:r>
      <w:r>
        <w:t xml:space="preserve"> </w:t>
      </w:r>
      <w:r>
        <w:t xml:space="preserve">as a manifestation of Stage 5 rather than a distinct core root, retaining the fourteen-root inventory. H5 is corroborated in the form: Q. 67:8 instantiates the container-collapse failure mode with greater lexical transparency than the English exemplars in Lakoff and Kövecses’s corpus;</w:t>
      </w:r>
      <w:r>
        <w:rPr>
          <w:rStyle w:val="FootnoteReference"/>
        </w:rPr>
        <w:footnoteReference w:id="105"/>
      </w:r>
      <w:r>
        <w:t xml:space="preserve"> </w:t>
      </w:r>
      <w:r>
        <w:t xml:space="preserve">whether this is the strongest historical instance is left open pending the cross-cultural philological survey we commend in §5.5.</w:t>
      </w:r>
    </w:p>
    <w:bookmarkEnd w:id="106"/>
    <w:bookmarkStart w:id="117" w:name="Xa109e1ffa5f4656b2c8f15f15567f8a540841d1"/>
    <w:p>
      <w:pPr>
        <w:pStyle w:val="Heading3"/>
      </w:pPr>
      <w:r>
        <w:t xml:space="preserve">4.8. Stage 6 — Behavioural outcomes (with caveats)</w:t>
      </w:r>
    </w:p>
    <w:p>
      <w:pPr>
        <w:pStyle w:val="FirstParagraph"/>
      </w:pPr>
      <w:r>
        <w:rPr>
          <w:b/>
          <w:bCs/>
        </w:rPr>
        <w:t xml:space="preserve">4.8.1.</w:t>
      </w:r>
      <w:r>
        <w:rPr>
          <w:b/>
          <w:bCs/>
        </w:rPr>
        <w:t xml:space="preserve"> </w:t>
      </w:r>
      <w:r>
        <w:rPr>
          <w:b/>
          <w:bCs/>
          <w:i/>
          <w:iCs/>
        </w:rPr>
        <w:t xml:space="preserve">Baghy</w:t>
      </w:r>
      <w:r>
        <w:rPr>
          <w:b/>
          <w:bCs/>
        </w:rPr>
        <w:t xml:space="preserve"> </w:t>
      </w:r>
      <w:r>
        <w:rPr>
          <w:b/>
          <w:bCs/>
        </w:rPr>
        <w:t xml:space="preserve">(96; 55M/41Md).</w:t>
      </w:r>
      <w:r>
        <w:t xml:space="preserve"> </w:t>
      </w:r>
      <w:r>
        <w:t xml:space="preserve">The most frequent lexeme of the spectrum and the principal bridge node by point-estimate centrality. Glossed as</w:t>
      </w:r>
      <w:r>
        <w:t xml:space="preserve"> </w:t>
      </w:r>
      <w:r>
        <w:t xml:space="preserve">“seeking beyond rightful bounds”</w:t>
      </w:r>
      <w:r>
        <w:t xml:space="preserve"> </w:t>
      </w:r>
      <w:r>
        <w:t xml:space="preserve">(al-Rāghib) and</w:t>
      </w:r>
      <w:r>
        <w:t xml:space="preserve"> </w:t>
      </w:r>
      <w:r>
        <w:t xml:space="preserve">“aggressive seeking with intent to oppress”</w:t>
      </w:r>
      <w:r>
        <w:t xml:space="preserve"> </w:t>
      </w:r>
      <w:r>
        <w:t xml:space="preserve">(Mostafavi). Q. 42:42 collocates</w:t>
      </w:r>
      <w:r>
        <w:t xml:space="preserve"> </w:t>
      </w:r>
      <w:r>
        <w:rPr>
          <w:i/>
          <w:iCs/>
        </w:rPr>
        <w:t xml:space="preserve">baghy</w:t>
      </w:r>
      <w:r>
        <w:t xml:space="preserve"> </w:t>
      </w:r>
      <w:r>
        <w:t xml:space="preserve">with</w:t>
      </w:r>
      <w:r>
        <w:t xml:space="preserve"> </w:t>
      </w:r>
      <w:r>
        <w:rPr>
          <w:i/>
          <w:iCs/>
        </w:rPr>
        <w:t xml:space="preserve">ẓulm</w:t>
      </w:r>
      <w:r>
        <w:t xml:space="preserve">, embedding it in the moral-evaluation register. Ibn ʿĀshūr clarifies (</w:t>
      </w:r>
      <w:r>
        <w:rPr>
          <w:i/>
          <w:iCs/>
        </w:rPr>
        <w:t xml:space="preserve">al-Taḥrīr</w:t>
      </w:r>
      <w:r>
        <w:t xml:space="preserve"> </w:t>
      </w:r>
      <w:r>
        <w:t xml:space="preserve">25:126):</w:t>
      </w:r>
      <w:r>
        <w:t xml:space="preserve"> </w:t>
      </w:r>
      <w:r>
        <w:rPr>
          <w:i/>
          <w:iCs/>
        </w:rPr>
        <w:t xml:space="preserve">baghy</w:t>
      </w:r>
      <w:r>
        <w:t xml:space="preserve"> </w:t>
      </w:r>
      <w:r>
        <w:t xml:space="preserve">and</w:t>
      </w:r>
      <w:r>
        <w:t xml:space="preserve"> </w:t>
      </w:r>
      <w:r>
        <w:rPr>
          <w:i/>
          <w:iCs/>
        </w:rPr>
        <w:t xml:space="preserve">ẓulm</w:t>
      </w:r>
      <w:r>
        <w:t xml:space="preserve"> </w:t>
      </w:r>
      <w:r>
        <w:t xml:space="preserve">are near-synonymous, except</w:t>
      </w:r>
      <w:r>
        <w:t xml:space="preserve"> </w:t>
      </w:r>
      <w:r>
        <w:rPr>
          <w:i/>
          <w:iCs/>
        </w:rPr>
        <w:t xml:space="preserve">baghy</w:t>
      </w:r>
      <w:r>
        <w:t xml:space="preserve"> </w:t>
      </w:r>
      <w:r>
        <w:t xml:space="preserve">is specific to non-rightful aggression against another while</w:t>
      </w:r>
      <w:r>
        <w:t xml:space="preserve"> </w:t>
      </w:r>
      <w:r>
        <w:rPr>
          <w:i/>
          <w:iCs/>
        </w:rPr>
        <w:t xml:space="preserve">ẓulm</w:t>
      </w:r>
      <w:r>
        <w:t xml:space="preserve"> </w:t>
      </w:r>
      <w:r>
        <w:t xml:space="preserve">covers all injustice.</w:t>
      </w:r>
    </w:p>
    <w:p>
      <w:pPr>
        <w:pStyle w:val="BodyText"/>
      </w:pPr>
      <w:r>
        <w:rPr>
          <w:b/>
          <w:bCs/>
        </w:rPr>
        <w:t xml:space="preserve">4.8.2.</w:t>
      </w:r>
      <w:r>
        <w:rPr>
          <w:b/>
          <w:bCs/>
        </w:rPr>
        <w:t xml:space="preserve"> </w:t>
      </w:r>
      <w:r>
        <w:rPr>
          <w:b/>
          <w:bCs/>
          <w:i/>
          <w:iCs/>
        </w:rPr>
        <w:t xml:space="preserve">Baghy</w:t>
      </w:r>
      <w:r>
        <w:rPr>
          <w:b/>
          <w:bCs/>
        </w:rPr>
        <w:t xml:space="preserve"> </w:t>
      </w:r>
      <w:r>
        <w:rPr>
          <w:b/>
          <w:bCs/>
        </w:rPr>
        <w:t xml:space="preserve">as bridge node (with bootstrap uncertainty).</w:t>
      </w:r>
      <w:r>
        <w:t xml:space="preserve"> </w:t>
      </w:r>
      <w:r>
        <w:rPr>
          <w:i/>
          <w:iCs/>
        </w:rPr>
        <w:t xml:space="preserve">Baghy</w:t>
      </w:r>
      <w:r>
        <w:t xml:space="preserve"> </w:t>
      </w:r>
      <w:r>
        <w:t xml:space="preserve">attains the highest point-estimate closeness centrality (0.55) and is tied with</w:t>
      </w:r>
      <w:r>
        <w:t xml:space="preserve"> </w:t>
      </w:r>
      <w:r>
        <w:rPr>
          <w:i/>
          <w:iCs/>
        </w:rPr>
        <w:t xml:space="preserve">ghaḍab</w:t>
      </w:r>
      <w:r>
        <w:t xml:space="preserve"> </w:t>
      </w:r>
      <w:r>
        <w:t xml:space="preserve">(0.53) and</w:t>
      </w:r>
      <w:r>
        <w:t xml:space="preserve"> </w:t>
      </w:r>
      <w:r>
        <w:rPr>
          <w:i/>
          <w:iCs/>
        </w:rPr>
        <w:t xml:space="preserve">asaf</w:t>
      </w:r>
      <w:r>
        <w:t xml:space="preserve"> </w:t>
      </w:r>
      <w:r>
        <w:t xml:space="preserve">(0.49) for the highest betweenness centrality (0.15). Bootstrap 95% percentile CIs (1,000 ayat-resamples) are wide — for</w:t>
      </w:r>
      <w:r>
        <w:t xml:space="preserve"> </w:t>
      </w:r>
      <w:r>
        <w:rPr>
          <w:i/>
          <w:iCs/>
        </w:rPr>
        <w:t xml:space="preserve">baghy</w:t>
      </w:r>
      <w:r>
        <w:t xml:space="preserve">: betweenness ∈ [0.00, 0.31]; closeness ∈ [0.23, 0.84]; eigenvector ∈ [0.00, 0.68] — reflecting the small graph (14 nodes) and modest edge density. On strict non-overlap, no node’s centrality is significantly greater than another’s. The bridging-role claim must therefore be qualified:</w:t>
      </w:r>
      <w:r>
        <w:t xml:space="preserve"> </w:t>
      </w:r>
      <w:r>
        <w:rPr>
          <w:i/>
          <w:iCs/>
        </w:rPr>
        <w:t xml:space="preserve">baghy</w:t>
      </w:r>
      <w:r>
        <w:t xml:space="preserve"> </w:t>
      </w:r>
      <w:r>
        <w:t xml:space="preserve">leads on three of four point-estimate measures, but the bootstrap does not rule out alternatives. What is</w:t>
      </w:r>
      <w:r>
        <w:t xml:space="preserve"> </w:t>
      </w:r>
      <w:r>
        <w:rPr>
          <w:i/>
          <w:iCs/>
        </w:rPr>
        <w:t xml:space="preserve">robust</w:t>
      </w:r>
      <w:r>
        <w:t xml:space="preserve"> </w:t>
      </w:r>
      <w:r>
        <w:t xml:space="preserve">at the aggregate level is the cross-field connectivity to the umbrella moral terms (Table 4):</w:t>
      </w:r>
      <w:r>
        <w:t xml:space="preserve"> </w:t>
      </w:r>
      <w:r>
        <w:rPr>
          <w:i/>
          <w:iCs/>
        </w:rPr>
        <w:t xml:space="preserve">baghy</w:t>
      </w:r>
      <w:r>
        <w:t xml:space="preserve"> </w:t>
      </w:r>
      <w:r>
        <w:t xml:space="preserve">shows 16 aya-level co-occurrences with</w:t>
      </w:r>
      <w:r>
        <w:t xml:space="preserve"> </w:t>
      </w:r>
      <w:r>
        <w:rPr>
          <w:i/>
          <w:iCs/>
        </w:rPr>
        <w:t xml:space="preserve">ẓlm/jrm/fsq/ʿdw/šnʾ</w:t>
      </w:r>
      <w:r>
        <w:t xml:space="preserve"> </w:t>
      </w:r>
      <w:r>
        <w:t xml:space="preserve">combined (8 with</w:t>
      </w:r>
      <w:r>
        <w:t xml:space="preserve"> </w:t>
      </w:r>
      <w:r>
        <w:rPr>
          <w:i/>
          <w:iCs/>
        </w:rPr>
        <w:t xml:space="preserve">ʿdw</w:t>
      </w:r>
      <w:r>
        <w:t xml:space="preserve">, 4 with</w:t>
      </w:r>
      <w:r>
        <w:t xml:space="preserve"> </w:t>
      </w:r>
      <w:r>
        <w:rPr>
          <w:i/>
          <w:iCs/>
        </w:rPr>
        <w:t xml:space="preserve">ẓlm</w:t>
      </w:r>
      <w:r>
        <w:t xml:space="preserve">), an integer-count pattern independent of centrality ranking. H4 is</w:t>
      </w:r>
      <w:r>
        <w:t xml:space="preserve"> </w:t>
      </w:r>
      <w:r>
        <w:rPr>
          <w:i/>
          <w:iCs/>
        </w:rPr>
        <w:t xml:space="preserve">consistent with</w:t>
      </w:r>
      <w:r>
        <w:t xml:space="preserve"> </w:t>
      </w:r>
      <w:r>
        <w:t xml:space="preserve">point estimates, qualified by bootstrap.</w:t>
      </w:r>
    </w:p>
    <w:p>
      <w:pPr>
        <w:pStyle w:val="BodyText"/>
      </w:pPr>
      <w:r>
        <w:rPr>
          <w:b/>
          <w:bCs/>
        </w:rPr>
        <w:t xml:space="preserve">Table 4. Cross-field co-occurrence of spectrum roots with umbrella moral terms (aya-level)</w:t>
      </w:r>
    </w:p>
    <w:p>
      <w:pPr>
        <w:pStyle w:val="BodyText"/>
      </w:pPr>
      <w:r>
        <w:t xml:space="preserve">Cross-field ties for the original ten-root analysis (preserved here from the prior pipeline run; ties for the four newly-incorporated roots —</w:t>
      </w:r>
      <w:r>
        <w:t xml:space="preserve"> </w:t>
      </w:r>
      <w:r>
        <w:rPr>
          <w:i/>
          <w:iCs/>
        </w:rPr>
        <w:t xml:space="preserve">ʾff</w:t>
      </w:r>
      <w:r>
        <w:t xml:space="preserve">,</w:t>
      </w:r>
      <w:r>
        <w:t xml:space="preserve"> </w:t>
      </w:r>
      <w:r>
        <w:rPr>
          <w:i/>
          <w:iCs/>
        </w:rPr>
        <w:t xml:space="preserve">naqm</w:t>
      </w:r>
      <w:r>
        <w:t xml:space="preserve">,</w:t>
      </w:r>
      <w:r>
        <w:t xml:space="preserve"> </w:t>
      </w:r>
      <w:r>
        <w:rPr>
          <w:i/>
          <w:iCs/>
        </w:rPr>
        <w:t xml:space="preserve">maqt</w:t>
      </w:r>
      <w:r>
        <w:t xml:space="preserve">,</w:t>
      </w:r>
      <w:r>
        <w:t xml:space="preserve"> </w:t>
      </w:r>
      <w:r>
        <w:rPr>
          <w:i/>
          <w:iCs/>
        </w:rPr>
        <w:t xml:space="preserve">ḥard</w:t>
      </w:r>
      <w:r>
        <w:t xml:space="preserve"> </w:t>
      </w:r>
      <w:r>
        <w:t xml:space="preserve">— are sparse and dominated by zeros, given their low corpus frequency, and are omitted from this summary table without affecting the overall pattern):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Root</w:t>
            </w:r>
          </w:p>
        </w:tc>
        <w:tc>
          <w:tcPr/>
          <w:p>
            <w:pPr>
              <w:pStyle w:val="Compact"/>
              <w:jc w:val="center"/>
            </w:pPr>
            <w:r>
              <w:t xml:space="preserve">šnʾ</w:t>
            </w:r>
          </w:p>
        </w:tc>
        <w:tc>
          <w:tcPr/>
          <w:p>
            <w:pPr>
              <w:pStyle w:val="Compact"/>
              <w:jc w:val="center"/>
            </w:pPr>
            <w:r>
              <w:t xml:space="preserve">jrm</w:t>
            </w:r>
          </w:p>
        </w:tc>
        <w:tc>
          <w:tcPr/>
          <w:p>
            <w:pPr>
              <w:pStyle w:val="Compact"/>
              <w:jc w:val="center"/>
            </w:pPr>
            <w:r>
              <w:t xml:space="preserve">fsq</w:t>
            </w:r>
          </w:p>
        </w:tc>
        <w:tc>
          <w:tcPr/>
          <w:p>
            <w:pPr>
              <w:pStyle w:val="Compact"/>
              <w:jc w:val="center"/>
            </w:pPr>
            <w:r>
              <w:t xml:space="preserve">ẓlm</w:t>
            </w:r>
          </w:p>
        </w:tc>
        <w:tc>
          <w:tcPr/>
          <w:p>
            <w:pPr>
              <w:pStyle w:val="Compact"/>
              <w:jc w:val="center"/>
            </w:pPr>
            <w:r>
              <w:t xml:space="preserve">ʿdw</w:t>
            </w:r>
          </w:p>
        </w:tc>
        <w:tc>
          <w:tcPr/>
          <w:p>
            <w:pPr>
              <w:pStyle w:val="Compact"/>
              <w:jc w:val="center"/>
            </w:pPr>
            <w:r>
              <w:t xml:space="preserve">Total</w:t>
            </w:r>
          </w:p>
        </w:tc>
      </w:tr>
      <w:tr>
        <w:tc>
          <w:tcPr/>
          <w:p>
            <w:pPr>
              <w:pStyle w:val="Compact"/>
              <w:jc w:val="center"/>
            </w:pPr>
            <w:r>
              <w:t xml:space="preserve">ḍyq</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ḥzn</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r>
      <w:tr>
        <w:tc>
          <w:tcPr/>
          <w:p>
            <w:pPr>
              <w:pStyle w:val="Compact"/>
              <w:jc w:val="center"/>
            </w:pPr>
            <w:r>
              <w:t xml:space="preserve">ʾsf</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r>
      <w:tr>
        <w:tc>
          <w:tcPr/>
          <w:p>
            <w:pPr>
              <w:pStyle w:val="Compact"/>
              <w:jc w:val="center"/>
            </w:pPr>
            <w:r>
              <w:t xml:space="preserve">sxṭ</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 (krh-tie excluded since</w:t>
            </w:r>
            <w:r>
              <w:t xml:space="preserve"> </w:t>
            </w:r>
            <w:r>
              <w:rPr>
                <w:i/>
                <w:iCs/>
              </w:rPr>
              <w:t xml:space="preserve">krh</w:t>
            </w:r>
            <w:r>
              <w:t xml:space="preserve"> </w:t>
            </w:r>
            <w:r>
              <w:t xml:space="preserve">is now in the spectrum)</w:t>
            </w:r>
          </w:p>
        </w:tc>
      </w:tr>
      <w:tr>
        <w:tc>
          <w:tcPr/>
          <w:p>
            <w:pPr>
              <w:pStyle w:val="Compact"/>
              <w:jc w:val="center"/>
            </w:pPr>
            <w:r>
              <w:t xml:space="preserve">ġḍb</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center"/>
            </w:pPr>
            <w:r>
              <w:t xml:space="preserve">ġyẓ</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r>
      <w:tr>
        <w:tc>
          <w:tcPr/>
          <w:p>
            <w:pPr>
              <w:pStyle w:val="Compact"/>
              <w:jc w:val="center"/>
            </w:pPr>
            <w:r>
              <w:rPr>
                <w:b/>
                <w:bCs/>
              </w:rPr>
              <w:t xml:space="preserve">bġy</w:t>
            </w:r>
          </w:p>
        </w:tc>
        <w:tc>
          <w:tcPr/>
          <w:p>
            <w:pPr>
              <w:pStyle w:val="Compact"/>
              <w:jc w:val="center"/>
            </w:pPr>
            <w:r>
              <w:rPr>
                <w:b/>
                <w:bCs/>
              </w:rPr>
              <w:t xml:space="preserve">1</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4</w:t>
            </w:r>
          </w:p>
        </w:tc>
        <w:tc>
          <w:tcPr/>
          <w:p>
            <w:pPr>
              <w:pStyle w:val="Compact"/>
              <w:jc w:val="center"/>
            </w:pPr>
            <w:r>
              <w:rPr>
                <w:b/>
                <w:bCs/>
              </w:rPr>
              <w:t xml:space="preserve">8</w:t>
            </w:r>
          </w:p>
        </w:tc>
        <w:tc>
          <w:tcPr/>
          <w:p>
            <w:pPr>
              <w:pStyle w:val="Compact"/>
              <w:jc w:val="center"/>
            </w:pPr>
            <w:r>
              <w:rPr>
                <w:b/>
                <w:bCs/>
              </w:rPr>
              <w:t xml:space="preserve">16</w:t>
            </w:r>
          </w:p>
        </w:tc>
      </w:tr>
      <w:tr>
        <w:tc>
          <w:tcPr/>
          <w:p>
            <w:pPr>
              <w:pStyle w:val="Compact"/>
              <w:jc w:val="center"/>
            </w:pPr>
            <w:r>
              <w:t xml:space="preserve">ṭġy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3</w:t>
            </w:r>
          </w:p>
        </w:tc>
      </w:tr>
      <w:tr>
        <w:tc>
          <w:tcPr/>
          <w:p>
            <w:pPr>
              <w:pStyle w:val="Compact"/>
              <w:jc w:val="center"/>
            </w:pPr>
            <w:r>
              <w:t xml:space="preserve">ʿtw</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p>
      <w:pPr>
        <w:pStyle w:val="BodyText"/>
      </w:pPr>
      <w:r>
        <w:t xml:space="preserve">The radical concentration of cross-field ties at</w:t>
      </w:r>
      <w:r>
        <w:t xml:space="preserve"> </w:t>
      </w:r>
      <w:r>
        <w:rPr>
          <w:i/>
          <w:iCs/>
        </w:rPr>
        <w:t xml:space="preserve">baghy</w:t>
      </w:r>
      <w:r>
        <w:t xml:space="preserve"> </w:t>
      </w:r>
      <w:r>
        <w:t xml:space="preserve">is striking. Of the total cross-field ties across the fourteen spectrum roots, 19 (~53%) involve</w:t>
      </w:r>
      <w:r>
        <w:t xml:space="preserve"> </w:t>
      </w:r>
      <w:r>
        <w:rPr>
          <w:i/>
          <w:iCs/>
        </w:rPr>
        <w:t xml:space="preserve">baghy</w:t>
      </w:r>
      <w:r>
        <w:t xml:space="preserve">.</w:t>
      </w:r>
      <w:r>
        <w:t xml:space="preserve"> </w:t>
      </w:r>
      <w:r>
        <w:rPr>
          <w:i/>
          <w:iCs/>
        </w:rPr>
        <w:t xml:space="preserve">Baghy</w:t>
      </w:r>
      <w:r>
        <w:t xml:space="preserve"> </w:t>
      </w:r>
      <w:r>
        <w:t xml:space="preserve">thus serves as the principal lexical bridge between the emotional and the broader moral-evaluation field of the Qur’an.</w:t>
      </w:r>
    </w:p>
    <w:p>
      <w:pPr>
        <w:pStyle w:val="BodyText"/>
      </w:pPr>
      <w:r>
        <w:rPr>
          <w:b/>
          <w:bCs/>
        </w:rPr>
        <w:t xml:space="preserve">4.8.3.</w:t>
      </w:r>
      <w:r>
        <w:rPr>
          <w:b/>
          <w:bCs/>
        </w:rPr>
        <w:t xml:space="preserve"> </w:t>
      </w:r>
      <w:r>
        <w:rPr>
          <w:b/>
          <w:bCs/>
          <w:i/>
          <w:iCs/>
        </w:rPr>
        <w:t xml:space="preserve">Ṭughyān</w:t>
      </w:r>
      <w:r>
        <w:rPr>
          <w:b/>
          <w:bCs/>
        </w:rPr>
        <w:t xml:space="preserve"> </w:t>
      </w:r>
      <w:r>
        <w:rPr>
          <w:b/>
          <w:bCs/>
        </w:rPr>
        <w:t xml:space="preserve">(39 attestations; 29 Meccan / 10 Medinan).</w:t>
      </w:r>
      <w:r>
        <w:t xml:space="preserve"> </w:t>
      </w:r>
      <w:r>
        <w:t xml:space="preserve">Root</w:t>
      </w:r>
      <w:r>
        <w:t xml:space="preserve"> </w:t>
      </w:r>
      <w:r>
        <w:rPr>
          <w:i/>
          <w:iCs/>
        </w:rPr>
        <w:t xml:space="preserve">ṭ-gh-y</w:t>
      </w:r>
      <w:r>
        <w:t xml:space="preserve"> </w:t>
      </w:r>
      <w:r>
        <w:t xml:space="preserve">derives from water flooding past its banks. Q. 96:6–7 (</w:t>
      </w:r>
      <w:r>
        <w:rPr>
          <w:i/>
          <w:iCs/>
        </w:rPr>
        <w:t xml:space="preserve">kallā inna l-insāna la-yaṭghā an raʾāhu staġnā</w:t>
      </w:r>
      <w:r>
        <w:t xml:space="preserve">) compresses a psychology of rebellion into a conditional:</w:t>
      </w:r>
      <w:r>
        <w:t xml:space="preserve"> </w:t>
      </w:r>
      <w:r>
        <w:rPr>
          <w:i/>
          <w:iCs/>
        </w:rPr>
        <w:t xml:space="preserve">ṭughyān</w:t>
      </w:r>
      <w:r>
        <w:t xml:space="preserve"> </w:t>
      </w:r>
      <w:r>
        <w:t xml:space="preserve">arises from the appraisal of</w:t>
      </w:r>
      <w:r>
        <w:t xml:space="preserve"> </w:t>
      </w:r>
      <w:r>
        <w:rPr>
          <w:i/>
          <w:iCs/>
        </w:rPr>
        <w:t xml:space="preserve">istighnāʾ</w:t>
      </w:r>
      <w:r>
        <w:t xml:space="preserve"> </w:t>
      </w:r>
      <w:r>
        <w:t xml:space="preserve">(self-sufficiency) — structurally an appraisal-theoretic claim, congruent with Lazarus</w:t>
      </w:r>
      <w:r>
        <w:rPr>
          <w:rStyle w:val="FootnoteReference"/>
        </w:rPr>
        <w:footnoteReference w:id="107"/>
      </w:r>
      <w:r>
        <w:t xml:space="preserve"> </w:t>
      </w:r>
      <w:r>
        <w:t xml:space="preserve">and Scherer,</w:t>
      </w:r>
      <w:r>
        <w:rPr>
          <w:rStyle w:val="FootnoteReference"/>
        </w:rPr>
        <w:footnoteReference w:id="108"/>
      </w:r>
      <w:r>
        <w:t xml:space="preserve"> </w:t>
      </w:r>
      <w:r>
        <w:t xml:space="preserve">and aligning with Roseman’s</w:t>
      </w:r>
      <w:r>
        <w:rPr>
          <w:rStyle w:val="FootnoteReference"/>
        </w:rPr>
        <w:footnoteReference w:id="109"/>
      </w:r>
      <w:r>
        <w:t xml:space="preserve"> </w:t>
      </w:r>
      <w:r>
        <w:t xml:space="preserve">“agency-self / motive-inconsistent / high-control”</w:t>
      </w:r>
      <w:r>
        <w:t xml:space="preserve"> </w:t>
      </w:r>
      <w:r>
        <w:t xml:space="preserve">pattern. Qarizadeh et al.’s polysemy analysis</w:t>
      </w:r>
      <w:r>
        <w:rPr>
          <w:rStyle w:val="FootnoteReference"/>
        </w:rPr>
        <w:footnoteReference w:id="110"/>
      </w:r>
      <w:r>
        <w:t xml:space="preserve"> </w:t>
      </w:r>
      <w:r>
        <w:t xml:space="preserve">notes the cognitive structure; we identify</w:t>
      </w:r>
      <w:r>
        <w:t xml:space="preserve"> </w:t>
      </w:r>
      <w:r>
        <w:rPr>
          <w:i/>
          <w:iCs/>
        </w:rPr>
        <w:t xml:space="preserve">ṭughyān</w:t>
      </w:r>
      <w:r>
        <w:t xml:space="preserve"> </w:t>
      </w:r>
      <w:r>
        <w:t xml:space="preserve">as the cognitive-appraisal node of Stage 6.</w:t>
      </w:r>
    </w:p>
    <w:p>
      <w:pPr>
        <w:pStyle w:val="BodyText"/>
      </w:pPr>
      <w:r>
        <w:rPr>
          <w:b/>
          <w:bCs/>
        </w:rPr>
        <w:t xml:space="preserve">4.8.4.</w:t>
      </w:r>
      <w:r>
        <w:rPr>
          <w:b/>
          <w:bCs/>
        </w:rPr>
        <w:t xml:space="preserve"> </w:t>
      </w:r>
      <w:r>
        <w:rPr>
          <w:b/>
          <w:bCs/>
          <w:i/>
          <w:iCs/>
        </w:rPr>
        <w:t xml:space="preserve">ʿUtuww</w:t>
      </w:r>
      <w:r>
        <w:rPr>
          <w:b/>
          <w:bCs/>
        </w:rPr>
        <w:t xml:space="preserve"> </w:t>
      </w:r>
      <w:r>
        <w:rPr>
          <w:b/>
          <w:bCs/>
        </w:rPr>
        <w:t xml:space="preserve">(10 attestations; 9 Meccan / 1 Medinan).</w:t>
      </w:r>
      <w:r>
        <w:t xml:space="preserve"> </w:t>
      </w:r>
      <w:r>
        <w:t xml:space="preserve">The most extreme lexeme —</w:t>
      </w:r>
      <w:r>
        <w:t xml:space="preserve"> </w:t>
      </w:r>
      <w:r>
        <w:t xml:space="preserve">“obstinate excess”</w:t>
      </w:r>
      <w:r>
        <w:t xml:space="preserve"> </w:t>
      </w:r>
      <w:r>
        <w:t xml:space="preserve">(Ibn Manẓūr),</w:t>
      </w:r>
      <w:r>
        <w:t xml:space="preserve"> </w:t>
      </w:r>
      <w:r>
        <w:t xml:space="preserve">“extreme self-aggrandisement in disobedience”</w:t>
      </w:r>
      <w:r>
        <w:t xml:space="preserve"> </w:t>
      </w:r>
      <w:r>
        <w:t xml:space="preserve">(al-Rāghib). Q. 25:21 collocates</w:t>
      </w:r>
      <w:r>
        <w:t xml:space="preserve"> </w:t>
      </w:r>
      <w:r>
        <w:rPr>
          <w:i/>
          <w:iCs/>
        </w:rPr>
        <w:t xml:space="preserve">ʿatū ʿutuwwan kabīrā</w:t>
      </w:r>
      <w:r>
        <w:t xml:space="preserve"> </w:t>
      </w:r>
      <w:r>
        <w:t xml:space="preserve">with</w:t>
      </w:r>
      <w:r>
        <w:t xml:space="preserve"> </w:t>
      </w:r>
      <w:r>
        <w:rPr>
          <w:i/>
          <w:iCs/>
        </w:rPr>
        <w:t xml:space="preserve">istakbarū fī anfusihim</w:t>
      </w:r>
      <w:r>
        <w:t xml:space="preserve">: rebellion crystallised into existential posture. Strong Meccan distribution (9/1; raw</w:t>
      </w:r>
      <w:r>
        <w:t xml:space="preserve"> </w:t>
      </w:r>
      <w:r>
        <w:rPr>
          <w:i/>
          <w:iCs/>
        </w:rPr>
        <w:t xml:space="preserve">p</w:t>
      </w:r>
      <w:r>
        <w:t xml:space="preserve"> </w:t>
      </w:r>
      <w:r>
        <w:t xml:space="preserve">= 0.06; Holm-adjusted</w:t>
      </w:r>
      <w:r>
        <w:t xml:space="preserve"> </w:t>
      </w:r>
      <w:r>
        <w:rPr>
          <w:i/>
          <w:iCs/>
        </w:rPr>
        <w:t xml:space="preserve">p</w:t>
      </w:r>
      <w:r>
        <w:t xml:space="preserve"> </w:t>
      </w:r>
      <w:r>
        <w:t xml:space="preserve">= 1.00) is consistent with its rhetorical function as terminal designation for Nūḥ-, ʿĀd-, Thamūd-, and Pharaonic-people narratives, but does not survive FDR correction.</w:t>
      </w:r>
    </w:p>
    <w:p>
      <w:pPr>
        <w:pStyle w:val="BodyText"/>
      </w:pPr>
      <w:r>
        <w:rPr>
          <w:b/>
          <w:bCs/>
        </w:rPr>
        <w:t xml:space="preserve">4.8.5. Bidirectional causation and a tafsir-grounded audit.</w:t>
      </w:r>
      <w:r>
        <w:t xml:space="preserve"> </w:t>
      </w:r>
      <w:r>
        <w:rPr>
          <w:i/>
          <w:iCs/>
        </w:rPr>
        <w:t xml:space="preserve">Baghy</w:t>
      </w:r>
      <w:r>
        <w:t xml:space="preserve"> </w:t>
      </w:r>
      <w:r>
        <w:t xml:space="preserve">arises frequently from greed and</w:t>
      </w:r>
      <w:r>
        <w:t xml:space="preserve"> </w:t>
      </w:r>
      <w:r>
        <w:rPr>
          <w:i/>
          <w:iCs/>
        </w:rPr>
        <w:t xml:space="preserve">ʿulw fī al-arḍ</w:t>
      </w:r>
      <w:r>
        <w:t xml:space="preserve"> </w:t>
      </w:r>
      <w:r>
        <w:t xml:space="preserve">(cf. Q. 6:21);</w:t>
      </w:r>
      <w:r>
        <w:t xml:space="preserve"> </w:t>
      </w:r>
      <w:r>
        <w:rPr>
          <w:i/>
          <w:iCs/>
        </w:rPr>
        <w:t xml:space="preserve">ṭughyān</w:t>
      </w:r>
      <w:r>
        <w:t xml:space="preserve"> </w:t>
      </w:r>
      <w:r>
        <w:t xml:space="preserve">— paradigmatically Pharaonic (Q. 79:17) — is rooted in structural arrogance, with Q. 26:55 (</w:t>
      </w:r>
      <w:r>
        <w:rPr>
          <w:i/>
          <w:iCs/>
        </w:rPr>
        <w:t xml:space="preserve">innahum lanā la-ghāʾiẓūn</w:t>
      </w:r>
      <w:r>
        <w:t xml:space="preserve">) reversing polarity to show oppressor-anger arising</w:t>
      </w:r>
      <w:r>
        <w:t xml:space="preserve"> </w:t>
      </w:r>
      <w:r>
        <w:rPr>
          <w:i/>
          <w:iCs/>
        </w:rPr>
        <w:t xml:space="preserve">from</w:t>
      </w:r>
      <w:r>
        <w:t xml:space="preserve"> </w:t>
      </w:r>
      <w:r>
        <w:t xml:space="preserve">the rebellion of the oppressed;</w:t>
      </w:r>
      <w:r>
        <w:t xml:space="preserve"> </w:t>
      </w:r>
      <w:r>
        <w:rPr>
          <w:i/>
          <w:iCs/>
        </w:rPr>
        <w:t xml:space="preserve">ʿutuww</w:t>
      </w:r>
      <w:r>
        <w:t xml:space="preserve"> </w:t>
      </w:r>
      <w:r>
        <w:t xml:space="preserve">attaches to</w:t>
      </w:r>
      <w:r>
        <w:t xml:space="preserve"> </w:t>
      </w:r>
      <w:r>
        <w:rPr>
          <w:i/>
          <w:iCs/>
        </w:rPr>
        <w:t xml:space="preserve">istikbār</w:t>
      </w:r>
      <w:r>
        <w:t xml:space="preserve"> </w:t>
      </w:r>
      <w:r>
        <w:t xml:space="preserve">as settled character. The causation arrow is therefore</w:t>
      </w:r>
      <w:r>
        <w:t xml:space="preserve"> </w:t>
      </w:r>
      <w:r>
        <w:rPr>
          <w:i/>
          <w:iCs/>
        </w:rPr>
        <w:t xml:space="preserve">bidirectional</w:t>
      </w:r>
      <w:r>
        <w:t xml:space="preserve">. To operationalise this, each of the 145 Stage-6 attestations was coded against the joint reading of</w:t>
      </w:r>
      <w:r>
        <w:t xml:space="preserve"> </w:t>
      </w:r>
      <w:r>
        <w:rPr>
          <w:i/>
          <w:iCs/>
        </w:rPr>
        <w:t xml:space="preserve">al-Mīzān</w:t>
      </w:r>
      <w:r>
        <w:t xml:space="preserve">,</w:t>
      </w:r>
      <w:r>
        <w:t xml:space="preserve"> </w:t>
      </w:r>
      <w:r>
        <w:rPr>
          <w:i/>
          <w:iCs/>
        </w:rPr>
        <w:t xml:space="preserve">al-Kashshāf</w:t>
      </w:r>
      <w:r>
        <w:t xml:space="preserve">,</w:t>
      </w:r>
      <w:r>
        <w:t xml:space="preserve"> </w:t>
      </w:r>
      <w:r>
        <w:rPr>
          <w:i/>
          <w:iCs/>
        </w:rPr>
        <w:t xml:space="preserve">Majmaʿ al-Bayān</w:t>
      </w:r>
      <w:r>
        <w:t xml:space="preserve">, and</w:t>
      </w:r>
      <w:r>
        <w:t xml:space="preserve"> </w:t>
      </w:r>
      <w:r>
        <w:rPr>
          <w:i/>
          <w:iCs/>
        </w:rPr>
        <w:t xml:space="preserve">al-Taḥrīr wa-l-Tanwīr</w:t>
      </w:r>
      <w:r>
        <w:t xml:space="preserve">:</w:t>
      </w:r>
      <w:r>
        <w:t xml:space="preserve"> </w:t>
      </w:r>
      <w:r>
        <w:rPr>
          <w:b/>
          <w:bCs/>
        </w:rPr>
        <w:t xml:space="preserve">A</w:t>
      </w:r>
      <w:r>
        <w:t xml:space="preserve"> </w:t>
      </w:r>
      <w:r>
        <w:t xml:space="preserve">(anger-derived),</w:t>
      </w:r>
      <w:r>
        <w:t xml:space="preserve"> </w:t>
      </w:r>
      <w:r>
        <w:rPr>
          <w:b/>
          <w:bCs/>
        </w:rPr>
        <w:t xml:space="preserve">S</w:t>
      </w:r>
      <w:r>
        <w:t xml:space="preserve"> </w:t>
      </w:r>
      <w:r>
        <w:t xml:space="preserve">(structurally derived: greed/</w:t>
      </w:r>
      <w:r>
        <w:rPr>
          <w:i/>
          <w:iCs/>
        </w:rPr>
        <w:t xml:space="preserve">istikbār</w:t>
      </w:r>
      <w:r>
        <w:t xml:space="preserve">/</w:t>
      </w:r>
      <w:r>
        <w:rPr>
          <w:i/>
          <w:iCs/>
        </w:rPr>
        <w:t xml:space="preserve">ʿulw</w:t>
      </w:r>
      <w:r>
        <w:t xml:space="preserve"> </w:t>
      </w:r>
      <w:r>
        <w:t xml:space="preserve">without explicit anger antecedent), or</w:t>
      </w:r>
      <w:r>
        <w:t xml:space="preserve"> </w:t>
      </w:r>
      <w:r>
        <w:rPr>
          <w:b/>
          <w:bCs/>
        </w:rPr>
        <w:t xml:space="preserve">A+S</w:t>
      </w:r>
      <w:r>
        <w:t xml:space="preserve"> </w:t>
      </w:r>
      <w:r>
        <w:t xml:space="preserve">(joint). Coding by the corresponding author with second-coder verification on a 20% subsample (κ = 0.79; full coding at</w:t>
      </w:r>
      <w:r>
        <w:t xml:space="preserve"> </w:t>
      </w:r>
      <w:r>
        <w:rPr>
          <w:rStyle w:val="VerbatimChar"/>
        </w:rPr>
        <w:t xml:space="preserve">data/concordance/stage6_causation_coding.csv</w:t>
      </w:r>
      <w:r>
        <w:t xml:space="preserve">). Results: A = 38 (26%), S = 71 (49%), A+S = 36 (25%); by root,</w:t>
      </w:r>
      <w:r>
        <w:t xml:space="preserve"> </w:t>
      </w:r>
      <w:r>
        <w:rPr>
          <w:i/>
          <w:iCs/>
        </w:rPr>
        <w:t xml:space="preserve">baghy</w:t>
      </w:r>
      <w:r>
        <w:t xml:space="preserve"> </w:t>
      </w:r>
      <w:r>
        <w:t xml:space="preserve">22A/50S/24A+S,</w:t>
      </w:r>
      <w:r>
        <w:t xml:space="preserve"> </w:t>
      </w:r>
      <w:r>
        <w:rPr>
          <w:i/>
          <w:iCs/>
        </w:rPr>
        <w:t xml:space="preserve">ṭughyān</w:t>
      </w:r>
      <w:r>
        <w:t xml:space="preserve"> </w:t>
      </w:r>
      <w:r>
        <w:t xml:space="preserve">11A/19S/9A+S,</w:t>
      </w:r>
      <w:r>
        <w:t xml:space="preserve"> </w:t>
      </w:r>
      <w:r>
        <w:rPr>
          <w:i/>
          <w:iCs/>
        </w:rPr>
        <w:t xml:space="preserve">ʿutuww</w:t>
      </w:r>
      <w:r>
        <w:t xml:space="preserve"> </w:t>
      </w:r>
      <w:r>
        <w:t xml:space="preserve">5A/2S/3A+S. Re-running χ²(1) on A-only (Stages 1–5 = 167 vs. anger-derived Stage-6 = 38) yields χ²(1) = 81.4,</w:t>
      </w:r>
      <w:r>
        <w:t xml:space="preserve"> </w:t>
      </w:r>
      <w:r>
        <w:rPr>
          <w:i/>
          <w:iCs/>
        </w:rPr>
        <w:t xml:space="preserve">p</w:t>
      </w:r>
      <w:r>
        <w:t xml:space="preserve"> </w:t>
      </w:r>
      <w:r>
        <w:t xml:space="preserve">&lt; 0.001 — the phenomenological core dominates anger-derived outcomes ~4.4×. The full-Stage-6 near-balance (χ²(1) = 1.55) is therefore explained: S-attestations belong to an adjacent moral-anthropological field of</w:t>
      </w:r>
      <w:r>
        <w:t xml:space="preserve"> </w:t>
      </w:r>
      <w:r>
        <w:rPr>
          <w:i/>
          <w:iCs/>
        </w:rPr>
        <w:t xml:space="preserve">ẓulm-istikbār-ʿulw</w:t>
      </w:r>
      <w:r>
        <w:t xml:space="preserve"> </w:t>
      </w:r>
      <w:r>
        <w:t xml:space="preserve">that the corpus pervasively documents, and</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are not coextensive with</w:t>
      </w:r>
      <w:r>
        <w:t xml:space="preserve"> </w:t>
      </w:r>
      <w:r>
        <w:t xml:space="preserve">“anger outcomes”</w:t>
      </w:r>
      <w:r>
        <w:t xml:space="preserve"> </w:t>
      </w:r>
      <w:r>
        <w:t xml:space="preserve">in the strict sense.</w:t>
      </w:r>
    </w:p>
    <w:p>
      <w:pPr>
        <w:pStyle w:val="CaptionedFigure"/>
      </w:pPr>
      <w:r>
        <w:drawing>
          <wp:inline>
            <wp:extent cx="5067300" cy="4314502"/>
            <wp:effectExtent b="0" l="0" r="0" t="0"/>
            <wp:docPr descr="Aya-level co-occurrence network of the fourteen core roots; edges weighted by shared-ayat count. Strongest edge ḥzn–ḍyq (weight 3) corpus-validates the Stage-2 grouping (Q. 11:12, Q. 6:33). Baghy anchors the right cluster with edges to the moral-evaluation lexicon (ẓlm/jrm/fsq). Transitive structure (no direct S1→S6 edges; mediation through S2–S5) is consistent with both the action-intensity gradient and the bidirectional Stage-6 reading (§4.8.5)." title="" id="112" name="Picture"/>
            <a:graphic>
              <a:graphicData uri="http://schemas.openxmlformats.org/drawingml/2006/picture">
                <pic:pic>
                  <pic:nvPicPr>
                    <pic:cNvPr descr="fig4_cooccurrence.png" id="113" name="Picture"/>
                    <pic:cNvPicPr>
                      <a:picLocks noChangeArrowheads="1" noChangeAspect="1"/>
                    </pic:cNvPicPr>
                  </pic:nvPicPr>
                  <pic:blipFill>
                    <a:blip r:embed="rId111"/>
                    <a:stretch>
                      <a:fillRect/>
                    </a:stretch>
                  </pic:blipFill>
                  <pic:spPr bwMode="auto">
                    <a:xfrm>
                      <a:off x="0" y="0"/>
                      <a:ext cx="5067300" cy="4314502"/>
                    </a:xfrm>
                    <a:prstGeom prst="rect">
                      <a:avLst/>
                    </a:prstGeom>
                    <a:noFill/>
                    <a:ln w="9525">
                      <a:noFill/>
                      <a:headEnd/>
                      <a:tailEnd/>
                    </a:ln>
                  </pic:spPr>
                </pic:pic>
              </a:graphicData>
            </a:graphic>
          </wp:inline>
        </w:drawing>
      </w:r>
    </w:p>
    <w:p>
      <w:pPr>
        <w:pStyle w:val="ImageCaption"/>
      </w:pPr>
      <w:r>
        <w:t xml:space="preserve">Aya-level co-occurrence network of the fourteen core roots; edges weighted by shared-ayat count. Strongest edge</w:t>
      </w:r>
      <w:r>
        <w:t xml:space="preserve"> </w:t>
      </w:r>
      <w:r>
        <w:rPr>
          <w:i/>
          <w:iCs/>
        </w:rPr>
        <w:t xml:space="preserve">ḥzn–ḍyq</w:t>
      </w:r>
      <w:r>
        <w:t xml:space="preserve"> </w:t>
      </w:r>
      <w:r>
        <w:t xml:space="preserve">(weight 3) corpus-validates the Stage-2 grouping (Q. 11:12, Q. 6:33).</w:t>
      </w:r>
      <w:r>
        <w:t xml:space="preserve"> </w:t>
      </w:r>
      <w:r>
        <w:rPr>
          <w:i/>
          <w:iCs/>
        </w:rPr>
        <w:t xml:space="preserve">Baghy</w:t>
      </w:r>
      <w:r>
        <w:t xml:space="preserve"> </w:t>
      </w:r>
      <w:r>
        <w:t xml:space="preserve">anchors the right cluster with edges to the moral-evaluation lexicon (</w:t>
      </w:r>
      <w:r>
        <w:rPr>
          <w:i/>
          <w:iCs/>
        </w:rPr>
        <w:t xml:space="preserve">ẓlm/jrm/fsq</w:t>
      </w:r>
      <w:r>
        <w:t xml:space="preserve">). Transitive structure (no direct S1→S6 edges; mediation through S2–S5) is consistent with both the action-intensity gradient and the bidirectional Stage-6 reading (§4.8.5).</w:t>
      </w:r>
    </w:p>
    <w:p>
      <w:pPr>
        <w:pStyle w:val="CaptionedFigure"/>
      </w:pPr>
      <w:r>
        <w:drawing>
          <wp:inline>
            <wp:extent cx="5067300" cy="2003525"/>
            <wp:effectExtent b="0" l="0" r="0" t="0"/>
            <wp:docPr descr="Three centrality measures with bootstrap 95% percentile CIs on the aya-level co-occurrence graph: (a) weighted degree, (b) betweenness, (c) closeness. Baghy: highest closeness point-estimate (0.55, CI [0.23, 0.84]) and shared-highest betweenness (0.15, CI [0.00, 0.31]) with ghaḍab and asaf — pivotal between the anger spectrum and the wider moral-evaluation field (315 ẓulm, 66 jurm, 54 fisq, 106 ʿadāwah). Wide CIs reflect the small graph; bridging-role claim consistent with point estimates, qualified by bootstrap (§4.8.2). Ḍyq and ḥzn (S2) high-closeness despite low frequency — inner-pressure cluster structurally central. Layered reading: S2 affective core, S6 structural bridge, S3–5 mediation." title="" id="115" name="Picture"/>
            <a:graphic>
              <a:graphicData uri="http://schemas.openxmlformats.org/drawingml/2006/picture">
                <pic:pic>
                  <pic:nvPicPr>
                    <pic:cNvPr descr="fig7_centrality.png" id="116" name="Picture"/>
                    <pic:cNvPicPr>
                      <a:picLocks noChangeArrowheads="1" noChangeAspect="1"/>
                    </pic:cNvPicPr>
                  </pic:nvPicPr>
                  <pic:blipFill>
                    <a:blip r:embed="rId114"/>
                    <a:stretch>
                      <a:fillRect/>
                    </a:stretch>
                  </pic:blipFill>
                  <pic:spPr bwMode="auto">
                    <a:xfrm>
                      <a:off x="0" y="0"/>
                      <a:ext cx="5067300" cy="2003525"/>
                    </a:xfrm>
                    <a:prstGeom prst="rect">
                      <a:avLst/>
                    </a:prstGeom>
                    <a:noFill/>
                    <a:ln w="9525">
                      <a:noFill/>
                      <a:headEnd/>
                      <a:tailEnd/>
                    </a:ln>
                  </pic:spPr>
                </pic:pic>
              </a:graphicData>
            </a:graphic>
          </wp:inline>
        </w:drawing>
      </w:r>
    </w:p>
    <w:p>
      <w:pPr>
        <w:pStyle w:val="ImageCaption"/>
      </w:pPr>
      <w:r>
        <w:t xml:space="preserve">Three centrality measures with bootstrap 95% percentile CIs on the aya-level co-occurrence graph: (a) weighted degree, (b) betweenness, (c) closeness.</w:t>
      </w:r>
      <w:r>
        <w:t xml:space="preserve"> </w:t>
      </w:r>
      <w:r>
        <w:rPr>
          <w:i/>
          <w:iCs/>
        </w:rPr>
        <w:t xml:space="preserve">Baghy</w:t>
      </w:r>
      <w:r>
        <w:t xml:space="preserve">: highest closeness point-estimate (0.55, CI [0.23, 0.84]) and shared-highest betweenness (0.15, CI [0.00, 0.31]) with</w:t>
      </w:r>
      <w:r>
        <w:t xml:space="preserve"> </w:t>
      </w:r>
      <w:r>
        <w:rPr>
          <w:i/>
          <w:iCs/>
        </w:rPr>
        <w:t xml:space="preserve">ghaḍab</w:t>
      </w:r>
      <w:r>
        <w:t xml:space="preserve"> </w:t>
      </w:r>
      <w:r>
        <w:t xml:space="preserve">and</w:t>
      </w:r>
      <w:r>
        <w:t xml:space="preserve"> </w:t>
      </w:r>
      <w:r>
        <w:rPr>
          <w:i/>
          <w:iCs/>
        </w:rPr>
        <w:t xml:space="preserve">asaf</w:t>
      </w:r>
      <w:r>
        <w:t xml:space="preserve"> </w:t>
      </w:r>
      <w:r>
        <w:t xml:space="preserve">— pivotal between the anger spectrum and the wider moral-evaluation field (315</w:t>
      </w:r>
      <w:r>
        <w:t xml:space="preserve"> </w:t>
      </w:r>
      <w:r>
        <w:rPr>
          <w:i/>
          <w:iCs/>
        </w:rPr>
        <w:t xml:space="preserve">ẓulm</w:t>
      </w:r>
      <w:r>
        <w:t xml:space="preserve">, 66</w:t>
      </w:r>
      <w:r>
        <w:t xml:space="preserve"> </w:t>
      </w:r>
      <w:r>
        <w:rPr>
          <w:i/>
          <w:iCs/>
        </w:rPr>
        <w:t xml:space="preserve">jurm</w:t>
      </w:r>
      <w:r>
        <w:t xml:space="preserve">, 54</w:t>
      </w:r>
      <w:r>
        <w:t xml:space="preserve"> </w:t>
      </w:r>
      <w:r>
        <w:rPr>
          <w:i/>
          <w:iCs/>
        </w:rPr>
        <w:t xml:space="preserve">fisq</w:t>
      </w:r>
      <w:r>
        <w:t xml:space="preserve">, 106</w:t>
      </w:r>
      <w:r>
        <w:t xml:space="preserve"> </w:t>
      </w:r>
      <w:r>
        <w:rPr>
          <w:i/>
          <w:iCs/>
        </w:rPr>
        <w:t xml:space="preserve">ʿadāwah</w:t>
      </w:r>
      <w:r>
        <w:t xml:space="preserve">). Wide CIs reflect the small graph; bridging-role claim consistent with point estimates, qualified by bootstrap (§4.8.2).</w:t>
      </w:r>
      <w:r>
        <w:t xml:space="preserve"> </w:t>
      </w:r>
      <w:r>
        <w:rPr>
          <w:i/>
          <w:iCs/>
        </w:rPr>
        <w:t xml:space="preserve">Ḍyq</w:t>
      </w:r>
      <w:r>
        <w:t xml:space="preserve"> </w:t>
      </w:r>
      <w:r>
        <w:t xml:space="preserve">and</w:t>
      </w:r>
      <w:r>
        <w:t xml:space="preserve"> </w:t>
      </w:r>
      <w:r>
        <w:rPr>
          <w:i/>
          <w:iCs/>
        </w:rPr>
        <w:t xml:space="preserve">ḥzn</w:t>
      </w:r>
      <w:r>
        <w:t xml:space="preserve"> </w:t>
      </w:r>
      <w:r>
        <w:t xml:space="preserve">(S2) high-closeness despite low frequency — inner-pressure cluster structurally central. Layered reading: S2 affective core, S6 structural bridge, S3–5 mediation.</w:t>
      </w:r>
    </w:p>
    <w:bookmarkEnd w:id="117"/>
    <w:bookmarkStart w:id="118" w:name="X4791f1e2d81ade18609274a5c9deda1b1b9a973"/>
    <w:p>
      <w:pPr>
        <w:pStyle w:val="Heading3"/>
      </w:pPr>
      <w:r>
        <w:t xml:space="preserve">4.9. Robustness checks: the umbrella moral terms</w:t>
      </w:r>
    </w:p>
    <w:p>
      <w:pPr>
        <w:pStyle w:val="FirstParagraph"/>
      </w:pPr>
      <w:r>
        <w:t xml:space="preserve">For robustness, the umbrella roots were extracted and analysed (note that</w:t>
      </w:r>
      <w:r>
        <w:t xml:space="preserve"> </w:t>
      </w:r>
      <w:r>
        <w:rPr>
          <w:i/>
          <w:iCs/>
        </w:rPr>
        <w:t xml:space="preserve">karh</w:t>
      </w:r>
      <w:r>
        <w:t xml:space="preserve">, formerly an umbrella term, is now incorporated into the spectrum at Stage 1 and is reported in Table 2). Distributions of the remaining five (Table 5) confirm that the spectrum’s structure is not artefactual.</w:t>
      </w:r>
    </w:p>
    <w:p>
      <w:pPr>
        <w:pStyle w:val="BodyText"/>
      </w:pPr>
      <w:r>
        <w:rPr>
          <w:b/>
          <w:bCs/>
        </w:rPr>
        <w:t xml:space="preserve">Table 5. Distribution of umbrella moral terms</w:t>
      </w:r>
    </w:p>
    <w:tbl>
      <w:tblPr>
        <w:tblStyle w:val="Table"/>
        <w:tblW w:type="pct" w:w="5000"/>
        <w:tblLayout w:type="fixed"/>
        <w:tblLook w:firstRow="1" w:lastRow="0" w:firstColumn="0" w:lastColumn="0" w:noHBand="0" w:noVBand="0" w:val="0020"/>
      </w:tblPr>
      <w:tblGrid>
        <w:gridCol w:w="2160"/>
        <w:gridCol w:w="1080"/>
        <w:gridCol w:w="1080"/>
        <w:gridCol w:w="1080"/>
        <w:gridCol w:w="1080"/>
        <w:gridCol w:w="1440"/>
      </w:tblGrid>
      <w:tr>
        <w:trPr>
          <w:tblHeader w:val="on"/>
        </w:trPr>
        <w:tc>
          <w:tcPr/>
          <w:p>
            <w:pPr>
              <w:pStyle w:val="Compact"/>
              <w:jc w:val="center"/>
            </w:pPr>
            <w:r>
              <w:t xml:space="preserve">Root</w:t>
            </w:r>
          </w:p>
        </w:tc>
        <w:tc>
          <w:tcPr/>
          <w:p>
            <w:pPr>
              <w:pStyle w:val="Compact"/>
              <w:jc w:val="center"/>
            </w:pPr>
            <w:r>
              <w:t xml:space="preserve">Total</w:t>
            </w:r>
          </w:p>
        </w:tc>
        <w:tc>
          <w:tcPr/>
          <w:p>
            <w:pPr>
              <w:pStyle w:val="Compact"/>
              <w:jc w:val="center"/>
            </w:pPr>
            <w:r>
              <w:t xml:space="preserve">Meccan</w:t>
            </w:r>
          </w:p>
        </w:tc>
        <w:tc>
          <w:tcPr/>
          <w:p>
            <w:pPr>
              <w:pStyle w:val="Compact"/>
              <w:jc w:val="center"/>
            </w:pPr>
            <w:r>
              <w:t xml:space="preserve">Medinan</w:t>
            </w:r>
          </w:p>
        </w:tc>
        <w:tc>
          <w:tcPr/>
          <w:p>
            <w:pPr>
              <w:pStyle w:val="Compact"/>
              <w:jc w:val="center"/>
            </w:pPr>
            <w:r>
              <w:t xml:space="preserve">Binomial p</w:t>
            </w:r>
          </w:p>
        </w:tc>
        <w:tc>
          <w:tcPr/>
          <w:p>
            <w:pPr>
              <w:pStyle w:val="Compact"/>
              <w:jc w:val="left"/>
            </w:pPr>
            <w:r>
              <w:t xml:space="preserve">Interpretation</w:t>
            </w:r>
          </w:p>
        </w:tc>
      </w:tr>
      <w:tr>
        <w:tc>
          <w:tcPr/>
          <w:p>
            <w:pPr>
              <w:pStyle w:val="Compact"/>
              <w:jc w:val="center"/>
            </w:pPr>
            <w:r>
              <w:t xml:space="preserve">šnʾ</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left"/>
            </w:pPr>
            <w:r>
              <w:t xml:space="preserve">n too small for inference</w:t>
            </w:r>
          </w:p>
        </w:tc>
      </w:tr>
      <w:tr>
        <w:tc>
          <w:tcPr/>
          <w:p>
            <w:pPr>
              <w:pStyle w:val="Compact"/>
              <w:jc w:val="center"/>
            </w:pPr>
            <w:r>
              <w:t xml:space="preserve">jrm</w:t>
            </w:r>
          </w:p>
        </w:tc>
        <w:tc>
          <w:tcPr/>
          <w:p>
            <w:pPr>
              <w:pStyle w:val="Compact"/>
              <w:jc w:val="center"/>
            </w:pPr>
            <w:r>
              <w:t xml:space="preserve">66</w:t>
            </w:r>
          </w:p>
        </w:tc>
        <w:tc>
          <w:tcPr/>
          <w:p>
            <w:pPr>
              <w:pStyle w:val="Compact"/>
              <w:jc w:val="center"/>
            </w:pPr>
            <w:r>
              <w:t xml:space="preserve">60</w:t>
            </w:r>
          </w:p>
        </w:tc>
        <w:tc>
          <w:tcPr/>
          <w:p>
            <w:pPr>
              <w:pStyle w:val="Compact"/>
              <w:jc w:val="center"/>
            </w:pPr>
            <w:r>
              <w:t xml:space="preserve">6</w:t>
            </w:r>
          </w:p>
        </w:tc>
        <w:tc>
          <w:tcPr/>
          <w:p>
            <w:pPr>
              <w:pStyle w:val="Compact"/>
              <w:jc w:val="center"/>
            </w:pPr>
            <w:r>
              <w:t xml:space="preserve">&lt; 0.0001</w:t>
            </w:r>
          </w:p>
        </w:tc>
        <w:tc>
          <w:tcPr/>
          <w:p>
            <w:pPr>
              <w:pStyle w:val="Compact"/>
              <w:jc w:val="left"/>
            </w:pPr>
            <w:r>
              <w:t xml:space="preserve">Strongly Meccan; anti-</w:t>
            </w:r>
            <w:r>
              <w:rPr>
                <w:i/>
                <w:iCs/>
              </w:rPr>
              <w:t xml:space="preserve">shirk</w:t>
            </w:r>
            <w:r>
              <w:t xml:space="preserve"> </w:t>
            </w:r>
            <w:r>
              <w:t xml:space="preserve">polemic</w:t>
            </w:r>
          </w:p>
        </w:tc>
      </w:tr>
      <w:tr>
        <w:tc>
          <w:tcPr/>
          <w:p>
            <w:pPr>
              <w:pStyle w:val="Compact"/>
              <w:jc w:val="center"/>
            </w:pPr>
            <w:r>
              <w:t xml:space="preserve">fsq</w:t>
            </w:r>
          </w:p>
        </w:tc>
        <w:tc>
          <w:tcPr/>
          <w:p>
            <w:pPr>
              <w:pStyle w:val="Compact"/>
              <w:jc w:val="center"/>
            </w:pPr>
            <w:r>
              <w:t xml:space="preserve">54</w:t>
            </w:r>
          </w:p>
        </w:tc>
        <w:tc>
          <w:tcPr/>
          <w:p>
            <w:pPr>
              <w:pStyle w:val="Compact"/>
              <w:jc w:val="center"/>
            </w:pPr>
            <w:r>
              <w:t xml:space="preserve">20</w:t>
            </w:r>
          </w:p>
        </w:tc>
        <w:tc>
          <w:tcPr/>
          <w:p>
            <w:pPr>
              <w:pStyle w:val="Compact"/>
              <w:jc w:val="center"/>
            </w:pPr>
            <w:r>
              <w:t xml:space="preserve">34</w:t>
            </w:r>
          </w:p>
        </w:tc>
        <w:tc>
          <w:tcPr/>
          <w:p>
            <w:pPr>
              <w:pStyle w:val="Compact"/>
              <w:jc w:val="center"/>
            </w:pPr>
            <w:r>
              <w:t xml:space="preserve">0.0007</w:t>
            </w:r>
          </w:p>
        </w:tc>
        <w:tc>
          <w:tcPr/>
          <w:p>
            <w:pPr>
              <w:pStyle w:val="Compact"/>
              <w:jc w:val="left"/>
            </w:pPr>
            <w:r>
              <w:t xml:space="preserve">Significantly Medinan; community-discipline register</w:t>
            </w:r>
          </w:p>
        </w:tc>
      </w:tr>
      <w:tr>
        <w:tc>
          <w:tcPr/>
          <w:p>
            <w:pPr>
              <w:pStyle w:val="Compact"/>
              <w:jc w:val="center"/>
            </w:pPr>
            <w:r>
              <w:t xml:space="preserve">ẓlm</w:t>
            </w:r>
          </w:p>
        </w:tc>
        <w:tc>
          <w:tcPr/>
          <w:p>
            <w:pPr>
              <w:pStyle w:val="Compact"/>
              <w:jc w:val="center"/>
            </w:pPr>
            <w:r>
              <w:t xml:space="preserve">315</w:t>
            </w:r>
          </w:p>
        </w:tc>
        <w:tc>
          <w:tcPr/>
          <w:p>
            <w:pPr>
              <w:pStyle w:val="Compact"/>
              <w:jc w:val="center"/>
            </w:pPr>
            <w:r>
              <w:t xml:space="preserve">211</w:t>
            </w:r>
          </w:p>
        </w:tc>
        <w:tc>
          <w:tcPr/>
          <w:p>
            <w:pPr>
              <w:pStyle w:val="Compact"/>
              <w:jc w:val="center"/>
            </w:pPr>
            <w:r>
              <w:t xml:space="preserve">104</w:t>
            </w:r>
          </w:p>
        </w:tc>
        <w:tc>
          <w:tcPr/>
          <w:p>
            <w:pPr>
              <w:pStyle w:val="Compact"/>
              <w:jc w:val="center"/>
            </w:pPr>
            <w:r>
              <w:t xml:space="preserve">—</w:t>
            </w:r>
          </w:p>
        </w:tc>
        <w:tc>
          <w:tcPr/>
          <w:p>
            <w:pPr>
              <w:pStyle w:val="Compact"/>
              <w:jc w:val="left"/>
            </w:pPr>
            <w:r>
              <w:t xml:space="preserve">Pervasive meta-category; cannot anchor a single point</w:t>
            </w:r>
          </w:p>
        </w:tc>
      </w:tr>
      <w:tr>
        <w:tc>
          <w:tcPr/>
          <w:p>
            <w:pPr>
              <w:pStyle w:val="Compact"/>
              <w:jc w:val="center"/>
            </w:pPr>
            <w:r>
              <w:t xml:space="preserve">ʿdw</w:t>
            </w:r>
          </w:p>
        </w:tc>
        <w:tc>
          <w:tcPr/>
          <w:p>
            <w:pPr>
              <w:pStyle w:val="Compact"/>
              <w:jc w:val="center"/>
            </w:pPr>
            <w:r>
              <w:t xml:space="preserve">106</w:t>
            </w:r>
          </w:p>
        </w:tc>
        <w:tc>
          <w:tcPr/>
          <w:p>
            <w:pPr>
              <w:pStyle w:val="Compact"/>
              <w:jc w:val="center"/>
            </w:pPr>
            <w:r>
              <w:t xml:space="preserve">47</w:t>
            </w:r>
          </w:p>
        </w:tc>
        <w:tc>
          <w:tcPr/>
          <w:p>
            <w:pPr>
              <w:pStyle w:val="Compact"/>
              <w:jc w:val="center"/>
            </w:pPr>
            <w:r>
              <w:t xml:space="preserve">59</w:t>
            </w:r>
          </w:p>
        </w:tc>
        <w:tc>
          <w:tcPr/>
          <w:p>
            <w:pPr>
              <w:pStyle w:val="Compact"/>
              <w:jc w:val="center"/>
            </w:pPr>
            <w:r>
              <w:t xml:space="preserve">0.008</w:t>
            </w:r>
          </w:p>
        </w:tc>
        <w:tc>
          <w:tcPr/>
          <w:p>
            <w:pPr>
              <w:pStyle w:val="Compact"/>
              <w:jc w:val="left"/>
            </w:pPr>
            <w:r>
              <w:t xml:space="preserve">Tilts Medinan; the lexeme of mutual antagonism</w:t>
            </w:r>
          </w:p>
        </w:tc>
      </w:tr>
    </w:tbl>
    <w:p>
      <w:pPr>
        <w:pStyle w:val="BodyText"/>
      </w:pPr>
      <w:r>
        <w:t xml:space="preserve">The opposing patterns of</w:t>
      </w:r>
      <w:r>
        <w:t xml:space="preserve"> </w:t>
      </w:r>
      <w:r>
        <w:rPr>
          <w:i/>
          <w:iCs/>
        </w:rPr>
        <w:t xml:space="preserve">jrm</w:t>
      </w:r>
      <w:r>
        <w:t xml:space="preserve"> </w:t>
      </w:r>
      <w:r>
        <w:t xml:space="preserve">(strongly Meccan) and</w:t>
      </w:r>
      <w:r>
        <w:t xml:space="preserve"> </w:t>
      </w:r>
      <w:r>
        <w:rPr>
          <w:i/>
          <w:iCs/>
        </w:rPr>
        <w:t xml:space="preserve">fsq</w:t>
      </w:r>
      <w:r>
        <w:t xml:space="preserve"> </w:t>
      </w:r>
      <w:r>
        <w:t xml:space="preserve">(significantly Medinan) instantiate the same discursive-contextual specialisation that we identified for</w:t>
      </w:r>
      <w:r>
        <w:t xml:space="preserve"> </w:t>
      </w:r>
      <w:r>
        <w:rPr>
          <w:i/>
          <w:iCs/>
        </w:rPr>
        <w:t xml:space="preserve">sakhaṭ</w:t>
      </w:r>
      <w:r>
        <w:t xml:space="preserve">. The umbrella analysis thus confirms a</w:t>
      </w:r>
      <w:r>
        <w:t xml:space="preserve"> </w:t>
      </w:r>
      <w:r>
        <w:rPr>
          <w:i/>
          <w:iCs/>
        </w:rPr>
        <w:t xml:space="preserve">general</w:t>
      </w:r>
      <w:r>
        <w:t xml:space="preserve"> </w:t>
      </w:r>
      <w:r>
        <w:t xml:space="preserve">phenomenon, of which the</w:t>
      </w:r>
      <w:r>
        <w:t xml:space="preserve"> </w:t>
      </w:r>
      <w:r>
        <w:rPr>
          <w:i/>
          <w:iCs/>
        </w:rPr>
        <w:t xml:space="preserve">sakhaṭ</w:t>
      </w:r>
      <w:r>
        <w:t xml:space="preserve"> </w:t>
      </w:r>
      <w:r>
        <w:t xml:space="preserve">finding is one specific instance.</w:t>
      </w:r>
    </w:p>
    <w:bookmarkEnd w:id="118"/>
    <w:bookmarkStart w:id="119" w:name="X26e46b9e8b25d975bd563382bafdf973afc4ad4"/>
    <w:p>
      <w:pPr>
        <w:pStyle w:val="Heading3"/>
      </w:pPr>
      <w:r>
        <w:t xml:space="preserve">4.10. Comparative translation analysis (illustrative sample)</w:t>
      </w:r>
    </w:p>
    <w:p>
      <w:pPr>
        <w:pStyle w:val="FirstParagraph"/>
      </w:pPr>
      <w:r>
        <w:t xml:space="preserve">To illustrate how the spectrum’s intensity differentiation fares in translation, Table 6 compares five English translations on four canonical verses. We frame this as an</w:t>
      </w:r>
      <w:r>
        <w:t xml:space="preserve"> </w:t>
      </w:r>
      <w:r>
        <w:rPr>
          <w:i/>
          <w:iCs/>
        </w:rPr>
        <w:t xml:space="preserve">illustrative</w:t>
      </w:r>
      <w:r>
        <w:t xml:space="preserve"> </w:t>
      </w:r>
      <w:r>
        <w:t xml:space="preserve">case, not a systematic translation-criticism evaluation: a properly powered evaluation would require a stratified random sample of all 312 attestations (or, more practically, ~30 verses sampled across the six stages with inter-rater coding by trained Arabist coders). The four-verse, five-translation sample here suffices to register the</w:t>
      </w:r>
      <w:r>
        <w:t xml:space="preserve"> </w:t>
      </w:r>
      <w:r>
        <w:rPr>
          <w:i/>
          <w:iCs/>
        </w:rPr>
        <w:t xml:space="preserve">pattern</w:t>
      </w:r>
      <w:r>
        <w:t xml:space="preserve"> </w:t>
      </w:r>
      <w:r>
        <w:t xml:space="preserve">of levelling but does not, on its own, support the strong translation-recommendation set in §5.6; the recommendations there are conditional on a follow-up evaluation that we commend to future work.</w:t>
      </w:r>
    </w:p>
    <w:p>
      <w:pPr>
        <w:pStyle w:val="BodyText"/>
      </w:pPr>
      <w:r>
        <w:rPr>
          <w:b/>
          <w:bCs/>
        </w:rPr>
        <w:t xml:space="preserve">Table 6. Translation of four canonical verses across five English translations</w:t>
      </w:r>
      <w:r>
        <w:t xml:space="preserve"> </w:t>
      </w:r>
      <w:r>
        <w:t xml:space="preserve">(illustrative sample; n = 4 verses × 5 translations = 20 cells)</w:t>
      </w:r>
    </w:p>
    <w:tbl>
      <w:tblPr>
        <w:tblStyle w:val="Table"/>
        <w:tblW w:type="pct" w:w="5000"/>
        <w:tblLayout w:type="fixed"/>
        <w:tblLook w:firstRow="1" w:lastRow="0" w:firstColumn="0" w:lastColumn="0" w:noHBand="0" w:noVBand="0" w:val="0020"/>
      </w:tblPr>
      <w:tblGrid>
        <w:gridCol w:w="1827"/>
        <w:gridCol w:w="1218"/>
        <w:gridCol w:w="1218"/>
        <w:gridCol w:w="1218"/>
        <w:gridCol w:w="1218"/>
        <w:gridCol w:w="1218"/>
      </w:tblGrid>
      <w:tr>
        <w:trPr>
          <w:tblHeader w:val="on"/>
        </w:trPr>
        <w:tc>
          <w:tcPr/>
          <w:p>
            <w:pPr>
              <w:pStyle w:val="Compact"/>
              <w:jc w:val="center"/>
            </w:pPr>
            <w:r>
              <w:t xml:space="preserve">Term &amp; verse</w:t>
            </w:r>
          </w:p>
        </w:tc>
        <w:tc>
          <w:tcPr/>
          <w:p>
            <w:pPr>
              <w:pStyle w:val="Compact"/>
              <w:jc w:val="left"/>
            </w:pPr>
            <w:r>
              <w:t xml:space="preserve">Yusuf Ali</w:t>
            </w:r>
          </w:p>
        </w:tc>
        <w:tc>
          <w:tcPr/>
          <w:p>
            <w:pPr>
              <w:pStyle w:val="Compact"/>
              <w:jc w:val="left"/>
            </w:pPr>
            <w:r>
              <w:t xml:space="preserve">Pickthall</w:t>
            </w:r>
          </w:p>
        </w:tc>
        <w:tc>
          <w:tcPr/>
          <w:p>
            <w:pPr>
              <w:pStyle w:val="Compact"/>
              <w:jc w:val="left"/>
            </w:pPr>
            <w:r>
              <w:t xml:space="preserve">Arberry</w:t>
            </w:r>
          </w:p>
        </w:tc>
        <w:tc>
          <w:tcPr/>
          <w:p>
            <w:pPr>
              <w:pStyle w:val="Compact"/>
              <w:jc w:val="left"/>
            </w:pPr>
            <w:r>
              <w:t xml:space="preserve">Saheeh Intl.</w:t>
            </w:r>
          </w:p>
        </w:tc>
        <w:tc>
          <w:tcPr/>
          <w:p>
            <w:pPr>
              <w:pStyle w:val="Compact"/>
              <w:jc w:val="left"/>
            </w:pPr>
            <w:r>
              <w:t xml:space="preserve">Hilali-Khan</w:t>
            </w:r>
          </w:p>
        </w:tc>
      </w:tr>
      <w:tr>
        <w:tc>
          <w:tcPr/>
          <w:p>
            <w:pPr>
              <w:pStyle w:val="Compact"/>
              <w:jc w:val="center"/>
            </w:pPr>
            <w:r>
              <w:rPr>
                <w:i/>
                <w:iCs/>
              </w:rPr>
              <w:t xml:space="preserve">ḍīq</w:t>
            </w:r>
            <w:r>
              <w:t xml:space="preserve"> </w:t>
            </w:r>
            <w:r>
              <w:t xml:space="preserve">(Q. 15:97)</w:t>
            </w:r>
          </w:p>
        </w:tc>
        <w:tc>
          <w:tcPr/>
          <w:p>
            <w:pPr>
              <w:pStyle w:val="Compact"/>
              <w:jc w:val="left"/>
            </w:pPr>
            <w:r>
              <w:t xml:space="preserve">“thy heart is distressed”</w:t>
            </w:r>
          </w:p>
        </w:tc>
        <w:tc>
          <w:tcPr/>
          <w:p>
            <w:pPr>
              <w:pStyle w:val="Compact"/>
              <w:jc w:val="left"/>
            </w:pPr>
            <w:r>
              <w:t xml:space="preserve">“thy bosom is at times oppressed”</w:t>
            </w:r>
          </w:p>
        </w:tc>
        <w:tc>
          <w:tcPr/>
          <w:p>
            <w:pPr>
              <w:pStyle w:val="Compact"/>
              <w:jc w:val="left"/>
            </w:pPr>
            <w:r>
              <w:t xml:space="preserve">“thy breast is straitened”</w:t>
            </w:r>
          </w:p>
        </w:tc>
        <w:tc>
          <w:tcPr/>
          <w:p>
            <w:pPr>
              <w:pStyle w:val="Compact"/>
              <w:jc w:val="left"/>
            </w:pPr>
            <w:r>
              <w:t xml:space="preserve">“your chest is constrained”</w:t>
            </w:r>
          </w:p>
        </w:tc>
        <w:tc>
          <w:tcPr/>
          <w:p>
            <w:pPr>
              <w:pStyle w:val="Compact"/>
              <w:jc w:val="left"/>
            </w:pPr>
            <w:r>
              <w:t xml:space="preserve">“your breast feels tight”</w:t>
            </w:r>
          </w:p>
        </w:tc>
      </w:tr>
      <w:tr>
        <w:tc>
          <w:tcPr/>
          <w:p>
            <w:pPr>
              <w:pStyle w:val="Compact"/>
              <w:jc w:val="center"/>
            </w:pPr>
            <w:r>
              <w:rPr>
                <w:i/>
                <w:iCs/>
              </w:rPr>
              <w:t xml:space="preserve">ġayẓ</w:t>
            </w:r>
            <w:r>
              <w:t xml:space="preserve"> </w:t>
            </w:r>
            <w:r>
              <w:t xml:space="preserve">(Q. 3:134)</w:t>
            </w:r>
          </w:p>
        </w:tc>
        <w:tc>
          <w:tcPr/>
          <w:p>
            <w:pPr>
              <w:pStyle w:val="Compact"/>
              <w:jc w:val="left"/>
            </w:pPr>
            <w:r>
              <w:t xml:space="preserve">“restrain anger”</w:t>
            </w:r>
          </w:p>
        </w:tc>
        <w:tc>
          <w:tcPr/>
          <w:p>
            <w:pPr>
              <w:pStyle w:val="Compact"/>
              <w:jc w:val="left"/>
            </w:pPr>
            <w:r>
              <w:t xml:space="preserve">“control their wrath”</w:t>
            </w:r>
          </w:p>
        </w:tc>
        <w:tc>
          <w:tcPr/>
          <w:p>
            <w:pPr>
              <w:pStyle w:val="Compact"/>
              <w:jc w:val="left"/>
            </w:pPr>
            <w:r>
              <w:t xml:space="preserve">“restrain their rage”</w:t>
            </w:r>
          </w:p>
        </w:tc>
        <w:tc>
          <w:tcPr/>
          <w:p>
            <w:pPr>
              <w:pStyle w:val="Compact"/>
              <w:jc w:val="left"/>
            </w:pPr>
            <w:r>
              <w:t xml:space="preserve">“suppress anger”</w:t>
            </w:r>
          </w:p>
        </w:tc>
        <w:tc>
          <w:tcPr/>
          <w:p>
            <w:pPr>
              <w:pStyle w:val="Compact"/>
              <w:jc w:val="left"/>
            </w:pPr>
            <w:r>
              <w:t xml:space="preserve">“repress anger”</w:t>
            </w:r>
          </w:p>
        </w:tc>
      </w:tr>
      <w:tr>
        <w:tc>
          <w:tcPr/>
          <w:p>
            <w:pPr>
              <w:pStyle w:val="Compact"/>
              <w:jc w:val="center"/>
            </w:pPr>
            <w:r>
              <w:rPr>
                <w:i/>
                <w:iCs/>
              </w:rPr>
              <w:t xml:space="preserve">tamayyuz</w:t>
            </w:r>
            <w:r>
              <w:t xml:space="preserve"> </w:t>
            </w:r>
            <w:r>
              <w:t xml:space="preserve">(Q. 67:8)</w:t>
            </w:r>
          </w:p>
        </w:tc>
        <w:tc>
          <w:tcPr/>
          <w:p>
            <w:pPr>
              <w:pStyle w:val="Compact"/>
              <w:jc w:val="left"/>
            </w:pPr>
            <w:r>
              <w:t xml:space="preserve">“almost burst with fury”</w:t>
            </w:r>
          </w:p>
        </w:tc>
        <w:tc>
          <w:tcPr/>
          <w:p>
            <w:pPr>
              <w:pStyle w:val="Compact"/>
              <w:jc w:val="left"/>
            </w:pPr>
            <w:r>
              <w:t xml:space="preserve">“almost burst with rage”</w:t>
            </w:r>
          </w:p>
        </w:tc>
        <w:tc>
          <w:tcPr/>
          <w:p>
            <w:pPr>
              <w:pStyle w:val="Compact"/>
              <w:jc w:val="left"/>
            </w:pPr>
            <w:r>
              <w:t xml:space="preserve">“well-nigh bursts asunder with fury”</w:t>
            </w:r>
          </w:p>
        </w:tc>
        <w:tc>
          <w:tcPr/>
          <w:p>
            <w:pPr>
              <w:pStyle w:val="Compact"/>
              <w:jc w:val="left"/>
            </w:pPr>
            <w:r>
              <w:t xml:space="preserve">“almost bursts with rage”</w:t>
            </w:r>
          </w:p>
        </w:tc>
        <w:tc>
          <w:tcPr/>
          <w:p>
            <w:pPr>
              <w:pStyle w:val="Compact"/>
              <w:jc w:val="left"/>
            </w:pPr>
            <w:r>
              <w:t xml:space="preserve">“almost bursts up with fury”</w:t>
            </w:r>
          </w:p>
        </w:tc>
      </w:tr>
      <w:tr>
        <w:tc>
          <w:tcPr/>
          <w:p>
            <w:pPr>
              <w:pStyle w:val="Compact"/>
              <w:jc w:val="center"/>
            </w:pPr>
            <w:r>
              <w:rPr>
                <w:i/>
                <w:iCs/>
              </w:rPr>
              <w:t xml:space="preserve">ṭughyān</w:t>
            </w:r>
            <w:r>
              <w:t xml:space="preserve"> </w:t>
            </w:r>
            <w:r>
              <w:t xml:space="preserve">(Q. 96:6)</w:t>
            </w:r>
          </w:p>
        </w:tc>
        <w:tc>
          <w:tcPr/>
          <w:p>
            <w:pPr>
              <w:pStyle w:val="Compact"/>
              <w:jc w:val="left"/>
            </w:pPr>
            <w:r>
              <w:t xml:space="preserve">“transgresses all bounds”</w:t>
            </w:r>
          </w:p>
        </w:tc>
        <w:tc>
          <w:tcPr/>
          <w:p>
            <w:pPr>
              <w:pStyle w:val="Compact"/>
              <w:jc w:val="left"/>
            </w:pPr>
            <w:r>
              <w:t xml:space="preserve">“rebelleth”</w:t>
            </w:r>
          </w:p>
        </w:tc>
        <w:tc>
          <w:tcPr/>
          <w:p>
            <w:pPr>
              <w:pStyle w:val="Compact"/>
              <w:jc w:val="left"/>
            </w:pPr>
            <w:r>
              <w:t xml:space="preserve">“waxes insolent”</w:t>
            </w:r>
          </w:p>
        </w:tc>
        <w:tc>
          <w:tcPr/>
          <w:p>
            <w:pPr>
              <w:pStyle w:val="Compact"/>
              <w:jc w:val="left"/>
            </w:pPr>
            <w:r>
              <w:t xml:space="preserve">“transgresses”</w:t>
            </w:r>
          </w:p>
        </w:tc>
        <w:tc>
          <w:tcPr/>
          <w:p>
            <w:pPr>
              <w:pStyle w:val="Compact"/>
              <w:jc w:val="left"/>
            </w:pPr>
            <w:r>
              <w:t xml:space="preserve">“transgresses (boundary)”</w:t>
            </w:r>
          </w:p>
        </w:tc>
      </w:tr>
    </w:tbl>
    <w:p>
      <w:pPr>
        <w:pStyle w:val="BodyText"/>
      </w:pPr>
      <w:r>
        <w:t xml:space="preserve">Two illustrative observations emerge from this small sample. First, the rendering of</w:t>
      </w:r>
      <w:r>
        <w:t xml:space="preserve"> </w:t>
      </w:r>
      <w:r>
        <w:rPr>
          <w:i/>
          <w:iCs/>
        </w:rPr>
        <w:t xml:space="preserve">ġayẓ</w:t>
      </w:r>
      <w:r>
        <w:t xml:space="preserve"> </w:t>
      </w:r>
      <w:r>
        <w:t xml:space="preserve">in Q. 3:134 collapses the</w:t>
      </w:r>
      <w:r>
        <w:t xml:space="preserve"> </w:t>
      </w:r>
      <w:r>
        <w:rPr>
          <w:i/>
          <w:iCs/>
        </w:rPr>
        <w:t xml:space="preserve">ghaḍab/ġayẓ</w:t>
      </w:r>
      <w:r>
        <w:t xml:space="preserve"> </w:t>
      </w:r>
      <w:r>
        <w:t xml:space="preserve">distinction in all five translations—the English versions render</w:t>
      </w:r>
      <w:r>
        <w:t xml:space="preserve"> </w:t>
      </w:r>
      <w:r>
        <w:rPr>
          <w:i/>
          <w:iCs/>
        </w:rPr>
        <w:t xml:space="preserve">ġayẓ</w:t>
      </w:r>
      <w:r>
        <w:t xml:space="preserve"> </w:t>
      </w:r>
      <w:r>
        <w:t xml:space="preserve">with terms (</w:t>
      </w:r>
      <w:r>
        <w:rPr>
          <w:i/>
          <w:iCs/>
        </w:rPr>
        <w:t xml:space="preserve">anger</w:t>
      </w:r>
      <w:r>
        <w:t xml:space="preserve">,</w:t>
      </w:r>
      <w:r>
        <w:t xml:space="preserve"> </w:t>
      </w:r>
      <w:r>
        <w:rPr>
          <w:i/>
          <w:iCs/>
        </w:rPr>
        <w:t xml:space="preserve">wrath</w:t>
      </w:r>
      <w:r>
        <w:t xml:space="preserve">,</w:t>
      </w:r>
      <w:r>
        <w:t xml:space="preserve"> </w:t>
      </w:r>
      <w:r>
        <w:rPr>
          <w:i/>
          <w:iCs/>
        </w:rPr>
        <w:t xml:space="preserve">rage</w:t>
      </w:r>
      <w:r>
        <w:t xml:space="preserve">) that are also routinely used for</w:t>
      </w:r>
      <w:r>
        <w:t xml:space="preserve"> </w:t>
      </w:r>
      <w:r>
        <w:rPr>
          <w:i/>
          <w:iCs/>
        </w:rPr>
        <w:t xml:space="preserve">ghaḍab</w:t>
      </w:r>
      <w:r>
        <w:t xml:space="preserve">. The differentia—the</w:t>
      </w:r>
      <w:r>
        <w:t xml:space="preserve"> </w:t>
      </w:r>
      <w:r>
        <w:rPr>
          <w:i/>
          <w:iCs/>
        </w:rPr>
        <w:t xml:space="preserve">containment</w:t>
      </w:r>
      <w:r>
        <w:t xml:space="preserve"> </w:t>
      </w:r>
      <w:r>
        <w:t xml:space="preserve">dimension of</w:t>
      </w:r>
      <w:r>
        <w:t xml:space="preserve"> </w:t>
      </w:r>
      <w:r>
        <w:rPr>
          <w:i/>
          <w:iCs/>
        </w:rPr>
        <w:t xml:space="preserve">ġayẓ</w:t>
      </w:r>
      <w:r>
        <w:t xml:space="preserve">—is preserved only via the contextual verb of restraint, not in the lexeme itself. Second, the rendering of</w:t>
      </w:r>
      <w:r>
        <w:t xml:space="preserve"> </w:t>
      </w:r>
      <w:r>
        <w:rPr>
          <w:i/>
          <w:iCs/>
        </w:rPr>
        <w:t xml:space="preserve">tamayyuz</w:t>
      </w:r>
      <w:r>
        <w:t xml:space="preserve"> </w:t>
      </w:r>
      <w:r>
        <w:t xml:space="preserve">in Q. 67:8 is uneven: Arberry’s</w:t>
      </w:r>
      <w:r>
        <w:t xml:space="preserve"> </w:t>
      </w:r>
      <w:r>
        <w:t xml:space="preserve">“well-nigh bursts asunder”</w:t>
      </w:r>
      <w:r>
        <w:t xml:space="preserve"> </w:t>
      </w:r>
      <w:r>
        <w:t xml:space="preserve">preserves the</w:t>
      </w:r>
      <w:r>
        <w:t xml:space="preserve"> </w:t>
      </w:r>
      <w:r>
        <w:rPr>
          <w:i/>
          <w:iCs/>
        </w:rPr>
        <w:t xml:space="preserve">structural-disintegration</w:t>
      </w:r>
      <w:r>
        <w:t xml:space="preserve"> </w:t>
      </w:r>
      <w:r>
        <w:t xml:space="preserve">component of the source; the others render it variationally as</w:t>
      </w:r>
      <w:r>
        <w:t xml:space="preserve"> </w:t>
      </w:r>
      <w:r>
        <w:rPr>
          <w:i/>
          <w:iCs/>
        </w:rPr>
        <w:t xml:space="preserve">burst with</w:t>
      </w:r>
      <w:r>
        <w:t xml:space="preserve"> </w:t>
      </w:r>
      <w:r>
        <w:t xml:space="preserve">+ emotion, foregrounding the exit of contents but losing the structural-collapse implication. These observations are</w:t>
      </w:r>
      <w:r>
        <w:t xml:space="preserve"> </w:t>
      </w:r>
      <w:r>
        <w:rPr>
          <w:i/>
          <w:iCs/>
        </w:rPr>
        <w:t xml:space="preserve">suggestive of</w:t>
      </w:r>
      <w:r>
        <w:t xml:space="preserve"> </w:t>
      </w:r>
      <w:r>
        <w:t xml:space="preserve">a systematic levelling pattern but are not on their own evidentially decisive; we register them as motivating the systematic translation evaluation we commend in §6.3.</w:t>
      </w:r>
    </w:p>
    <w:bookmarkEnd w:id="119"/>
    <w:bookmarkStart w:id="123" w:name="X669bba35813fda03a95ab00f571fbf24e573141"/>
    <w:p>
      <w:pPr>
        <w:pStyle w:val="Heading3"/>
      </w:pPr>
      <w:r>
        <w:t xml:space="preserve">4.11. Cross-translation semantic drift (computational extension)</w:t>
      </w:r>
    </w:p>
    <w:p>
      <w:pPr>
        <w:pStyle w:val="FirstParagraph"/>
      </w:pPr>
      <w:r>
        <w:t xml:space="preserve">We complement §4.10’s illustrative reading with a corpus-wide quantification. For each of the 312 spectrum attestations we collected ten parallel renderings — five English (Sahih International, Pickthall, Yusuf Ali, Arberry, Maududi) and five Persian (Fooladvand, Makarem-Shirazi, Elahi-Ghomshei, Moezzi, Ansarian) — encoded them with the multilingual sentence-transformer</w:t>
      </w:r>
      <w:r>
        <w:t xml:space="preserve"> </w:t>
      </w:r>
      <w:r>
        <w:rPr>
          <w:rStyle w:val="VerbatimChar"/>
        </w:rPr>
        <w:t xml:space="preserve">paraphrase-multilingual-mpnet-base-v2</w:t>
      </w:r>
      <w:r>
        <w:t xml:space="preserve">, and computed pairwise cosine similarity across the ten versions of each verse. Per-root mean</w:t>
      </w:r>
      <w:r>
        <w:t xml:space="preserve"> </w:t>
      </w:r>
      <w:r>
        <w:rPr>
          <w:i/>
          <w:iCs/>
        </w:rPr>
        <w:t xml:space="preserve">drift</w:t>
      </w:r>
      <w:r>
        <w:t xml:space="preserve"> </w:t>
      </w:r>
      <w:r>
        <w:t xml:space="preserve">(1 − mean pairwise cosine similarity) summarises the average semantic distance among translators.</w:t>
      </w:r>
    </w:p>
    <w:p>
      <w:pPr>
        <w:pStyle w:val="BodyText"/>
      </w:pPr>
      <w:r>
        <w:t xml:space="preserve">The per-root drift ranking (Table 5; Figure 9) divides the spectrum into three bands. Translation-stable roots (drift &lt; 0.20) cluster at the</w:t>
      </w:r>
      <w:r>
        <w:t xml:space="preserve"> </w:t>
      </w:r>
      <w:r>
        <w:rPr>
          <w:b/>
          <w:bCs/>
        </w:rPr>
        <w:t xml:space="preserve">affective core</w:t>
      </w:r>
      <w:r>
        <w:t xml:space="preserve">:</w:t>
      </w:r>
      <w:r>
        <w:t xml:space="preserve"> </w:t>
      </w:r>
      <w:r>
        <w:rPr>
          <w:i/>
          <w:iCs/>
        </w:rPr>
        <w:t xml:space="preserve">ghaḍab</w:t>
      </w:r>
      <w:r>
        <w:t xml:space="preserve"> </w:t>
      </w:r>
      <w:r>
        <w:t xml:space="preserve">(0.172),</w:t>
      </w:r>
      <w:r>
        <w:t xml:space="preserve"> </w:t>
      </w:r>
      <w:r>
        <w:rPr>
          <w:i/>
          <w:iCs/>
        </w:rPr>
        <w:t xml:space="preserve">naqm</w:t>
      </w:r>
      <w:r>
        <w:t xml:space="preserve"> </w:t>
      </w:r>
      <w:r>
        <w:t xml:space="preserve">(0.185),</w:t>
      </w:r>
      <w:r>
        <w:t xml:space="preserve"> </w:t>
      </w:r>
      <w:r>
        <w:rPr>
          <w:i/>
          <w:iCs/>
        </w:rPr>
        <w:t xml:space="preserve">ḥuzn</w:t>
      </w:r>
      <w:r>
        <w:t xml:space="preserve"> </w:t>
      </w:r>
      <w:r>
        <w:t xml:space="preserve">(0.190),</w:t>
      </w:r>
      <w:r>
        <w:t xml:space="preserve"> </w:t>
      </w:r>
      <w:r>
        <w:rPr>
          <w:i/>
          <w:iCs/>
        </w:rPr>
        <w:t xml:space="preserve">baghy</w:t>
      </w:r>
      <w:r>
        <w:t xml:space="preserve"> </w:t>
      </w:r>
      <w:r>
        <w:t xml:space="preserve">(0.191),</w:t>
      </w:r>
      <w:r>
        <w:t xml:space="preserve"> </w:t>
      </w:r>
      <w:r>
        <w:rPr>
          <w:i/>
          <w:iCs/>
        </w:rPr>
        <w:t xml:space="preserve">uff</w:t>
      </w:r>
      <w:r>
        <w:t xml:space="preserve"> </w:t>
      </w:r>
      <w:r>
        <w:t xml:space="preserve">(0.194). These are the lexemes for which translators most reliably converge. Translation-volatile roots (drift &gt; 0.22) include the</w:t>
      </w:r>
      <w:r>
        <w:t xml:space="preserve"> </w:t>
      </w:r>
      <w:r>
        <w:rPr>
          <w:b/>
          <w:bCs/>
        </w:rPr>
        <w:t xml:space="preserve">evaluative-aversion cluster</w:t>
      </w:r>
      <w:r>
        <w:t xml:space="preserve"> </w:t>
      </w:r>
      <w:r>
        <w:t xml:space="preserve">(</w:t>
      </w:r>
      <w:r>
        <w:rPr>
          <w:i/>
          <w:iCs/>
        </w:rPr>
        <w:t xml:space="preserve">sakhaṭ</w:t>
      </w:r>
      <w:r>
        <w:t xml:space="preserve"> </w:t>
      </w:r>
      <w:r>
        <w:t xml:space="preserve">0.228,</w:t>
      </w:r>
      <w:r>
        <w:t xml:space="preserve"> </w:t>
      </w:r>
      <w:r>
        <w:rPr>
          <w:i/>
          <w:iCs/>
        </w:rPr>
        <w:t xml:space="preserve">maqt</w:t>
      </w:r>
      <w:r>
        <w:t xml:space="preserve"> </w:t>
      </w:r>
      <w:r>
        <w:t xml:space="preserve">0.223),</w:t>
      </w:r>
      <w:r>
        <w:t xml:space="preserve"> </w:t>
      </w:r>
      <w:r>
        <w:rPr>
          <w:b/>
          <w:bCs/>
        </w:rPr>
        <w:t xml:space="preserve">inner-pressure</w:t>
      </w:r>
      <w:r>
        <w:t xml:space="preserve"> </w:t>
      </w:r>
      <w:r>
        <w:t xml:space="preserve">(</w:t>
      </w:r>
      <w:r>
        <w:rPr>
          <w:i/>
          <w:iCs/>
        </w:rPr>
        <w:t xml:space="preserve">ḍyq</w:t>
      </w:r>
      <w:r>
        <w:t xml:space="preserve"> </w:t>
      </w:r>
      <w:r>
        <w:t xml:space="preserve">0.218),</w:t>
      </w:r>
      <w:r>
        <w:t xml:space="preserve"> </w:t>
      </w:r>
      <w:r>
        <w:rPr>
          <w:b/>
          <w:bCs/>
        </w:rPr>
        <w:t xml:space="preserve">compressed rage</w:t>
      </w:r>
      <w:r>
        <w:t xml:space="preserve"> </w:t>
      </w:r>
      <w:r>
        <w:t xml:space="preserve">(</w:t>
      </w:r>
      <w:r>
        <w:rPr>
          <w:i/>
          <w:iCs/>
        </w:rPr>
        <w:t xml:space="preserve">ghayẓ</w:t>
      </w:r>
      <w:r>
        <w:t xml:space="preserve"> </w:t>
      </w:r>
      <w:r>
        <w:t xml:space="preserve">0.214), and the Stage-6 structural-defiance pair (</w:t>
      </w:r>
      <w:r>
        <w:rPr>
          <w:i/>
          <w:iCs/>
        </w:rPr>
        <w:t xml:space="preserve">ṭughyān</w:t>
      </w:r>
      <w:r>
        <w:t xml:space="preserve"> </w:t>
      </w:r>
      <w:r>
        <w:t xml:space="preserve">0.234). The hapax</w:t>
      </w:r>
      <w:r>
        <w:t xml:space="preserve"> </w:t>
      </w:r>
      <w:r>
        <w:rPr>
          <w:i/>
          <w:iCs/>
        </w:rPr>
        <w:t xml:space="preserve">ḥard</w:t>
      </w:r>
      <w:r>
        <w:t xml:space="preserve"> </w:t>
      </w:r>
      <w:r>
        <w:t xml:space="preserve">(drift 0.40, n = 1) is an outlier carrying no inferential weight. The marginal cases lie around 0.20:</w:t>
      </w:r>
      <w:r>
        <w:t xml:space="preserve"> </w:t>
      </w:r>
      <w:r>
        <w:rPr>
          <w:i/>
          <w:iCs/>
        </w:rPr>
        <w:t xml:space="preserve">ʿutuww</w:t>
      </w:r>
      <w:r>
        <w:t xml:space="preserve"> </w:t>
      </w:r>
      <w:r>
        <w:t xml:space="preserve">(0.206),</w:t>
      </w:r>
      <w:r>
        <w:t xml:space="preserve"> </w:t>
      </w:r>
      <w:r>
        <w:rPr>
          <w:i/>
          <w:iCs/>
        </w:rPr>
        <w:t xml:space="preserve">karh</w:t>
      </w:r>
      <w:r>
        <w:t xml:space="preserve"> </w:t>
      </w:r>
      <w:r>
        <w:t xml:space="preserve">(0.204).</w:t>
      </w:r>
    </w:p>
    <w:p>
      <w:pPr>
        <w:pStyle w:val="CaptionedFigure"/>
      </w:pPr>
      <w:r>
        <w:drawing>
          <wp:inline>
            <wp:extent cx="4800600" cy="2388189"/>
            <wp:effectExtent b="0" l="0" r="0" t="0"/>
            <wp:docPr descr="Cross-translation semantic drift per spectrum root, computed via multilingual MPNet over 5 EN + 5 FA translations of each attestation host-verse. Drift is 1 − mean pairwise cosine similarity, so higher = more translator disagreement. Three bands visible: affective-core lexemes (ghaḍab, naqm, ḥuzn, baghy, uff) cluster below 0.20; the evaluative-aversion (sakhaṭ, maqt) and Stage-2/5 pressure-containment lexemes (ḍyq, ghayẓ) cluster above 0.22; ṭughyān tops the non-hapax distribution at 0.234. The hapax ḥard (Q. 68:25, n = 1) is shown for completeness but carries no statistical weight. Error bars are per-root standard deviations across the 10 translations." title="" id="121" name="Picture"/>
            <a:graphic>
              <a:graphicData uri="http://schemas.openxmlformats.org/drawingml/2006/picture">
                <pic:pic>
                  <pic:nvPicPr>
                    <pic:cNvPr descr="fig11_translation_drift.jpg" id="122" name="Picture"/>
                    <pic:cNvPicPr>
                      <a:picLocks noChangeArrowheads="1" noChangeAspect="1"/>
                    </pic:cNvPicPr>
                  </pic:nvPicPr>
                  <pic:blipFill>
                    <a:blip r:embed="rId120"/>
                    <a:stretch>
                      <a:fillRect/>
                    </a:stretch>
                  </pic:blipFill>
                  <pic:spPr bwMode="auto">
                    <a:xfrm>
                      <a:off x="0" y="0"/>
                      <a:ext cx="4800600" cy="2388189"/>
                    </a:xfrm>
                    <a:prstGeom prst="rect">
                      <a:avLst/>
                    </a:prstGeom>
                    <a:noFill/>
                    <a:ln w="9525">
                      <a:noFill/>
                      <a:headEnd/>
                      <a:tailEnd/>
                    </a:ln>
                  </pic:spPr>
                </pic:pic>
              </a:graphicData>
            </a:graphic>
          </wp:inline>
        </w:drawing>
      </w:r>
    </w:p>
    <w:p>
      <w:pPr>
        <w:pStyle w:val="ImageCaption"/>
      </w:pPr>
      <w:r>
        <w:t xml:space="preserve">Cross-translation semantic drift per spectrum root, computed via multilingual MPNet over 5 EN + 5 FA translations of each attestation host-verse. Drift is 1 − mean pairwise cosine similarity, so higher = more translator disagreement. Three bands visible: affective-core lexemes (</w:t>
      </w:r>
      <w:r>
        <w:rPr>
          <w:i/>
          <w:iCs/>
        </w:rPr>
        <w:t xml:space="preserve">ghaḍab</w:t>
      </w:r>
      <w:r>
        <w:t xml:space="preserve">,</w:t>
      </w:r>
      <w:r>
        <w:t xml:space="preserve"> </w:t>
      </w:r>
      <w:r>
        <w:rPr>
          <w:i/>
          <w:iCs/>
        </w:rPr>
        <w:t xml:space="preserve">naqm</w:t>
      </w:r>
      <w:r>
        <w:t xml:space="preserve">,</w:t>
      </w:r>
      <w:r>
        <w:t xml:space="preserve"> </w:t>
      </w:r>
      <w:r>
        <w:rPr>
          <w:i/>
          <w:iCs/>
        </w:rPr>
        <w:t xml:space="preserve">ḥuzn</w:t>
      </w:r>
      <w:r>
        <w:t xml:space="preserve">,</w:t>
      </w:r>
      <w:r>
        <w:t xml:space="preserve"> </w:t>
      </w:r>
      <w:r>
        <w:rPr>
          <w:i/>
          <w:iCs/>
        </w:rPr>
        <w:t xml:space="preserve">baghy</w:t>
      </w:r>
      <w:r>
        <w:t xml:space="preserve">,</w:t>
      </w:r>
      <w:r>
        <w:t xml:space="preserve"> </w:t>
      </w:r>
      <w:r>
        <w:rPr>
          <w:i/>
          <w:iCs/>
        </w:rPr>
        <w:t xml:space="preserve">uff</w:t>
      </w:r>
      <w:r>
        <w:t xml:space="preserve">) cluster below 0.20; the evaluative-aversion (</w:t>
      </w:r>
      <w:r>
        <w:rPr>
          <w:i/>
          <w:iCs/>
        </w:rPr>
        <w:t xml:space="preserve">sakhaṭ</w:t>
      </w:r>
      <w:r>
        <w:t xml:space="preserve">,</w:t>
      </w:r>
      <w:r>
        <w:t xml:space="preserve"> </w:t>
      </w:r>
      <w:r>
        <w:rPr>
          <w:i/>
          <w:iCs/>
        </w:rPr>
        <w:t xml:space="preserve">maqt</w:t>
      </w:r>
      <w:r>
        <w:t xml:space="preserve">) and Stage-2/5 pressure-containment lexemes (</w:t>
      </w:r>
      <w:r>
        <w:rPr>
          <w:i/>
          <w:iCs/>
        </w:rPr>
        <w:t xml:space="preserve">ḍyq</w:t>
      </w:r>
      <w:r>
        <w:t xml:space="preserve">,</w:t>
      </w:r>
      <w:r>
        <w:t xml:space="preserve"> </w:t>
      </w:r>
      <w:r>
        <w:rPr>
          <w:i/>
          <w:iCs/>
        </w:rPr>
        <w:t xml:space="preserve">ghayẓ</w:t>
      </w:r>
      <w:r>
        <w:t xml:space="preserve">) cluster above 0.22;</w:t>
      </w:r>
      <w:r>
        <w:t xml:space="preserve"> </w:t>
      </w:r>
      <w:r>
        <w:rPr>
          <w:i/>
          <w:iCs/>
        </w:rPr>
        <w:t xml:space="preserve">ṭughyān</w:t>
      </w:r>
      <w:r>
        <w:t xml:space="preserve"> </w:t>
      </w:r>
      <w:r>
        <w:t xml:space="preserve">tops the non-hapax distribution at 0.234. The hapax</w:t>
      </w:r>
      <w:r>
        <w:t xml:space="preserve"> </w:t>
      </w:r>
      <w:r>
        <w:rPr>
          <w:i/>
          <w:iCs/>
        </w:rPr>
        <w:t xml:space="preserve">ḥard</w:t>
      </w:r>
      <w:r>
        <w:t xml:space="preserve"> </w:t>
      </w:r>
      <w:r>
        <w:t xml:space="preserve">(Q. 68:25, n = 1) is shown for completeness but carries no statistical weight. Error bars are per-root standard deviations across the 10 translations.</w:t>
      </w:r>
    </w:p>
    <w:p>
      <w:pPr>
        <w:pStyle w:val="BodyText"/>
      </w:pPr>
      <w:r>
        <w:t xml:space="preserve">Interpretively, the drift gradient</w:t>
      </w:r>
      <w:r>
        <w:t xml:space="preserve"> </w:t>
      </w:r>
      <w:r>
        <w:rPr>
          <w:i/>
          <w:iCs/>
        </w:rPr>
        <w:t xml:space="preserve">converges with the spectrum theory</w:t>
      </w:r>
      <w:r>
        <w:t xml:space="preserve"> </w:t>
      </w:r>
      <w:r>
        <w:t xml:space="preserve">on the very claim §4.10 advances qualitatively. Translators handle</w:t>
      </w:r>
      <w:r>
        <w:t xml:space="preserve"> </w:t>
      </w:r>
      <w:r>
        <w:rPr>
          <w:i/>
          <w:iCs/>
        </w:rPr>
        <w:t xml:space="preserve">ghaḍab</w:t>
      </w:r>
      <w:r>
        <w:t xml:space="preserve"> </w:t>
      </w:r>
      <w:r>
        <w:t xml:space="preserve">— the canonical anger word with broad equivalents in Indo-European emotion lexica — uniformly. They diverge on the Arabic-specific, theologically-charged terms:</w:t>
      </w:r>
      <w:r>
        <w:t xml:space="preserve"> </w:t>
      </w:r>
      <w:r>
        <w:rPr>
          <w:i/>
          <w:iCs/>
        </w:rPr>
        <w:t xml:space="preserve">sakhaṭ</w:t>
      </w:r>
      <w:r>
        <w:t xml:space="preserve"> </w:t>
      </w:r>
      <w:r>
        <w:t xml:space="preserve">(durable divine displeasure, exclusively Medinan),</w:t>
      </w:r>
      <w:r>
        <w:t xml:space="preserve"> </w:t>
      </w:r>
      <w:r>
        <w:rPr>
          <w:i/>
          <w:iCs/>
        </w:rPr>
        <w:t xml:space="preserve">maqt</w:t>
      </w:r>
      <w:r>
        <w:t xml:space="preserve"> </w:t>
      </w:r>
      <w:r>
        <w:t xml:space="preserve">(evaluative aversion),</w:t>
      </w:r>
      <w:r>
        <w:t xml:space="preserve"> </w:t>
      </w:r>
      <w:r>
        <w:rPr>
          <w:i/>
          <w:iCs/>
        </w:rPr>
        <w:t xml:space="preserve">ghayẓ</w:t>
      </w:r>
      <w:r>
        <w:t xml:space="preserve"> </w:t>
      </w:r>
      <w:r>
        <w:t xml:space="preserve">(compressed contained rage),</w:t>
      </w:r>
      <w:r>
        <w:t xml:space="preserve"> </w:t>
      </w:r>
      <w:r>
        <w:rPr>
          <w:i/>
          <w:iCs/>
        </w:rPr>
        <w:t xml:space="preserve">ṭughyān</w:t>
      </w:r>
      <w:r>
        <w:t xml:space="preserve"> </w:t>
      </w:r>
      <w:r>
        <w:t xml:space="preserve">(structural transgression). These are the lexemes whose</w:t>
      </w:r>
      <w:r>
        <w:t xml:space="preserve"> </w:t>
      </w:r>
      <w:r>
        <w:rPr>
          <w:i/>
          <w:iCs/>
        </w:rPr>
        <w:t xml:space="preserve">containment</w:t>
      </w:r>
      <w:r>
        <w:t xml:space="preserve"> </w:t>
      </w:r>
      <w:r>
        <w:t xml:space="preserve">and</w:t>
      </w:r>
      <w:r>
        <w:t xml:space="preserve"> </w:t>
      </w:r>
      <w:r>
        <w:rPr>
          <w:i/>
          <w:iCs/>
        </w:rPr>
        <w:t xml:space="preserve">evaluative</w:t>
      </w:r>
      <w:r>
        <w:t xml:space="preserve"> </w:t>
      </w:r>
      <w:r>
        <w:t xml:space="preserve">dimensions §§4.4–4.5 argued are not lexicalised in standard English equivalents, and the multilingual-MPNet drift score independently flags them as the loci of greatest translator disagreement. The corpus-wide pattern thus supplies quantitative ratification for the illustrative §4.10 observations, raising them above suggestion to weak empirical claim.</w:t>
      </w:r>
    </w:p>
    <w:bookmarkEnd w:id="123"/>
    <w:bookmarkStart w:id="127" w:name="Xb9a10ef2ffe6a63fc23334aa4b6dda1c2456da2"/>
    <w:p>
      <w:pPr>
        <w:pStyle w:val="Heading3"/>
      </w:pPr>
      <w:r>
        <w:t xml:space="preserve">4.12. Contextual-embedding corroboration of the six-stage taxonomy</w:t>
      </w:r>
    </w:p>
    <w:p>
      <w:pPr>
        <w:pStyle w:val="FirstParagraph"/>
      </w:pPr>
      <w:r>
        <w:t xml:space="preserve">A second computational extension asks whether the six-stage spectrum is recoverable from</w:t>
      </w:r>
      <w:r>
        <w:t xml:space="preserve"> </w:t>
      </w:r>
      <w:r>
        <w:rPr>
          <w:i/>
          <w:iCs/>
        </w:rPr>
        <w:t xml:space="preserve">language-model statistics alone</w:t>
      </w:r>
      <w:r>
        <w:t xml:space="preserve"> </w:t>
      </w:r>
      <w:r>
        <w:t xml:space="preserve">— i.e., from CAMeLBERT-CA (Classical-Arabic) contextual embeddings of each attestation’s host verse, without any access to the manual stage labels. For each of the 312 attestations we extracted the root-aligned token’s mean-pooled hidden state from</w:t>
      </w:r>
      <w:r>
        <w:t xml:space="preserve"> </w:t>
      </w:r>
      <w:r>
        <w:rPr>
          <w:rStyle w:val="VerbatimChar"/>
        </w:rPr>
        <w:t xml:space="preserve">CAMeL-Lab/bert-base-arabic-camelbert-ca</w:t>
      </w:r>
      <w:r>
        <w:t xml:space="preserve">, projected the 768-dim embeddings to 2D via UMAP (n_neighbors = 15, min_dist = 0.1, cosine metric, seed 42), and computed silhouette score, k-means(k=6) adjusted Rand index, and normalised mutual information against the manual stage labels.</w:t>
      </w:r>
    </w:p>
    <w:p>
      <w:pPr>
        <w:pStyle w:val="BodyText"/>
      </w:pPr>
      <w:r>
        <w:t xml:space="preserve">The result is a</w:t>
      </w:r>
      <w:r>
        <w:t xml:space="preserve"> </w:t>
      </w:r>
      <w:r>
        <w:rPr>
          <w:i/>
          <w:iCs/>
        </w:rPr>
        <w:t xml:space="preserve">clear null</w:t>
      </w:r>
      <w:r>
        <w:t xml:space="preserve">: silhouette = −0.082, k-means ARI = 0.059, NMI = 0.077 (Figure 10). Cluster-vs-stage cross-tabulation (Table 6) shows no diagonal concentration: the largest stage (Stage 6, n = 145) is distributed across all six k-means clusters in approximate proportion to cluster size. The CAMeLBERT-CA embedding space</w:t>
      </w:r>
      <w:r>
        <w:t xml:space="preserve"> </w:t>
      </w:r>
      <w:r>
        <w:rPr>
          <w:i/>
          <w:iCs/>
        </w:rPr>
        <w:t xml:space="preserve">does</w:t>
      </w:r>
      <w:r>
        <w:t xml:space="preserve"> </w:t>
      </w:r>
      <w:r>
        <w:t xml:space="preserve">cluster the attestations — visible tight clumps in the UMAP — but those clumps track</w:t>
      </w:r>
      <w:r>
        <w:t xml:space="preserve"> </w:t>
      </w:r>
      <w:r>
        <w:rPr>
          <w:b/>
          <w:bCs/>
        </w:rPr>
        <w:t xml:space="preserve">root identity</w:t>
      </w:r>
      <w:r>
        <w:t xml:space="preserve">, not stage membership.</w:t>
      </w:r>
    </w:p>
    <w:p>
      <w:pPr>
        <w:pStyle w:val="CaptionedFigure"/>
      </w:pPr>
      <w:r>
        <w:drawing>
          <wp:inline>
            <wp:extent cx="4533900" cy="3619788"/>
            <wp:effectExtent b="0" l="0" r="0" t="0"/>
            <wp:docPr descr="CAMeLBERT-CA contextual embeddings (768-dim) of the 312 spectrum attestations, projected to 2D via UMAP and coloured by manual stage. Tight clumps visible throughout, but their colour is approximately uniform within each clump — the embeddings cluster by root identity, not by stage. Silhouette score against the six-stage labelling is −0.082 (near-zero), k-means ARI = 0.059, NMI = 0.077." title="" id="125" name="Picture"/>
            <a:graphic>
              <a:graphicData uri="http://schemas.openxmlformats.org/drawingml/2006/picture">
                <pic:pic>
                  <pic:nvPicPr>
                    <pic:cNvPr descr="fig9_embeddings_umap.jpg" id="126" name="Picture"/>
                    <pic:cNvPicPr>
                      <a:picLocks noChangeArrowheads="1" noChangeAspect="1"/>
                    </pic:cNvPicPr>
                  </pic:nvPicPr>
                  <pic:blipFill>
                    <a:blip r:embed="rId124"/>
                    <a:stretch>
                      <a:fillRect/>
                    </a:stretch>
                  </pic:blipFill>
                  <pic:spPr bwMode="auto">
                    <a:xfrm>
                      <a:off x="0" y="0"/>
                      <a:ext cx="4533900" cy="3619788"/>
                    </a:xfrm>
                    <a:prstGeom prst="rect">
                      <a:avLst/>
                    </a:prstGeom>
                    <a:noFill/>
                    <a:ln w="9525">
                      <a:noFill/>
                      <a:headEnd/>
                      <a:tailEnd/>
                    </a:ln>
                  </pic:spPr>
                </pic:pic>
              </a:graphicData>
            </a:graphic>
          </wp:inline>
        </w:drawing>
      </w:r>
    </w:p>
    <w:p>
      <w:pPr>
        <w:pStyle w:val="ImageCaption"/>
      </w:pPr>
      <w:r>
        <w:t xml:space="preserve">CAMeLBERT-CA contextual embeddings (768-dim) of the 312 spectrum attestations, projected to 2D via UMAP and coloured by manual stage. Tight clumps visible throughout, but their colour is approximately uniform within each clump — the embeddings cluster by root identity, not by stage. Silhouette score against the six-stage labelling is −0.082 (near-zero), k-means ARI = 0.059, NMI = 0.077.</w:t>
      </w:r>
    </w:p>
    <w:p>
      <w:pPr>
        <w:pStyle w:val="BodyText"/>
      </w:pPr>
      <w:r>
        <w:t xml:space="preserve">This null is theoretically welcome rather than damaging to the spectrum thesis. Three readings are consistent with the embedding result. (a)</w:t>
      </w:r>
      <w:r>
        <w:t xml:space="preserve"> </w:t>
      </w:r>
      <w:r>
        <w:rPr>
          <w:b/>
          <w:bCs/>
        </w:rPr>
        <w:t xml:space="preserve">CAMeLBERT-CA captures lexical co-occurrence, not phenomenological intensity.</w:t>
      </w:r>
      <w:r>
        <w:t xml:space="preserve"> </w:t>
      </w:r>
      <w:r>
        <w:t xml:space="preserve">Tokens of</w:t>
      </w:r>
      <w:r>
        <w:t xml:space="preserve"> </w:t>
      </w:r>
      <w:r>
        <w:rPr>
          <w:i/>
          <w:iCs/>
        </w:rPr>
        <w:t xml:space="preserve">baghy</w:t>
      </w:r>
      <w:r>
        <w:t xml:space="preserve"> </w:t>
      </w:r>
      <w:r>
        <w:t xml:space="preserve">and</w:t>
      </w:r>
      <w:r>
        <w:t xml:space="preserve"> </w:t>
      </w:r>
      <w:r>
        <w:rPr>
          <w:i/>
          <w:iCs/>
        </w:rPr>
        <w:t xml:space="preserve">ṭughyān</w:t>
      </w:r>
      <w:r>
        <w:t xml:space="preserve"> </w:t>
      </w:r>
      <w:r>
        <w:t xml:space="preserve">share narrative contexts (the Pharaonic cycle, the rebellion of communities) regardless of whether a given attestation realises the anger-derived (A) or structurally-derived (S) reading; the model groups them by surface neighbourhood. (b)</w:t>
      </w:r>
      <w:r>
        <w:t xml:space="preserve"> </w:t>
      </w:r>
      <w:r>
        <w:rPr>
          <w:b/>
          <w:bCs/>
        </w:rPr>
        <w:t xml:space="preserve">The six stages are an analytical-exegetical construct above the level of distributional similarity.</w:t>
      </w:r>
      <w:r>
        <w:t xml:space="preserve"> </w:t>
      </w:r>
      <w:r>
        <w:t xml:space="preserve">Their derivation rests on classical-lexicographic content (Maqāyīs, Mufradāt, Lisān, Taḥqīq), conceptual-metaphor mapping (§5.5), and exegetical convergence across the four primary commentaries — not on what a transformer sees in the surrounding 30 tokens. (c)</w:t>
      </w:r>
      <w:r>
        <w:t xml:space="preserve"> </w:t>
      </w:r>
      <w:r>
        <w:rPr>
          <w:b/>
          <w:bCs/>
        </w:rPr>
        <w:t xml:space="preserve">A signal that exists in manual labelling but not in pre-trained embeddings is informative</w:t>
      </w:r>
      <w:r>
        <w:t xml:space="preserve">: it shows the spectrum is not merely a re-description of token distribution. If CAMeLBERT-CA</w:t>
      </w:r>
      <w:r>
        <w:t xml:space="preserve"> </w:t>
      </w:r>
      <w:r>
        <w:rPr>
          <w:i/>
          <w:iCs/>
        </w:rPr>
        <w:t xml:space="preserve">had</w:t>
      </w:r>
      <w:r>
        <w:t xml:space="preserve"> </w:t>
      </w:r>
      <w:r>
        <w:t xml:space="preserve">recovered the six-stage structure unsupervised, one might worry the spectrum was tautologous; that it does not is evidence the spectrum adds analytical structure beyond the language model’s view.</w:t>
      </w:r>
    </w:p>
    <w:bookmarkEnd w:id="127"/>
    <w:bookmarkStart w:id="131" w:name="pmi-weighted-co-occurrence-network"/>
    <w:p>
      <w:pPr>
        <w:pStyle w:val="Heading3"/>
      </w:pPr>
      <w:r>
        <w:t xml:space="preserve">4.13. PMI-weighted co-occurrence network</w:t>
      </w:r>
    </w:p>
    <w:p>
      <w:pPr>
        <w:pStyle w:val="FirstParagraph"/>
      </w:pPr>
      <w:r>
        <w:t xml:space="preserve">A final corroboration weights the aya-level co-occurrence graph of §4.8 by normalised pointwise mutual information rather than raw shared-ayat counts. PMI controls for marginal frequency: an edge is</w:t>
      </w:r>
      <w:r>
        <w:t xml:space="preserve"> </w:t>
      </w:r>
      <w:r>
        <w:rPr>
          <w:i/>
          <w:iCs/>
        </w:rPr>
        <w:t xml:space="preserve">strong</w:t>
      </w:r>
      <w:r>
        <w:t xml:space="preserve"> </w:t>
      </w:r>
      <w:r>
        <w:t xml:space="preserve">only if two roots co-occur</w:t>
      </w:r>
      <w:r>
        <w:t xml:space="preserve"> </w:t>
      </w:r>
      <w:r>
        <w:rPr>
          <w:b/>
          <w:bCs/>
        </w:rPr>
        <w:t xml:space="preserve">more than chance</w:t>
      </w:r>
      <w:r>
        <w:t xml:space="preserve"> </w:t>
      </w:r>
      <w:r>
        <w:t xml:space="preserve">given their individual frequencies. The top positively-weighted edges (Figure 11; Table 7) recover and refine the manual stage groupings.</w:t>
      </w:r>
    </w:p>
    <w:p>
      <w:pPr>
        <w:pStyle w:val="CaptionedFigure"/>
      </w:pPr>
      <w:r>
        <w:drawing>
          <wp:inline>
            <wp:extent cx="4533900" cy="4080280"/>
            <wp:effectExtent b="0" l="0" r="0" t="0"/>
            <wp:docPr descr="PMI-weighted co-occurrence network of the 14 spectrum roots. Edge thickness encodes normalised PMI (npmi ∈ [−1, 1]); only positive-npmi edges are shown. The strongest edge is asaf–ghaḍab (npmi = 0.59), recovering the canonical “ġaḍbāna asifan” Mosaic pairing (Q. 7:150, 20:86) despite low absolute frequency. ḍyq–ḥuzn (0.47) corpus-validates the Stage 2 inner-pressure grouping. krh–sakhaṭ (0.43) joins displeasure to evaluative aversion across Stages 1 → 3. baghy’s prominence in the unweighted graph is corrected after frequency adjustment: its highest-npmi connection is to ghayẓ (0.22) and krh (0.23), not to other Stage-6 roots." title="" id="129" name="Picture"/>
            <a:graphic>
              <a:graphicData uri="http://schemas.openxmlformats.org/drawingml/2006/picture">
                <pic:pic>
                  <pic:nvPicPr>
                    <pic:cNvPr descr="fig10_pmi_network.jpg" id="130" name="Picture"/>
                    <pic:cNvPicPr>
                      <a:picLocks noChangeArrowheads="1" noChangeAspect="1"/>
                    </pic:cNvPicPr>
                  </pic:nvPicPr>
                  <pic:blipFill>
                    <a:blip r:embed="rId128"/>
                    <a:stretch>
                      <a:fillRect/>
                    </a:stretch>
                  </pic:blipFill>
                  <pic:spPr bwMode="auto">
                    <a:xfrm>
                      <a:off x="0" y="0"/>
                      <a:ext cx="4533900" cy="4080280"/>
                    </a:xfrm>
                    <a:prstGeom prst="rect">
                      <a:avLst/>
                    </a:prstGeom>
                    <a:noFill/>
                    <a:ln w="9525">
                      <a:noFill/>
                      <a:headEnd/>
                      <a:tailEnd/>
                    </a:ln>
                  </pic:spPr>
                </pic:pic>
              </a:graphicData>
            </a:graphic>
          </wp:inline>
        </w:drawing>
      </w:r>
    </w:p>
    <w:p>
      <w:pPr>
        <w:pStyle w:val="ImageCaption"/>
      </w:pPr>
      <w:r>
        <w:t xml:space="preserve">PMI-weighted co-occurrence network of the 14 spectrum roots. Edge thickness encodes normalised PMI (npmi ∈ [−1, 1]); only positive-npmi edges are shown. The strongest edge is</w:t>
      </w:r>
      <w:r>
        <w:t xml:space="preserve"> </w:t>
      </w:r>
      <w:r>
        <w:rPr>
          <w:i/>
          <w:iCs/>
        </w:rPr>
        <w:t xml:space="preserve">asaf</w:t>
      </w:r>
      <w:r>
        <w:t xml:space="preserve">–</w:t>
      </w:r>
      <w:r>
        <w:rPr>
          <w:i/>
          <w:iCs/>
        </w:rPr>
        <w:t xml:space="preserve">ghaḍab</w:t>
      </w:r>
      <w:r>
        <w:t xml:space="preserve"> </w:t>
      </w:r>
      <w:r>
        <w:t xml:space="preserve">(npmi = 0.59), recovering the canonical</w:t>
      </w:r>
      <w:r>
        <w:t xml:space="preserve"> </w:t>
      </w:r>
      <w:r>
        <w:t xml:space="preserve">“ġaḍbāna asifan”</w:t>
      </w:r>
      <w:r>
        <w:t xml:space="preserve"> </w:t>
      </w:r>
      <w:r>
        <w:t xml:space="preserve">Mosaic pairing (Q. 7:150, 20:86) despite low absolute frequency.</w:t>
      </w:r>
      <w:r>
        <w:t xml:space="preserve"> </w:t>
      </w:r>
      <w:r>
        <w:rPr>
          <w:i/>
          <w:iCs/>
        </w:rPr>
        <w:t xml:space="preserve">ḍyq</w:t>
      </w:r>
      <w:r>
        <w:t xml:space="preserve">–</w:t>
      </w:r>
      <w:r>
        <w:rPr>
          <w:i/>
          <w:iCs/>
        </w:rPr>
        <w:t xml:space="preserve">ḥuzn</w:t>
      </w:r>
      <w:r>
        <w:t xml:space="preserve"> </w:t>
      </w:r>
      <w:r>
        <w:t xml:space="preserve">(0.47) corpus-validates the Stage 2 inner-pressure grouping.</w:t>
      </w:r>
      <w:r>
        <w:t xml:space="preserve"> </w:t>
      </w:r>
      <w:r>
        <w:rPr>
          <w:i/>
          <w:iCs/>
        </w:rPr>
        <w:t xml:space="preserve">krh</w:t>
      </w:r>
      <w:r>
        <w:t xml:space="preserve">–</w:t>
      </w:r>
      <w:r>
        <w:rPr>
          <w:i/>
          <w:iCs/>
        </w:rPr>
        <w:t xml:space="preserve">sakhaṭ</w:t>
      </w:r>
      <w:r>
        <w:t xml:space="preserve"> </w:t>
      </w:r>
      <w:r>
        <w:t xml:space="preserve">(0.43) joins displeasure to evaluative aversion across Stages 1 → 3.</w:t>
      </w:r>
      <w:r>
        <w:t xml:space="preserve"> </w:t>
      </w:r>
      <w:r>
        <w:rPr>
          <w:i/>
          <w:iCs/>
        </w:rPr>
        <w:t xml:space="preserve">baghy</w:t>
      </w:r>
      <w:r>
        <w:t xml:space="preserve">’s prominence in the unweighted graph is corrected after frequency adjustment: its highest-npmi connection is to</w:t>
      </w:r>
      <w:r>
        <w:t xml:space="preserve"> </w:t>
      </w:r>
      <w:r>
        <w:rPr>
          <w:i/>
          <w:iCs/>
        </w:rPr>
        <w:t xml:space="preserve">ghayẓ</w:t>
      </w:r>
      <w:r>
        <w:t xml:space="preserve"> </w:t>
      </w:r>
      <w:r>
        <w:t xml:space="preserve">(0.22) and</w:t>
      </w:r>
      <w:r>
        <w:t xml:space="preserve"> </w:t>
      </w:r>
      <w:r>
        <w:rPr>
          <w:i/>
          <w:iCs/>
        </w:rPr>
        <w:t xml:space="preserve">krh</w:t>
      </w:r>
      <w:r>
        <w:t xml:space="preserve"> </w:t>
      </w:r>
      <w:r>
        <w:t xml:space="preserve">(0.23), not to other Stage-6 roots.</w:t>
      </w:r>
    </w:p>
    <w:p>
      <w:pPr>
        <w:pStyle w:val="BodyText"/>
      </w:pPr>
      <w:r>
        <w:t xml:space="preserve">Three findings emerge after PMI correction. First, the</w:t>
      </w:r>
      <w:r>
        <w:t xml:space="preserve"> </w:t>
      </w:r>
      <w:r>
        <w:rPr>
          <w:i/>
          <w:iCs/>
        </w:rPr>
        <w:t xml:space="preserve">asaf–ghaḍab</w:t>
      </w:r>
      <w:r>
        <w:t xml:space="preserve"> </w:t>
      </w:r>
      <w:r>
        <w:t xml:space="preserve">edge (npmi = 0.59) — overlooked in the raw-count network because of</w:t>
      </w:r>
      <w:r>
        <w:t xml:space="preserve"> </w:t>
      </w:r>
      <w:r>
        <w:rPr>
          <w:i/>
          <w:iCs/>
        </w:rPr>
        <w:t xml:space="preserve">asaf</w:t>
      </w:r>
      <w:r>
        <w:t xml:space="preserve">’s low total — emerges as the spectrum’s strongest collocational signal,</w:t>
      </w:r>
      <w:r>
        <w:t xml:space="preserve"> </w:t>
      </w:r>
      <w:r>
        <w:rPr>
          <w:i/>
          <w:iCs/>
        </w:rPr>
        <w:t xml:space="preserve">ratifying</w:t>
      </w:r>
      <w:r>
        <w:t xml:space="preserve"> </w:t>
      </w:r>
      <w:r>
        <w:t xml:space="preserve">the prophetic Moses-affect pairing as a genuine sub-categorial structure within Stage 2. Second, the Stage-2</w:t>
      </w:r>
      <w:r>
        <w:t xml:space="preserve"> </w:t>
      </w:r>
      <w:r>
        <w:rPr>
          <w:i/>
          <w:iCs/>
        </w:rPr>
        <w:t xml:space="preserve">ḍyq–ḥuzn</w:t>
      </w:r>
      <w:r>
        <w:t xml:space="preserve"> </w:t>
      </w:r>
      <w:r>
        <w:t xml:space="preserve">edge (0.47) is the next-strongest in-stage edge, confirming §4.4’s inner-pressure cluster against the frequency-inflated alternatives. Third,</w:t>
      </w:r>
      <w:r>
        <w:t xml:space="preserve"> </w:t>
      </w:r>
      <w:r>
        <w:rPr>
          <w:i/>
          <w:iCs/>
        </w:rPr>
        <w:t xml:space="preserve">baghy</w:t>
      </w:r>
      <w:r>
        <w:t xml:space="preserve">’s outsized centrality in the raw-count network is partly a frequency artefact: with 96 attestations,</w:t>
      </w:r>
      <w:r>
        <w:t xml:space="preserve"> </w:t>
      </w:r>
      <w:r>
        <w:rPr>
          <w:i/>
          <w:iCs/>
        </w:rPr>
        <w:t xml:space="preserve">baghy</w:t>
      </w:r>
      <w:r>
        <w:t xml:space="preserve"> </w:t>
      </w:r>
      <w:r>
        <w:t xml:space="preserve">has many chance overlaps. After PMI correction</w:t>
      </w:r>
      <w:r>
        <w:t xml:space="preserve"> </w:t>
      </w:r>
      <w:r>
        <w:rPr>
          <w:i/>
          <w:iCs/>
        </w:rPr>
        <w:t xml:space="preserve">baghy</w:t>
      </w:r>
      <w:r>
        <w:t xml:space="preserve"> </w:t>
      </w:r>
      <w:r>
        <w:t xml:space="preserve">connects most strongly</w:t>
      </w:r>
      <w:r>
        <w:t xml:space="preserve"> </w:t>
      </w:r>
      <w:r>
        <w:rPr>
          <w:i/>
          <w:iCs/>
        </w:rPr>
        <w:t xml:space="preserve">outside</w:t>
      </w:r>
      <w:r>
        <w:t xml:space="preserve"> </w:t>
      </w:r>
      <w:r>
        <w:t xml:space="preserve">Stage 6 — to</w:t>
      </w:r>
      <w:r>
        <w:t xml:space="preserve"> </w:t>
      </w:r>
      <w:r>
        <w:rPr>
          <w:i/>
          <w:iCs/>
        </w:rPr>
        <w:t xml:space="preserve">ghayẓ</w:t>
      </w:r>
      <w:r>
        <w:t xml:space="preserve"> </w:t>
      </w:r>
      <w:r>
        <w:t xml:space="preserve">(0.22) and</w:t>
      </w:r>
      <w:r>
        <w:t xml:space="preserve"> </w:t>
      </w:r>
      <w:r>
        <w:rPr>
          <w:i/>
          <w:iCs/>
        </w:rPr>
        <w:t xml:space="preserve">karh</w:t>
      </w:r>
      <w:r>
        <w:t xml:space="preserve"> </w:t>
      </w:r>
      <w:r>
        <w:t xml:space="preserve">(0.23) — consistent with the bidirectional-causation reading:</w:t>
      </w:r>
      <w:r>
        <w:t xml:space="preserve"> </w:t>
      </w:r>
      <w:r>
        <w:rPr>
          <w:i/>
          <w:iCs/>
        </w:rPr>
        <w:t xml:space="preserve">baghy</w:t>
      </w:r>
      <w:r>
        <w:t xml:space="preserve"> </w:t>
      </w:r>
      <w:r>
        <w:t xml:space="preserve">often appears in contexts of evaluative displeasure (</w:t>
      </w:r>
      <w:r>
        <w:rPr>
          <w:i/>
          <w:iCs/>
        </w:rPr>
        <w:t xml:space="preserve">karh</w:t>
      </w:r>
      <w:r>
        <w:t xml:space="preserve">) and compressed grievance (</w:t>
      </w:r>
      <w:r>
        <w:rPr>
          <w:i/>
          <w:iCs/>
        </w:rPr>
        <w:t xml:space="preserve">ghayẓ</w:t>
      </w:r>
      <w:r>
        <w:t xml:space="preserve">) rather than as the downstream pole of anger escalation.</w:t>
      </w:r>
    </w:p>
    <w:bookmarkEnd w:id="131"/>
    <w:bookmarkStart w:id="132" w:name="Xecca0cb7b2ef79956a1737360d2712233da8a18"/>
    <w:p>
      <w:pPr>
        <w:pStyle w:val="Heading3"/>
      </w:pPr>
      <w:r>
        <w:t xml:space="preserve">4.14. Diachronic null: stages are not chronological strata</w:t>
      </w:r>
    </w:p>
    <w:p>
      <w:pPr>
        <w:pStyle w:val="FirstParagraph"/>
      </w:pPr>
      <w:r>
        <w:t xml:space="preserve">To test whether the six-stage spectrum encodes a diachronic developmental pattern in revelation order, we map each attestation onto its Nöldekean chronological rank (Sinai 2017, Appendix B; ranks 1–48 early-Meccan, 49–69 mid-Meccan, 70–90 late-Meccan, 91–114 Medinan) and correlate stage with rank. Spearman ρ = −0.157 (p = 0.006), Kendall τ = −0.117 (p = 0.006): both reach conventional significance but with effect sizes accounting for less than 3% of variance. The shallow negative slope is driven by the concentration of Stage-6 attestations in narrative-rich Medinan suras (especially</w:t>
      </w:r>
      <w:r>
        <w:t xml:space="preserve"> </w:t>
      </w:r>
      <w:r>
        <w:rPr>
          <w:i/>
          <w:iCs/>
        </w:rPr>
        <w:t xml:space="preserve">baghy</w:t>
      </w:r>
      <w:r>
        <w:t xml:space="preserve"> </w:t>
      </w:r>
      <w:r>
        <w:t xml:space="preserve">in Q. 2 and Q. 5) rather than by any developmental progression of the affective lexicon. Substantively, the test is a</w:t>
      </w:r>
      <w:r>
        <w:t xml:space="preserve"> </w:t>
      </w:r>
      <w:r>
        <w:rPr>
          <w:b/>
          <w:bCs/>
        </w:rPr>
        <w:t xml:space="preserve">null</w:t>
      </w:r>
      <w:r>
        <w:t xml:space="preserve">: the spectrum is</w:t>
      </w:r>
      <w:r>
        <w:t xml:space="preserve"> </w:t>
      </w:r>
      <w:r>
        <w:rPr>
          <w:i/>
          <w:iCs/>
        </w:rPr>
        <w:t xml:space="preserve">not</w:t>
      </w:r>
      <w:r>
        <w:t xml:space="preserve"> </w:t>
      </w:r>
      <w:r>
        <w:t xml:space="preserve">a chronological progression. The six-stage taxonomy organises the lexicon by intensity, not by revelation time.</w:t>
      </w:r>
    </w:p>
    <w:p>
      <w:r>
        <w:pict>
          <v:rect style="width:0;height:1.5pt" o:hralign="center" o:hrstd="t" o:hr="t"/>
        </w:pict>
      </w:r>
    </w:p>
    <w:bookmarkEnd w:id="132"/>
    <w:bookmarkEnd w:id="133"/>
    <w:bookmarkStart w:id="168" w:name="discussion"/>
    <w:p>
      <w:pPr>
        <w:pStyle w:val="Heading2"/>
      </w:pPr>
      <w:r>
        <w:t xml:space="preserve">5. Discussion</w:t>
      </w:r>
    </w:p>
    <w:bookmarkStart w:id="134" w:name="the-integrated-logic-of-escalation"/>
    <w:p>
      <w:pPr>
        <w:pStyle w:val="Heading3"/>
      </w:pPr>
      <w:r>
        <w:t xml:space="preserve">5.1. The integrated logic of escalation</w:t>
      </w:r>
    </w:p>
    <w:p>
      <w:pPr>
        <w:pStyle w:val="FirstParagraph"/>
      </w:pPr>
      <w:r>
        <w:t xml:space="preserve">The findings cohere into a single structural claim: the Qur’anic lexicon of the anger spectrum encodes a</w:t>
      </w:r>
      <w:r>
        <w:t xml:space="preserve"> </w:t>
      </w:r>
      <w:r>
        <w:rPr>
          <w:b/>
          <w:bCs/>
        </w:rPr>
        <w:t xml:space="preserve">logic of anger escalation</w:t>
      </w:r>
      <w:r>
        <w:t xml:space="preserve"> </w:t>
      </w:r>
      <w:r>
        <w:t xml:space="preserve">that operates simultaneously along three dimensions—locus (inner → outer), intensity (low → high), and scope (individual → structural). The six stages instantiate this trifold transformation. The lexemes are not synonyms; they are</w:t>
      </w:r>
      <w:r>
        <w:t xml:space="preserve"> </w:t>
      </w:r>
      <w:r>
        <w:rPr>
          <w:i/>
          <w:iCs/>
        </w:rPr>
        <w:t xml:space="preserve">grades</w:t>
      </w:r>
      <w:r>
        <w:t xml:space="preserve">, ordered by an intelligible cognitive logic.</w:t>
      </w:r>
    </w:p>
    <w:p>
      <w:pPr>
        <w:pStyle w:val="BodyText"/>
      </w:pPr>
      <w:r>
        <w:t xml:space="preserve">In compact form:</w:t>
      </w:r>
      <w:r>
        <w:t xml:space="preserve"> </w:t>
      </w:r>
      <w:r>
        <w:rPr>
          <w:i/>
          <w:iCs/>
        </w:rPr>
        <w:t xml:space="preserve">Pre-anger displeasure → Inner pressure → Evaluative aversion → Active anger → Compressed rage → Behavioural outcomes (with caveats)</w:t>
      </w:r>
      <w:r>
        <w:t xml:space="preserve">. The arrows index not mere temporal succession but conditional intensification at each step where regulation may succeed or fail. The Stage 6 step is, however, distinctive: the move into behavioural outcomes is</w:t>
      </w:r>
      <w:r>
        <w:t xml:space="preserve"> </w:t>
      </w:r>
      <w:r>
        <w:rPr>
          <w:i/>
          <w:iCs/>
        </w:rPr>
        <w:t xml:space="preserve">not</w:t>
      </w:r>
      <w:r>
        <w:t xml:space="preserve"> </w:t>
      </w:r>
      <w:r>
        <w:t xml:space="preserve">a deterministic escalation from anger but is influenced by independent vectors (greed,</w:t>
      </w:r>
      <w:r>
        <w:t xml:space="preserve"> </w:t>
      </w:r>
      <w:r>
        <w:rPr>
          <w:i/>
          <w:iCs/>
        </w:rPr>
        <w:t xml:space="preserve">istikbār</w:t>
      </w:r>
      <w:r>
        <w:t xml:space="preserve">, structural arrogance), which is why we read the near-balance between Stages 1–5 (167) and Stage 6 (145) as theoretically informative rather than paradoxical.</w:t>
      </w:r>
    </w:p>
    <w:bookmarkEnd w:id="134"/>
    <w:bookmarkStart w:id="141" w:name="X72b516463d2c03e5f485bcfe86cd728b07c29e4"/>
    <w:p>
      <w:pPr>
        <w:pStyle w:val="Heading3"/>
      </w:pPr>
      <w:r>
        <w:t xml:space="preserve">5.2. Convergence with contemporary emotion psychology</w:t>
      </w:r>
    </w:p>
    <w:p>
      <w:pPr>
        <w:pStyle w:val="FirstParagraph"/>
      </w:pPr>
      <w:r>
        <w:t xml:space="preserve">The Qur’anic six-stage continuum maps onto four families of contemporary emotion theory at points of structural rather than psychometric convergence — sufficient to ground the Islamic-psychology implications of §5.7 and to identify where the Qur’anic lexicon</w:t>
      </w:r>
      <w:r>
        <w:t xml:space="preserve"> </w:t>
      </w:r>
      <w:r>
        <w:rPr>
          <w:i/>
          <w:iCs/>
        </w:rPr>
        <w:t xml:space="preserve">extends</w:t>
      </w:r>
      <w:r>
        <w:t xml:space="preserve"> </w:t>
      </w:r>
      <w:r>
        <w:t xml:space="preserve">the contemporary models. The mapping operates at three levels: Gross’s process model, Spielberger’s STAXI and Plutchik’s intensity wheel, and the appraisal-theoretic apparatus of Lazarus, Scherer, and Roseman.</w:t>
      </w:r>
    </w:p>
    <w:p>
      <w:pPr>
        <w:pStyle w:val="BodyText"/>
      </w:pPr>
      <w:r>
        <w:rPr>
          <w:b/>
          <w:bCs/>
        </w:rPr>
        <w:t xml:space="preserve">Gross’s process model.</w:t>
      </w:r>
      <w:r>
        <w:t xml:space="preserve"> </w:t>
      </w:r>
      <w:r>
        <w:t xml:space="preserve">Gross (1998, 2014, 2015)</w:t>
      </w:r>
      <w:r>
        <w:rPr>
          <w:rStyle w:val="FootnoteReference"/>
        </w:rPr>
        <w:footnoteReference w:id="135"/>
      </w:r>
      <w:r>
        <w:t xml:space="preserve"> </w:t>
      </w:r>
      <w:r>
        <w:t xml:space="preserve">partitions emotion regulation into five sequential strategies along the developmental trajectory of an emotion:</w:t>
      </w:r>
      <w:r>
        <w:t xml:space="preserve"> </w:t>
      </w:r>
      <w:r>
        <w:rPr>
          <w:i/>
          <w:iCs/>
        </w:rPr>
        <w:t xml:space="preserve">situation selection</w:t>
      </w:r>
      <w:r>
        <w:t xml:space="preserve">,</w:t>
      </w:r>
      <w:r>
        <w:t xml:space="preserve"> </w:t>
      </w:r>
      <w:r>
        <w:rPr>
          <w:i/>
          <w:iCs/>
        </w:rPr>
        <w:t xml:space="preserve">situation modification</w:t>
      </w:r>
      <w:r>
        <w:t xml:space="preserve">,</w:t>
      </w:r>
      <w:r>
        <w:t xml:space="preserve"> </w:t>
      </w:r>
      <w:r>
        <w:rPr>
          <w:i/>
          <w:iCs/>
        </w:rPr>
        <w:t xml:space="preserve">attentional deployment</w:t>
      </w:r>
      <w:r>
        <w:t xml:space="preserve">,</w:t>
      </w:r>
      <w:r>
        <w:t xml:space="preserve"> </w:t>
      </w:r>
      <w:r>
        <w:rPr>
          <w:i/>
          <w:iCs/>
        </w:rPr>
        <w:t xml:space="preserve">cognitive change</w:t>
      </w:r>
      <w:r>
        <w:t xml:space="preserve">, and</w:t>
      </w:r>
      <w:r>
        <w:t xml:space="preserve"> </w:t>
      </w:r>
      <w:r>
        <w:rPr>
          <w:i/>
          <w:iCs/>
        </w:rPr>
        <w:t xml:space="preserve">response modulation</w:t>
      </w:r>
      <w:r>
        <w:t xml:space="preserve">. The Qur’anic continuum partitions the trajectory more finely on the affective side:</w:t>
      </w:r>
      <w:r>
        <w:t xml:space="preserve"> </w:t>
      </w:r>
      <w:r>
        <w:rPr>
          <w:b/>
          <w:bCs/>
        </w:rPr>
        <w:t xml:space="preserve">S1</w:t>
      </w:r>
      <w:r>
        <w:t xml:space="preserve"> </w:t>
      </w:r>
      <w:r>
        <w:t xml:space="preserve">(</w:t>
      </w:r>
      <w:r>
        <w:rPr>
          <w:i/>
          <w:iCs/>
        </w:rPr>
        <w:t xml:space="preserve">uff</w:t>
      </w:r>
      <w:r>
        <w:t xml:space="preserve">,</w:t>
      </w:r>
      <w:r>
        <w:t xml:space="preserve"> </w:t>
      </w:r>
      <w:r>
        <w:rPr>
          <w:i/>
          <w:iCs/>
        </w:rPr>
        <w:t xml:space="preserve">karāha</w:t>
      </w:r>
      <w:r>
        <w:t xml:space="preserve">) ↔</w:t>
      </w:r>
      <w:r>
        <w:t xml:space="preserve"> </w:t>
      </w:r>
      <w:r>
        <w:rPr>
          <w:i/>
          <w:iCs/>
        </w:rPr>
        <w:t xml:space="preserve">situation selection</w:t>
      </w:r>
      <w:r>
        <w:t xml:space="preserve"> </w:t>
      </w:r>
      <w:r>
        <w:t xml:space="preserve">— the threshold of withdrawal, where Q. 17:23 forbids even</w:t>
      </w:r>
      <w:r>
        <w:t xml:space="preserve"> </w:t>
      </w:r>
      <w:r>
        <w:rPr>
          <w:i/>
          <w:iCs/>
        </w:rPr>
        <w:t xml:space="preserve">uff</w:t>
      </w:r>
      <w:r>
        <w:t xml:space="preserve"> </w:t>
      </w:r>
      <w:r>
        <w:t xml:space="preserve">to one’s parents;</w:t>
      </w:r>
      <w:r>
        <w:t xml:space="preserve"> </w:t>
      </w:r>
      <w:r>
        <w:rPr>
          <w:b/>
          <w:bCs/>
        </w:rPr>
        <w:t xml:space="preserve">S2</w:t>
      </w:r>
      <w:r>
        <w:t xml:space="preserve"> </w:t>
      </w:r>
      <w:r>
        <w:t xml:space="preserve">(</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 ↔</w:t>
      </w:r>
      <w:r>
        <w:t xml:space="preserve"> </w:t>
      </w:r>
      <w:r>
        <w:rPr>
          <w:i/>
          <w:iCs/>
        </w:rPr>
        <w:t xml:space="preserve">situation modification</w:t>
      </w:r>
      <w:r>
        <w:t xml:space="preserve">, with</w:t>
      </w:r>
      <w:r>
        <w:t xml:space="preserve"> </w:t>
      </w:r>
      <w:r>
        <w:rPr>
          <w:i/>
          <w:iCs/>
        </w:rPr>
        <w:t xml:space="preserve">ḍīq al-ṣadr</w:t>
      </w:r>
      <w:r>
        <w:t xml:space="preserve"> </w:t>
      </w:r>
      <w:r>
        <w:t xml:space="preserve">localising the regulatory turn inward;</w:t>
      </w:r>
      <w:r>
        <w:t xml:space="preserve"> </w:t>
      </w:r>
      <w:r>
        <w:rPr>
          <w:b/>
          <w:bCs/>
        </w:rPr>
        <w:t xml:space="preserve">S3</w:t>
      </w:r>
      <w:r>
        <w:t xml:space="preserve"> </w:t>
      </w:r>
      <w:r>
        <w:t xml:space="preserve">(</w:t>
      </w:r>
      <w:r>
        <w:rPr>
          <w:i/>
          <w:iCs/>
        </w:rPr>
        <w:t xml:space="preserve">naqm</w:t>
      </w:r>
      <w:r>
        <w:t xml:space="preserve">,</w:t>
      </w:r>
      <w:r>
        <w:t xml:space="preserve"> </w:t>
      </w:r>
      <w:r>
        <w:rPr>
          <w:i/>
          <w:iCs/>
        </w:rPr>
        <w:t xml:space="preserve">sakhaṭ</w:t>
      </w:r>
      <w:r>
        <w:t xml:space="preserve">,</w:t>
      </w:r>
      <w:r>
        <w:t xml:space="preserve"> </w:t>
      </w:r>
      <w:r>
        <w:rPr>
          <w:i/>
          <w:iCs/>
        </w:rPr>
        <w:t xml:space="preserve">maqt</w:t>
      </w:r>
      <w:r>
        <w:t xml:space="preserve">) ↔</w:t>
      </w:r>
      <w:r>
        <w:t xml:space="preserve"> </w:t>
      </w:r>
      <w:r>
        <w:rPr>
          <w:i/>
          <w:iCs/>
        </w:rPr>
        <w:t xml:space="preserve">attentional deployment</w:t>
      </w:r>
      <w:r>
        <w:t xml:space="preserve"> </w:t>
      </w:r>
      <w:r>
        <w:t xml:space="preserve">and</w:t>
      </w:r>
      <w:r>
        <w:t xml:space="preserve"> </w:t>
      </w:r>
      <w:r>
        <w:rPr>
          <w:i/>
          <w:iCs/>
        </w:rPr>
        <w:t xml:space="preserve">cognitive change</w:t>
      </w:r>
      <w:r>
        <w:t xml:space="preserve"> </w:t>
      </w:r>
      <w:r>
        <w:t xml:space="preserve">— the evaluative-aversive lexemes encoding cognitive reappraisal under social-religious norms;</w:t>
      </w:r>
      <w:r>
        <w:t xml:space="preserve"> </w:t>
      </w:r>
      <w:r>
        <w:rPr>
          <w:b/>
          <w:bCs/>
        </w:rPr>
        <w:t xml:space="preserve">S4</w:t>
      </w:r>
      <w:r>
        <w:t xml:space="preserve"> </w:t>
      </w:r>
      <w:r>
        <w:t xml:space="preserve">(</w:t>
      </w:r>
      <w:r>
        <w:rPr>
          <w:i/>
          <w:iCs/>
        </w:rPr>
        <w:t xml:space="preserve">ghaḍab</w:t>
      </w:r>
      <w:r>
        <w:t xml:space="preserve">,</w:t>
      </w:r>
      <w:r>
        <w:t xml:space="preserve"> </w:t>
      </w:r>
      <w:r>
        <w:rPr>
          <w:i/>
          <w:iCs/>
        </w:rPr>
        <w:t xml:space="preserve">ḥard</w:t>
      </w:r>
      <w:r>
        <w:t xml:space="preserve">) ↔</w:t>
      </w:r>
      <w:r>
        <w:t xml:space="preserve"> </w:t>
      </w:r>
      <w:r>
        <w:rPr>
          <w:i/>
          <w:iCs/>
        </w:rPr>
        <w:t xml:space="preserve">response selection</w:t>
      </w:r>
      <w:r>
        <w:t xml:space="preserve">, the kinetic-motor enactment in retributive or denial-of-resource directions;</w:t>
      </w:r>
      <w:r>
        <w:t xml:space="preserve"> </w:t>
      </w:r>
      <w:r>
        <w:rPr>
          <w:b/>
          <w:bCs/>
        </w:rPr>
        <w:t xml:space="preserve">S5</w:t>
      </w:r>
      <w:r>
        <w:t xml:space="preserve"> </w:t>
      </w:r>
      <w:r>
        <w:t xml:space="preserve">(</w:t>
      </w:r>
      <w:r>
        <w:rPr>
          <w:i/>
          <w:iCs/>
        </w:rPr>
        <w:t xml:space="preserve">ghayẓ</w:t>
      </w:r>
      <w:r>
        <w:t xml:space="preserve">/</w:t>
      </w:r>
      <w:r>
        <w:rPr>
          <w:i/>
          <w:iCs/>
        </w:rPr>
        <w:t xml:space="preserve">kaẓm</w:t>
      </w:r>
      <w:r>
        <w:t xml:space="preserve">;</w:t>
      </w:r>
      <w:r>
        <w:t xml:space="preserve"> </w:t>
      </w:r>
      <w:r>
        <w:rPr>
          <w:i/>
          <w:iCs/>
        </w:rPr>
        <w:t xml:space="preserve">tamayyuz</w:t>
      </w:r>
      <w:r>
        <w:t xml:space="preserve">) ↔</w:t>
      </w:r>
      <w:r>
        <w:t xml:space="preserve"> </w:t>
      </w:r>
      <w:r>
        <w:rPr>
          <w:i/>
          <w:iCs/>
        </w:rPr>
        <w:t xml:space="preserve">response modulation</w:t>
      </w:r>
      <w:r>
        <w:t xml:space="preserve">, with</w:t>
      </w:r>
      <w:r>
        <w:t xml:space="preserve"> </w:t>
      </w:r>
      <w:r>
        <w:rPr>
          <w:i/>
          <w:iCs/>
        </w:rPr>
        <w:t xml:space="preserve">kaẓm</w:t>
      </w:r>
      <w:r>
        <w:t xml:space="preserve"> </w:t>
      </w:r>
      <w:r>
        <w:t xml:space="preserve">operationalising agent-internal suppression and</w:t>
      </w:r>
      <w:r>
        <w:t xml:space="preserve"> </w:t>
      </w:r>
      <w:r>
        <w:rPr>
          <w:i/>
          <w:iCs/>
        </w:rPr>
        <w:t xml:space="preserve">tamayyuz</w:t>
      </w:r>
      <w:r>
        <w:t xml:space="preserve"> </w:t>
      </w:r>
      <w:r>
        <w:t xml:space="preserve">(Q. 67:8) its container-collapse failure mode.</w:t>
      </w:r>
      <w:r>
        <w:t xml:space="preserve"> </w:t>
      </w:r>
      <w:r>
        <w:rPr>
          <w:b/>
          <w:bCs/>
        </w:rPr>
        <w:t xml:space="preserve">S6</w:t>
      </w:r>
      <w:r>
        <w:t xml:space="preserve"> </w:t>
      </w:r>
      <w:r>
        <w:t xml:space="preserve">(</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lies beyond Gross’s frame: process-model regulation concerns the</w:t>
      </w:r>
      <w:r>
        <w:t xml:space="preserve"> </w:t>
      </w:r>
      <w:r>
        <w:rPr>
          <w:i/>
          <w:iCs/>
        </w:rPr>
        <w:t xml:space="preserve">emotional episode</w:t>
      </w:r>
      <w:r>
        <w:t xml:space="preserve">, but Stage 6 lexicalises</w:t>
      </w:r>
      <w:r>
        <w:t xml:space="preserve"> </w:t>
      </w:r>
      <w:r>
        <w:rPr>
          <w:i/>
          <w:iCs/>
        </w:rPr>
        <w:t xml:space="preserve">structural-moral pathologies of personhood</w:t>
      </w:r>
      <w:r>
        <w:t xml:space="preserve"> </w:t>
      </w:r>
      <w:r>
        <w:t xml:space="preserve">outliving any single episode — with the §4.8.5 caveat that Stage 6 has bidirectional causation with the spectrum.</w:t>
      </w:r>
    </w:p>
    <w:p>
      <w:pPr>
        <w:pStyle w:val="BodyText"/>
      </w:pPr>
      <w:r>
        <w:rPr>
          <w:b/>
          <w:bCs/>
        </w:rPr>
        <w:t xml:space="preserve">Plutchik’s intensity wheel; Spielberger’s STAXI architecture.</w:t>
      </w:r>
      <w:r>
        <w:t xml:space="preserve"> </w:t>
      </w:r>
      <w:r>
        <w:t xml:space="preserve">Plutchik</w:t>
      </w:r>
      <w:r>
        <w:rPr>
          <w:rStyle w:val="FootnoteReference"/>
        </w:rPr>
        <w:footnoteReference w:id="136"/>
      </w:r>
      <w:r>
        <w:t xml:space="preserve"> </w:t>
      </w:r>
      <w:r>
        <w:t xml:space="preserve">organises anger on a three-level escalation (</w:t>
      </w:r>
      <w:r>
        <w:rPr>
          <w:i/>
          <w:iCs/>
        </w:rPr>
        <w:t xml:space="preserve">annoyance → anger → rage</w:t>
      </w:r>
      <w:r>
        <w:t xml:space="preserve">); the Qur’anic continuum</w:t>
      </w:r>
      <w:r>
        <w:t xml:space="preserve"> </w:t>
      </w:r>
      <w:r>
        <w:rPr>
          <w:i/>
          <w:iCs/>
        </w:rPr>
        <w:t xml:space="preserve">refines</w:t>
      </w:r>
      <w:r>
        <w:t xml:space="preserve"> </w:t>
      </w:r>
      <w:r>
        <w:t xml:space="preserve">this by partitioning</w:t>
      </w:r>
      <w:r>
        <w:t xml:space="preserve"> </w:t>
      </w:r>
      <w:r>
        <w:rPr>
          <w:i/>
          <w:iCs/>
        </w:rPr>
        <w:t xml:space="preserve">annoyance</w:t>
      </w:r>
      <w:r>
        <w:t xml:space="preserve"> </w:t>
      </w:r>
      <w:r>
        <w:t xml:space="preserve">into vocal irritation (</w:t>
      </w:r>
      <w:r>
        <w:rPr>
          <w:i/>
          <w:iCs/>
        </w:rPr>
        <w:t xml:space="preserve">uff</w:t>
      </w:r>
      <w:r>
        <w:t xml:space="preserve">, S1), inner aversion (</w:t>
      </w:r>
      <w:r>
        <w:rPr>
          <w:i/>
          <w:iCs/>
        </w:rPr>
        <w:t xml:space="preserve">karāha</w:t>
      </w:r>
      <w:r>
        <w:t xml:space="preserve">, S1), and inner pressure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 S2) — three Qur’anic stages where Plutchik has one label — and by inserting the</w:t>
      </w:r>
      <w:r>
        <w:t xml:space="preserve"> </w:t>
      </w:r>
      <w:r>
        <w:rPr>
          <w:i/>
          <w:iCs/>
        </w:rPr>
        <w:t xml:space="preserve">compressed-rage</w:t>
      </w:r>
      <w:r>
        <w:t xml:space="preserve"> </w:t>
      </w:r>
      <w:r>
        <w:t xml:space="preserve">register (</w:t>
      </w:r>
      <w:r>
        <w:rPr>
          <w:i/>
          <w:iCs/>
        </w:rPr>
        <w:t xml:space="preserve">ghayẓ</w:t>
      </w:r>
      <w:r>
        <w:t xml:space="preserve">, S5) between</w:t>
      </w:r>
      <w:r>
        <w:t xml:space="preserve"> </w:t>
      </w:r>
      <w:r>
        <w:rPr>
          <w:i/>
          <w:iCs/>
        </w:rPr>
        <w:t xml:space="preserve">anger</w:t>
      </w:r>
      <w:r>
        <w:t xml:space="preserve"> </w:t>
      </w:r>
      <w:r>
        <w:t xml:space="preserve">(≈ S4</w:t>
      </w:r>
      <w:r>
        <w:t xml:space="preserve"> </w:t>
      </w:r>
      <w:r>
        <w:rPr>
          <w:i/>
          <w:iCs/>
        </w:rPr>
        <w:t xml:space="preserve">ghaḍab</w:t>
      </w:r>
      <w:r>
        <w:t xml:space="preserve">) and the unmarked terminal</w:t>
      </w:r>
      <w:r>
        <w:t xml:space="preserve"> </w:t>
      </w:r>
      <w:r>
        <w:rPr>
          <w:i/>
          <w:iCs/>
        </w:rPr>
        <w:t xml:space="preserve">rage</w:t>
      </w:r>
      <w:r>
        <w:t xml:space="preserve"> </w:t>
      </w:r>
      <w:r>
        <w:t xml:space="preserve">(closest analogue:</w:t>
      </w:r>
      <w:r>
        <w:t xml:space="preserve"> </w:t>
      </w:r>
      <w:r>
        <w:rPr>
          <w:i/>
          <w:iCs/>
        </w:rPr>
        <w:t xml:space="preserve">tamayyuz</w:t>
      </w:r>
      <w:r>
        <w:t xml:space="preserve"> </w:t>
      </w:r>
      <w:r>
        <w:t xml:space="preserve">at Q. 67:8). Spielberger’s STAXI-2</w:t>
      </w:r>
      <w:r>
        <w:rPr>
          <w:rStyle w:val="FootnoteReference"/>
        </w:rPr>
        <w:footnoteReference w:id="137"/>
      </w:r>
      <w:r>
        <w:t xml:space="preserve"> </w:t>
      </w:r>
      <w:r>
        <w:t xml:space="preserve">further partitions anger into</w:t>
      </w:r>
      <w:r>
        <w:t xml:space="preserve"> </w:t>
      </w:r>
      <w:r>
        <w:rPr>
          <w:i/>
          <w:iCs/>
        </w:rPr>
        <w:t xml:space="preserve">trait</w:t>
      </w:r>
      <w:r>
        <w:t xml:space="preserve"> </w:t>
      </w:r>
      <w:r>
        <w:t xml:space="preserve">(dispositional propensity),</w:t>
      </w:r>
      <w:r>
        <w:t xml:space="preserve"> </w:t>
      </w:r>
      <w:r>
        <w:rPr>
          <w:i/>
          <w:iCs/>
        </w:rPr>
        <w:t xml:space="preserve">state</w:t>
      </w:r>
      <w:r>
        <w:t xml:space="preserve"> </w:t>
      </w:r>
      <w:r>
        <w:t xml:space="preserve">(situational episode), and</w:t>
      </w:r>
      <w:r>
        <w:t xml:space="preserve"> </w:t>
      </w:r>
      <w:r>
        <w:rPr>
          <w:i/>
          <w:iCs/>
        </w:rPr>
        <w:t xml:space="preserve">control</w:t>
      </w:r>
      <w:r>
        <w:t xml:space="preserve"> </w:t>
      </w:r>
      <w:r>
        <w:t xml:space="preserve">(subdivided into</w:t>
      </w:r>
      <w:r>
        <w:t xml:space="preserve"> </w:t>
      </w:r>
      <w:r>
        <w:rPr>
          <w:i/>
          <w:iCs/>
        </w:rPr>
        <w:t xml:space="preserve">anger-in</w:t>
      </w:r>
      <w:r>
        <w:t xml:space="preserve">,</w:t>
      </w:r>
      <w:r>
        <w:t xml:space="preserve"> </w:t>
      </w:r>
      <w:r>
        <w:rPr>
          <w:i/>
          <w:iCs/>
        </w:rPr>
        <w:t xml:space="preserve">anger-out</w:t>
      </w:r>
      <w:r>
        <w:t xml:space="preserve">,</w:t>
      </w:r>
      <w:r>
        <w:t xml:space="preserve"> </w:t>
      </w:r>
      <w:r>
        <w:rPr>
          <w:i/>
          <w:iCs/>
        </w:rPr>
        <w:t xml:space="preserve">anger-control</w:t>
      </w:r>
      <w:r>
        <w:t xml:space="preserve">). The Qur’anic lexicon realises this trichotomy at the lexical surface: trait-like sustained states (</w:t>
      </w:r>
      <w:r>
        <w:rPr>
          <w:i/>
          <w:iCs/>
        </w:rPr>
        <w:t xml:space="preserve">ḥuzn</w:t>
      </w:r>
      <w:r>
        <w:t xml:space="preserve"> </w:t>
      </w:r>
      <w:r>
        <w:t xml:space="preserve">at 88% verbal registering recurrent affective episodes,</w:t>
      </w:r>
      <w:r>
        <w:t xml:space="preserve"> </w:t>
      </w:r>
      <w:r>
        <w:rPr>
          <w:i/>
          <w:iCs/>
        </w:rPr>
        <w:t xml:space="preserve">ḍīq</w:t>
      </w:r>
      <w:r>
        <w:t xml:space="preserve">,</w:t>
      </w:r>
      <w:r>
        <w:t xml:space="preserve"> </w:t>
      </w:r>
      <w:r>
        <w:rPr>
          <w:i/>
          <w:iCs/>
        </w:rPr>
        <w:t xml:space="preserve">karāha</w:t>
      </w:r>
      <w:r>
        <w:t xml:space="preserve">); state-like situational responses (</w:t>
      </w:r>
      <w:r>
        <w:rPr>
          <w:i/>
          <w:iCs/>
        </w:rPr>
        <w:t xml:space="preserve">sakhaṭ</w:t>
      </w:r>
      <w:r>
        <w:t xml:space="preserve"> </w:t>
      </w:r>
      <w:r>
        <w:t xml:space="preserve">as discursively-specialised divine displeasure toward the</w:t>
      </w:r>
      <w:r>
        <w:t xml:space="preserve"> </w:t>
      </w:r>
      <w:r>
        <w:rPr>
          <w:i/>
          <w:iCs/>
        </w:rPr>
        <w:t xml:space="preserve">Munāfiqūn</w:t>
      </w:r>
      <w:r>
        <w:t xml:space="preserve">,</w:t>
      </w:r>
      <w:r>
        <w:t xml:space="preserve"> </w:t>
      </w:r>
      <w:r>
        <w:rPr>
          <w:i/>
          <w:iCs/>
        </w:rPr>
        <w:t xml:space="preserve">maqt</w:t>
      </w:r>
      <w:r>
        <w:t xml:space="preserve"> </w:t>
      </w:r>
      <w:r>
        <w:t xml:space="preserve">as evaluative-aversive response to an observed</w:t>
      </w:r>
      <w:r>
        <w:t xml:space="preserve"> </w:t>
      </w:r>
      <w:r>
        <w:rPr>
          <w:i/>
          <w:iCs/>
        </w:rPr>
        <w:t xml:space="preserve">qabīḥ</w:t>
      </w:r>
      <w:r>
        <w:t xml:space="preserve">,</w:t>
      </w:r>
      <w:r>
        <w:t xml:space="preserve"> </w:t>
      </w:r>
      <w:r>
        <w:rPr>
          <w:i/>
          <w:iCs/>
        </w:rPr>
        <w:t xml:space="preserve">ghaḍab</w:t>
      </w:r>
      <w:r>
        <w:t xml:space="preserve"> </w:t>
      </w:r>
      <w:r>
        <w:t xml:space="preserve">as the unmarked anger-episode); and</w:t>
      </w:r>
      <w:r>
        <w:t xml:space="preserve"> </w:t>
      </w:r>
      <w:r>
        <w:rPr>
          <w:i/>
          <w:iCs/>
        </w:rPr>
        <w:t xml:space="preserve">kaẓm</w:t>
      </w:r>
      <w:r>
        <w:t xml:space="preserve"> </w:t>
      </w:r>
      <w:r>
        <w:t xml:space="preserve">(Q. 3:134) as the Qur’anic</w:t>
      </w:r>
      <w:r>
        <w:t xml:space="preserve"> </w:t>
      </w:r>
      <w:r>
        <w:rPr>
          <w:i/>
          <w:iCs/>
        </w:rPr>
        <w:t xml:space="preserve">anger-control</w:t>
      </w:r>
      <w:r>
        <w:t xml:space="preserve"> </w:t>
      </w:r>
      <w:r>
        <w:t xml:space="preserve">lexeme, operationally close to Spielberger’s</w:t>
      </w:r>
      <w:r>
        <w:t xml:space="preserve"> </w:t>
      </w:r>
      <w:r>
        <w:rPr>
          <w:i/>
          <w:iCs/>
        </w:rPr>
        <w:t xml:space="preserve">anger-in</w:t>
      </w:r>
      <w:r>
        <w:t xml:space="preserve"> </w:t>
      </w:r>
      <w:r>
        <w:t xml:space="preserve">/ suppression construct with the addition of explicit moral commendation.</w:t>
      </w:r>
    </w:p>
    <w:p>
      <w:pPr>
        <w:pStyle w:val="BodyText"/>
      </w:pPr>
      <w:r>
        <w:rPr>
          <w:b/>
          <w:bCs/>
        </w:rPr>
        <w:t xml:space="preserve">Appraisal theory: Scherer’s checks and Roseman’s</w:t>
      </w:r>
      <w:r>
        <w:rPr>
          <w:b/>
          <w:bCs/>
        </w:rPr>
        <w:t xml:space="preserve"> </w:t>
      </w:r>
      <w:r>
        <w:rPr>
          <w:b/>
          <w:bCs/>
          <w:i/>
          <w:iCs/>
        </w:rPr>
        <w:t xml:space="preserve">ṭughyān</w:t>
      </w:r>
      <w:r>
        <w:rPr>
          <w:b/>
          <w:bCs/>
        </w:rPr>
        <w:t xml:space="preserve">-pattern.</w:t>
      </w:r>
      <w:r>
        <w:t xml:space="preserve"> </w:t>
      </w:r>
      <w:r>
        <w:t xml:space="preserve">Appraisal theory (Frijda → Lazarus → Scherer → Roseman)</w:t>
      </w:r>
      <w:r>
        <w:rPr>
          <w:rStyle w:val="FootnoteReference"/>
        </w:rPr>
        <w:footnoteReference w:id="138"/>
      </w:r>
      <w:r>
        <w:t xml:space="preserve"> </w:t>
      </w:r>
      <w:r>
        <w:t xml:space="preserve">holds that emotional response is determined not by stimulus alone but by cognitive</w:t>
      </w:r>
      <w:r>
        <w:t xml:space="preserve"> </w:t>
      </w:r>
      <w:r>
        <w:rPr>
          <w:i/>
          <w:iCs/>
        </w:rPr>
        <w:t xml:space="preserve">appraisal</w:t>
      </w:r>
      <w:r>
        <w:t xml:space="preserve"> </w:t>
      </w:r>
      <w:r>
        <w:t xml:space="preserve">along a defined set of dimensions. Scherer’s component-process model</w:t>
      </w:r>
      <w:r>
        <w:rPr>
          <w:rStyle w:val="FootnoteReference"/>
        </w:rPr>
        <w:footnoteReference w:id="139"/>
      </w:r>
      <w:r>
        <w:t xml:space="preserve"> </w:t>
      </w:r>
      <w:r>
        <w:t xml:space="preserve">specifies four sequential checks (</w:t>
      </w:r>
      <w:r>
        <w:rPr>
          <w:i/>
          <w:iCs/>
        </w:rPr>
        <w:t xml:space="preserve">relevance</w:t>
      </w:r>
      <w:r>
        <w:t xml:space="preserve">,</w:t>
      </w:r>
      <w:r>
        <w:t xml:space="preserve"> </w:t>
      </w:r>
      <w:r>
        <w:rPr>
          <w:i/>
          <w:iCs/>
        </w:rPr>
        <w:t xml:space="preserve">implications</w:t>
      </w:r>
      <w:r>
        <w:t xml:space="preserve">,</w:t>
      </w:r>
      <w:r>
        <w:t xml:space="preserve"> </w:t>
      </w:r>
      <w:r>
        <w:rPr>
          <w:i/>
          <w:iCs/>
        </w:rPr>
        <w:t xml:space="preserve">coping potential</w:t>
      </w:r>
      <w:r>
        <w:t xml:space="preserve">,</w:t>
      </w:r>
      <w:r>
        <w:t xml:space="preserve"> </w:t>
      </w:r>
      <w:r>
        <w:rPr>
          <w:i/>
          <w:iCs/>
        </w:rPr>
        <w:t xml:space="preserve">normative significance</w:t>
      </w:r>
      <w:r>
        <w:t xml:space="preserve">); the Qur’anic Stage-3 lexemes operate as a lexicon for the normative-significance check at progressively higher intensities (</w:t>
      </w:r>
      <w:r>
        <w:rPr>
          <w:i/>
          <w:iCs/>
        </w:rPr>
        <w:t xml:space="preserve">naqm</w:t>
      </w:r>
      <w:r>
        <w:t xml:space="preserve"> </w:t>
      </w:r>
      <w:r>
        <w:t xml:space="preserve">→</w:t>
      </w:r>
      <w:r>
        <w:t xml:space="preserve"> </w:t>
      </w:r>
      <w:r>
        <w:rPr>
          <w:i/>
          <w:iCs/>
        </w:rPr>
        <w:t xml:space="preserve">sakhaṭ</w:t>
      </w:r>
      <w:r>
        <w:t xml:space="preserve"> </w:t>
      </w:r>
      <w:r>
        <w:t xml:space="preserve">→</w:t>
      </w:r>
      <w:r>
        <w:t xml:space="preserve"> </w:t>
      </w:r>
      <w:r>
        <w:rPr>
          <w:i/>
          <w:iCs/>
        </w:rPr>
        <w:t xml:space="preserve">maqt</w:t>
      </w:r>
      <w:r>
        <w:t xml:space="preserve">). Roseman’s appraisal grid</w:t>
      </w:r>
      <w:r>
        <w:rPr>
          <w:rStyle w:val="FootnoteReference"/>
        </w:rPr>
        <w:footnoteReference w:id="140"/>
      </w:r>
      <w:r>
        <w:t xml:space="preserve"> </w:t>
      </w:r>
      <w:r>
        <w:t xml:space="preserve">orders emotions by five dimensions (</w:t>
      </w:r>
      <w:r>
        <w:rPr>
          <w:i/>
          <w:iCs/>
        </w:rPr>
        <w:t xml:space="preserve">situational state</w:t>
      </w:r>
      <w:r>
        <w:t xml:space="preserve">,</w:t>
      </w:r>
      <w:r>
        <w:t xml:space="preserve"> </w:t>
      </w:r>
      <w:r>
        <w:rPr>
          <w:i/>
          <w:iCs/>
        </w:rPr>
        <w:t xml:space="preserve">motivational state</w:t>
      </w:r>
      <w:r>
        <w:t xml:space="preserve">,</w:t>
      </w:r>
      <w:r>
        <w:t xml:space="preserve"> </w:t>
      </w:r>
      <w:r>
        <w:rPr>
          <w:i/>
          <w:iCs/>
        </w:rPr>
        <w:t xml:space="preserve">probability</w:t>
      </w:r>
      <w:r>
        <w:t xml:space="preserve">,</w:t>
      </w:r>
      <w:r>
        <w:t xml:space="preserve"> </w:t>
      </w:r>
      <w:r>
        <w:rPr>
          <w:i/>
          <w:iCs/>
        </w:rPr>
        <w:t xml:space="preserve">agency</w:t>
      </w:r>
      <w:r>
        <w:t xml:space="preserve">,</w:t>
      </w:r>
      <w:r>
        <w:t xml:space="preserve"> </w:t>
      </w:r>
      <w:r>
        <w:rPr>
          <w:i/>
          <w:iCs/>
        </w:rPr>
        <w:t xml:space="preserve">control potential</w:t>
      </w:r>
      <w:r>
        <w:t xml:space="preserve">). Q. 96:6–7 (</w:t>
      </w:r>
      <w:r>
        <w:rPr>
          <w:i/>
          <w:iCs/>
        </w:rPr>
        <w:t xml:space="preserve">kallā inna al-insāna la-yaṭghā · an raʾāhu staġnā</w:t>
      </w:r>
      <w:r>
        <w:t xml:space="preserve">) conditions</w:t>
      </w:r>
      <w:r>
        <w:t xml:space="preserve"> </w:t>
      </w:r>
      <w:r>
        <w:rPr>
          <w:i/>
          <w:iCs/>
        </w:rPr>
        <w:t xml:space="preserve">ṭughyān</w:t>
      </w:r>
      <w:r>
        <w:t xml:space="preserve"> </w:t>
      </w:r>
      <w:r>
        <w:t xml:space="preserve">on the appraisal of</w:t>
      </w:r>
      <w:r>
        <w:t xml:space="preserve"> </w:t>
      </w:r>
      <w:r>
        <w:rPr>
          <w:i/>
          <w:iCs/>
        </w:rPr>
        <w:t xml:space="preserve">istighnāʾ</w:t>
      </w:r>
      <w:r>
        <w:t xml:space="preserve">: the agent perceives high coping potential, low external constraint, and self-agency, producing the</w:t>
      </w:r>
      <w:r>
        <w:t xml:space="preserve"> </w:t>
      </w:r>
      <w:r>
        <w:rPr>
          <w:i/>
          <w:iCs/>
        </w:rPr>
        <w:t xml:space="preserve">agency-self / motive-consistent / high-control</w:t>
      </w:r>
      <w:r>
        <w:t xml:space="preserve"> </w:t>
      </w:r>
      <w:r>
        <w:t xml:space="preserve">pattern Roseman would predict for defiance / contempt. The Qur’anic</w:t>
      </w:r>
      <w:r>
        <w:t xml:space="preserve"> </w:t>
      </w:r>
      <w:r>
        <w:rPr>
          <w:i/>
          <w:iCs/>
        </w:rPr>
        <w:t xml:space="preserve">ṭughyān</w:t>
      </w:r>
      <w:r>
        <w:t xml:space="preserve"> </w:t>
      </w:r>
      <w:r>
        <w:t xml:space="preserve">is, on this reading, a textbook instance of Roseman’s appraisal pattern lexicalised under a single root in the seventh century that twentieth-century cognitive appraisal theory has independently re-derived. The Qur’anic lexicon thus encodes — as architectural design rather than theoretical statement — insights contemporary emotion science has reached independently.</w:t>
      </w:r>
    </w:p>
    <w:bookmarkEnd w:id="141"/>
    <w:bookmarkStart w:id="142" w:name="the-phenomenologyoutcomes-balance"/>
    <w:p>
      <w:pPr>
        <w:pStyle w:val="Heading3"/>
      </w:pPr>
      <w:r>
        <w:t xml:space="preserve">5.3. The phenomenology/outcomes balance</w:t>
      </w:r>
    </w:p>
    <w:p>
      <w:pPr>
        <w:pStyle w:val="FirstParagraph"/>
      </w:pPr>
      <w:r>
        <w:t xml:space="preserve">A naive ten-root reading once suggested 2.4× more attestations at the behavioural pole than at Stages 1–3 combined, indicating discursive over-emphasis on outcomes. The revised fourteen-root inventory (167 / 145; χ²(1) = 1.55, fail to reject) tells a different story: the expanded phenomenological vocabulary (</w:t>
      </w:r>
      <w:r>
        <w:rPr>
          <w:i/>
          <w:iCs/>
        </w:rPr>
        <w:t xml:space="preserve">uff</w:t>
      </w:r>
      <w:r>
        <w:t xml:space="preserve">,</w:t>
      </w:r>
      <w:r>
        <w:t xml:space="preserve"> </w:t>
      </w:r>
      <w:r>
        <w:rPr>
          <w:i/>
          <w:iCs/>
        </w:rPr>
        <w:t xml:space="preserve">karh</w:t>
      </w:r>
      <w:r>
        <w:t xml:space="preserve">,</w:t>
      </w:r>
      <w:r>
        <w:t xml:space="preserve"> </w:t>
      </w:r>
      <w:r>
        <w:rPr>
          <w:i/>
          <w:iCs/>
        </w:rPr>
        <w:t xml:space="preserve">naqm</w:t>
      </w:r>
      <w:r>
        <w:t xml:space="preserve">,</w:t>
      </w:r>
      <w:r>
        <w:t xml:space="preserve"> </w:t>
      </w:r>
      <w:r>
        <w:rPr>
          <w:i/>
          <w:iCs/>
        </w:rPr>
        <w:t xml:space="preserve">maqt</w:t>
      </w:r>
      <w:r>
        <w:t xml:space="preserve">,</w:t>
      </w:r>
      <w:r>
        <w:t xml:space="preserve"> </w:t>
      </w:r>
      <w:r>
        <w:rPr>
          <w:i/>
          <w:iCs/>
        </w:rPr>
        <w:t xml:space="preserve">ḥard</w:t>
      </w:r>
      <w:r>
        <w:t xml:space="preserve">) brings the lower stages into corpus-distributional balance with Stage 6, exactly as one would expect if (i) the phenomenological side is richer than the prior analysis allowed, and (ii) Stage-6 lexemes are not exclusively anger-derived but stand in bidirectional causal relation to anger. The methodological lesson: corpus-distributional analyses of religious texts are maps of</w:t>
      </w:r>
      <w:r>
        <w:t xml:space="preserve"> </w:t>
      </w:r>
      <w:r>
        <w:rPr>
          <w:i/>
          <w:iCs/>
        </w:rPr>
        <w:t xml:space="preserve">discursive emphasis</w:t>
      </w:r>
      <w:r>
        <w:t xml:space="preserve">, fundamentally entangled with category-membership and category-causation decisions; the 10/4 → 14/6 shift changed both the empirical pattern and its interpretation.</w:t>
      </w:r>
    </w:p>
    <w:bookmarkEnd w:id="142"/>
    <w:bookmarkStart w:id="148" w:name="discursive-contextual-specialisation"/>
    <w:p>
      <w:pPr>
        <w:pStyle w:val="Heading3"/>
      </w:pPr>
      <w:r>
        <w:t xml:space="preserve">5.4. Discursive-contextual specialisation</w:t>
      </w:r>
    </w:p>
    <w:p>
      <w:pPr>
        <w:pStyle w:val="FirstParagraph"/>
      </w:pPr>
      <w:r>
        <w:t xml:space="preserve">The FDR-surviving Medinan exclusivity of</w:t>
      </w:r>
      <w:r>
        <w:t xml:space="preserve"> </w:t>
      </w:r>
      <w:r>
        <w:rPr>
          <w:i/>
          <w:iCs/>
        </w:rPr>
        <w:t xml:space="preserve">sakhaṭ</w:t>
      </w:r>
      <w:r>
        <w:t xml:space="preserve">, alongside the contextual-only Meccan tilts of</w:t>
      </w:r>
      <w:r>
        <w:t xml:space="preserve"> </w:t>
      </w:r>
      <w:r>
        <w:rPr>
          <w:i/>
          <w:iCs/>
        </w:rPr>
        <w:t xml:space="preserve">asaf</w:t>
      </w:r>
      <w:r>
        <w:t xml:space="preserve">,</w:t>
      </w:r>
      <w:r>
        <w:t xml:space="preserve"> </w:t>
      </w:r>
      <w:r>
        <w:rPr>
          <w:i/>
          <w:iCs/>
        </w:rPr>
        <w:t xml:space="preserve">naqm</w:t>
      </w:r>
      <w:r>
        <w:t xml:space="preserve">, and</w:t>
      </w:r>
      <w:r>
        <w:t xml:space="preserve"> </w:t>
      </w:r>
      <w:r>
        <w:rPr>
          <w:i/>
          <w:iCs/>
        </w:rPr>
        <w:t xml:space="preserve">ʿutuww</w:t>
      </w:r>
      <w:r>
        <w:t xml:space="preserve">, the hapax-Meccan</w:t>
      </w:r>
      <w:r>
        <w:t xml:space="preserve"> </w:t>
      </w:r>
      <w:r>
        <w:rPr>
          <w:i/>
          <w:iCs/>
        </w:rPr>
        <w:t xml:space="preserve">ḥard</w:t>
      </w:r>
      <w:r>
        <w:t xml:space="preserve">, the Medinan tilt of</w:t>
      </w:r>
      <w:r>
        <w:t xml:space="preserve"> </w:t>
      </w:r>
      <w:r>
        <w:rPr>
          <w:i/>
          <w:iCs/>
        </w:rPr>
        <w:t xml:space="preserve">karh</w:t>
      </w:r>
      <w:r>
        <w:t xml:space="preserve">, and the strong umbrella patterns</w:t>
      </w:r>
      <w:r>
        <w:t xml:space="preserve"> </w:t>
      </w:r>
      <w:r>
        <w:rPr>
          <w:i/>
          <w:iCs/>
        </w:rPr>
        <w:t xml:space="preserve">jrm</w:t>
      </w:r>
      <w:r>
        <w:t xml:space="preserve"> </w:t>
      </w:r>
      <w:r>
        <w:t xml:space="preserve">(Meccan) and</w:t>
      </w:r>
      <w:r>
        <w:t xml:space="preserve"> </w:t>
      </w:r>
      <w:r>
        <w:rPr>
          <w:i/>
          <w:iCs/>
        </w:rPr>
        <w:t xml:space="preserve">fsq</w:t>
      </w:r>
      <w:r>
        <w:t xml:space="preserve"> </w:t>
      </w:r>
      <w:r>
        <w:t xml:space="preserve">(Medinan), instantiate</w:t>
      </w:r>
      <w:r>
        <w:t xml:space="preserve"> </w:t>
      </w:r>
      <w:r>
        <w:rPr>
          <w:b/>
          <w:bCs/>
        </w:rPr>
        <w:t xml:space="preserve">discursive-contextual specialisation</w:t>
      </w:r>
      <w:r>
        <w:t xml:space="preserve">: members of multi-lexeme semantic fields preferentially attaching to specific discursive registers. The pattern is not random —</w:t>
      </w:r>
      <w:r>
        <w:t xml:space="preserve"> </w:t>
      </w:r>
      <w:r>
        <w:rPr>
          <w:i/>
          <w:iCs/>
        </w:rPr>
        <w:t xml:space="preserve">sakhaṭ</w:t>
      </w:r>
      <w:r>
        <w:t xml:space="preserve"> </w:t>
      </w:r>
      <w:r>
        <w:t xml:space="preserve">attaches to the</w:t>
      </w:r>
      <w:r>
        <w:t xml:space="preserve"> </w:t>
      </w:r>
      <w:r>
        <w:rPr>
          <w:i/>
          <w:iCs/>
        </w:rPr>
        <w:t xml:space="preserve">Munāfiqūn</w:t>
      </w:r>
      <w:r>
        <w:t xml:space="preserve"> </w:t>
      </w:r>
      <w:r>
        <w:t xml:space="preserve">(a Medinan phenomenon),</w:t>
      </w:r>
      <w:r>
        <w:t xml:space="preserve"> </w:t>
      </w:r>
      <w:r>
        <w:rPr>
          <w:i/>
          <w:iCs/>
        </w:rPr>
        <w:t xml:space="preserve">asaf</w:t>
      </w:r>
      <w:r>
        <w:t xml:space="preserve"> </w:t>
      </w:r>
      <w:r>
        <w:t xml:space="preserve">to prior-prophet narratives (Meccan-rhetorical),</w:t>
      </w:r>
      <w:r>
        <w:t xml:space="preserve"> </w:t>
      </w:r>
      <w:r>
        <w:rPr>
          <w:i/>
          <w:iCs/>
        </w:rPr>
        <w:t xml:space="preserve">jrm</w:t>
      </w:r>
      <w:r>
        <w:t xml:space="preserve"> </w:t>
      </w:r>
      <w:r>
        <w:t xml:space="preserve">to anti-</w:t>
      </w:r>
      <w:r>
        <w:rPr>
          <w:i/>
          <w:iCs/>
        </w:rPr>
        <w:t xml:space="preserve">shirk</w:t>
      </w:r>
      <w:r>
        <w:t xml:space="preserve"> </w:t>
      </w:r>
      <w:r>
        <w:t xml:space="preserve">polemic (Meccan),</w:t>
      </w:r>
      <w:r>
        <w:t xml:space="preserve"> </w:t>
      </w:r>
      <w:r>
        <w:rPr>
          <w:i/>
          <w:iCs/>
        </w:rPr>
        <w:t xml:space="preserve">fsq</w:t>
      </w:r>
      <w:r>
        <w:t xml:space="preserve"> </w:t>
      </w:r>
      <w:r>
        <w:t xml:space="preserve">to intra-community discipline (Medinan). El-Awa on textual relations</w:t>
      </w:r>
      <w:r>
        <w:rPr>
          <w:rStyle w:val="FootnoteReference"/>
        </w:rPr>
        <w:footnoteReference w:id="143"/>
      </w:r>
      <w:r>
        <w:t xml:space="preserve"> </w:t>
      </w:r>
      <w:r>
        <w:t xml:space="preserve">and Sinai on Meccan/Medinan diachrony</w:t>
      </w:r>
      <w:r>
        <w:rPr>
          <w:rStyle w:val="FootnoteReference"/>
        </w:rPr>
        <w:footnoteReference w:id="144"/>
      </w:r>
      <w:r>
        <w:t xml:space="preserve"> </w:t>
      </w:r>
      <w:r>
        <w:t xml:space="preserve">supply the theoretical framework: specialisation is exactly the kind of pattern one would expect from the Qur’an’s gradual response to evolving sociolinguistic contexts. The phenomenon is, to our knowledge, undocumented as a systematic corpus-distributional pattern in Qur’anic-linguistic scholarship; future work should test the generalisation across other multi-lexeme fields, in dialogue with QurAna/QurSim</w:t>
      </w:r>
      <w:r>
        <w:rPr>
          <w:rStyle w:val="FootnoteReference"/>
        </w:rPr>
        <w:footnoteReference w:id="145"/>
      </w:r>
      <w:r>
        <w:t xml:space="preserve"> </w:t>
      </w:r>
      <w:r>
        <w:t xml:space="preserve">and the QuranMorph</w:t>
      </w:r>
      <w:r>
        <w:rPr>
          <w:rStyle w:val="FootnoteReference"/>
        </w:rPr>
        <w:footnoteReference w:id="146"/>
      </w:r>
      <w:r>
        <w:t xml:space="preserve"> </w:t>
      </w:r>
      <w:r>
        <w:t xml:space="preserve">and MASAQ</w:t>
      </w:r>
      <w:r>
        <w:rPr>
          <w:rStyle w:val="FootnoteReference"/>
        </w:rPr>
        <w:footnoteReference w:id="147"/>
      </w:r>
      <w:r>
        <w:t xml:space="preserve"> </w:t>
      </w:r>
      <w:r>
        <w:t xml:space="preserve">extensions of the Dukes corpus.</w:t>
      </w:r>
    </w:p>
    <w:bookmarkEnd w:id="148"/>
    <w:bookmarkStart w:id="163" w:name="Xeb7af648a9b5037314a84f7b755228345cfdadd"/>
    <w:p>
      <w:pPr>
        <w:pStyle w:val="Heading3"/>
      </w:pPr>
      <w:r>
        <w:t xml:space="preserve">5.5. Q. 67:8 and the container metaphor: a focused comparative survey</w:t>
      </w:r>
    </w:p>
    <w:p>
      <w:pPr>
        <w:pStyle w:val="FirstParagraph"/>
      </w:pPr>
      <w:r>
        <w:t xml:space="preserve">Lakoff and Kövecses’s 1987 chapter in Holland and Quinn’s</w:t>
      </w:r>
      <w:r>
        <w:t xml:space="preserve"> </w:t>
      </w:r>
      <w:r>
        <w:rPr>
          <w:i/>
          <w:iCs/>
        </w:rPr>
        <w:t xml:space="preserve">Cultural Models</w:t>
      </w:r>
      <w:r>
        <w:rPr>
          <w:rStyle w:val="FootnoteReference"/>
        </w:rPr>
        <w:footnoteReference w:id="149"/>
      </w:r>
      <w:r>
        <w:t xml:space="preserve"> </w:t>
      </w:r>
      <w:r>
        <w:t xml:space="preserve">reconstructed the conceptual model underlying American-English anger metaphors as a</w:t>
      </w:r>
      <w:r>
        <w:t xml:space="preserve"> </w:t>
      </w:r>
      <w:r>
        <w:rPr>
          <w:i/>
          <w:iCs/>
        </w:rPr>
        <w:t xml:space="preserve">four-step trajectory</w:t>
      </w:r>
      <w:r>
        <w:t xml:space="preserve"> </w:t>
      </w:r>
      <w:r>
        <w:t xml:space="preserve">on the PRESSURIZED CONTAINER schema: (i) anger is a hot fluid in a container (pp. 197-198;</w:t>
      </w:r>
      <w:r>
        <w:t xml:space="preserve"> </w:t>
      </w:r>
      <w:r>
        <w:rPr>
          <w:i/>
          <w:iCs/>
        </w:rPr>
        <w:t xml:space="preserve">filled with anger</w:t>
      </w:r>
      <w:r>
        <w:t xml:space="preserve">,</w:t>
      </w:r>
      <w:r>
        <w:t xml:space="preserve"> </w:t>
      </w:r>
      <w:r>
        <w:rPr>
          <w:i/>
          <w:iCs/>
        </w:rPr>
        <w:t xml:space="preserve">contain her rage</w:t>
      </w:r>
      <w:r>
        <w:t xml:space="preserve">); (ii) intensity raises the pressure (pp. 198-200;</w:t>
      </w:r>
      <w:r>
        <w:t xml:space="preserve"> </w:t>
      </w:r>
      <w:r>
        <w:rPr>
          <w:i/>
          <w:iCs/>
        </w:rPr>
        <w:t xml:space="preserve">bursting with anger</w:t>
      </w:r>
      <w:r>
        <w:t xml:space="preserve">,</w:t>
      </w:r>
      <w:r>
        <w:t xml:space="preserve"> </w:t>
      </w:r>
      <w:r>
        <w:rPr>
          <w:i/>
          <w:iCs/>
        </w:rPr>
        <w:t xml:space="preserve">about to explode</w:t>
      </w:r>
      <w:r>
        <w:t xml:space="preserve">); (iii) containment attempts (pp. 200-202;</w:t>
      </w:r>
      <w:r>
        <w:t xml:space="preserve"> </w:t>
      </w:r>
      <w:r>
        <w:rPr>
          <w:i/>
          <w:iCs/>
        </w:rPr>
        <w:t xml:space="preserve">keep it in</w:t>
      </w:r>
      <w:r>
        <w:t xml:space="preserve">,</w:t>
      </w:r>
      <w:r>
        <w:t xml:space="preserve"> </w:t>
      </w:r>
      <w:r>
        <w:rPr>
          <w:i/>
          <w:iCs/>
        </w:rPr>
        <w:t xml:space="preserve">bottle it up</w:t>
      </w:r>
      <w:r>
        <w:t xml:space="preserve">); (iv) container failure (pp. 202-205;</w:t>
      </w:r>
      <w:r>
        <w:t xml:space="preserve"> </w:t>
      </w:r>
      <w:r>
        <w:rPr>
          <w:i/>
          <w:iCs/>
        </w:rPr>
        <w:t xml:space="preserve">exploded</w:t>
      </w:r>
      <w:r>
        <w:t xml:space="preserve">,</w:t>
      </w:r>
      <w:r>
        <w:t xml:space="preserve"> </w:t>
      </w:r>
      <w:r>
        <w:rPr>
          <w:i/>
          <w:iCs/>
        </w:rPr>
        <w:t xml:space="preserve">blew his top</w:t>
      </w:r>
      <w:r>
        <w:t xml:space="preserve">,</w:t>
      </w:r>
      <w:r>
        <w:t xml:space="preserve"> </w:t>
      </w:r>
      <w:r>
        <w:rPr>
          <w:i/>
          <w:iCs/>
        </w:rPr>
        <w:t xml:space="preserve">flipped his lid</w:t>
      </w:r>
      <w:r>
        <w:t xml:space="preserve">) — in which the English exemplars lexicalise the failure-mode as the</w:t>
      </w:r>
      <w:r>
        <w:t xml:space="preserve"> </w:t>
      </w:r>
      <w:r>
        <w:rPr>
          <w:i/>
          <w:iCs/>
        </w:rPr>
        <w:t xml:space="preserve">exit of contents</w:t>
      </w:r>
      <w:r>
        <w:t xml:space="preserve"> </w:t>
      </w:r>
      <w:r>
        <w:t xml:space="preserve">with the container preserved or only metonymically displaced.</w:t>
      </w:r>
    </w:p>
    <w:p>
      <w:pPr>
        <w:pStyle w:val="BodyText"/>
      </w:pPr>
      <w:r>
        <w:t xml:space="preserve">The Qur’anic</w:t>
      </w:r>
      <w:r>
        <w:t xml:space="preserve"> </w:t>
      </w:r>
      <w:r>
        <w:rPr>
          <w:i/>
          <w:iCs/>
        </w:rPr>
        <w:t xml:space="preserve">ghayẓ–kaẓm–tamayyuz</w:t>
      </w:r>
      <w:r>
        <w:t xml:space="preserve"> </w:t>
      </w:r>
      <w:r>
        <w:t xml:space="preserve">triad walks through these four steps with a precision the English exemplars do not match at step (iv). At step (i), the four authoritative lexica gloss</w:t>
      </w:r>
      <w:r>
        <w:t xml:space="preserve"> </w:t>
      </w:r>
      <w:r>
        <w:rPr>
          <w:i/>
          <w:iCs/>
        </w:rPr>
        <w:t xml:space="preserve">ghayẓ</w:t>
      </w:r>
      <w:r>
        <w:t xml:space="preserve"> </w:t>
      </w:r>
      <w:r>
        <w:t xml:space="preserve">as compressed contained anger (al-Rāghib:</w:t>
      </w:r>
      <w:r>
        <w:t xml:space="preserve"> </w:t>
      </w:r>
      <w:r>
        <w:rPr>
          <w:i/>
          <w:iCs/>
        </w:rPr>
        <w:t xml:space="preserve">ashadd al-ġaḍab</w:t>
      </w:r>
      <w:r>
        <w:t xml:space="preserve">; al-Mostafawī:</w:t>
      </w:r>
      <w:r>
        <w:t xml:space="preserve"> </w:t>
      </w:r>
      <w:r>
        <w:rPr>
          <w:i/>
          <w:iCs/>
        </w:rPr>
        <w:t xml:space="preserve">takāthuf al-iḍṭirāb al-shadīd al-mukbūt</w:t>
      </w:r>
      <w:r>
        <w:t xml:space="preserve">). At step (ii), the syntagm</w:t>
      </w:r>
      <w:r>
        <w:t xml:space="preserve"> </w:t>
      </w:r>
      <w:r>
        <w:rPr>
          <w:i/>
          <w:iCs/>
        </w:rPr>
        <w:t xml:space="preserve">imtilāʾ al-nafs bi-l-ġayẓ</w:t>
      </w:r>
      <w:r>
        <w:t xml:space="preserve"> </w:t>
      </w:r>
      <w:r>
        <w:t xml:space="preserve">encodes the rising-pressure step morphologically. At step (iii),</w:t>
      </w:r>
      <w:r>
        <w:t xml:space="preserve"> </w:t>
      </w:r>
      <w:r>
        <w:rPr>
          <w:i/>
          <w:iCs/>
        </w:rPr>
        <w:t xml:space="preserve">kaẓm</w:t>
      </w:r>
      <w:r>
        <w:t xml:space="preserve"> </w:t>
      </w:r>
      <w:r>
        <w:t xml:space="preserve">(Q. 3:134</w:t>
      </w:r>
      <w:r>
        <w:t xml:space="preserve"> </w:t>
      </w:r>
      <w:r>
        <w:rPr>
          <w:i/>
          <w:iCs/>
        </w:rPr>
        <w:t xml:space="preserve">al-kāẓimīn al-ġayẓ</w:t>
      </w:r>
      <w:r>
        <w:t xml:space="preserve">) — etymologically the tying-off of a waterskin — names the agent-internal suppression operation in a single lexical operation, where Lakoff and Kövecses (p. 201) require</w:t>
      </w:r>
      <w:r>
        <w:t xml:space="preserve"> </w:t>
      </w:r>
      <w:r>
        <w:rPr>
          <w:i/>
          <w:iCs/>
        </w:rPr>
        <w:t xml:space="preserve">the lid</w:t>
      </w:r>
      <w:r>
        <w:t xml:space="preserve">,</w:t>
      </w:r>
      <w:r>
        <w:t xml:space="preserve"> </w:t>
      </w:r>
      <w:r>
        <w:rPr>
          <w:i/>
          <w:iCs/>
        </w:rPr>
        <w:t xml:space="preserve">the cork</w:t>
      </w:r>
      <w:r>
        <w:t xml:space="preserve">,</w:t>
      </w:r>
      <w:r>
        <w:t xml:space="preserve"> </w:t>
      </w:r>
      <w:r>
        <w:rPr>
          <w:i/>
          <w:iCs/>
        </w:rPr>
        <w:t xml:space="preserve">the cap</w:t>
      </w:r>
      <w:r>
        <w:t xml:space="preserve">,</w:t>
      </w:r>
      <w:r>
        <w:t xml:space="preserve"> </w:t>
      </w:r>
      <w:r>
        <w:rPr>
          <w:i/>
          <w:iCs/>
        </w:rPr>
        <w:t xml:space="preserve">the bottle stopper</w:t>
      </w:r>
      <w:r>
        <w:t xml:space="preserve"> </w:t>
      </w:r>
      <w:r>
        <w:t xml:space="preserve">as four separate metaphors. At step (iv), the divergence is decisive: Q. 67:8 (</w:t>
      </w:r>
      <w:r>
        <w:rPr>
          <w:i/>
          <w:iCs/>
        </w:rPr>
        <w:t xml:space="preserve">takādu tamayyazu min al-ġayẓ</w:t>
      </w:r>
      <w:r>
        <w:t xml:space="preserve">) lexicalises</w:t>
      </w:r>
      <w:r>
        <w:t xml:space="preserve"> </w:t>
      </w:r>
      <w:r>
        <w:rPr>
          <w:i/>
          <w:iCs/>
        </w:rPr>
        <w:t xml:space="preserve">the parting / severing of the vessel itself</w:t>
      </w:r>
      <w:r>
        <w:t xml:space="preserve"> </w:t>
      </w:r>
      <w:r>
        <w:t xml:space="preserve">—</w:t>
      </w:r>
      <w:r>
        <w:t xml:space="preserve"> </w:t>
      </w:r>
      <w:r>
        <w:rPr>
          <w:i/>
          <w:iCs/>
        </w:rPr>
        <w:t xml:space="preserve">tamayyaza</w:t>
      </w:r>
      <w:r>
        <w:t xml:space="preserve"> </w:t>
      </w:r>
      <w:r>
        <w:t xml:space="preserve">deriving from</w:t>
      </w:r>
      <w:r>
        <w:t xml:space="preserve"> </w:t>
      </w:r>
      <w:r>
        <w:rPr>
          <w:i/>
          <w:iCs/>
        </w:rPr>
        <w:t xml:space="preserve">m-y-z</w:t>
      </w:r>
      <w:r>
        <w:t xml:space="preserve"> </w:t>
      </w:r>
      <w:r>
        <w:t xml:space="preserve">“to part, to sever”</w:t>
      </w:r>
      <w:r>
        <w:t xml:space="preserve"> </w:t>
      </w:r>
      <w:r>
        <w:t xml:space="preserve">(Lisān s.v.) — figuring the fire-vessel of Jahannam</w:t>
      </w:r>
      <w:r>
        <w:t xml:space="preserve"> </w:t>
      </w:r>
      <w:r>
        <w:rPr>
          <w:i/>
          <w:iCs/>
        </w:rPr>
        <w:t xml:space="preserve">bursting apart structurally</w:t>
      </w:r>
      <w:r>
        <w:t xml:space="preserve"> </w:t>
      </w:r>
      <w:r>
        <w:t xml:space="preserve">from the rage of its contents, not the exit of contents from an intact vessel. The English-language step (iv) holds the container constant and reports the trajectory of contents; the Qur’anic step (iv) holds the rage constant and reports the trajectory of</w:t>
      </w:r>
      <w:r>
        <w:t xml:space="preserve"> </w:t>
      </w:r>
      <w:r>
        <w:rPr>
          <w:i/>
          <w:iCs/>
        </w:rPr>
        <w:t xml:space="preserve">the container</w:t>
      </w:r>
      <w:r>
        <w:t xml:space="preserve">.</w:t>
      </w:r>
    </w:p>
    <w:p>
      <w:pPr>
        <w:pStyle w:val="BodyText"/>
      </w:pPr>
      <w:r>
        <w:t xml:space="preserve">To situate the strength of this claim, we conducted a focused philological survey across six pre-modern traditions whose anger-lexica have been studied through the conceptual-metaphor lens. (1)</w:t>
      </w:r>
      <w:r>
        <w:t xml:space="preserve"> </w:t>
      </w:r>
      <w:r>
        <w:rPr>
          <w:b/>
          <w:bCs/>
        </w:rPr>
        <w:t xml:space="preserve">Akkadian</w:t>
      </w:r>
      <w:r>
        <w:t xml:space="preserve"> </w:t>
      </w:r>
      <w:r>
        <w:t xml:space="preserve">anchors anger in the</w:t>
      </w:r>
      <w:r>
        <w:t xml:space="preserve"> </w:t>
      </w:r>
      <w:r>
        <w:rPr>
          <w:i/>
          <w:iCs/>
        </w:rPr>
        <w:t xml:space="preserve">libbu</w:t>
      </w:r>
      <w:r>
        <w:t xml:space="preserve"> </w:t>
      </w:r>
      <w:r>
        <w:t xml:space="preserve">(heart/abdomen) and</w:t>
      </w:r>
      <w:r>
        <w:t xml:space="preserve"> </w:t>
      </w:r>
      <w:r>
        <w:rPr>
          <w:i/>
          <w:iCs/>
        </w:rPr>
        <w:t xml:space="preserve">kabattu</w:t>
      </w:r>
      <w:r>
        <w:t xml:space="preserve"> </w:t>
      </w:r>
      <w:r>
        <w:t xml:space="preserve">(liver) as filled containers, paradigmatically in the idiom</w:t>
      </w:r>
      <w:r>
        <w:t xml:space="preserve"> </w:t>
      </w:r>
      <w:r>
        <w:rPr>
          <w:i/>
          <w:iCs/>
        </w:rPr>
        <w:t xml:space="preserve">libbāti malû</w:t>
      </w:r>
      <w:r>
        <w:t xml:space="preserve"> </w:t>
      </w:r>
      <w:r>
        <w:t xml:space="preserve">“to be filled with rage”</w:t>
      </w:r>
      <w:r>
        <w:t xml:space="preserve">,</w:t>
      </w:r>
      <w:r>
        <w:rPr>
          <w:rStyle w:val="FootnoteReference"/>
        </w:rPr>
        <w:footnoteReference w:id="150"/>
      </w:r>
      <w:r>
        <w:t xml:space="preserve"> </w:t>
      </w:r>
      <w:r>
        <w:t xml:space="preserve">with cognate stative verbs</w:t>
      </w:r>
      <w:r>
        <w:t xml:space="preserve"> </w:t>
      </w:r>
      <w:r>
        <w:rPr>
          <w:i/>
          <w:iCs/>
        </w:rPr>
        <w:t xml:space="preserve">ezēzu</w:t>
      </w:r>
      <w:r>
        <w:t xml:space="preserve"> </w:t>
      </w:r>
      <w:r>
        <w:t xml:space="preserve">“to be furious”</w:t>
      </w:r>
      <w:r>
        <w:t xml:space="preserve"> </w:t>
      </w:r>
      <w:r>
        <w:t xml:space="preserve">and the abstract</w:t>
      </w:r>
      <w:r>
        <w:t xml:space="preserve"> </w:t>
      </w:r>
      <w:r>
        <w:rPr>
          <w:i/>
          <w:iCs/>
        </w:rPr>
        <w:t xml:space="preserve">uzzatu</w:t>
      </w:r>
      <w:r>
        <w:t xml:space="preserve"> </w:t>
      </w:r>
      <w:r>
        <w:t xml:space="preserve">“wrath”</w:t>
      </w:r>
      <w:r>
        <w:t xml:space="preserve">; recent bodily-mapping work on Neo-Assyrian texts</w:t>
      </w:r>
      <w:r>
        <w:rPr>
          <w:rStyle w:val="FootnoteReference"/>
        </w:rPr>
        <w:footnoteReference w:id="151"/>
      </w:r>
      <w:r>
        <w:t xml:space="preserve"> </w:t>
      </w:r>
      <w:r>
        <w:t xml:space="preserve">confirms a dominantly FILLING / HEAT-IN-CONTAINER schema and finds no idiom of vessel rupture. (2)</w:t>
      </w:r>
      <w:r>
        <w:t xml:space="preserve"> </w:t>
      </w:r>
      <w:r>
        <w:rPr>
          <w:b/>
          <w:bCs/>
        </w:rPr>
        <w:t xml:space="preserve">Biblical Hebrew</w:t>
      </w:r>
      <w:r>
        <w:t xml:space="preserve"> </w:t>
      </w:r>
      <w:r>
        <w:t xml:space="preserve">centres on</w:t>
      </w:r>
      <w:r>
        <w:t xml:space="preserve"> </w:t>
      </w:r>
      <w:r>
        <w:rPr>
          <w:i/>
          <w:iCs/>
        </w:rPr>
        <w:t xml:space="preserve">ḥēmâ</w:t>
      </w:r>
      <w:r>
        <w:t xml:space="preserve"> </w:t>
      </w:r>
      <w:r>
        <w:t xml:space="preserve">(heat/fury, frequently the object of</w:t>
      </w:r>
      <w:r>
        <w:t xml:space="preserve"> </w:t>
      </w:r>
      <w:r>
        <w:rPr>
          <w:i/>
          <w:iCs/>
        </w:rPr>
        <w:t xml:space="preserve">šāphakh</w:t>
      </w:r>
      <w:r>
        <w:t xml:space="preserve"> </w:t>
      </w:r>
      <w:r>
        <w:t xml:space="preserve">“to pour out”</w:t>
      </w:r>
      <w:r>
        <w:t xml:space="preserve"> </w:t>
      </w:r>
      <w:r>
        <w:t xml:space="preserve">— a CONTENTS-EXIT image),</w:t>
      </w:r>
      <w:r>
        <w:t xml:space="preserve"> </w:t>
      </w:r>
      <w:r>
        <w:rPr>
          <w:i/>
          <w:iCs/>
        </w:rPr>
        <w:t xml:space="preserve">ʾaph</w:t>
      </w:r>
      <w:r>
        <w:t xml:space="preserve"> </w:t>
      </w:r>
      <w:r>
        <w:t xml:space="preserve">(literally</w:t>
      </w:r>
      <w:r>
        <w:t xml:space="preserve"> </w:t>
      </w:r>
      <w:r>
        <w:t xml:space="preserve">“nose”</w:t>
      </w:r>
      <w:r>
        <w:t xml:space="preserve">), and the formulaic</w:t>
      </w:r>
      <w:r>
        <w:t xml:space="preserve"> </w:t>
      </w:r>
      <w:r>
        <w:rPr>
          <w:i/>
          <w:iCs/>
        </w:rPr>
        <w:t xml:space="preserve">ḥarôn-ʾaph</w:t>
      </w:r>
      <w:r>
        <w:t xml:space="preserve"> </w:t>
      </w:r>
      <w:r>
        <w:t xml:space="preserve">“burning of the nose”</w:t>
      </w:r>
      <w:r>
        <w:t xml:space="preserve">; Kruger</w:t>
      </w:r>
      <w:r>
        <w:rPr>
          <w:rStyle w:val="FootnoteReference"/>
        </w:rPr>
        <w:footnoteReference w:id="152"/>
      </w:r>
      <w:r>
        <w:t xml:space="preserve"> </w:t>
      </w:r>
      <w:r>
        <w:t xml:space="preserve">demonstrates that ANGER IS FLUID IN A CONTAINER and ANGER IS FIRE IN THE NOSE are the dominant conceptual metaphors of the Hebrew Bible, both schematically EXIT-typed rather than vessel-collapsing. The instructive exception is</w:t>
      </w:r>
      <w:r>
        <w:t xml:space="preserve"> </w:t>
      </w:r>
      <w:r>
        <w:rPr>
          <w:b/>
          <w:bCs/>
        </w:rPr>
        <w:t xml:space="preserve">Job 32:19</w:t>
      </w:r>
      <w:r>
        <w:t xml:space="preserve">, where Elihu, possessed by anger, declares his belly to be</w:t>
      </w:r>
      <w:r>
        <w:t xml:space="preserve"> </w:t>
      </w:r>
      <w:r>
        <w:t xml:space="preserve">“</w:t>
      </w:r>
      <w:r>
        <w:rPr>
          <w:i/>
          <w:iCs/>
        </w:rPr>
        <w:t xml:space="preserve">kĕ-yayin lōʾ-yippātēaḥ … yibbāqēaʿ</w:t>
      </w:r>
      <w:r>
        <w:t xml:space="preserve">”</w:t>
      </w:r>
      <w:r>
        <w:t xml:space="preserve"> </w:t>
      </w:r>
      <w:r>
        <w:t xml:space="preserve">—</w:t>
      </w:r>
      <w:r>
        <w:t xml:space="preserve"> </w:t>
      </w:r>
      <w:r>
        <w:t xml:space="preserve">“like wine that is not opened … about to burst (lit.</w:t>
      </w:r>
      <w:r>
        <w:t xml:space="preserve"> </w:t>
      </w:r>
      <w:r>
        <w:rPr>
          <w:i/>
          <w:iCs/>
        </w:rPr>
        <w:t xml:space="preserve">be split</w:t>
      </w:r>
      <w:r>
        <w:t xml:space="preserve">) like new wineskins”</w:t>
      </w:r>
      <w:r>
        <w:t xml:space="preserve">: the verb</w:t>
      </w:r>
      <w:r>
        <w:t xml:space="preserve"> </w:t>
      </w:r>
      <w:r>
        <w:rPr>
          <w:i/>
          <w:iCs/>
        </w:rPr>
        <w:t xml:space="preserve">bāqaʿ</w:t>
      </w:r>
      <w:r>
        <w:t xml:space="preserve"> </w:t>
      </w:r>
      <w:r>
        <w:t xml:space="preserve">names exactly the structural failure of the vessel that Q. 67:8’s</w:t>
      </w:r>
      <w:r>
        <w:t xml:space="preserve"> </w:t>
      </w:r>
      <w:r>
        <w:rPr>
          <w:i/>
          <w:iCs/>
        </w:rPr>
        <w:t xml:space="preserve">tamayyaza</w:t>
      </w:r>
      <w:r>
        <w:t xml:space="preserve"> </w:t>
      </w:r>
      <w:r>
        <w:t xml:space="preserve">names, and we therefore qualify our claim accordingly — Q. 67:8 is</w:t>
      </w:r>
      <w:r>
        <w:t xml:space="preserve"> </w:t>
      </w:r>
      <w:r>
        <w:rPr>
          <w:i/>
          <w:iCs/>
        </w:rPr>
        <w:t xml:space="preserve">an early and unusually transparent</w:t>
      </w:r>
      <w:r>
        <w:t xml:space="preserve"> </w:t>
      </w:r>
      <w:r>
        <w:t xml:space="preserve">lexicalisation of container collapse, not a unique one. (3)</w:t>
      </w:r>
      <w:r>
        <w:t xml:space="preserve"> </w:t>
      </w:r>
      <w:r>
        <w:rPr>
          <w:b/>
          <w:bCs/>
        </w:rPr>
        <w:t xml:space="preserve">Homeric Greek</w:t>
      </w:r>
      <w:r>
        <w:t xml:space="preserve"> </w:t>
      </w:r>
      <w:r>
        <w:t xml:space="preserve">uses</w:t>
      </w:r>
      <w:r>
        <w:t xml:space="preserve"> </w:t>
      </w:r>
      <w:r>
        <w:rPr>
          <w:i/>
          <w:iCs/>
        </w:rPr>
        <w:t xml:space="preserve">kholos</w:t>
      </w:r>
      <w:r>
        <w:t xml:space="preserve"> </w:t>
      </w:r>
      <w:r>
        <w:t xml:space="preserve">(bile/gall, a fluid that</w:t>
      </w:r>
      <w:r>
        <w:t xml:space="preserve"> </w:t>
      </w:r>
      <w:r>
        <w:rPr>
          <w:i/>
          <w:iCs/>
        </w:rPr>
        <w:t xml:space="preserve">rises</w:t>
      </w:r>
      <w:r>
        <w:t xml:space="preserve"> </w:t>
      </w:r>
      <w:r>
        <w:t xml:space="preserve">—</w:t>
      </w:r>
      <w:r>
        <w:t xml:space="preserve"> </w:t>
      </w:r>
      <w:r>
        <w:rPr>
          <w:i/>
          <w:iCs/>
        </w:rPr>
        <w:t xml:space="preserve">kholos … anēi</w:t>
      </w:r>
      <w:r>
        <w:t xml:space="preserve">,</w:t>
      </w:r>
      <w:r>
        <w:t xml:space="preserve"> </w:t>
      </w:r>
      <w:r>
        <w:rPr>
          <w:i/>
          <w:iCs/>
        </w:rPr>
        <w:t xml:space="preserve">Iliad</w:t>
      </w:r>
      <w:r>
        <w:t xml:space="preserve"> </w:t>
      </w:r>
      <w:r>
        <w:t xml:space="preserve">9.646) and</w:t>
      </w:r>
      <w:r>
        <w:t xml:space="preserve"> </w:t>
      </w:r>
      <w:r>
        <w:rPr>
          <w:i/>
          <w:iCs/>
        </w:rPr>
        <w:t xml:space="preserve">mēnis</w:t>
      </w:r>
      <w:r>
        <w:t xml:space="preserve"> </w:t>
      </w:r>
      <w:r>
        <w:t xml:space="preserve">(ritualised, suprapersonal wrath);</w:t>
      </w:r>
      <w:r>
        <w:rPr>
          <w:rStyle w:val="FootnoteReference"/>
        </w:rPr>
        <w:footnoteReference w:id="153"/>
      </w:r>
      <w:r>
        <w:t xml:space="preserve"> </w:t>
      </w:r>
      <w:r>
        <w:t xml:space="preserve">Cairns</w:t>
      </w:r>
      <w:r>
        <w:rPr>
          <w:rStyle w:val="FootnoteReference"/>
        </w:rPr>
        <w:footnoteReference w:id="154"/>
      </w:r>
      <w:r>
        <w:t xml:space="preserve"> </w:t>
      </w:r>
      <w:r>
        <w:t xml:space="preserve">reads both as fluid-and-heat schemas, with no Iliadic image of the body or its containing organ being torn apart by anger — the closest analogue,</w:t>
      </w:r>
      <w:r>
        <w:t xml:space="preserve"> </w:t>
      </w:r>
      <w:r>
        <w:rPr>
          <w:i/>
          <w:iCs/>
        </w:rPr>
        <w:t xml:space="preserve">thumos</w:t>
      </w:r>
      <w:r>
        <w:t xml:space="preserve"> </w:t>
      </w:r>
      <w:r>
        <w:t xml:space="preserve">welling up to the</w:t>
      </w:r>
      <w:r>
        <w:t xml:space="preserve"> </w:t>
      </w:r>
      <w:r>
        <w:rPr>
          <w:i/>
          <w:iCs/>
        </w:rPr>
        <w:t xml:space="preserve">phrenes</w:t>
      </w:r>
      <w:r>
        <w:t xml:space="preserve">, remains within the EXIT register. (4)</w:t>
      </w:r>
      <w:r>
        <w:t xml:space="preserve"> </w:t>
      </w:r>
      <w:r>
        <w:rPr>
          <w:b/>
          <w:bCs/>
        </w:rPr>
        <w:t xml:space="preserve">Vedic and Classical Sanskrit</w:t>
      </w:r>
      <w:r>
        <w:t xml:space="preserve"> </w:t>
      </w:r>
      <w:r>
        <w:t xml:space="preserve">lexicalise anger principally as</w:t>
      </w:r>
      <w:r>
        <w:t xml:space="preserve"> </w:t>
      </w:r>
      <w:r>
        <w:rPr>
          <w:i/>
          <w:iCs/>
        </w:rPr>
        <w:t xml:space="preserve">krodha</w:t>
      </w:r>
      <w:r>
        <w:t xml:space="preserve"> </w:t>
      </w:r>
      <w:r>
        <w:t xml:space="preserve">(with the recurrent compound</w:t>
      </w:r>
      <w:r>
        <w:t xml:space="preserve"> </w:t>
      </w:r>
      <w:r>
        <w:rPr>
          <w:i/>
          <w:iCs/>
        </w:rPr>
        <w:t xml:space="preserve">krodha-agni</w:t>
      </w:r>
      <w:r>
        <w:t xml:space="preserve"> </w:t>
      </w:r>
      <w:r>
        <w:t xml:space="preserve">“fire of anger”</w:t>
      </w:r>
      <w:r>
        <w:t xml:space="preserve">) and</w:t>
      </w:r>
      <w:r>
        <w:t xml:space="preserve"> </w:t>
      </w:r>
      <w:r>
        <w:rPr>
          <w:i/>
          <w:iCs/>
        </w:rPr>
        <w:t xml:space="preserve">manyu</w:t>
      </w:r>
      <w:r>
        <w:t xml:space="preserve"> </w:t>
      </w:r>
      <w:r>
        <w:t xml:space="preserve">(martial wrath, often weaponised as Indra’s bolt: ṚV 10.83–84, the</w:t>
      </w:r>
      <w:r>
        <w:t xml:space="preserve"> </w:t>
      </w:r>
      <w:r>
        <w:rPr>
          <w:i/>
          <w:iCs/>
        </w:rPr>
        <w:t xml:space="preserve">Manyu-Sūkta</w:t>
      </w:r>
      <w:r>
        <w:t xml:space="preserve">);</w:t>
      </w:r>
      <w:r>
        <w:rPr>
          <w:rStyle w:val="FootnoteReference"/>
        </w:rPr>
        <w:footnoteReference w:id="155"/>
      </w:r>
      <w:r>
        <w:t xml:space="preserve"> </w:t>
      </w:r>
      <w:r>
        <w:t xml:space="preserve">the dominant images are FIRE and WEAPON-RELEASE, not vessel-disintegration. (5)</w:t>
      </w:r>
      <w:r>
        <w:t xml:space="preserve"> </w:t>
      </w:r>
      <w:r>
        <w:rPr>
          <w:b/>
          <w:bCs/>
        </w:rPr>
        <w:t xml:space="preserve">Classical and Modern Chinese</w:t>
      </w:r>
      <w:r>
        <w:t xml:space="preserve"> </w:t>
      </w:r>
      <w:r>
        <w:t xml:space="preserve">lexicalises anger through</w:t>
      </w:r>
      <w:r>
        <w:t xml:space="preserve"> </w:t>
      </w:r>
      <w:r>
        <w:rPr>
          <w:i/>
          <w:iCs/>
        </w:rPr>
        <w:t xml:space="preserve">nù</w:t>
      </w:r>
      <w:r>
        <w:t xml:space="preserve"> </w:t>
      </w:r>
      <w:r>
        <w:rPr>
          <w:rFonts w:hint="eastAsia"/>
        </w:rPr>
        <w:t xml:space="preserve">(怒),</w:t>
      </w:r>
      <w:r>
        <w:t xml:space="preserve"> </w:t>
      </w:r>
      <w:r>
        <w:rPr>
          <w:i/>
          <w:iCs/>
        </w:rPr>
        <w:t xml:space="preserve">fèn</w:t>
      </w:r>
      <w:r>
        <w:t xml:space="preserve"> </w:t>
      </w:r>
      <w:r>
        <w:rPr>
          <w:rFonts w:hint="eastAsia"/>
        </w:rPr>
        <w:t xml:space="preserve">(愤),</w:t>
      </w:r>
      <w:r>
        <w:t xml:space="preserve"> and</w:t>
      </w:r>
      <w:r>
        <w:t xml:space="preserve"> </w:t>
      </w:r>
      <w:r>
        <w:rPr>
          <w:i/>
          <w:iCs/>
        </w:rPr>
        <w:t xml:space="preserve">qì</w:t>
      </w:r>
      <w:r>
        <w:t xml:space="preserve"> </w:t>
      </w:r>
      <w:r>
        <w:rPr>
          <w:rFonts w:hint="eastAsia"/>
        </w:rPr>
        <w:t xml:space="preserve">(氣),</w:t>
      </w:r>
      <w:r>
        <w:t xml:space="preserve"> with Yu</w:t>
      </w:r>
      <w:r>
        <w:rPr>
          <w:rStyle w:val="FootnoteReference"/>
        </w:rPr>
        <w:footnoteReference w:id="156"/>
      </w:r>
      <w:r>
        <w:t xml:space="preserve"> </w:t>
      </w:r>
      <w:r>
        <w:t xml:space="preserve">and Kövecses, Benczes and Szelid</w:t>
      </w:r>
      <w:r>
        <w:rPr>
          <w:rStyle w:val="FootnoteReference"/>
        </w:rPr>
        <w:footnoteReference w:id="157"/>
      </w:r>
      <w:r>
        <w:t xml:space="preserve"> </w:t>
      </w:r>
      <w:r>
        <w:t xml:space="preserve">identifying ANGER IS HOT</w:t>
      </w:r>
      <w:r>
        <w:t xml:space="preserve"> </w:t>
      </w:r>
      <w:r>
        <w:rPr>
          <w:i/>
          <w:iCs/>
        </w:rPr>
        <w:t xml:space="preserve">QÌ</w:t>
      </w:r>
      <w:r>
        <w:t xml:space="preserve"> </w:t>
      </w:r>
      <w:r>
        <w:t xml:space="preserve">IN A CONTAINER as the central schema; idioms of overflow (</w:t>
      </w:r>
      <w:r>
        <w:rPr>
          <w:i/>
          <w:iCs/>
        </w:rPr>
        <w:t xml:space="preserve">qì-chōng</w:t>
      </w:r>
      <w:r>
        <w:t xml:space="preserve"> </w:t>
      </w:r>
      <w:r>
        <w:t xml:space="preserve">“</w:t>
      </w:r>
      <w:r>
        <w:rPr>
          <w:i/>
          <w:iCs/>
        </w:rPr>
        <w:t xml:space="preserve">qì</w:t>
      </w:r>
      <w:r>
        <w:t xml:space="preserve"> </w:t>
      </w:r>
      <w:r>
        <w:t xml:space="preserve">surges out”</w:t>
      </w:r>
      <w:r>
        <w:t xml:space="preserve">) elaborate exit, not vessel-rupture. (6)</w:t>
      </w:r>
      <w:r>
        <w:t xml:space="preserve"> </w:t>
      </w:r>
      <w:r>
        <w:rPr>
          <w:b/>
          <w:bCs/>
        </w:rPr>
        <w:t xml:space="preserve">Pre-Islamic</w:t>
      </w:r>
      <w:r>
        <w:rPr>
          <w:b/>
          <w:bCs/>
        </w:rPr>
        <w:t xml:space="preserve"> </w:t>
      </w:r>
      <w:r>
        <w:rPr>
          <w:b/>
          <w:bCs/>
          <w:i/>
          <w:iCs/>
        </w:rPr>
        <w:t xml:space="preserve">Jāhilī</w:t>
      </w:r>
      <w:r>
        <w:rPr>
          <w:b/>
          <w:bCs/>
        </w:rPr>
        <w:t xml:space="preserve"> </w:t>
      </w:r>
      <w:r>
        <w:rPr>
          <w:b/>
          <w:bCs/>
        </w:rPr>
        <w:t xml:space="preserve">Arabic</w:t>
      </w:r>
      <w:r>
        <w:t xml:space="preserve"> </w:t>
      </w:r>
      <w:r>
        <w:t xml:space="preserve">already deploys</w:t>
      </w:r>
      <w:r>
        <w:t xml:space="preserve"> </w:t>
      </w:r>
      <w:r>
        <w:rPr>
          <w:i/>
          <w:iCs/>
        </w:rPr>
        <w:t xml:space="preserve">ḥamiya</w:t>
      </w:r>
      <w:r>
        <w:t xml:space="preserve"> </w:t>
      </w:r>
      <w:r>
        <w:t xml:space="preserve">“to be heated”</w:t>
      </w:r>
      <w:r>
        <w:t xml:space="preserve"> </w:t>
      </w:r>
      <w:r>
        <w:t xml:space="preserve">and</w:t>
      </w:r>
      <w:r>
        <w:t xml:space="preserve"> </w:t>
      </w:r>
      <w:r>
        <w:rPr>
          <w:i/>
          <w:iCs/>
        </w:rPr>
        <w:t xml:space="preserve">ġalā</w:t>
      </w:r>
      <w:r>
        <w:t xml:space="preserve"> </w:t>
      </w:r>
      <w:r>
        <w:t xml:space="preserve">“to boil”</w:t>
      </w:r>
      <w:r>
        <w:t xml:space="preserve"> </w:t>
      </w:r>
      <w:r>
        <w:t xml:space="preserve">for hostile arousal, alongside</w:t>
      </w:r>
      <w:r>
        <w:t xml:space="preserve"> </w:t>
      </w:r>
      <w:r>
        <w:rPr>
          <w:i/>
          <w:iCs/>
        </w:rPr>
        <w:t xml:space="preserve">ġayẓ</w:t>
      </w:r>
      <w:r>
        <w:t xml:space="preserve"> </w:t>
      </w:r>
      <w:r>
        <w:t xml:space="preserve">in the cognate fluid-heat register; the lexical groundwork for Q. 67:8 is thus genuinely Arabian, not a Qur’anic neologism.</w:t>
      </w:r>
    </w:p>
    <w:p>
      <w:pPr>
        <w:pStyle w:val="BodyText"/>
      </w:pPr>
      <w:r>
        <w:rPr>
          <w:b/>
          <w:bCs/>
        </w:rPr>
        <w:t xml:space="preserve">On Kövecses, Benczes, and Szelid (2025).</w:t>
      </w:r>
      <w:r>
        <w:t xml:space="preserve"> </w:t>
      </w:r>
      <w:r>
        <w:t xml:space="preserve">The two-volume</w:t>
      </w:r>
      <w:r>
        <w:t xml:space="preserve"> </w:t>
      </w:r>
      <w:r>
        <w:rPr>
          <w:i/>
          <w:iCs/>
        </w:rPr>
        <w:t xml:space="preserve">Metaphors of ANGER across Languages: Universality and Variation</w:t>
      </w:r>
      <w:r>
        <w:rPr>
          <w:rStyle w:val="FootnoteReference"/>
        </w:rPr>
        <w:footnoteReference w:id="158"/>
      </w:r>
      <w:r>
        <w:t xml:space="preserve"> </w:t>
      </w:r>
      <w:r>
        <w:t xml:space="preserve">is the most ambitious cross-cultural survey of anger-metaphor since Lakoff and Kövecses (1987) and supplies the proper benchmark for any new claim of cross-cultural variation in container metaphors. The encyclopedia spans twenty-two languages across volumes 1 and 2, with extended treatments of Mandarin Chinese, Japanese, Korean, Hungarian, Polish, Russian, Spanish, German, Wolof, Hausa, Yoruba, and Modern Standard Arabic (the last covered in a single chapter on present-day MSA expressions), but it</w:t>
      </w:r>
      <w:r>
        <w:t xml:space="preserve"> </w:t>
      </w:r>
      <w:r>
        <w:rPr>
          <w:i/>
          <w:iCs/>
        </w:rPr>
        <w:t xml:space="preserve">does not include a dedicated treatment of Classical Arabic or of Qur’anic anger imagery</w:t>
      </w:r>
      <w:r>
        <w:t xml:space="preserve">. The Qur’anic</w:t>
      </w:r>
      <w:r>
        <w:t xml:space="preserve"> </w:t>
      </w:r>
      <w:r>
        <w:rPr>
          <w:i/>
          <w:iCs/>
        </w:rPr>
        <w:t xml:space="preserve">ghayẓ–kaẓm–tamayyuz</w:t>
      </w:r>
      <w:r>
        <w:t xml:space="preserve"> </w:t>
      </w:r>
      <w:r>
        <w:t xml:space="preserve">triad, and Q. 67:8 in particular, appear nowhere in the two volumes. The encyclopedia’s editorial framing (Kövecses’s introduction to vol. 1) explicitly invites comparative work in traditions not represented; the present analysis can be read as a direct response to that invitation, supplying the Classical-Arabic and Qur’anic data that the 2025 encyclopedia leaves un-canvassed and contributing one new datum — Q. 67:8 — to the cross-cultural inventory of step-(iv) container-failure lexicalisations.</w:t>
      </w:r>
    </w:p>
    <w:p>
      <w:pPr>
        <w:pStyle w:val="BodyText"/>
      </w:pPr>
      <w:r>
        <w:rPr>
          <w:b/>
          <w:bCs/>
        </w:rPr>
        <w:t xml:space="preserve">Net assessment.</w:t>
      </w:r>
      <w:r>
        <w:t xml:space="preserve"> </w:t>
      </w:r>
      <w:r>
        <w:t xml:space="preserve">Five of the six traditions surveyed here concentrate anger-imagery around</w:t>
      </w:r>
      <w:r>
        <w:t xml:space="preserve"> </w:t>
      </w:r>
      <w:r>
        <w:rPr>
          <w:i/>
          <w:iCs/>
        </w:rPr>
        <w:t xml:space="preserve">filling</w:t>
      </w:r>
      <w:r>
        <w:t xml:space="preserve">,</w:t>
      </w:r>
      <w:r>
        <w:t xml:space="preserve"> </w:t>
      </w:r>
      <w:r>
        <w:rPr>
          <w:i/>
          <w:iCs/>
        </w:rPr>
        <w:t xml:space="preserve">heating</w:t>
      </w:r>
      <w:r>
        <w:t xml:space="preserve">,</w:t>
      </w:r>
      <w:r>
        <w:t xml:space="preserve"> </w:t>
      </w:r>
      <w:r>
        <w:rPr>
          <w:i/>
          <w:iCs/>
        </w:rPr>
        <w:t xml:space="preserve">fluid-rising</w:t>
      </w:r>
      <w:r>
        <w:t xml:space="preserve">, and</w:t>
      </w:r>
      <w:r>
        <w:t xml:space="preserve"> </w:t>
      </w:r>
      <w:r>
        <w:rPr>
          <w:i/>
          <w:iCs/>
        </w:rPr>
        <w:t xml:space="preserve">exit / overflow</w:t>
      </w:r>
      <w:r>
        <w:t xml:space="preserve">; the</w:t>
      </w:r>
      <w:r>
        <w:t xml:space="preserve"> </w:t>
      </w:r>
      <w:r>
        <w:rPr>
          <w:b/>
          <w:bCs/>
        </w:rPr>
        <w:t xml:space="preserve">Hebrew Bible alone</w:t>
      </w:r>
      <w:r>
        <w:t xml:space="preserve"> </w:t>
      </w:r>
      <w:r>
        <w:t xml:space="preserve">offers a clear pre-Qur’anic parallel to vessel-rupture proper (Job 32:19,</w:t>
      </w:r>
      <w:r>
        <w:t xml:space="preserve"> </w:t>
      </w:r>
      <w:r>
        <w:rPr>
          <w:i/>
          <w:iCs/>
        </w:rPr>
        <w:t xml:space="preserve">bāqaʿ</w:t>
      </w:r>
      <w:r>
        <w:t xml:space="preserve">). We accordingly revise our claim from any unqualified uniqueness to</w:t>
      </w:r>
      <w:r>
        <w:t xml:space="preserve"> </w:t>
      </w:r>
      <w:r>
        <w:rPr>
          <w:b/>
          <w:bCs/>
        </w:rPr>
        <w:t xml:space="preserve">“an early and unusually transparent”</w:t>
      </w:r>
      <w:r>
        <w:t xml:space="preserve"> </w:t>
      </w:r>
      <w:r>
        <w:t xml:space="preserve">lexicalisation of container collapse, with Job 32:19 acknowledged as a structurally cognate Northwest-Semitic precedent; the Qur’anic</w:t>
      </w:r>
      <w:r>
        <w:t xml:space="preserve"> </w:t>
      </w:r>
      <w:r>
        <w:rPr>
          <w:i/>
          <w:iCs/>
        </w:rPr>
        <w:t xml:space="preserve">m-y-z</w:t>
      </w:r>
      <w:r>
        <w:t xml:space="preserve"> </w:t>
      </w:r>
      <w:r>
        <w:t xml:space="preserve">root specifies the</w:t>
      </w:r>
      <w:r>
        <w:t xml:space="preserve"> </w:t>
      </w:r>
      <w:r>
        <w:rPr>
          <w:i/>
          <w:iCs/>
        </w:rPr>
        <w:t xml:space="preserve">parting / severing</w:t>
      </w:r>
      <w:r>
        <w:t xml:space="preserve"> </w:t>
      </w:r>
      <w:r>
        <w:t xml:space="preserve">of the vessel where Hebrew</w:t>
      </w:r>
      <w:r>
        <w:t xml:space="preserve"> </w:t>
      </w:r>
      <w:r>
        <w:rPr>
          <w:i/>
          <w:iCs/>
        </w:rPr>
        <w:t xml:space="preserve">bāqaʿ</w:t>
      </w:r>
      <w:r>
        <w:t xml:space="preserve"> </w:t>
      </w:r>
      <w:r>
        <w:t xml:space="preserve">specifies its</w:t>
      </w:r>
      <w:r>
        <w:t xml:space="preserve"> </w:t>
      </w:r>
      <w:r>
        <w:rPr>
          <w:i/>
          <w:iCs/>
        </w:rPr>
        <w:t xml:space="preserve">splitting</w:t>
      </w:r>
      <w:r>
        <w:t xml:space="preserve">, both naming the failure-mode of the container rather than the trajectory of its contents. The present discussion remains a</w:t>
      </w:r>
      <w:r>
        <w:t xml:space="preserve"> </w:t>
      </w:r>
      <w:r>
        <w:rPr>
          <w:i/>
          <w:iCs/>
        </w:rPr>
        <w:t xml:space="preserve">comparative</w:t>
      </w:r>
      <w:r>
        <w:t xml:space="preserve"> </w:t>
      </w:r>
      <w:r>
        <w:t xml:space="preserve">claim, not a strong universality claim: we do not assert that step-(iv) container-failure lexicalisation is universally available, only that the Qur’anic</w:t>
      </w:r>
      <w:r>
        <w:t xml:space="preserve"> </w:t>
      </w:r>
      <w:r>
        <w:rPr>
          <w:i/>
          <w:iCs/>
        </w:rPr>
        <w:t xml:space="preserve">tamayyuz</w:t>
      </w:r>
      <w:r>
        <w:t xml:space="preserve"> </w:t>
      </w:r>
      <w:r>
        <w:t xml:space="preserve">and the Hebrew</w:t>
      </w:r>
      <w:r>
        <w:t xml:space="preserve"> </w:t>
      </w:r>
      <w:r>
        <w:rPr>
          <w:i/>
          <w:iCs/>
        </w:rPr>
        <w:t xml:space="preserve">bāqaʿ</w:t>
      </w:r>
      <w:r>
        <w:t xml:space="preserve"> </w:t>
      </w:r>
      <w:r>
        <w:t xml:space="preserve">both instantiate it transparently at the lexical level. The Qur’anic data thus</w:t>
      </w:r>
      <w:r>
        <w:t xml:space="preserve"> </w:t>
      </w:r>
      <w:r>
        <w:rPr>
          <w:i/>
          <w:iCs/>
        </w:rPr>
        <w:t xml:space="preserve">strengthen</w:t>
      </w:r>
      <w:r>
        <w:t xml:space="preserve"> </w:t>
      </w:r>
      <w:r>
        <w:t xml:space="preserve">— without by themselves</w:t>
      </w:r>
      <w:r>
        <w:t xml:space="preserve"> </w:t>
      </w:r>
      <w:r>
        <w:rPr>
          <w:i/>
          <w:iCs/>
        </w:rPr>
        <w:t xml:space="preserve">establishing</w:t>
      </w:r>
      <w:r>
        <w:t xml:space="preserve"> </w:t>
      </w:r>
      <w:r>
        <w:t xml:space="preserve">— the cross-cultural universalist hypothesis of CMT,</w:t>
      </w:r>
      <w:r>
        <w:rPr>
          <w:rStyle w:val="FootnoteReference"/>
        </w:rPr>
        <w:footnoteReference w:id="159"/>
      </w:r>
      <w:r>
        <w:t xml:space="preserve"> </w:t>
      </w:r>
      <w:r>
        <w:t xml:space="preserve">and they extend the empirical base to seventh-century Arabic in a register that the 2025</w:t>
      </w:r>
      <w:r>
        <w:t xml:space="preserve"> </w:t>
      </w:r>
      <w:r>
        <w:rPr>
          <w:i/>
          <w:iCs/>
        </w:rPr>
        <w:t xml:space="preserve">Metaphors of ANGER</w:t>
      </w:r>
      <w:r>
        <w:t xml:space="preserve"> </w:t>
      </w:r>
      <w:r>
        <w:t xml:space="preserve">encyclopedia, conspicuously omitting Classical Arabic, leaves un-canvassed.</w:t>
      </w:r>
    </w:p>
    <w:p>
      <w:pPr>
        <w:pStyle w:val="CaptionedFigure"/>
      </w:pPr>
      <w:r>
        <w:drawing>
          <wp:inline>
            <wp:extent cx="5334000" cy="2445230"/>
            <wp:effectExtent b="0" l="0" r="0" t="0"/>
            <wp:docPr descr="The ANGER-IS-A-PRESSURIZED-CONTAINER schema (after Lakoff and Kövecses, ‘Cognitive Model of Anger’), instantiated by ghaḍab → ghayẓ + kaẓm → tamayyuz. Panel 1 (S4): ghaḍab — open container, affect dissipating into language. Panel 2 (S5, Q. 3:134): ghayẓ — fluid sealed by kaẓm (etymologically the tying-off of a waterskin). Panel 3 (S5 manifestation, Q. 67:8): tamayyuz — structural failure; m-y-z “to part, sever” figures the splitting of the container itself, not (as English explode) the exit of contents. The Qur’anic instantiation is, on the conservative claim of §5.5, unusually transparent relative to the English exemplars in Lakoff and Kövecses’s corpus." title="" id="161" name="Picture"/>
            <a:graphic>
              <a:graphicData uri="http://schemas.openxmlformats.org/drawingml/2006/picture">
                <pic:pic>
                  <pic:nvPicPr>
                    <pic:cNvPr descr="fig6_metaphor_v2.jpg" id="162" name="Picture"/>
                    <pic:cNvPicPr>
                      <a:picLocks noChangeArrowheads="1" noChangeAspect="1"/>
                    </pic:cNvPicPr>
                  </pic:nvPicPr>
                  <pic:blipFill>
                    <a:blip r:embed="rId160"/>
                    <a:stretch>
                      <a:fillRect/>
                    </a:stretch>
                  </pic:blipFill>
                  <pic:spPr bwMode="auto">
                    <a:xfrm>
                      <a:off x="0" y="0"/>
                      <a:ext cx="5334000" cy="2445230"/>
                    </a:xfrm>
                    <a:prstGeom prst="rect">
                      <a:avLst/>
                    </a:prstGeom>
                    <a:noFill/>
                    <a:ln w="9525">
                      <a:noFill/>
                      <a:headEnd/>
                      <a:tailEnd/>
                    </a:ln>
                  </pic:spPr>
                </pic:pic>
              </a:graphicData>
            </a:graphic>
          </wp:inline>
        </w:drawing>
      </w:r>
    </w:p>
    <w:p>
      <w:pPr>
        <w:pStyle w:val="ImageCaption"/>
      </w:pPr>
      <w:r>
        <w:t xml:space="preserve">The ANGER-IS-A-PRESSURIZED-CONTAINER schema (after Lakoff and Kövecses,</w:t>
      </w:r>
      <w:r>
        <w:t xml:space="preserve"> </w:t>
      </w:r>
      <w:r>
        <w:t xml:space="preserve">‘Cognitive Model of Anger’</w:t>
      </w:r>
      <w:r>
        <w:t xml:space="preserve">), instantiated by</w:t>
      </w:r>
      <w:r>
        <w:t xml:space="preserve"> </w:t>
      </w:r>
      <w:r>
        <w:rPr>
          <w:i/>
          <w:iCs/>
        </w:rPr>
        <w:t xml:space="preserve">ghaḍab → ghayẓ + kaẓm → tamayyuz</w:t>
      </w:r>
      <w:r>
        <w:t xml:space="preserve">.</w:t>
      </w:r>
      <w:r>
        <w:t xml:space="preserve"> </w:t>
      </w:r>
      <w:r>
        <w:rPr>
          <w:b/>
          <w:bCs/>
        </w:rPr>
        <w:t xml:space="preserve">Panel 1</w:t>
      </w:r>
      <w:r>
        <w:t xml:space="preserve"> </w:t>
      </w:r>
      <w:r>
        <w:t xml:space="preserve">(S4):</w:t>
      </w:r>
      <w:r>
        <w:t xml:space="preserve"> </w:t>
      </w:r>
      <w:r>
        <w:rPr>
          <w:i/>
          <w:iCs/>
        </w:rPr>
        <w:t xml:space="preserve">ghaḍab</w:t>
      </w:r>
      <w:r>
        <w:t xml:space="preserve"> </w:t>
      </w:r>
      <w:r>
        <w:t xml:space="preserve">— open container, affect dissipating into language.</w:t>
      </w:r>
      <w:r>
        <w:t xml:space="preserve"> </w:t>
      </w:r>
      <w:r>
        <w:rPr>
          <w:b/>
          <w:bCs/>
        </w:rPr>
        <w:t xml:space="preserve">Panel 2</w:t>
      </w:r>
      <w:r>
        <w:t xml:space="preserve"> </w:t>
      </w:r>
      <w:r>
        <w:t xml:space="preserve">(S5, Q. 3:134):</w:t>
      </w:r>
      <w:r>
        <w:t xml:space="preserve"> </w:t>
      </w:r>
      <w:r>
        <w:rPr>
          <w:i/>
          <w:iCs/>
        </w:rPr>
        <w:t xml:space="preserve">ghayẓ</w:t>
      </w:r>
      <w:r>
        <w:t xml:space="preserve"> </w:t>
      </w:r>
      <w:r>
        <w:t xml:space="preserve">— fluid sealed by</w:t>
      </w:r>
      <w:r>
        <w:t xml:space="preserve"> </w:t>
      </w:r>
      <w:r>
        <w:rPr>
          <w:i/>
          <w:iCs/>
        </w:rPr>
        <w:t xml:space="preserve">kaẓm</w:t>
      </w:r>
      <w:r>
        <w:t xml:space="preserve"> </w:t>
      </w:r>
      <w:r>
        <w:t xml:space="preserve">(etymologically the tying-off of a waterskin).</w:t>
      </w:r>
      <w:r>
        <w:t xml:space="preserve"> </w:t>
      </w:r>
      <w:r>
        <w:rPr>
          <w:b/>
          <w:bCs/>
        </w:rPr>
        <w:t xml:space="preserve">Panel 3</w:t>
      </w:r>
      <w:r>
        <w:t xml:space="preserve"> </w:t>
      </w:r>
      <w:r>
        <w:t xml:space="preserve">(S5 manifestation, Q. 67:8):</w:t>
      </w:r>
      <w:r>
        <w:t xml:space="preserve"> </w:t>
      </w:r>
      <w:r>
        <w:rPr>
          <w:i/>
          <w:iCs/>
        </w:rPr>
        <w:t xml:space="preserve">tamayyuz</w:t>
      </w:r>
      <w:r>
        <w:t xml:space="preserve"> </w:t>
      </w:r>
      <w:r>
        <w:t xml:space="preserve">— structural failure;</w:t>
      </w:r>
      <w:r>
        <w:t xml:space="preserve"> </w:t>
      </w:r>
      <w:r>
        <w:rPr>
          <w:i/>
          <w:iCs/>
        </w:rPr>
        <w:t xml:space="preserve">m-y-z</w:t>
      </w:r>
      <w:r>
        <w:t xml:space="preserve"> </w:t>
      </w:r>
      <w:r>
        <w:t xml:space="preserve">“to part, sever”</w:t>
      </w:r>
      <w:r>
        <w:t xml:space="preserve"> </w:t>
      </w:r>
      <w:r>
        <w:t xml:space="preserve">figures the splitting of the container itself, not (as English</w:t>
      </w:r>
      <w:r>
        <w:t xml:space="preserve"> </w:t>
      </w:r>
      <w:r>
        <w:rPr>
          <w:i/>
          <w:iCs/>
        </w:rPr>
        <w:t xml:space="preserve">explode</w:t>
      </w:r>
      <w:r>
        <w:t xml:space="preserve">) the exit of contents. The Qur’anic instantiation is, on the conservative claim of §5.5,</w:t>
      </w:r>
      <w:r>
        <w:t xml:space="preserve"> </w:t>
      </w:r>
      <w:r>
        <w:rPr>
          <w:i/>
          <w:iCs/>
        </w:rPr>
        <w:t xml:space="preserve">unusually transparent</w:t>
      </w:r>
      <w:r>
        <w:t xml:space="preserve"> </w:t>
      </w:r>
      <w:r>
        <w:t xml:space="preserve">relative to the English exemplars in Lakoff and Kövecses’s corpus.</w:t>
      </w:r>
    </w:p>
    <w:bookmarkEnd w:id="163"/>
    <w:bookmarkStart w:id="166" w:name="X580d141d0366f3f1fcc1a0412dd33071ff8e809"/>
    <w:p>
      <w:pPr>
        <w:pStyle w:val="Heading3"/>
      </w:pPr>
      <w:r>
        <w:t xml:space="preserve">5.6. Implications for Qur’anic translation (conditional on follow-up evaluation)</w:t>
      </w:r>
    </w:p>
    <w:p>
      <w:pPr>
        <w:pStyle w:val="FirstParagraph"/>
      </w:pPr>
      <w:r>
        <w:t xml:space="preserve">Translation criticism of the Qur’an has long observed that translations tend to level the spectrum—that</w:t>
      </w:r>
      <w:r>
        <w:t xml:space="preserve"> </w:t>
      </w:r>
      <w:r>
        <w:rPr>
          <w:i/>
          <w:iCs/>
        </w:rPr>
        <w:t xml:space="preserve">ġaḍab</w:t>
      </w:r>
      <w:r>
        <w:t xml:space="preserve"> </w:t>
      </w:r>
      <w:r>
        <w:t xml:space="preserve">and</w:t>
      </w:r>
      <w:r>
        <w:t xml:space="preserve"> </w:t>
      </w:r>
      <w:r>
        <w:rPr>
          <w:i/>
          <w:iCs/>
        </w:rPr>
        <w:t xml:space="preserve">ġayẓ</w:t>
      </w:r>
      <w:r>
        <w:t xml:space="preserve"> </w:t>
      </w:r>
      <w:r>
        <w:t xml:space="preserve">alike become</w:t>
      </w:r>
      <w:r>
        <w:t xml:space="preserve"> </w:t>
      </w:r>
      <w:r>
        <w:rPr>
          <w:i/>
          <w:iCs/>
        </w:rPr>
        <w:t xml:space="preserve">anger</w:t>
      </w:r>
      <w:r>
        <w:t xml:space="preserve">; that</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alike become</w:t>
      </w:r>
      <w:r>
        <w:t xml:space="preserve"> </w:t>
      </w:r>
      <w:r>
        <w:rPr>
          <w:i/>
          <w:iCs/>
        </w:rPr>
        <w:t xml:space="preserve">transgression</w:t>
      </w:r>
      <w:r>
        <w:t xml:space="preserve"> </w:t>
      </w:r>
      <w:r>
        <w:t xml:space="preserve">(Table 6). Our four-verse, five-translation illustrative sample (§4.10) is consistent with this pattern but is too small (</w:t>
      </w:r>
      <w:r>
        <w:rPr>
          <w:i/>
          <w:iCs/>
        </w:rPr>
        <w:t xml:space="preserve">n</w:t>
      </w:r>
      <w:r>
        <w:t xml:space="preserve"> </w:t>
      </w:r>
      <w:r>
        <w:t xml:space="preserve">= 4 verses × 5 translations = 20 cells) to support strong prescriptive claims; recent computational work — notably Gaanoun and Alsuhaibani</w:t>
      </w:r>
      <w:r>
        <w:rPr>
          <w:rStyle w:val="FootnoteReference"/>
        </w:rPr>
        <w:footnoteReference w:id="164"/>
      </w:r>
      <w:r>
        <w:t xml:space="preserve"> </w:t>
      </w:r>
      <w:r>
        <w:t xml:space="preserve">on sentiment preservation across seven English translations and the ELQV emotion-labelled dataset of 2,100 Qur’anic verses</w:t>
      </w:r>
      <w:r>
        <w:rPr>
          <w:rStyle w:val="FootnoteReference"/>
        </w:rPr>
        <w:footnoteReference w:id="165"/>
      </w:r>
      <w:r>
        <w:t xml:space="preserve"> </w:t>
      </w:r>
      <w:r>
        <w:t xml:space="preserve">— has begun to operationalise the levelling concern at scale on coarse Ekman categories, though without a graded reference model of the lexical spectrum against which the levelling could be benchmarked. We frame the present discussion as</w:t>
      </w:r>
      <w:r>
        <w:t xml:space="preserve"> </w:t>
      </w:r>
      <w:r>
        <w:rPr>
          <w:b/>
          <w:bCs/>
        </w:rPr>
        <w:t xml:space="preserve">conditional implications</w:t>
      </w:r>
      <w:r>
        <w:t xml:space="preserve">: contingent on a follow-up systematic evaluation (a stratified random sample of ~30 verses across the six stages, with multi-rater coding against the spectrum reference model), the analysis would</w:t>
      </w:r>
      <w:r>
        <w:t xml:space="preserve"> </w:t>
      </w:r>
      <w:r>
        <w:rPr>
          <w:i/>
          <w:iCs/>
        </w:rPr>
        <w:t xml:space="preserve">if confirmed</w:t>
      </w:r>
      <w:r>
        <w:t xml:space="preserve"> </w:t>
      </w:r>
      <w:r>
        <w:t xml:space="preserve">support the following candidate equivalents for critical and study-edition translations:</w:t>
      </w:r>
    </w:p>
    <w:p>
      <w:pPr>
        <w:pStyle w:val="BlockText"/>
      </w:pPr>
      <w:r>
        <w:rPr>
          <w:i/>
          <w:iCs/>
        </w:rPr>
        <w:t xml:space="preserve">uff</w:t>
      </w:r>
      <w:r>
        <w:t xml:space="preserve">: vocal sigh of irritation ·</w:t>
      </w:r>
      <w:r>
        <w:t xml:space="preserve"> </w:t>
      </w:r>
      <w:r>
        <w:rPr>
          <w:i/>
          <w:iCs/>
        </w:rPr>
        <w:t xml:space="preserve">karh</w:t>
      </w:r>
      <w:r>
        <w:t xml:space="preserve"> </w:t>
      </w:r>
      <w:r>
        <w:t xml:space="preserve">(</w:t>
      </w:r>
      <w:r>
        <w:rPr>
          <w:i/>
          <w:iCs/>
        </w:rPr>
        <w:t xml:space="preserve">karāha</w:t>
      </w:r>
      <w:r>
        <w:t xml:space="preserve">): inner dislike ·</w:t>
      </w:r>
      <w:r>
        <w:t xml:space="preserve"> </w:t>
      </w:r>
      <w:r>
        <w:rPr>
          <w:i/>
          <w:iCs/>
        </w:rPr>
        <w:t xml:space="preserve">karh</w:t>
      </w:r>
      <w:r>
        <w:t xml:space="preserve"> </w:t>
      </w:r>
      <w:r>
        <w:t xml:space="preserve">(</w:t>
      </w:r>
      <w:r>
        <w:rPr>
          <w:i/>
          <w:iCs/>
        </w:rPr>
        <w:t xml:space="preserve">ikrāh</w:t>
      </w:r>
      <w:r>
        <w:t xml:space="preserve">): coercion (a structural extension, not an emotion) ·</w:t>
      </w:r>
      <w:r>
        <w:t xml:space="preserve"> </w:t>
      </w:r>
      <w:r>
        <w:rPr>
          <w:i/>
          <w:iCs/>
        </w:rPr>
        <w:t xml:space="preserve">ḍīq</w:t>
      </w:r>
      <w:r>
        <w:t xml:space="preserve">: inner constriction ·</w:t>
      </w:r>
      <w:r>
        <w:t xml:space="preserve"> </w:t>
      </w:r>
      <w:r>
        <w:rPr>
          <w:i/>
          <w:iCs/>
        </w:rPr>
        <w:t xml:space="preserve">ḍāqa dharʿan</w:t>
      </w:r>
      <w:r>
        <w:t xml:space="preserve">: arm-span tightening / inhibited aggression ·</w:t>
      </w:r>
      <w:r>
        <w:t xml:space="preserve"> </w:t>
      </w:r>
      <w:r>
        <w:rPr>
          <w:i/>
          <w:iCs/>
        </w:rPr>
        <w:t xml:space="preserve">ḥuzn</w:t>
      </w:r>
      <w:r>
        <w:t xml:space="preserve">: persistent grief (transversal valence) ·</w:t>
      </w:r>
      <w:r>
        <w:t xml:space="preserve"> </w:t>
      </w:r>
      <w:r>
        <w:rPr>
          <w:i/>
          <w:iCs/>
        </w:rPr>
        <w:t xml:space="preserve">asaf</w:t>
      </w:r>
      <w:r>
        <w:t xml:space="preserve">: regretful dismay (with anger) ·</w:t>
      </w:r>
      <w:r>
        <w:t xml:space="preserve"> </w:t>
      </w:r>
      <w:r>
        <w:rPr>
          <w:i/>
          <w:iCs/>
        </w:rPr>
        <w:t xml:space="preserve">naqm</w:t>
      </w:r>
      <w:r>
        <w:t xml:space="preserve">: vengeful disapproval ·</w:t>
      </w:r>
      <w:r>
        <w:t xml:space="preserve"> </w:t>
      </w:r>
      <w:r>
        <w:rPr>
          <w:i/>
          <w:iCs/>
        </w:rPr>
        <w:t xml:space="preserve">sakhaṭ</w:t>
      </w:r>
      <w:r>
        <w:t xml:space="preserve">: moral disapprobation ·</w:t>
      </w:r>
      <w:r>
        <w:t xml:space="preserve"> </w:t>
      </w:r>
      <w:r>
        <w:rPr>
          <w:i/>
          <w:iCs/>
        </w:rPr>
        <w:t xml:space="preserve">maqt</w:t>
      </w:r>
      <w:r>
        <w:t xml:space="preserve">: intense moral aversion ·</w:t>
      </w:r>
      <w:r>
        <w:t xml:space="preserve"> </w:t>
      </w:r>
      <w:r>
        <w:rPr>
          <w:i/>
          <w:iCs/>
        </w:rPr>
        <w:t xml:space="preserve">ghaḍab</w:t>
      </w:r>
      <w:r>
        <w:t xml:space="preserve">: anger ·</w:t>
      </w:r>
      <w:r>
        <w:t xml:space="preserve"> </w:t>
      </w:r>
      <w:r>
        <w:rPr>
          <w:i/>
          <w:iCs/>
        </w:rPr>
        <w:t xml:space="preserve">ḥard</w:t>
      </w:r>
      <w:r>
        <w:t xml:space="preserve">: anger combined with deliberate denial ·</w:t>
      </w:r>
      <w:r>
        <w:t xml:space="preserve"> </w:t>
      </w:r>
      <w:r>
        <w:rPr>
          <w:i/>
          <w:iCs/>
        </w:rPr>
        <w:t xml:space="preserve">ghayẓ</w:t>
      </w:r>
      <w:r>
        <w:t xml:space="preserve">: contained / boiling rage ·</w:t>
      </w:r>
      <w:r>
        <w:t xml:space="preserve"> </w:t>
      </w:r>
      <w:r>
        <w:rPr>
          <w:i/>
          <w:iCs/>
        </w:rPr>
        <w:t xml:space="preserve">tamayyuz min al-ġayẓ</w:t>
      </w:r>
      <w:r>
        <w:t xml:space="preserve">: bursting from rage ·</w:t>
      </w:r>
      <w:r>
        <w:t xml:space="preserve"> </w:t>
      </w:r>
      <w:r>
        <w:rPr>
          <w:i/>
          <w:iCs/>
        </w:rPr>
        <w:t xml:space="preserve">baghy</w:t>
      </w:r>
      <w:r>
        <w:t xml:space="preserve">: aggressive transgression ·</w:t>
      </w:r>
      <w:r>
        <w:t xml:space="preserve"> </w:t>
      </w:r>
      <w:r>
        <w:rPr>
          <w:i/>
          <w:iCs/>
        </w:rPr>
        <w:t xml:space="preserve">ṭughyān</w:t>
      </w:r>
      <w:r>
        <w:t xml:space="preserve">: rebellious overflow ·</w:t>
      </w:r>
      <w:r>
        <w:t xml:space="preserve"> </w:t>
      </w:r>
      <w:r>
        <w:rPr>
          <w:i/>
          <w:iCs/>
        </w:rPr>
        <w:t xml:space="preserve">ʿutuww</w:t>
      </w:r>
      <w:r>
        <w:t xml:space="preserve">: obstinate defiance.</w:t>
      </w:r>
    </w:p>
    <w:p>
      <w:pPr>
        <w:pStyle w:val="FirstParagraph"/>
      </w:pPr>
      <w:r>
        <w:t xml:space="preserve">A second conditional implication, which we register as a hypothesis rather than a recommendation, is that pedagogical translations may benefit from marking each lexeme’s position on the continuum (by inline gloss, footnote, or chromatic coding) — but the empirical case for this rests on the comparative comprehension study we commend to future work. The 30-verse stratified evaluation, paired with an inter-rater coded comparison across the present spectrum reference model and the ELQV labels, is a natural Phase II for the present dataset.</w:t>
      </w:r>
    </w:p>
    <w:bookmarkEnd w:id="166"/>
    <w:bookmarkStart w:id="167" w:name="implications-for-islamic-psychology"/>
    <w:p>
      <w:pPr>
        <w:pStyle w:val="Heading3"/>
      </w:pPr>
      <w:r>
        <w:t xml:space="preserve">5.7. Implications for Islamic psychology</w:t>
      </w:r>
    </w:p>
    <w:p>
      <w:pPr>
        <w:pStyle w:val="FirstParagraph"/>
      </w:pPr>
      <w:r>
        <w:t xml:space="preserve">The continuum offers a culturally-grounded framework mapping onto Gross’s model without importation of secular vocabulary, with three conceptual implications:</w:t>
      </w:r>
      <w:r>
        <w:t xml:space="preserve"> </w:t>
      </w:r>
      <w:r>
        <w:rPr>
          <w:b/>
          <w:bCs/>
        </w:rPr>
        <w:t xml:space="preserve">(i) Prevention</w:t>
      </w:r>
      <w:r>
        <w:t xml:space="preserve"> </w:t>
      </w:r>
      <w:r>
        <w:t xml:space="preserve">— early-stage recognition through indigenous Stages 1–2 lexicon (</w:t>
      </w:r>
      <w:r>
        <w:rPr>
          <w:i/>
          <w:iCs/>
        </w:rPr>
        <w:t xml:space="preserve">uff</w:t>
      </w:r>
      <w:r>
        <w:t xml:space="preserve">,</w:t>
      </w:r>
      <w:r>
        <w:t xml:space="preserve"> </w:t>
      </w:r>
      <w:r>
        <w:rPr>
          <w:i/>
          <w:iCs/>
        </w:rPr>
        <w:t xml:space="preserve">karāha</w:t>
      </w:r>
      <w:r>
        <w:t xml:space="preserve">,</w:t>
      </w:r>
      <w:r>
        <w:t xml:space="preserve"> </w:t>
      </w:r>
      <w:r>
        <w:rPr>
          <w:i/>
          <w:iCs/>
        </w:rPr>
        <w:t xml:space="preserve">ḍīq</w:t>
      </w:r>
      <w:r>
        <w:t xml:space="preserve">,</w:t>
      </w:r>
      <w:r>
        <w:t xml:space="preserve"> </w:t>
      </w:r>
      <w:r>
        <w:rPr>
          <w:i/>
          <w:iCs/>
        </w:rPr>
        <w:t xml:space="preserve">ḥuzn</w:t>
      </w:r>
      <w:r>
        <w:t xml:space="preserve">) supports CBT-style interception of affective dysregulation;</w:t>
      </w:r>
      <w:r>
        <w:t xml:space="preserve"> </w:t>
      </w:r>
      <w:r>
        <w:rPr>
          <w:b/>
          <w:bCs/>
        </w:rPr>
        <w:t xml:space="preserve">(ii) Crisis intervention</w:t>
      </w:r>
      <w:r>
        <w:t xml:space="preserve"> </w:t>
      </w:r>
      <w:r>
        <w:t xml:space="preserve">— the</w:t>
      </w:r>
      <w:r>
        <w:t xml:space="preserve"> </w:t>
      </w:r>
      <w:r>
        <w:rPr>
          <w:i/>
          <w:iCs/>
        </w:rPr>
        <w:t xml:space="preserve">kaẓm</w:t>
      </w:r>
      <w:r>
        <w:t xml:space="preserve"> </w:t>
      </w:r>
      <w:r>
        <w:t xml:space="preserve">construct integrates with contemporary suppression-and-reappraisal techniques;</w:t>
      </w:r>
      <w:r>
        <w:t xml:space="preserve"> </w:t>
      </w:r>
      <w:r>
        <w:rPr>
          <w:b/>
          <w:bCs/>
        </w:rPr>
        <w:t xml:space="preserve">(iii) Rehabilitation</w:t>
      </w:r>
      <w:r>
        <w:t xml:space="preserve"> </w:t>
      </w:r>
      <w:r>
        <w:t xml:space="preserve">— the post-failure Stage 6 is framed as recoverable through</w:t>
      </w:r>
      <w:r>
        <w:t xml:space="preserve"> </w:t>
      </w:r>
      <w:r>
        <w:rPr>
          <w:i/>
          <w:iCs/>
        </w:rPr>
        <w:t xml:space="preserve">tawba</w:t>
      </w:r>
      <w:r>
        <w:t xml:space="preserve">, providing motivational reinforcement for anger-disorder and post-violent-trauma rehabilitation. These implications are conceptual; their translation into validated clinical interventions awaits empirical studies we recommend as a priority for future work.</w:t>
      </w:r>
    </w:p>
    <w:p>
      <w:r>
        <w:pict>
          <v:rect style="width:0;height:1.5pt" o:hralign="center" o:hrstd="t" o:hr="t"/>
        </w:pict>
      </w:r>
    </w:p>
    <w:bookmarkEnd w:id="167"/>
    <w:bookmarkEnd w:id="168"/>
    <w:bookmarkStart w:id="177" w:name="conclusion"/>
    <w:p>
      <w:pPr>
        <w:pStyle w:val="Heading2"/>
      </w:pPr>
      <w:r>
        <w:t xml:space="preserve">6. Conclusion</w:t>
      </w:r>
    </w:p>
    <w:bookmarkStart w:id="171" w:name="substantive-contributions"/>
    <w:p>
      <w:pPr>
        <w:pStyle w:val="Heading3"/>
      </w:pPr>
      <w:r>
        <w:t xml:space="preserve">6.1. Substantive contributions</w:t>
      </w:r>
    </w:p>
    <w:p>
      <w:pPr>
        <w:pStyle w:val="FirstParagraph"/>
      </w:pPr>
      <w:r>
        <w:t xml:space="preserve">This paper has advanced three contributions to the scholarship.</w:t>
      </w:r>
    </w:p>
    <w:p>
      <w:pPr>
        <w:pStyle w:val="BodyText"/>
      </w:pPr>
      <w:r>
        <w:rPr>
          <w:b/>
          <w:bCs/>
        </w:rPr>
        <w:t xml:space="preserve">Methodologically</w:t>
      </w:r>
      <w:r>
        <w:t xml:space="preserve">, we have demonstrated that the integration of three previously separate frameworks—Izutsu’s semantic-field analysis, Kennedy–Sassoon scalar semantics, and Lakoff–Kövecses conceptual-metaphor theory—coupled with a reproducible computational pipeline over the Quranic Arabic Corpus, produces a research apparatus stronger than the sum of its parts. To our knowledge, this trifold integration with corpus-empirical validation has not previously been deployed in Qur’anic studies as a unified analytic framework, although Qāʾimīniyā</w:t>
      </w:r>
      <w:r>
        <w:rPr>
          <w:rStyle w:val="FootnoteReference"/>
        </w:rPr>
        <w:footnoteReference w:id="169"/>
      </w:r>
      <w:r>
        <w:t xml:space="preserve"> </w:t>
      </w:r>
      <w:r>
        <w:t xml:space="preserve">and Pakatchi</w:t>
      </w:r>
      <w:r>
        <w:rPr>
          <w:rStyle w:val="FootnoteReference"/>
        </w:rPr>
        <w:footnoteReference w:id="170"/>
      </w:r>
      <w:r>
        <w:t xml:space="preserve"> </w:t>
      </w:r>
      <w:r>
        <w:t xml:space="preserve">have integrated Izutsu and conceptual-metaphor theory, and Persian-language scalar-semantic work on Qur’anic vocabulary may exist in venues we have not been able to canvass. The research apparatus is openly available and applicable to other Qur’anic semantic fields.</w:t>
      </w:r>
    </w:p>
    <w:p>
      <w:pPr>
        <w:pStyle w:val="BodyText"/>
      </w:pPr>
      <w:r>
        <w:rPr>
          <w:b/>
          <w:bCs/>
        </w:rPr>
        <w:t xml:space="preserve">Descriptively</w:t>
      </w:r>
      <w:r>
        <w:t xml:space="preserve">, we have produced an exhaustive, reproducible concordance of 312 attestations across the fourteen core spectrum roots, with corresponding distributional and network-analytic outputs. The CSV outputs — including FDR-adjusted binomial tests, marginal-preserving permutation null</w:t>
      </w:r>
      <w:r>
        <w:t xml:space="preserve"> </w:t>
      </w:r>
      <w:r>
        <w:rPr>
          <w:i/>
          <w:iCs/>
        </w:rPr>
        <w:t xml:space="preserve">p</w:t>
      </w:r>
      <w:r>
        <w:t xml:space="preserve">-values, and bootstrap 95% CIs on every centrality estimate — provide a foundation on which further philological and computational work can build.</w:t>
      </w:r>
    </w:p>
    <w:p>
      <w:pPr>
        <w:pStyle w:val="BodyText"/>
      </w:pPr>
      <w:r>
        <w:rPr>
          <w:b/>
          <w:bCs/>
        </w:rPr>
        <w:t xml:space="preserve">Theoretically</w:t>
      </w:r>
      <w:r>
        <w:t xml:space="preserve">, we have formulated and empirically defended the</w:t>
      </w:r>
      <w:r>
        <w:t xml:space="preserve"> </w:t>
      </w:r>
      <w:r>
        <w:rPr>
          <w:b/>
          <w:bCs/>
        </w:rPr>
        <w:t xml:space="preserve">Qur’anic Action-Intensity Continuum Hypothesis</w:t>
      </w:r>
      <w:r>
        <w:t xml:space="preserve">: the claim that fourteen core lexemes of the Qur’anic anger-spectrum field operate as a single graded continuum structured by</w:t>
      </w:r>
      <w:r>
        <w:t xml:space="preserve"> </w:t>
      </w:r>
      <w:r>
        <w:rPr>
          <w:i/>
          <w:iCs/>
        </w:rPr>
        <w:t xml:space="preserve">intensity of action</w:t>
      </w:r>
      <w:r>
        <w:t xml:space="preserve"> </w:t>
      </w:r>
      <w:r>
        <w:t xml:space="preserve">and partitioned into six phenomenologically meaningful stages. The hypothesis is supported by qualitative evidence from the four authoritative lexica and from a now-broadened tafsir consultation (§3.5), and by quantitative evidence from frequency, distribution, morphology, and network structure. We have, in addition, identified distributional patterns that, to our knowledge, have not been previously reported as a coordinated set, while reporting their post-FDR evidential strength transparently: the exclusively-Medinan</w:t>
      </w:r>
      <w:r>
        <w:t xml:space="preserve"> </w:t>
      </w:r>
      <w:r>
        <w:rPr>
          <w:i/>
          <w:iCs/>
        </w:rPr>
        <w:t xml:space="preserve">sakhaṭ</w:t>
      </w:r>
      <w:r>
        <w:t xml:space="preserve"> </w:t>
      </w:r>
      <w:r>
        <w:t xml:space="preserve">survives Holm-Bonferroni correction at α = 0.05</w:t>
      </w:r>
      <w:r>
        <w:t xml:space="preserve"> </w:t>
      </w:r>
      <w:r>
        <w:rPr>
          <w:i/>
          <w:iCs/>
        </w:rPr>
        <w:t xml:space="preserve">borderline</w:t>
      </w:r>
      <w:r>
        <w:t xml:space="preserve"> </w:t>
      </w:r>
      <w:r>
        <w:t xml:space="preserve">(raw</w:t>
      </w:r>
      <w:r>
        <w:t xml:space="preserve"> </w:t>
      </w:r>
      <w:r>
        <w:rPr>
          <w:i/>
          <w:iCs/>
        </w:rPr>
        <w:t xml:space="preserve">p</w:t>
      </w:r>
      <w:r>
        <w:t xml:space="preserve"> </w:t>
      </w:r>
      <w:r>
        <w:t xml:space="preserve">= 0.005, adjusted</w:t>
      </w:r>
      <w:r>
        <w:t xml:space="preserve"> </w:t>
      </w:r>
      <w:r>
        <w:rPr>
          <w:i/>
          <w:iCs/>
        </w:rPr>
        <w:t xml:space="preserve">p</w:t>
      </w:r>
      <w:r>
        <w:t xml:space="preserve"> </w:t>
      </w:r>
      <w:r>
        <w:t xml:space="preserve">= 0.05) and is robust across baselines 0.70–0.78; the exclusively-Meccan</w:t>
      </w:r>
      <w:r>
        <w:t xml:space="preserve"> </w:t>
      </w:r>
      <w:r>
        <w:rPr>
          <w:i/>
          <w:iCs/>
        </w:rPr>
        <w:t xml:space="preserve">asaf</w:t>
      </w:r>
      <w:r>
        <w:t xml:space="preserve">, the Meccan-tilted</w:t>
      </w:r>
      <w:r>
        <w:t xml:space="preserve"> </w:t>
      </w:r>
      <w:r>
        <w:rPr>
          <w:i/>
          <w:iCs/>
        </w:rPr>
        <w:t xml:space="preserve">naqm</w:t>
      </w:r>
      <w:r>
        <w:t xml:space="preserve">, the hapax-Meccan</w:t>
      </w:r>
      <w:r>
        <w:t xml:space="preserve"> </w:t>
      </w:r>
      <w:r>
        <w:rPr>
          <w:i/>
          <w:iCs/>
        </w:rPr>
        <w:t xml:space="preserve">ḥard</w:t>
      </w:r>
      <w:r>
        <w:t xml:space="preserve">, and the Medinan-tilted</w:t>
      </w:r>
      <w:r>
        <w:t xml:space="preserve"> </w:t>
      </w:r>
      <w:r>
        <w:rPr>
          <w:i/>
          <w:iCs/>
        </w:rPr>
        <w:t xml:space="preserve">karh</w:t>
      </w:r>
      <w:r>
        <w:t xml:space="preserve"> </w:t>
      </w:r>
      <w:r>
        <w:t xml:space="preserve">are reported as</w:t>
      </w:r>
      <w:r>
        <w:t xml:space="preserve"> </w:t>
      </w:r>
      <w:r>
        <w:rPr>
          <w:i/>
          <w:iCs/>
        </w:rPr>
        <w:t xml:space="preserve">contextual observations</w:t>
      </w:r>
      <w:r>
        <w:t xml:space="preserve"> </w:t>
      </w:r>
      <w:r>
        <w:t xml:space="preserve">warranting follow-up rather than as confirmed findings. The general phenomenon of</w:t>
      </w:r>
      <w:r>
        <w:t xml:space="preserve"> </w:t>
      </w:r>
      <w:r>
        <w:rPr>
          <w:b/>
          <w:bCs/>
        </w:rPr>
        <w:t xml:space="preserve">discursive-contextual lexical specialisation</w:t>
      </w:r>
      <w:r>
        <w:t xml:space="preserve"> </w:t>
      </w:r>
      <w:r>
        <w:t xml:space="preserve">of which we hypothesise these are instances is proposed as a research target rather than as a settled result. We have entered explicit caveats on the bidirectional causation of the Stage-6 lexemes (§4.8.5), grounded in a κ = 0.79-validated tafsir-coding audit, and argued that Q. 67:8 furnishes an</w:t>
      </w:r>
      <w:r>
        <w:t xml:space="preserve"> </w:t>
      </w:r>
      <w:r>
        <w:rPr>
          <w:i/>
          <w:iCs/>
        </w:rPr>
        <w:t xml:space="preserve">early and unusually transparent</w:t>
      </w:r>
      <w:r>
        <w:t xml:space="preserve"> </w:t>
      </w:r>
      <w:r>
        <w:t xml:space="preserve">linguistic exemplar of</w:t>
      </w:r>
      <w:r>
        <w:t xml:space="preserve"> </w:t>
      </w:r>
      <w:r>
        <w:t xml:space="preserve">“container collapse”</w:t>
      </w:r>
      <w:r>
        <w:t xml:space="preserve">—a claim whose form has been calibrated by the focused six-tradition philological survey of §5.5, which identifies Job 32:19 (</w:t>
      </w:r>
      <w:r>
        <w:rPr>
          <w:i/>
          <w:iCs/>
        </w:rPr>
        <w:t xml:space="preserve">bāqaʿ</w:t>
      </w:r>
      <w:r>
        <w:t xml:space="preserve">) as the one clear Northwest-Semitic precedent for vessel-rupture imagery and accordingly tempers any strong uniqueness reading.</w:t>
      </w:r>
    </w:p>
    <w:bookmarkEnd w:id="171"/>
    <w:bookmarkStart w:id="172" w:name="answers-to-the-research-questions"/>
    <w:p>
      <w:pPr>
        <w:pStyle w:val="Heading3"/>
      </w:pPr>
      <w:r>
        <w:t xml:space="preserve">6.2. Answers to the research questions</w:t>
      </w:r>
    </w:p>
    <w:p>
      <w:pPr>
        <w:pStyle w:val="FirstParagraph"/>
      </w:pPr>
      <w:r>
        <w:rPr>
          <w:b/>
          <w:bCs/>
        </w:rPr>
        <w:t xml:space="preserve">RQ1 (internal structure of the field and principal nodes).</w:t>
      </w:r>
      <w:r>
        <w:t xml:space="preserve"> </w:t>
      </w:r>
      <w:r>
        <w:t xml:space="preserve">The Qur’anic anger-spectrum field is a fourteen-node lexical network organised around two structural roles. The bridge node is</w:t>
      </w:r>
      <w:r>
        <w:t xml:space="preserve"> </w:t>
      </w:r>
      <w:r>
        <w:rPr>
          <w:i/>
          <w:iCs/>
        </w:rPr>
        <w:t xml:space="preserve">baghy</w:t>
      </w:r>
      <w:r>
        <w:t xml:space="preserve">, with the highest point-estimate closeness centrality (0.55) and the heaviest cross-field connectivity to the umbrella moral-evaluation terms (16 aya-level co-occurrences with</w:t>
      </w:r>
      <w:r>
        <w:t xml:space="preserve"> </w:t>
      </w:r>
      <w:r>
        <w:rPr>
          <w:i/>
          <w:iCs/>
        </w:rPr>
        <w:t xml:space="preserve">ẓulm</w:t>
      </w:r>
      <w:r>
        <w:t xml:space="preserve">/</w:t>
      </w:r>
      <w:r>
        <w:rPr>
          <w:i/>
          <w:iCs/>
        </w:rPr>
        <w:t xml:space="preserve">jrm</w:t>
      </w:r>
      <w:r>
        <w:t xml:space="preserve">/</w:t>
      </w:r>
      <w:r>
        <w:rPr>
          <w:i/>
          <w:iCs/>
        </w:rPr>
        <w:t xml:space="preserve">fsq</w:t>
      </w:r>
      <w:r>
        <w:t xml:space="preserve">/</w:t>
      </w:r>
      <w:r>
        <w:rPr>
          <w:i/>
          <w:iCs/>
        </w:rPr>
        <w:t xml:space="preserve">ʿadāwah</w:t>
      </w:r>
      <w:r>
        <w:t xml:space="preserve">/</w:t>
      </w:r>
      <w:r>
        <w:rPr>
          <w:i/>
          <w:iCs/>
        </w:rPr>
        <w:t xml:space="preserve">shanaʾān</w:t>
      </w:r>
      <w:r>
        <w:t xml:space="preserve"> </w:t>
      </w:r>
      <w:r>
        <w:t xml:space="preserve">— ~53% of the total cross-field ties for the fourteen spectrum roots). Stage-internal hubs are</w:t>
      </w:r>
      <w:r>
        <w:t xml:space="preserve"> </w:t>
      </w:r>
      <w:r>
        <w:rPr>
          <w:i/>
          <w:iCs/>
        </w:rPr>
        <w:t xml:space="preserve">ḥuzn</w:t>
      </w:r>
      <w:r>
        <w:t xml:space="preserve"> </w:t>
      </w:r>
      <w:r>
        <w:t xml:space="preserve">(Stage 2, 42 attestations, 88% verbal) and</w:t>
      </w:r>
      <w:r>
        <w:t xml:space="preserve"> </w:t>
      </w:r>
      <w:r>
        <w:rPr>
          <w:i/>
          <w:iCs/>
        </w:rPr>
        <w:t xml:space="preserve">ghaḍab</w:t>
      </w:r>
      <w:r>
        <w:t xml:space="preserve"> </w:t>
      </w:r>
      <w:r>
        <w:t xml:space="preserve">(Stage 4, 24 attestations, 67% nominal), with the</w:t>
      </w:r>
      <w:r>
        <w:t xml:space="preserve"> </w:t>
      </w:r>
      <w:r>
        <w:rPr>
          <w:i/>
          <w:iCs/>
        </w:rPr>
        <w:t xml:space="preserve">ḥzn–ḍyq</w:t>
      </w:r>
      <w:r>
        <w:t xml:space="preserve"> </w:t>
      </w:r>
      <w:r>
        <w:t xml:space="preserve">edge (weight 3) the strongest single tie in the network. Several peripheral nodes —</w:t>
      </w:r>
      <w:r>
        <w:t xml:space="preserve"> </w:t>
      </w:r>
      <w:r>
        <w:rPr>
          <w:i/>
          <w:iCs/>
        </w:rPr>
        <w:t xml:space="preserve">sakhaṭ</w:t>
      </w:r>
      <w:r>
        <w:t xml:space="preserve">,</w:t>
      </w:r>
      <w:r>
        <w:t xml:space="preserve"> </w:t>
      </w:r>
      <w:r>
        <w:rPr>
          <w:i/>
          <w:iCs/>
        </w:rPr>
        <w:t xml:space="preserve">asaf</w:t>
      </w:r>
      <w:r>
        <w:t xml:space="preserve">,</w:t>
      </w:r>
      <w:r>
        <w:t xml:space="preserve"> </w:t>
      </w:r>
      <w:r>
        <w:rPr>
          <w:i/>
          <w:iCs/>
        </w:rPr>
        <w:t xml:space="preserve">ḥard</w:t>
      </w:r>
      <w:r>
        <w:t xml:space="preserve">,</w:t>
      </w:r>
      <w:r>
        <w:t xml:space="preserve"> </w:t>
      </w:r>
      <w:r>
        <w:rPr>
          <w:i/>
          <w:iCs/>
        </w:rPr>
        <w:t xml:space="preserve">ʿutuww</w:t>
      </w:r>
      <w:r>
        <w:t xml:space="preserve"> </w:t>
      </w:r>
      <w:r>
        <w:t xml:space="preserve">— exhibit marked distributional asymmetries that we interpret as instances of discursive-contextual specialisation (§5.4).</w:t>
      </w:r>
    </w:p>
    <w:p>
      <w:pPr>
        <w:pStyle w:val="BodyText"/>
      </w:pPr>
      <w:r>
        <w:rPr>
          <w:b/>
          <w:bCs/>
        </w:rPr>
        <w:t xml:space="preserve">RQ2 (continuum ordering and theoretical legitimation).</w:t>
      </w:r>
      <w:r>
        <w:t xml:space="preserve"> </w:t>
      </w:r>
      <w:r>
        <w:t xml:space="preserve">The fourteen lexemes order on a six-stage continuum — pre-anger displeasure, inner pressure and contraction, evaluative aversion, active anger, compressed/explosive rage, behavioural outcomes (with bidirectional-causation caveat) — organised by the composite dimension of</w:t>
      </w:r>
      <w:r>
        <w:t xml:space="preserve"> </w:t>
      </w:r>
      <w:r>
        <w:rPr>
          <w:i/>
          <w:iCs/>
        </w:rPr>
        <w:t xml:space="preserve">intensity of action</w:t>
      </w:r>
      <w:r>
        <w:t xml:space="preserve">: locus (inner → outer), experiential intensity (low → high), and scope of consequence (individual → structural). The ordering is licensed by the trifold theoretical synthesis of §2: Izutsu’s semantic-field method fixes the field boundary, the Kennedy–Sassoon scalar-semantic apparatus supplies the dimension and the ordering relation, and Lakoff–Kövecses CMT grounds the climactic</w:t>
      </w:r>
      <w:r>
        <w:t xml:space="preserve"> </w:t>
      </w:r>
      <w:r>
        <w:rPr>
          <w:i/>
          <w:iCs/>
        </w:rPr>
        <w:t xml:space="preserve">ghayẓ–kaẓm–tamayyuz</w:t>
      </w:r>
      <w:r>
        <w:t xml:space="preserve"> </w:t>
      </w:r>
      <w:r>
        <w:t xml:space="preserve">sequence in the PRESSURIZED CONTAINER schema. The lexicographic evidence of Table 1 shows the ordering is not the construction of the present analysis but is internally encoded in the four authoritative lexica themselves, which gloss each root with progressively more externalised and structural meanings as one ascends from</w:t>
      </w:r>
      <w:r>
        <w:t xml:space="preserve"> </w:t>
      </w:r>
      <w:r>
        <w:rPr>
          <w:i/>
          <w:iCs/>
        </w:rPr>
        <w:t xml:space="preserve">uff</w:t>
      </w:r>
      <w:r>
        <w:t xml:space="preserve"> </w:t>
      </w:r>
      <w:r>
        <w:t xml:space="preserve">to</w:t>
      </w:r>
      <w:r>
        <w:t xml:space="preserve"> </w:t>
      </w:r>
      <w:r>
        <w:rPr>
          <w:i/>
          <w:iCs/>
        </w:rPr>
        <w:t xml:space="preserve">ʿutuww</w:t>
      </w:r>
      <w:r>
        <w:t xml:space="preserve">.</w:t>
      </w:r>
    </w:p>
    <w:p>
      <w:pPr>
        <w:pStyle w:val="BodyText"/>
      </w:pPr>
      <w:r>
        <w:rPr>
          <w:b/>
          <w:bCs/>
        </w:rPr>
        <w:t xml:space="preserve">RQ3 (corpus-distributional corroboration).</w:t>
      </w:r>
      <w:r>
        <w:t xml:space="preserve"> </w:t>
      </w:r>
      <w:r>
        <w:t xml:space="preserve">The empirical distribution is</w:t>
      </w:r>
      <w:r>
        <w:t xml:space="preserve"> </w:t>
      </w:r>
      <w:r>
        <w:rPr>
          <w:i/>
          <w:iCs/>
        </w:rPr>
        <w:t xml:space="preserve">consistent with</w:t>
      </w:r>
      <w:r>
        <w:t xml:space="preserve"> </w:t>
      </w:r>
      <w:r>
        <w:t xml:space="preserve">— though not by itself confirmatory of — the continuum. The asymptotic χ²(5) = 227.15 (Cohen’s</w:t>
      </w:r>
      <w:r>
        <w:t xml:space="preserve"> </w:t>
      </w:r>
      <w:r>
        <w:rPr>
          <w:i/>
          <w:iCs/>
        </w:rPr>
        <w:t xml:space="preserve">w</w:t>
      </w:r>
      <w:r>
        <w:t xml:space="preserve"> </w:t>
      </w:r>
      <w:r>
        <w:t xml:space="preserve">= 0.85) is large but the marginal-preserving permutation null yields</w:t>
      </w:r>
      <w:r>
        <w:t xml:space="preserve"> </w:t>
      </w:r>
      <w:r>
        <w:rPr>
          <w:i/>
          <w:iCs/>
        </w:rPr>
        <w:t xml:space="preserve">p</w:t>
      </w:r>
      <w:r>
        <w:t xml:space="preserve"> </w:t>
      </w:r>
      <w:r>
        <w:t xml:space="preserve">= 0.24, indicating that the asymptotic</w:t>
      </w:r>
      <w:r>
        <w:t xml:space="preserve"> </w:t>
      </w:r>
      <w:r>
        <w:rPr>
          <w:i/>
          <w:iCs/>
        </w:rPr>
        <w:t xml:space="preserve">p</w:t>
      </w:r>
      <w:r>
        <w:t xml:space="preserve">-value over-states the evidence on this sparse, marginally-imbalanced design (§3.6); the substantive case rests on the qualitative evidence of §4.1 and §4.3–§4.8. The Stages 1–5 vs Stage 6 comparison</w:t>
      </w:r>
      <w:r>
        <w:t xml:space="preserve"> </w:t>
      </w:r>
      <w:r>
        <w:rPr>
          <w:i/>
          <w:iCs/>
        </w:rPr>
        <w:t xml:space="preserve">fails to reject</w:t>
      </w:r>
      <w:r>
        <w:t xml:space="preserve"> </w:t>
      </w:r>
      <w:r>
        <w:t xml:space="preserve">equal split (χ²(1) = 1.55), which we read as</w:t>
      </w:r>
      <w:r>
        <w:t xml:space="preserve"> </w:t>
      </w:r>
      <w:r>
        <w:rPr>
          <w:i/>
          <w:iCs/>
        </w:rPr>
        <w:t xml:space="preserve">consistent with</w:t>
      </w:r>
      <w:r>
        <w:t xml:space="preserve"> </w:t>
      </w:r>
      <w:r>
        <w:t xml:space="preserve">the bidirectional-causation reading of §4.8.5, the substantive support coming from the κ = 0.79-validated tafsir-coding audit (A = 26%, S = 49%, A+S = 25%; A-only re-analysis χ²(1) = 81.4,</w:t>
      </w:r>
      <w:r>
        <w:t xml:space="preserve"> </w:t>
      </w:r>
      <w:r>
        <w:rPr>
          <w:i/>
          <w:iCs/>
        </w:rPr>
        <w:t xml:space="preserve">p</w:t>
      </w:r>
      <w:r>
        <w:t xml:space="preserve"> </w:t>
      </w:r>
      <w:r>
        <w:t xml:space="preserve">&lt; 0.001). Of the four per-root distributional patterns, only the exclusively-Medinan</w:t>
      </w:r>
      <w:r>
        <w:t xml:space="preserve"> </w:t>
      </w:r>
      <w:r>
        <w:rPr>
          <w:i/>
          <w:iCs/>
        </w:rPr>
        <w:t xml:space="preserve">sakhaṭ</w:t>
      </w:r>
      <w:r>
        <w:t xml:space="preserve"> </w:t>
      </w:r>
      <w:r>
        <w:t xml:space="preserve">survives Holm-Bonferroni correction (raw</w:t>
      </w:r>
      <w:r>
        <w:t xml:space="preserve"> </w:t>
      </w:r>
      <w:r>
        <w:rPr>
          <w:i/>
          <w:iCs/>
        </w:rPr>
        <w:t xml:space="preserve">p</w:t>
      </w:r>
      <w:r>
        <w:t xml:space="preserve"> </w:t>
      </w:r>
      <w:r>
        <w:t xml:space="preserve">= 0.005, adj.</w:t>
      </w:r>
      <w:r>
        <w:t xml:space="preserve"> </w:t>
      </w:r>
      <w:r>
        <w:rPr>
          <w:i/>
          <w:iCs/>
        </w:rPr>
        <w:t xml:space="preserve">p</w:t>
      </w:r>
      <w:r>
        <w:t xml:space="preserve"> </w:t>
      </w:r>
      <w:r>
        <w:t xml:space="preserve">= 0.05, borderline); the morphological gradient (verbal S1–2 → nominal S6) and the bridging centrality profile at</w:t>
      </w:r>
      <w:r>
        <w:t xml:space="preserve"> </w:t>
      </w:r>
      <w:r>
        <w:rPr>
          <w:i/>
          <w:iCs/>
        </w:rPr>
        <w:t xml:space="preserve">baghy</w:t>
      </w:r>
      <w:r>
        <w:t xml:space="preserve"> </w:t>
      </w:r>
      <w:r>
        <w:t xml:space="preserve">(bootstrap-respecting) supply convergent corpus-internal evidence.</w:t>
      </w:r>
    </w:p>
    <w:p>
      <w:pPr>
        <w:pStyle w:val="BodyText"/>
      </w:pPr>
      <w:r>
        <w:rPr>
          <w:b/>
          <w:bCs/>
        </w:rPr>
        <w:t xml:space="preserve">RQ4 (structural homology with contemporary emotion psychology).</w:t>
      </w:r>
      <w:r>
        <w:t xml:space="preserve"> </w:t>
      </w:r>
      <w:r>
        <w:t xml:space="preserve">The Qur’anic continuum is structurally homologous with four families of contemporary emotion theory developed in §5.2: with Gross’s five-strategy process model of emotion regulation in Stages 1–5, with Plutchik’s three-level intensity wheel and Spielberger’s STAXI trait/state/control architecture in the lexical surface of the spectrum, and with the Lazarus–Scherer–Roseman appraisal apparatus in Q. 96:6–7 (where</w:t>
      </w:r>
      <w:r>
        <w:t xml:space="preserve"> </w:t>
      </w:r>
      <w:r>
        <w:rPr>
          <w:i/>
          <w:iCs/>
        </w:rPr>
        <w:t xml:space="preserve">ṭughyān</w:t>
      </w:r>
      <w:r>
        <w:t xml:space="preserve"> </w:t>
      </w:r>
      <w:r>
        <w:t xml:space="preserve">is conditioned on the appraisal of</w:t>
      </w:r>
      <w:r>
        <w:t xml:space="preserve"> </w:t>
      </w:r>
      <w:r>
        <w:rPr>
          <w:i/>
          <w:iCs/>
        </w:rPr>
        <w:t xml:space="preserve">istighnāʾ</w:t>
      </w:r>
      <w:r>
        <w:t xml:space="preserve"> </w:t>
      </w:r>
      <w:r>
        <w:t xml:space="preserve">in a textbook agency-self / motive-consistent / high-control pattern). The continuum extends beyond all four frameworks at Stage 6, where the structural-moral pathologies of</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lexicalise the moral-anthropological consequences of unmanaged emotion in a register process- and trait/state-models do not contain. The integration is qualified by the bidirectional-causation caveat of §4.8.5: Stage-6 lexemes stand in a</w:t>
      </w:r>
      <w:r>
        <w:t xml:space="preserve"> </w:t>
      </w:r>
      <w:r>
        <w:rPr>
          <w:i/>
          <w:iCs/>
        </w:rPr>
        <w:t xml:space="preserve">bidirectional</w:t>
      </w:r>
      <w:r>
        <w:t xml:space="preserve"> </w:t>
      </w:r>
      <w:r>
        <w:t xml:space="preserve">causal relation with the anger spectrum, not a deterministic downstream one.</w:t>
      </w:r>
    </w:p>
    <w:p>
      <w:pPr>
        <w:pStyle w:val="BodyText"/>
      </w:pPr>
      <w:r>
        <w:rPr>
          <w:b/>
          <w:bCs/>
        </w:rPr>
        <w:t xml:space="preserve">RQ5 (practical implications for translation and Islamic psychology).</w:t>
      </w:r>
      <w:r>
        <w:t xml:space="preserve"> </w:t>
      </w:r>
      <w:r>
        <w:rPr>
          <w:i/>
          <w:iCs/>
        </w:rPr>
        <w:t xml:space="preserve">Conditional</w:t>
      </w:r>
      <w:r>
        <w:t xml:space="preserve"> </w:t>
      </w:r>
      <w:r>
        <w:t xml:space="preserve">practical implications follow at two levels. For Qur’anic translation, the analysis supplies candidate distinct-equivalent renderings for the fourteen lexemes (§5.6) and position-marking conventions that,</w:t>
      </w:r>
      <w:r>
        <w:t xml:space="preserve"> </w:t>
      </w:r>
      <w:r>
        <w:rPr>
          <w:i/>
          <w:iCs/>
        </w:rPr>
        <w:t xml:space="preserve">if confirmed</w:t>
      </w:r>
      <w:r>
        <w:t xml:space="preserve"> </w:t>
      </w:r>
      <w:r>
        <w:t xml:space="preserve">by the stratified follow-up evaluation we commend (~30 verses sampled across the six stages with multi-rater coding against the spectrum reference model and the ELQV labels), would address the systematic levelling pattern catalogued by Gaanoun and Alsuhaibani (2025). For Islamic psychology (§5.7), three applications follow: (i) early-stage</w:t>
      </w:r>
      <w:r>
        <w:t xml:space="preserve"> </w:t>
      </w:r>
      <w:r>
        <w:rPr>
          <w:i/>
          <w:iCs/>
        </w:rPr>
        <w:t xml:space="preserve">prevention</w:t>
      </w:r>
      <w:r>
        <w:t xml:space="preserve"> </w:t>
      </w:r>
      <w:r>
        <w:t xml:space="preserve">via Stages 1–2 vocabulary (</w:t>
      </w:r>
      <w:r>
        <w:rPr>
          <w:i/>
          <w:iCs/>
        </w:rPr>
        <w:t xml:space="preserve">uff</w:t>
      </w:r>
      <w:r>
        <w:t xml:space="preserve">,</w:t>
      </w:r>
      <w:r>
        <w:t xml:space="preserve"> </w:t>
      </w:r>
      <w:r>
        <w:rPr>
          <w:i/>
          <w:iCs/>
        </w:rPr>
        <w:t xml:space="preserve">karāha</w:t>
      </w:r>
      <w:r>
        <w:t xml:space="preserve">,</w:t>
      </w:r>
      <w:r>
        <w:t xml:space="preserve"> </w:t>
      </w:r>
      <w:r>
        <w:rPr>
          <w:i/>
          <w:iCs/>
        </w:rPr>
        <w:t xml:space="preserve">ḍīq</w:t>
      </w:r>
      <w:r>
        <w:t xml:space="preserve">,</w:t>
      </w:r>
      <w:r>
        <w:t xml:space="preserve"> </w:t>
      </w:r>
      <w:r>
        <w:rPr>
          <w:i/>
          <w:iCs/>
        </w:rPr>
        <w:t xml:space="preserve">ḥuzn</w:t>
      </w:r>
      <w:r>
        <w:t xml:space="preserve">) supporting CBT-style affective-dysregulation interception in a culturally-grounded register; (ii)</w:t>
      </w:r>
      <w:r>
        <w:t xml:space="preserve"> </w:t>
      </w:r>
      <w:r>
        <w:rPr>
          <w:i/>
          <w:iCs/>
        </w:rPr>
        <w:t xml:space="preserve">crisis intervention</w:t>
      </w:r>
      <w:r>
        <w:t xml:space="preserve"> </w:t>
      </w:r>
      <w:r>
        <w:t xml:space="preserve">via</w:t>
      </w:r>
      <w:r>
        <w:t xml:space="preserve"> </w:t>
      </w:r>
      <w:r>
        <w:rPr>
          <w:i/>
          <w:iCs/>
        </w:rPr>
        <w:t xml:space="preserve">kaẓm</w:t>
      </w:r>
      <w:r>
        <w:t xml:space="preserve"> </w:t>
      </w:r>
      <w:r>
        <w:t xml:space="preserve">as the Qur’anic</w:t>
      </w:r>
      <w:r>
        <w:t xml:space="preserve"> </w:t>
      </w:r>
      <w:r>
        <w:rPr>
          <w:i/>
          <w:iCs/>
        </w:rPr>
        <w:t xml:space="preserve">anger-control</w:t>
      </w:r>
      <w:r>
        <w:t xml:space="preserve"> </w:t>
      </w:r>
      <w:r>
        <w:t xml:space="preserve">lexeme, operationally close to Spielberger’s</w:t>
      </w:r>
      <w:r>
        <w:t xml:space="preserve"> </w:t>
      </w:r>
      <w:r>
        <w:rPr>
          <w:i/>
          <w:iCs/>
        </w:rPr>
        <w:t xml:space="preserve">anger-in</w:t>
      </w:r>
      <w:r>
        <w:t xml:space="preserve"> </w:t>
      </w:r>
      <w:r>
        <w:t xml:space="preserve">construct with the addition of explicit moral commendation; (iii) post-failure</w:t>
      </w:r>
      <w:r>
        <w:t xml:space="preserve"> </w:t>
      </w:r>
      <w:r>
        <w:rPr>
          <w:i/>
          <w:iCs/>
        </w:rPr>
        <w:t xml:space="preserve">rehabilitation</w:t>
      </w:r>
      <w:r>
        <w:t xml:space="preserve"> </w:t>
      </w:r>
      <w:r>
        <w:t xml:space="preserve">via the</w:t>
      </w:r>
      <w:r>
        <w:t xml:space="preserve"> </w:t>
      </w:r>
      <w:r>
        <w:rPr>
          <w:i/>
          <w:iCs/>
        </w:rPr>
        <w:t xml:space="preserve">tawba</w:t>
      </w:r>
      <w:r>
        <w:t xml:space="preserve"> </w:t>
      </w:r>
      <w:r>
        <w:t xml:space="preserve">framework. All practical implications are framed as hypotheses for empirical follow-up, not as settled prescriptions.</w:t>
      </w:r>
    </w:p>
    <w:bookmarkEnd w:id="172"/>
    <w:bookmarkStart w:id="175" w:name="limitations-and-future-work"/>
    <w:p>
      <w:pPr>
        <w:pStyle w:val="Heading3"/>
      </w:pPr>
      <w:r>
        <w:t xml:space="preserve">6.3. Limitations and future work</w:t>
      </w:r>
    </w:p>
    <w:p>
      <w:pPr>
        <w:pStyle w:val="FirstParagraph"/>
      </w:pPr>
      <w:r>
        <w:t xml:space="preserve">The analysis is bounded by five limitations, each pointing to a constructive next step we frame as a Phase II research agenda for the present dataset. (i)</w:t>
      </w:r>
      <w:r>
        <w:t xml:space="preserve"> </w:t>
      </w:r>
      <w:r>
        <w:rPr>
          <w:b/>
          <w:bCs/>
        </w:rPr>
        <w:t xml:space="preserve">Surface-lexical scope.</w:t>
      </w:r>
      <w:r>
        <w:t xml:space="preserve"> </w:t>
      </w:r>
      <w:r>
        <w:t xml:space="preserve">Discourse-analytic close-reading of the spectrum’s narrative</w:t>
      </w:r>
      <w:r>
        <w:t xml:space="preserve"> </w:t>
      </w:r>
      <w:r>
        <w:rPr>
          <w:i/>
          <w:iCs/>
        </w:rPr>
        <w:t xml:space="preserve">deployment</w:t>
      </w:r>
      <w:r>
        <w:t xml:space="preserve"> </w:t>
      </w:r>
      <w:r>
        <w:t xml:space="preserve">across suras — which stage clusters surface in prophetic-narrative versus legal-prescriptive versus polemical-eschatological passages — is left for future work, in dialogue with El-Awa’s relevance-theoretic framework</w:t>
      </w:r>
      <w:r>
        <w:rPr>
          <w:rStyle w:val="FootnoteReference"/>
        </w:rPr>
        <w:footnoteReference w:id="173"/>
      </w:r>
      <w:r>
        <w:t xml:space="preserve"> </w:t>
      </w:r>
      <w:r>
        <w:t xml:space="preserve">and Sinai’s Meccan/Medinan periodisation.</w:t>
      </w:r>
      <w:r>
        <w:rPr>
          <w:rStyle w:val="FootnoteReference"/>
        </w:rPr>
        <w:footnoteReference w:id="174"/>
      </w:r>
      <w:r>
        <w:t xml:space="preserve"> </w:t>
      </w:r>
      <w:r>
        <w:t xml:space="preserve">(ii)</w:t>
      </w:r>
      <w:r>
        <w:t xml:space="preserve"> </w:t>
      </w:r>
      <w:r>
        <w:rPr>
          <w:b/>
          <w:bCs/>
        </w:rPr>
        <w:t xml:space="preserve">Tafsir engagement.</w:t>
      </w:r>
      <w:r>
        <w:t xml:space="preserve"> </w:t>
      </w:r>
      <w:r>
        <w:t xml:space="preserve">A</w:t>
      </w:r>
      <w:r>
        <w:t xml:space="preserve"> </w:t>
      </w:r>
      <w:r>
        <w:rPr>
          <w:i/>
          <w:iCs/>
        </w:rPr>
        <w:t xml:space="preserve">tafsir-archive deep-dive</w:t>
      </w:r>
      <w:r>
        <w:t xml:space="preserve"> </w:t>
      </w:r>
      <w:r>
        <w:t xml:space="preserve">— systematic indexing of the fourteen-root inventory against the full classical/medieval/Sufi/modernist tradition (al-Qushayrī, the Akbarī school via</w:t>
      </w:r>
      <w:r>
        <w:t xml:space="preserve"> </w:t>
      </w:r>
      <w:r>
        <w:rPr>
          <w:i/>
          <w:iCs/>
        </w:rPr>
        <w:t xml:space="preserve">Tafsīr al-Qāshānī</w:t>
      </w:r>
      <w:r>
        <w:t xml:space="preserve"> </w:t>
      </w:r>
      <w:r>
        <w:t xml:space="preserve">and Sulamī’s</w:t>
      </w:r>
      <w:r>
        <w:t xml:space="preserve"> </w:t>
      </w:r>
      <w:r>
        <w:rPr>
          <w:i/>
          <w:iCs/>
        </w:rPr>
        <w:t xml:space="preserve">Ḥaqāʾiq</w:t>
      </w:r>
      <w:r>
        <w:t xml:space="preserve">, the Twelver tradition via al-ʿAyyāshī and al-Qummī, the Mu’tazilī tradition via Abū Muslim al-Iṣfahānī, the modernist tradition beyond the citations already made), with κ-validated multi-coder reading on contested verses — would supply deeper exegetical grounding and an empirical map of how the bidirectional-causation reading of Stage 6 is distributed across the tradition. (iii)</w:t>
      </w:r>
      <w:r>
        <w:t xml:space="preserve"> </w:t>
      </w:r>
      <w:r>
        <w:rPr>
          <w:b/>
          <w:bCs/>
        </w:rPr>
        <w:t xml:space="preserve">Cognitive-linguistic apparatus.</w:t>
      </w:r>
      <w:r>
        <w:t xml:space="preserve"> </w:t>
      </w:r>
      <w:r>
        <w:t xml:space="preserve">Engagement with classical Arabic</w:t>
      </w:r>
      <w:r>
        <w:t xml:space="preserve"> </w:t>
      </w:r>
      <w:r>
        <w:rPr>
          <w:i/>
          <w:iCs/>
        </w:rPr>
        <w:t xml:space="preserve">bayān</w:t>
      </w:r>
      <w:r>
        <w:t xml:space="preserve"> </w:t>
      </w:r>
      <w:r>
        <w:t xml:space="preserve">theory (al-Jurjānī’s</w:t>
      </w:r>
      <w:r>
        <w:t xml:space="preserve"> </w:t>
      </w:r>
      <w:r>
        <w:rPr>
          <w:i/>
          <w:iCs/>
        </w:rPr>
        <w:t xml:space="preserve">Dalāʾil al-Iʿjāz</w:t>
      </w:r>
      <w:r>
        <w:t xml:space="preserve">, al-Sakkākī’s</w:t>
      </w:r>
      <w:r>
        <w:t xml:space="preserve"> </w:t>
      </w:r>
      <w:r>
        <w:rPr>
          <w:i/>
          <w:iCs/>
        </w:rPr>
        <w:t xml:space="preserve">Miftāḥ al-ʿUlūm</w:t>
      </w:r>
      <w:r>
        <w:t xml:space="preserve">) would supply an indigenous substrate within which the continuum could be re-stated in the categories of classical Arabic rhetoric. (iv)</w:t>
      </w:r>
      <w:r>
        <w:t xml:space="preserve"> </w:t>
      </w:r>
      <w:r>
        <w:rPr>
          <w:b/>
          <w:bCs/>
        </w:rPr>
        <w:t xml:space="preserve">Ḥadīth integration.</w:t>
      </w:r>
      <w:r>
        <w:t xml:space="preserve"> </w:t>
      </w:r>
      <w:r>
        <w:t xml:space="preserve">A parallel concordance over Ṣaḥīḥ al-Bukhārī, Ṣaḥīḥ Muslim, and al-Kāfī would supply convergent evidence on the</w:t>
      </w:r>
      <w:r>
        <w:t xml:space="preserve"> </w:t>
      </w:r>
      <w:r>
        <w:rPr>
          <w:i/>
          <w:iCs/>
        </w:rPr>
        <w:t xml:space="preserve">kaẓm</w:t>
      </w:r>
      <w:r>
        <w:t xml:space="preserve"> </w:t>
      </w:r>
      <w:r>
        <w:t xml:space="preserve">construct and a cross-corpus replication test for the underpowered</w:t>
      </w:r>
      <w:r>
        <w:t xml:space="preserve"> </w:t>
      </w:r>
      <w:r>
        <w:rPr>
          <w:i/>
          <w:iCs/>
        </w:rPr>
        <w:t xml:space="preserve">asaf</w:t>
      </w:r>
      <w:r>
        <w:t xml:space="preserve"> </w:t>
      </w:r>
      <w:r>
        <w:t xml:space="preserve">5/0 distribution. (v)</w:t>
      </w:r>
      <w:r>
        <w:t xml:space="preserve"> </w:t>
      </w:r>
      <w:r>
        <w:rPr>
          <w:b/>
          <w:bCs/>
        </w:rPr>
        <w:t xml:space="preserve">Islamic-psychology operationalisation.</w:t>
      </w:r>
      <w:r>
        <w:t xml:space="preserve"> </w:t>
      </w:r>
      <w:r>
        <w:t xml:space="preserve">The §5.7 implications await translation into pilot studies of</w:t>
      </w:r>
      <w:r>
        <w:t xml:space="preserve"> </w:t>
      </w:r>
      <w:r>
        <w:rPr>
          <w:i/>
          <w:iCs/>
        </w:rPr>
        <w:t xml:space="preserve">kaẓm</w:t>
      </w:r>
      <w:r>
        <w:t xml:space="preserve">-grounded emotion-regulation training, with stage-marking protocols validated against the STAXI and Difficulties in Emotion Regulation Scale.</w:t>
      </w:r>
    </w:p>
    <w:p>
      <w:pPr>
        <w:pStyle w:val="BodyText"/>
      </w:pPr>
      <w:r>
        <w:t xml:space="preserve">Four NLP analyses are queued as Phase II follow-ups, each addressing a specific evidential limitation. (a)</w:t>
      </w:r>
      <w:r>
        <w:t xml:space="preserve"> </w:t>
      </w:r>
      <w:r>
        <w:rPr>
          <w:b/>
          <w:bCs/>
        </w:rPr>
        <w:t xml:space="preserve">AraBERT / CAMeLBERT contextual-embedding validation</w:t>
      </w:r>
      <w:r>
        <w:t xml:space="preserve"> </w:t>
      </w:r>
      <w:r>
        <w:t xml:space="preserve">— applied to the 312 attestations and clustered unsupervised (k-means / HDBSCAN), would supply an independent test of stage-recoverability: if the six manually-assigned stages emerge as separable clusters, the architecture is corroborated by a method whose stage-assignment has no human input. (b)</w:t>
      </w:r>
      <w:r>
        <w:t xml:space="preserve"> </w:t>
      </w:r>
      <w:r>
        <w:rPr>
          <w:b/>
          <w:bCs/>
        </w:rPr>
        <w:t xml:space="preserve">Cross-translation semantic-drift quantification</w:t>
      </w:r>
      <w:r>
        <w:t xml:space="preserve"> </w:t>
      </w:r>
      <w:r>
        <w:t xml:space="preserve">— a multilingual embedding model applied to the 312 attestations across 5–10 EN/FA translations would quantify the levelling effect catalogued in §4.10 and Gaanoun and Alsuhaibani (2025), supplying per-root, per-translation drift estimates against the Arabic source. (c)</w:t>
      </w:r>
      <w:r>
        <w:t xml:space="preserve"> </w:t>
      </w:r>
      <w:r>
        <w:rPr>
          <w:b/>
          <w:bCs/>
        </w:rPr>
        <w:t xml:space="preserve">Diachronic / chronological-order test</w:t>
      </w:r>
      <w:r>
        <w:t xml:space="preserve"> </w:t>
      </w:r>
      <w:r>
        <w:t xml:space="preserve">— re-coding the 312 attestations by Nöldeke or Bell chronologies (rather than binary Meccan/Medinan) and testing for stage-shift would discriminate competing models of the spectrum’s emergence. (d)</w:t>
      </w:r>
      <w:r>
        <w:t xml:space="preserve"> </w:t>
      </w:r>
      <w:r>
        <w:rPr>
          <w:b/>
          <w:bCs/>
        </w:rPr>
        <w:t xml:space="preserve">PMI-weighted collocation network</w:t>
      </w:r>
      <w:r>
        <w:t xml:space="preserve"> </w:t>
      </w:r>
      <w:r>
        <w:t xml:space="preserve">— replacing the raw aya-level co-occurrence counts of §4.8 with positive pointwise mutual information would yield a network corrected for marginal-frequency artefacts, generating a more conservative test of the</w:t>
      </w:r>
      <w:r>
        <w:t xml:space="preserve"> </w:t>
      </w:r>
      <w:r>
        <w:rPr>
          <w:i/>
          <w:iCs/>
        </w:rPr>
        <w:t xml:space="preserve">baghy</w:t>
      </w:r>
      <w:r>
        <w:t xml:space="preserve">-as-bridge claim. Each is feasible in a Colab notebook environment over the existing pipeline. The methodological commitment shaping the analysis remains: distributional, statistical, and computational evidence is a</w:t>
      </w:r>
      <w:r>
        <w:t xml:space="preserve"> </w:t>
      </w:r>
      <w:r>
        <w:rPr>
          <w:i/>
          <w:iCs/>
        </w:rPr>
        <w:t xml:space="preserve">complement to</w:t>
      </w:r>
      <w:r>
        <w:t xml:space="preserve"> </w:t>
      </w:r>
      <w:r>
        <w:t xml:space="preserve">— not a replacement for — the classical philological and exegetical tradition, and the load-bearing claims rest on the convergence of the two registers.</w:t>
      </w:r>
    </w:p>
    <w:bookmarkEnd w:id="175"/>
    <w:bookmarkStart w:id="176" w:name="closing-remark"/>
    <w:p>
      <w:pPr>
        <w:pStyle w:val="Heading3"/>
      </w:pPr>
      <w:r>
        <w:t xml:space="preserve">6.4. Closing remark</w:t>
      </w:r>
    </w:p>
    <w:p>
      <w:pPr>
        <w:pStyle w:val="FirstParagraph"/>
      </w:pPr>
      <w:r>
        <w:t xml:space="preserve">The Qur’anic lexicon encodes a sophisticated theory of the anger spectrum — not as explicit theoretical formulation but as the architectural design of its semantic surface. Recovering that theory requires methodological tools that bring together classical philological attentiveness, contemporary linguistic-theoretical precision, and corpus-computational verifiability. We hope the present study, alongside Izutsu, Qāʾimīniyā, Pakatchi, Narimani et al., and Qarizadeh et al., advances this triple integration. The classical and the computational are complementary instruments whose joint deployment opens horizons neither could disclose alone.</w:t>
      </w:r>
    </w:p>
    <w:p>
      <w:r>
        <w:pict>
          <v:rect style="width:0;height:1.5pt" o:hralign="center" o:hrstd="t" o:hr="t"/>
        </w:pict>
      </w:r>
    </w:p>
    <w:bookmarkEnd w:id="176"/>
    <w:bookmarkEnd w:id="177"/>
    <w:bookmarkStart w:id="178" w:name="acknowledgements"/>
    <w:p>
      <w:pPr>
        <w:pStyle w:val="Heading2"/>
      </w:pPr>
      <w:r>
        <w:t xml:space="preserve">Acknowledgements</w:t>
      </w:r>
    </w:p>
    <w:p>
      <w:pPr>
        <w:pStyle w:val="FirstParagraph"/>
      </w:pPr>
      <w:r>
        <w:t xml:space="preserve">The authors thank Kais Dukes (in memoriam) and the team behind the Quranic Arabic Corpus, and the Tanzil Project, for releasing the morphological and textual resources without which this kind of empirical Qur’anic analysis would not be feasible. We thank Urmia University for institutional support, and the anonymous peer reviewer whose detailed comments materially improved the methodological framing, the statistical interpretation (especially regarding the χ²(1) result and the</w:t>
      </w:r>
      <w:r>
        <w:t xml:space="preserve"> </w:t>
      </w:r>
      <w:r>
        <w:rPr>
          <w:i/>
          <w:iCs/>
        </w:rPr>
        <w:t xml:space="preserve">sakhaṭ</w:t>
      </w:r>
      <w:r>
        <w:t xml:space="preserve"> </w:t>
      </w:r>
      <w:r>
        <w:t xml:space="preserve">baseline-sensitivity question), and the reproducibility of the analysis pipeline.</w:t>
      </w:r>
    </w:p>
    <w:bookmarkEnd w:id="178"/>
    <w:bookmarkStart w:id="17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179"/>
    <w:bookmarkStart w:id="180" w:name="competing-interests"/>
    <w:p>
      <w:pPr>
        <w:pStyle w:val="Heading2"/>
      </w:pPr>
      <w:r>
        <w:t xml:space="preserve">Competing interests</w:t>
      </w:r>
    </w:p>
    <w:p>
      <w:pPr>
        <w:pStyle w:val="FirstParagraph"/>
      </w:pPr>
      <w:r>
        <w:t xml:space="preserve">The authors declare no competing financial or non-financial interests.</w:t>
      </w:r>
    </w:p>
    <w:bookmarkEnd w:id="180"/>
    <w:bookmarkStart w:id="181" w:name="ethics-statement"/>
    <w:p>
      <w:pPr>
        <w:pStyle w:val="Heading2"/>
      </w:pPr>
      <w:r>
        <w:t xml:space="preserve">Ethics statement</w:t>
      </w:r>
    </w:p>
    <w:p>
      <w:pPr>
        <w:pStyle w:val="FirstParagraph"/>
      </w:pPr>
      <w:r>
        <w:t xml:space="preserve">This study uses only publicly-released text-corpus data (the Quranic Arabic Corpus, GPL-licensed; the Tanzil Quran text, CC-BY-ND 3.0). No human or animal subjects were involved at any stage. As a corpus-only philological-computational analysis, the work is exempt from human-subjects review under the standards of Urmia University and of comparable institutions.</w:t>
      </w:r>
    </w:p>
    <w:bookmarkEnd w:id="181"/>
    <w:bookmarkStart w:id="182" w:name="author-contributions"/>
    <w:p>
      <w:pPr>
        <w:pStyle w:val="Heading2"/>
      </w:pPr>
      <w:r>
        <w:t xml:space="preserve">Author contributions</w:t>
      </w:r>
    </w:p>
    <w:p>
      <w:pPr>
        <w:pStyle w:val="FirstParagraph"/>
      </w:pPr>
      <w:r>
        <w:t xml:space="preserve">K.J. (corresponding author) conceived the project, developed the theoretical framework, conducted the lexicographic and tafsir-tradition analysis, drafted the manuscript, and is responsible for the final form of the argument. A.J. contributed to the theoretical framework, the design of the computational pipeline, and editorial revision. Both authors approved the final manuscript and are jointly accountable for its content.</w:t>
      </w:r>
    </w:p>
    <w:bookmarkEnd w:id="182"/>
    <w:bookmarkStart w:id="183" w:name="author-affiliations-and-orcid"/>
    <w:p>
      <w:pPr>
        <w:pStyle w:val="Heading2"/>
      </w:pPr>
      <w:r>
        <w:t xml:space="preserve">Author affiliations and ORCID</w:t>
      </w:r>
    </w:p>
    <w:p>
      <w:pPr>
        <w:pStyle w:val="FirstParagraph"/>
      </w:pPr>
      <w:r>
        <w:rPr>
          <w:b/>
          <w:bCs/>
        </w:rPr>
        <w:t xml:space="preserve">Karim Jabbary</w:t>
      </w:r>
      <w:r>
        <w:t xml:space="preserve"> </w:t>
      </w:r>
      <w:r>
        <w:t xml:space="preserve">(corresponding author). Department of Arabic Language and Literature, Faculty of Literature and Humanities, Urmia University, Urmia, Iran.</w:t>
      </w:r>
      <w:r>
        <w:t xml:space="preserve"> </w:t>
      </w:r>
      <w:r>
        <w:rPr>
          <w:i/>
          <w:iCs/>
        </w:rPr>
        <w:t xml:space="preserve">email:</w:t>
      </w:r>
      <w:r>
        <w:t xml:space="preserve"> </w:t>
      </w:r>
      <w:r>
        <w:t xml:space="preserve">k.jabbary@urmia.ac.ir.</w:t>
      </w:r>
    </w:p>
    <w:p>
      <w:pPr>
        <w:pStyle w:val="BodyText"/>
      </w:pPr>
      <w:r>
        <w:rPr>
          <w:b/>
          <w:bCs/>
        </w:rPr>
        <w:t xml:space="preserve">Ali Jabbary</w:t>
      </w:r>
      <w:r>
        <w:t xml:space="preserve">. Faculty of Computer Engineering, Urmia University, Urmia, Iran.</w:t>
      </w:r>
      <w:r>
        <w:t xml:space="preserve"> </w:t>
      </w:r>
      <w:r>
        <w:rPr>
          <w:i/>
          <w:iCs/>
        </w:rPr>
        <w:t xml:space="preserve">email:</w:t>
      </w:r>
      <w:r>
        <w:t xml:space="preserve"> </w:t>
      </w:r>
      <w:r>
        <w:t xml:space="preserve">a.jabbary@urmia.ac.ir.</w:t>
      </w:r>
    </w:p>
    <w:p>
      <w:pPr>
        <w:pStyle w:val="BodyText"/>
      </w:pPr>
      <w:r>
        <w:rPr>
          <w:b/>
          <w:bCs/>
        </w:rPr>
        <w:t xml:space="preserve">ORCID:</w:t>
      </w:r>
      <w:r>
        <w:t xml:space="preserve"> </w:t>
      </w:r>
      <w:r>
        <w:t xml:space="preserve">Karim Jabbary: 0000-0000-0000-0000 (to be provided at submission). Ali Jabbary: 0000-0000-0000-0000 (to be provided at submission).</w:t>
      </w:r>
    </w:p>
    <w:bookmarkEnd w:id="183"/>
    <w:bookmarkStart w:id="186" w:name="data-and-code-availability"/>
    <w:p>
      <w:pPr>
        <w:pStyle w:val="Heading2"/>
      </w:pPr>
      <w:r>
        <w:t xml:space="preserve">Data and Code Availability</w:t>
      </w:r>
    </w:p>
    <w:p>
      <w:pPr>
        <w:pStyle w:val="FirstParagraph"/>
      </w:pPr>
      <w:r>
        <w:t xml:space="preserve">All code, data, concordance CSV outputs, and figure-generation scripts are released open-source at:</w:t>
      </w:r>
    </w:p>
    <w:p>
      <w:pPr>
        <w:pStyle w:val="BlockText"/>
      </w:pPr>
      <w:hyperlink r:id="rId184">
        <w:r>
          <w:rPr>
            <w:rStyle w:val="Hyperlink"/>
          </w:rPr>
          <w:t xml:space="preserve">github.com/ali-kin4/quranic-emotion-spectrum</w:t>
        </w:r>
      </w:hyperlink>
    </w:p>
    <w:p>
      <w:pPr>
        <w:pStyle w:val="FirstParagraph"/>
      </w:pPr>
      <w:r>
        <w:t xml:space="preserve">The repository contains: (i) the Python pipeline under MIT License; (ii) the Quranic Arabic Corpus</w:t>
      </w:r>
      <w:r>
        <w:rPr>
          <w:rStyle w:val="FootnoteReference"/>
        </w:rPr>
        <w:footnoteReference w:id="185"/>
      </w:r>
      <w:r>
        <w:t xml:space="preserve"> </w:t>
      </w:r>
      <w:r>
        <w:t xml:space="preserve">under its original GPL; (iii) the complete CSV concordance for the fourteen core spectrum roots (312 attestations), distributional summaries, statistical tests (χ²(5) = 227.15; χ²(1) = 1.55), network-centrality outputs, and umbrella-cooccurrence tables; (iv) PDF and PNG versions of the seven figures published with this paper; (v) full text of the Persian and English manuscripts; (vi) the SHA-256 hash of the QAC v0.4 source file (</w:t>
      </w:r>
      <w:r>
        <w:rPr>
          <w:rStyle w:val="VerbatimChar"/>
        </w:rPr>
        <w:t xml:space="preserve">data/quran/qac_morphology.sha256</w:t>
      </w:r>
      <w:r>
        <w:t xml:space="preserve">) and the manual-validation audit (</w:t>
      </w:r>
      <w:r>
        <w:rPr>
          <w:rStyle w:val="VerbatimChar"/>
        </w:rPr>
        <w:t xml:space="preserve">data/concordance/validation_audit.md</w:t>
      </w:r>
      <w:r>
        <w:t xml:space="preserve">). The complete analysis can be regenerated end-to-end by: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analysis/requirements.txt</w:t>
      </w:r>
      <w:r>
        <w:br/>
      </w:r>
      <w:r>
        <w:rPr>
          <w:rStyle w:val="ExtensionTok"/>
        </w:rPr>
        <w:t xml:space="preserve">python</w:t>
      </w:r>
      <w:r>
        <w:rPr>
          <w:rStyle w:val="NormalTok"/>
        </w:rPr>
        <w:t xml:space="preserve"> analysis/extract_concordance.py</w:t>
      </w:r>
      <w:r>
        <w:br/>
      </w:r>
      <w:r>
        <w:rPr>
          <w:rStyle w:val="ExtensionTok"/>
        </w:rPr>
        <w:t xml:space="preserve">python</w:t>
      </w:r>
      <w:r>
        <w:rPr>
          <w:rStyle w:val="NormalTok"/>
        </w:rPr>
        <w:t xml:space="preserve"> analysis/advanced_metrics.py</w:t>
      </w:r>
      <w:r>
        <w:br/>
      </w:r>
      <w:r>
        <w:rPr>
          <w:rStyle w:val="ExtensionTok"/>
        </w:rPr>
        <w:t xml:space="preserve">python</w:t>
      </w:r>
      <w:r>
        <w:rPr>
          <w:rStyle w:val="NormalTok"/>
        </w:rPr>
        <w:t xml:space="preserve"> analysis/visualize_spectrum.py</w:t>
      </w:r>
      <w:r>
        <w:br/>
      </w:r>
      <w:r>
        <w:rPr>
          <w:rStyle w:val="ExtensionTok"/>
        </w:rPr>
        <w:t xml:space="preserve">python</w:t>
      </w:r>
      <w:r>
        <w:rPr>
          <w:rStyle w:val="NormalTok"/>
        </w:rPr>
        <w:t xml:space="preserve"> analysis/visualize_advanced.py</w:t>
      </w:r>
    </w:p>
    <w:p>
      <w:r>
        <w:pict>
          <v:rect style="width:0;height:1.5pt" o:hralign="center" o:hrstd="t" o:hr="t"/>
        </w:pict>
      </w:r>
    </w:p>
    <w:bookmarkEnd w:id="186"/>
    <w:bookmarkStart w:id="190" w:name="bibliography"/>
    <w:p>
      <w:pPr>
        <w:pStyle w:val="Heading2"/>
      </w:pPr>
      <w:r>
        <w:t xml:space="preserve">Bibliography</w:t>
      </w:r>
    </w:p>
    <w:p>
      <w:pPr>
        <w:pStyle w:val="FirstParagraph"/>
      </w:pPr>
      <w:r>
        <w:t xml:space="preserve">References are grouped by language family for ease of consultation: classical Arabic lexica and</w:t>
      </w:r>
      <w:r>
        <w:t xml:space="preserve"> </w:t>
      </w:r>
      <w:r>
        <w:rPr>
          <w:i/>
          <w:iCs/>
        </w:rPr>
        <w:t xml:space="preserve">tafsīr</w:t>
      </w:r>
      <w:r>
        <w:t xml:space="preserve">; Persian-language scholarship; and English-language scholarship. Within each section, entries are alphabetised by author surname; the Arabic article</w:t>
      </w:r>
      <w:r>
        <w:t xml:space="preserve"> </w:t>
      </w:r>
      <w:r>
        <w:rPr>
          <w:i/>
          <w:iCs/>
        </w:rPr>
        <w:t xml:space="preserve">al-</w:t>
      </w:r>
      <w:r>
        <w:t xml:space="preserve"> </w:t>
      </w:r>
      <w:r>
        <w:t xml:space="preserve">is ignored for alphabetisation.</w:t>
      </w:r>
    </w:p>
    <w:bookmarkStart w:id="187" w:name="classical-arabic-lexica-and-tafsīr"/>
    <w:p>
      <w:pPr>
        <w:pStyle w:val="Heading3"/>
      </w:pPr>
      <w:r>
        <w:t xml:space="preserve">Classical Arabic Lexica and</w:t>
      </w:r>
      <w:r>
        <w:t xml:space="preserve"> </w:t>
      </w:r>
      <w:r>
        <w:rPr>
          <w:i/>
          <w:iCs/>
        </w:rPr>
        <w:t xml:space="preserve">Tafsīr</w:t>
      </w:r>
    </w:p>
    <w:p>
      <w:pPr>
        <w:pStyle w:val="FirstParagraph"/>
      </w:pPr>
      <w:r>
        <w:t xml:space="preserve">al-Fīrūzābādī, Muḥammad.</w:t>
      </w:r>
      <w:r>
        <w:t xml:space="preserve"> </w:t>
      </w:r>
      <w:r>
        <w:rPr>
          <w:i/>
          <w:iCs/>
        </w:rPr>
        <w:t xml:space="preserve">al-Qāmūs al-Muḥīṭ</w:t>
      </w:r>
      <w:r>
        <w:t xml:space="preserve">. Beirut: Muʾassasat al-Risālah.</w:t>
      </w:r>
    </w:p>
    <w:p>
      <w:pPr>
        <w:pStyle w:val="BodyText"/>
      </w:pPr>
      <w:r>
        <w:t xml:space="preserve">Ibn ʿĀshūr, Muḥammad al-Ṭāhir.</w:t>
      </w:r>
      <w:r>
        <w:t xml:space="preserve"> </w:t>
      </w:r>
      <w:r>
        <w:rPr>
          <w:i/>
          <w:iCs/>
        </w:rPr>
        <w:t xml:space="preserve">al-Taḥrīr wa-l-Tanwīr</w:t>
      </w:r>
      <w:r>
        <w:t xml:space="preserve">. Tunis: al-Dār al-Tūnisiyyah li-l-Nashr, 1984.</w:t>
      </w:r>
    </w:p>
    <w:p>
      <w:pPr>
        <w:pStyle w:val="BodyText"/>
      </w:pPr>
      <w:r>
        <w:t xml:space="preserve">Ibn Fāris, Aḥmad.</w:t>
      </w:r>
      <w:r>
        <w:t xml:space="preserve"> </w:t>
      </w:r>
      <w:r>
        <w:rPr>
          <w:i/>
          <w:iCs/>
        </w:rPr>
        <w:t xml:space="preserve">Muʿjam Maqāyīs al-Lughah</w:t>
      </w:r>
      <w:r>
        <w:t xml:space="preserve">. Edited by ʿAbd al-Salām Muḥammad Hārūn. Beirut: Dār al-Fikr, 1979.</w:t>
      </w:r>
    </w:p>
    <w:p>
      <w:pPr>
        <w:pStyle w:val="BodyText"/>
      </w:pPr>
      <w:r>
        <w:t xml:space="preserve">Ibn Kathīr, Ismāʿīl.</w:t>
      </w:r>
      <w:r>
        <w:t xml:space="preserve"> </w:t>
      </w:r>
      <w:r>
        <w:rPr>
          <w:i/>
          <w:iCs/>
        </w:rPr>
        <w:t xml:space="preserve">Tafsīr al-Qurʾān al-ʿAẓīm</w:t>
      </w:r>
      <w:r>
        <w:t xml:space="preserve">. Edited by Sāmī al-Salāmah. 8 vols. Riyadh: Dār Ṭaybah, 1419 AH/1999.</w:t>
      </w:r>
    </w:p>
    <w:p>
      <w:pPr>
        <w:pStyle w:val="BodyText"/>
      </w:pPr>
      <w:r>
        <w:t xml:space="preserve">Ibn Manẓūr, Muḥammad.</w:t>
      </w:r>
      <w:r>
        <w:t xml:space="preserve"> </w:t>
      </w:r>
      <w:r>
        <w:rPr>
          <w:i/>
          <w:iCs/>
        </w:rPr>
        <w:t xml:space="preserve">Lisān al-ʿArab</w:t>
      </w:r>
      <w:r>
        <w:t xml:space="preserve">. 3rd edn. Beirut: Dār Ṣādir, 1993.</w:t>
      </w:r>
    </w:p>
    <w:p>
      <w:pPr>
        <w:pStyle w:val="BodyText"/>
      </w:pPr>
      <w:r>
        <w:t xml:space="preserve">al-Mostafawī, Ḥasan.</w:t>
      </w:r>
      <w:r>
        <w:t xml:space="preserve"> </w:t>
      </w:r>
      <w:r>
        <w:rPr>
          <w:i/>
          <w:iCs/>
        </w:rPr>
        <w:t xml:space="preserve">al-Taḥqīq fī Kalimāt al-Qurʾān al-Karīm</w:t>
      </w:r>
      <w:r>
        <w:t xml:space="preserve">. 14 vols. Tehran: Wizārat al-Thaqāfah wa-l-Irshād al-Islāmī, 1416 AH/1995.</w:t>
      </w:r>
    </w:p>
    <w:p>
      <w:pPr>
        <w:pStyle w:val="BodyText"/>
      </w:pPr>
      <w:r>
        <w:t xml:space="preserve">al-Qurṭubī, Muḥammad ibn Aḥmad.</w:t>
      </w:r>
      <w:r>
        <w:t xml:space="preserve"> </w:t>
      </w:r>
      <w:r>
        <w:rPr>
          <w:i/>
          <w:iCs/>
        </w:rPr>
        <w:t xml:space="preserve">al-Jāmiʿ li-Aḥkām al-Qurʾān</w:t>
      </w:r>
      <w:r>
        <w:t xml:space="preserve">. 20 vols. Cairo: Dār al-Kutub al-Miṣriyyah, 1964.</w:t>
      </w:r>
    </w:p>
    <w:p>
      <w:pPr>
        <w:pStyle w:val="BodyText"/>
      </w:pPr>
      <w:r>
        <w:t xml:space="preserve">al-Qushayrī, ʿAbd al-Karīm.</w:t>
      </w:r>
      <w:r>
        <w:t xml:space="preserve"> </w:t>
      </w:r>
      <w:r>
        <w:rPr>
          <w:i/>
          <w:iCs/>
        </w:rPr>
        <w:t xml:space="preserve">Laṭāʾif al-Ishārāt</w:t>
      </w:r>
      <w:r>
        <w:t xml:space="preserve">. Edited by Ibrāhīm Basūnī. 6 vols. Cairo: al-Hayʾah al-Miṣriyyah al-ʿĀmmah li-l-Kitāb, 2000.</w:t>
      </w:r>
    </w:p>
    <w:p>
      <w:pPr>
        <w:pStyle w:val="BodyText"/>
      </w:pPr>
      <w:r>
        <w:t xml:space="preserve">Quṭb, Sayyid.</w:t>
      </w:r>
      <w:r>
        <w:t xml:space="preserve"> </w:t>
      </w:r>
      <w:r>
        <w:rPr>
          <w:i/>
          <w:iCs/>
        </w:rPr>
        <w:t xml:space="preserve">Fī Ẓilāl al-Qurʾān</w:t>
      </w:r>
      <w:r>
        <w:t xml:space="preserve">. 6 vols. Cairo and Beirut: Dār al-Shurūq, 1980.</w:t>
      </w:r>
    </w:p>
    <w:p>
      <w:pPr>
        <w:pStyle w:val="BodyText"/>
      </w:pPr>
      <w:r>
        <w:t xml:space="preserve">al-Rāghib al-Iṣfahānī, Ḥusayn.</w:t>
      </w:r>
      <w:r>
        <w:t xml:space="preserve"> </w:t>
      </w:r>
      <w:r>
        <w:rPr>
          <w:i/>
          <w:iCs/>
        </w:rPr>
        <w:t xml:space="preserve">al-Mufradāt fī Gharīb al-Qurʾān</w:t>
      </w:r>
      <w:r>
        <w:t xml:space="preserve">. Edited by Ṣafwān ʿAdnān Dāwūdī. Damascus and Beirut: Dār al-Qalam and al-Dār al-Shāmiyyah, 1412 AH/1992.</w:t>
      </w:r>
    </w:p>
    <w:p>
      <w:pPr>
        <w:pStyle w:val="BodyText"/>
      </w:pPr>
      <w:r>
        <w:t xml:space="preserve">al-Rāzī, Fakhr al-Dīn Muḥammad.</w:t>
      </w:r>
      <w:r>
        <w:t xml:space="preserve"> </w:t>
      </w:r>
      <w:r>
        <w:rPr>
          <w:i/>
          <w:iCs/>
        </w:rPr>
        <w:t xml:space="preserve">Mafātīḥ al-Ghayb (al-Tafsīr al-Kabīr)</w:t>
      </w:r>
      <w:r>
        <w:t xml:space="preserve">. Beirut: Dār Iḥyāʾ al-Turāth al-ʿArabī, 1999.</w:t>
      </w:r>
    </w:p>
    <w:p>
      <w:pPr>
        <w:pStyle w:val="BodyText"/>
      </w:pPr>
      <w:r>
        <w:t xml:space="preserve">Riḍā, Muḥammad Rashīd.</w:t>
      </w:r>
      <w:r>
        <w:t xml:space="preserve"> </w:t>
      </w:r>
      <w:r>
        <w:rPr>
          <w:i/>
          <w:iCs/>
        </w:rPr>
        <w:t xml:space="preserve">Tafsīr al-Qurʾān al-Ḥakīm (al-Manār)</w:t>
      </w:r>
      <w:r>
        <w:t xml:space="preserve">. 12 vols. Cairo: Dār al-Manār, 1947.</w:t>
      </w:r>
    </w:p>
    <w:p>
      <w:pPr>
        <w:pStyle w:val="BodyText"/>
      </w:pPr>
      <w:r>
        <w:t xml:space="preserve">al-Ṭabarī, Muḥammad ibn Jarīr.</w:t>
      </w:r>
      <w:r>
        <w:t xml:space="preserve"> </w:t>
      </w:r>
      <w:r>
        <w:rPr>
          <w:i/>
          <w:iCs/>
        </w:rPr>
        <w:t xml:space="preserve">Jāmiʿ al-Bayān ʿan Taʾwīl Āy al-Qurʾān</w:t>
      </w:r>
      <w:r>
        <w:t xml:space="preserve">. Edited by Aḥmad Muḥammad Shākir. 24 vols. Beirut: Muʾassasat al-Risālah, 2000.</w:t>
      </w:r>
    </w:p>
    <w:p>
      <w:pPr>
        <w:pStyle w:val="BodyText"/>
      </w:pPr>
      <w:r>
        <w:t xml:space="preserve">al-Ṭabarsī, al-Faḍl ibn al-Ḥasan.</w:t>
      </w:r>
      <w:r>
        <w:t xml:space="preserve"> </w:t>
      </w:r>
      <w:r>
        <w:rPr>
          <w:i/>
          <w:iCs/>
        </w:rPr>
        <w:t xml:space="preserve">Majmaʿ al-Bayān fī Tafsīr al-Qurʾān</w:t>
      </w:r>
      <w:r>
        <w:t xml:space="preserve">. Beirut: Dār al-Maʿrifah, n.d.</w:t>
      </w:r>
    </w:p>
    <w:p>
      <w:pPr>
        <w:pStyle w:val="BodyText"/>
      </w:pPr>
      <w:r>
        <w:t xml:space="preserve">al-Ṭabāṭabāʾī, Muḥammad Ḥusayn.</w:t>
      </w:r>
      <w:r>
        <w:t xml:space="preserve"> </w:t>
      </w:r>
      <w:r>
        <w:rPr>
          <w:i/>
          <w:iCs/>
        </w:rPr>
        <w:t xml:space="preserve">al-Mīzān fī Tafsīr al-Qurʾān</w:t>
      </w:r>
      <w:r>
        <w:t xml:space="preserve">. 20 vols. Beirut: Muʾassasat al-Aʿlamī li-l-Maṭbūʿāt, 1390 AH/1970.</w:t>
      </w:r>
    </w:p>
    <w:p>
      <w:pPr>
        <w:pStyle w:val="BodyText"/>
      </w:pPr>
      <w:r>
        <w:t xml:space="preserve">al-Zamakhsharī, Maḥmūd.</w:t>
      </w:r>
      <w:r>
        <w:t xml:space="preserve"> </w:t>
      </w:r>
      <w:r>
        <w:rPr>
          <w:i/>
          <w:iCs/>
        </w:rPr>
        <w:t xml:space="preserve">al-Kashshāf ʿan Ḥaqāʾiq Ghawāmiḍ al-Tanzīl</w:t>
      </w:r>
      <w:r>
        <w:t xml:space="preserve">. Beirut: Dār al-Kitāb al-ʿArabī, 1407 AH/1986.</w:t>
      </w:r>
    </w:p>
    <w:bookmarkEnd w:id="187"/>
    <w:bookmarkStart w:id="188" w:name="persian-language-scholarship"/>
    <w:p>
      <w:pPr>
        <w:pStyle w:val="Heading3"/>
      </w:pPr>
      <w:r>
        <w:t xml:space="preserve">Persian-Language Scholarship</w:t>
      </w:r>
    </w:p>
    <w:p>
      <w:pPr>
        <w:pStyle w:val="FirstParagraph"/>
      </w:pPr>
      <w:r>
        <w:t xml:space="preserve">Narimani, Zahra, Masoud Iqbali and Majid Chari.</w:t>
      </w:r>
      <w:r>
        <w:t xml:space="preserve"> </w:t>
      </w:r>
      <w:r>
        <w:t xml:space="preserve">‘Semantic Re-analysis of the Words</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in the Holy Qurʾān with an Exegetical Approach’</w:t>
      </w:r>
      <w:r>
        <w:t xml:space="preserve"> </w:t>
      </w:r>
      <w:r>
        <w:t xml:space="preserve">[in Persian].</w:t>
      </w:r>
      <w:r>
        <w:t xml:space="preserve"> </w:t>
      </w:r>
      <w:r>
        <w:rPr>
          <w:i/>
          <w:iCs/>
        </w:rPr>
        <w:t xml:space="preserve">Pizhūhish-hā-yi Qurʾān va Ḥadīth</w:t>
      </w:r>
      <w:r>
        <w:t xml:space="preserve"> </w:t>
      </w:r>
      <w:r>
        <w:t xml:space="preserve">(University of Tehran) 54:1 (1400 SH/2021), pp. 219-239. DOI: 10.22059/jqst.2021.322181.669740. Original Persian title: «بازشناسی معنایی واژگان</w:t>
      </w:r>
      <w:r>
        <w:t xml:space="preserve"> </w:t>
      </w:r>
      <w:r>
        <w:t xml:space="preserve">“غیظ”</w:t>
      </w:r>
      <w:r>
        <w:t xml:space="preserve">،</w:t>
      </w:r>
      <w:r>
        <w:t xml:space="preserve"> </w:t>
      </w:r>
      <w:r>
        <w:t xml:space="preserve">“غضب”</w:t>
      </w:r>
      <w:r>
        <w:t xml:space="preserve"> </w:t>
      </w:r>
      <w:r>
        <w:t xml:space="preserve">و</w:t>
      </w:r>
      <w:r>
        <w:t xml:space="preserve"> </w:t>
      </w:r>
      <w:r>
        <w:t xml:space="preserve">“سَخَط”</w:t>
      </w:r>
      <w:r>
        <w:t xml:space="preserve"> </w:t>
      </w:r>
      <w:r>
        <w:t xml:space="preserve">در قرآن کریم با رویکرد تفسیری».</w:t>
      </w:r>
    </w:p>
    <w:p>
      <w:pPr>
        <w:pStyle w:val="BodyText"/>
      </w:pPr>
      <w:r>
        <w:t xml:space="preserve">Pakatchi, Ahmad and Azita Afrashi.</w:t>
      </w:r>
      <w:r>
        <w:t xml:space="preserve"> </w:t>
      </w:r>
      <w:r>
        <w:rPr>
          <w:i/>
          <w:iCs/>
        </w:rPr>
        <w:t xml:space="preserve">Rūykardhā-yi Maʿnā-shinākhtī dar Muṭālaʿāt-i Qurʾānī</w:t>
      </w:r>
      <w:r>
        <w:t xml:space="preserve"> </w:t>
      </w:r>
      <w:r>
        <w:t xml:space="preserve">[Semantic Approaches in Qurʾānic Studies; in Persian]. Tehran: Pizhūhishgāh-i ʿUlūm-i Insānī va Muṭālaʿāt-i Farhangī, 1399 SH/2020.</w:t>
      </w:r>
    </w:p>
    <w:p>
      <w:pPr>
        <w:pStyle w:val="BodyText"/>
      </w:pPr>
      <w:r>
        <w:t xml:space="preserve">Qāʾimīniyā, ʿAlīriḍā.</w:t>
      </w:r>
      <w:r>
        <w:t xml:space="preserve"> </w:t>
      </w:r>
      <w:r>
        <w:rPr>
          <w:i/>
          <w:iCs/>
        </w:rPr>
        <w:t xml:space="preserve">Istiʿārah-hā-yi Mafhūmī wa Faḍāhā-yi Qurʾānī</w:t>
      </w:r>
      <w:r>
        <w:t xml:space="preserve"> </w:t>
      </w:r>
      <w:r>
        <w:t xml:space="preserve">[Conceptual Metaphors and Qurʾānic Spaces; in Persian]. Tehran: Pizhūhishgāh-i Farhang va Andīshah-i Islāmī, 1393 SH/2014. Original Persian title: «استعاره‌های مفهومی و فضاهای قرآنی».</w:t>
      </w:r>
    </w:p>
    <w:p>
      <w:pPr>
        <w:pStyle w:val="BodyText"/>
      </w:pPr>
      <w:r>
        <w:t xml:space="preserve">Qāʾimīniyā, ʿAlīriḍā.</w:t>
      </w:r>
      <w:r>
        <w:t xml:space="preserve"> </w:t>
      </w:r>
      <w:r>
        <w:rPr>
          <w:i/>
          <w:iCs/>
        </w:rPr>
        <w:t xml:space="preserve">Maʿnāshināsī-yi Shinākhtī-yi Qurʾān</w:t>
      </w:r>
      <w:r>
        <w:t xml:space="preserve"> </w:t>
      </w:r>
      <w:r>
        <w:t xml:space="preserve">[Cognitive Semantics of the Qurʾān; in Persian]. Tehran: Pizhūhishgāh-i Farhang va Andīshah-i Islāmī, 1390 SH/2011. Original Persian title: «معناشناسی شناختی قرآن».</w:t>
      </w:r>
    </w:p>
    <w:p>
      <w:pPr>
        <w:pStyle w:val="BodyText"/>
      </w:pPr>
      <w:r>
        <w:t xml:space="preserve">Qarizadeh, Muḥammad ʿO., Muḥammad ʿA. Salmani Marvast, Vali Meymandi and Bahram Farsi.</w:t>
      </w:r>
      <w:r>
        <w:t xml:space="preserve"> </w:t>
      </w:r>
      <w:r>
        <w:t xml:space="preserve">‘Polysemy of the Word</w:t>
      </w:r>
      <w:r>
        <w:t xml:space="preserve"> </w:t>
      </w:r>
      <w:r>
        <w:rPr>
          <w:i/>
          <w:iCs/>
        </w:rPr>
        <w:t xml:space="preserve">ṭughyān</w:t>
      </w:r>
      <w:r>
        <w:t xml:space="preserve"> </w:t>
      </w:r>
      <w:r>
        <w:t xml:space="preserve">in the Holy Qurʾān with a Linguistic Approach’</w:t>
      </w:r>
      <w:r>
        <w:t xml:space="preserve"> </w:t>
      </w:r>
      <w:r>
        <w:t xml:space="preserve">[in Persian].</w:t>
      </w:r>
      <w:r>
        <w:t xml:space="preserve"> </w:t>
      </w:r>
      <w:r>
        <w:rPr>
          <w:i/>
          <w:iCs/>
        </w:rPr>
        <w:t xml:space="preserve">Pizhūhish-hā-yi Zabānshinākhtī-yi Qurʾān</w:t>
      </w:r>
      <w:r>
        <w:t xml:space="preserve"> </w:t>
      </w:r>
      <w:r>
        <w:t xml:space="preserve">(University of Isfahan) (1402 SH/2024). Original Persian title: «چندمعنایی واژۀ</w:t>
      </w:r>
      <w:r>
        <w:t xml:space="preserve"> </w:t>
      </w:r>
      <w:r>
        <w:t xml:space="preserve">“طغیان”</w:t>
      </w:r>
      <w:r>
        <w:t xml:space="preserve"> </w:t>
      </w:r>
      <w:r>
        <w:t xml:space="preserve">در قرآن کریم با رویکردی بر زبان‌شناختی».</w:t>
      </w:r>
    </w:p>
    <w:bookmarkEnd w:id="188"/>
    <w:bookmarkStart w:id="189" w:name="english-language-scholarship"/>
    <w:p>
      <w:pPr>
        <w:pStyle w:val="Heading3"/>
      </w:pPr>
      <w:r>
        <w:t xml:space="preserve">English-Language Scholarship</w:t>
      </w:r>
    </w:p>
    <w:p>
      <w:pPr>
        <w:pStyle w:val="FirstParagraph"/>
      </w:pPr>
      <w:r>
        <w:t xml:space="preserve">Akra, Diyam, Tymaa Hammouda and Mustafa Jarrar.</w:t>
      </w:r>
      <w:r>
        <w:t xml:space="preserve"> </w:t>
      </w:r>
      <w:r>
        <w:rPr>
          <w:i/>
          <w:iCs/>
        </w:rPr>
        <w:t xml:space="preserve">QuranMorph: Morphologically Annotated Quranic Corpus</w:t>
      </w:r>
      <w:r>
        <w:t xml:space="preserve">. arXiv preprint 2506.18148. 2025. https://arxiv.org/abs/2506.18148.</w:t>
      </w:r>
    </w:p>
    <w:p>
      <w:pPr>
        <w:pStyle w:val="BodyText"/>
      </w:pPr>
      <w:r>
        <w:t xml:space="preserve">Albayrak, Ismail.</w:t>
      </w:r>
      <w:r>
        <w:t xml:space="preserve"> </w:t>
      </w:r>
      <w:r>
        <w:t xml:space="preserve">‘Semantics of the Qurʾānic Weltanschauung: A Critical Analysis of Toshihiko Izutsu’s Works’</w:t>
      </w:r>
      <w:r>
        <w:t xml:space="preserve">.</w:t>
      </w:r>
      <w:r>
        <w:t xml:space="preserve"> </w:t>
      </w:r>
      <w:r>
        <w:rPr>
          <w:i/>
          <w:iCs/>
        </w:rPr>
        <w:t xml:space="preserve">American Journal of Islam and Society</w:t>
      </w:r>
      <w:r>
        <w:t xml:space="preserve"> </w:t>
      </w:r>
      <w:r>
        <w:t xml:space="preserve">37:1-2 (2020). https://ajis.org/index.php/ajiss/article/view/387.</w:t>
      </w:r>
    </w:p>
    <w:p>
      <w:pPr>
        <w:pStyle w:val="BodyText"/>
      </w:pPr>
      <w:r>
        <w:t xml:space="preserve">Almuhanna, Muneera et al. </w:t>
      </w:r>
      <w:r>
        <w:t xml:space="preserve">‘Sentiment Preservation in Quran Translation with Artificial Intelligence Approach: Study in Reputable English Translation of the Quran’</w:t>
      </w:r>
      <w:r>
        <w:t xml:space="preserve"> </w:t>
      </w:r>
      <w:r>
        <w:t xml:space="preserve">(placeholder version; see Gaanoun and Alsuhaibani 2025 for canonical attribution).</w:t>
      </w:r>
      <w:r>
        <w:t xml:space="preserve"> </w:t>
      </w:r>
      <w:r>
        <w:rPr>
          <w:i/>
          <w:iCs/>
        </w:rPr>
        <w:t xml:space="preserve">Humanities and Social Sciences Communications</w:t>
      </w:r>
      <w:r>
        <w:t xml:space="preserve"> </w:t>
      </w:r>
      <w:r>
        <w:t xml:space="preserve">12:1 (2025), Article 04181. DOI: 10.1057/s41599-024-04181-0.</w:t>
      </w:r>
    </w:p>
    <w:p>
      <w:pPr>
        <w:pStyle w:val="BodyText"/>
      </w:pPr>
      <w:r>
        <w:t xml:space="preserve">Averill, James R.</w:t>
      </w:r>
      <w:r>
        <w:t xml:space="preserve"> </w:t>
      </w:r>
      <w:r>
        <w:rPr>
          <w:i/>
          <w:iCs/>
        </w:rPr>
        <w:t xml:space="preserve">Anger and Aggression: An Essay on Emotion</w:t>
      </w:r>
      <w:r>
        <w:t xml:space="preserve">. New York: Springer-Verlag, 1982.</w:t>
      </w:r>
    </w:p>
    <w:p>
      <w:pPr>
        <w:pStyle w:val="BodyText"/>
      </w:pPr>
      <w:r>
        <w:t xml:space="preserve">Berkowitz, Leonard.</w:t>
      </w:r>
      <w:r>
        <w:t xml:space="preserve"> </w:t>
      </w:r>
      <w:r>
        <w:rPr>
          <w:i/>
          <w:iCs/>
        </w:rPr>
        <w:t xml:space="preserve">Aggression: Its Causes, Consequences, and Control</w:t>
      </w:r>
      <w:r>
        <w:t xml:space="preserve">. New York: McGraw-Hill, 1993.</w:t>
      </w:r>
    </w:p>
    <w:p>
      <w:pPr>
        <w:pStyle w:val="BodyText"/>
      </w:pPr>
      <w:r>
        <w:t xml:space="preserve">Bodi, Daniel.</w:t>
      </w:r>
      <w:r>
        <w:t xml:space="preserve"> </w:t>
      </w:r>
      <w:r>
        <w:t xml:space="preserve">‘An Akkadian-Aramaic Idiomatic Expression in Ezekiel 16:30</w:t>
      </w:r>
      <w:r>
        <w:t xml:space="preserve"> </w:t>
      </w:r>
      <w:r>
        <w:rPr>
          <w:i/>
          <w:iCs/>
        </w:rPr>
        <w:t xml:space="preserve">amūlâ libbātēk</w:t>
      </w:r>
      <w:r>
        <w:t xml:space="preserve"> </w:t>
      </w:r>
      <w:r>
        <w:t xml:space="preserve">“I am filled with anger against you,”</w:t>
      </w:r>
      <w:r>
        <w:t xml:space="preserve"> </w:t>
      </w:r>
      <w:r>
        <w:t xml:space="preserve">and Remarks on the Languages in Persian Times’</w:t>
      </w:r>
      <w:r>
        <w:t xml:space="preserve">.</w:t>
      </w:r>
      <w:r>
        <w:t xml:space="preserve"> </w:t>
      </w:r>
      <w:r>
        <w:rPr>
          <w:i/>
          <w:iCs/>
        </w:rPr>
        <w:t xml:space="preserve">Transeuphratène</w:t>
      </w:r>
      <w:r>
        <w:t xml:space="preserve"> </w:t>
      </w:r>
      <w:r>
        <w:t xml:space="preserve">50 (2018), pp. 13-38.</w:t>
      </w:r>
    </w:p>
    <w:p>
      <w:pPr>
        <w:pStyle w:val="BodyText"/>
      </w:pPr>
      <w:r>
        <w:t xml:space="preserve">Cairns, Douglas L.</w:t>
      </w:r>
      <w:r>
        <w:t xml:space="preserve"> </w:t>
      </w:r>
      <w:r>
        <w:t xml:space="preserve">‘Ethics, Ethology, Terminology: Iliadic Anger and the Cross-cultural Study of Emotion’</w:t>
      </w:r>
      <w:r>
        <w:t xml:space="preserve">. In Susanna Braund and Glenn W. Most (eds),</w:t>
      </w:r>
      <w:r>
        <w:t xml:space="preserve"> </w:t>
      </w:r>
      <w:r>
        <w:rPr>
          <w:i/>
          <w:iCs/>
        </w:rPr>
        <w:t xml:space="preserve">Ancient Anger: Perspectives from Homer to Galen</w:t>
      </w:r>
      <w:r>
        <w:t xml:space="preserve">, Yale Classical Studies 32, pp. 11-49. Cambridge: Cambridge University Press, 2003.</w:t>
      </w:r>
    </w:p>
    <w:p>
      <w:pPr>
        <w:pStyle w:val="BodyText"/>
      </w:pPr>
      <w:r>
        <w:rPr>
          <w:i/>
          <w:iCs/>
        </w:rPr>
        <w:t xml:space="preserve">Chicago Assyrian Dictionary (CAD)</w:t>
      </w:r>
      <w:r>
        <w:t xml:space="preserve">. Edited by Martha T. Roth et al. 21 vols. Chicago: The Oriental Institute, 1956-2010. (Cited as CAD with volume letter and page; e.g. CAD L 163-164 s.v. </w:t>
      </w:r>
      <w:r>
        <w:rPr>
          <w:i/>
          <w:iCs/>
        </w:rPr>
        <w:t xml:space="preserve">labābu</w:t>
      </w:r>
      <w:r>
        <w:t xml:space="preserve">,</w:t>
      </w:r>
      <w:r>
        <w:t xml:space="preserve"> </w:t>
      </w:r>
      <w:r>
        <w:rPr>
          <w:i/>
          <w:iCs/>
        </w:rPr>
        <w:t xml:space="preserve">libbātu malû</w:t>
      </w:r>
      <w:r>
        <w:t xml:space="preserve">.)</w:t>
      </w:r>
    </w:p>
    <w:p>
      <w:pPr>
        <w:pStyle w:val="BodyText"/>
      </w:pPr>
      <w:r>
        <w:t xml:space="preserve">Agresti, Alan.</w:t>
      </w:r>
      <w:r>
        <w:t xml:space="preserve"> </w:t>
      </w:r>
      <w:r>
        <w:rPr>
          <w:i/>
          <w:iCs/>
        </w:rPr>
        <w:t xml:space="preserve">Categorical Data Analysis</w:t>
      </w:r>
      <w:r>
        <w:t xml:space="preserve">. 3rd edn. Wiley Series in Probability and Statistics. Hoboken, NJ: John Wiley &amp; Sons, 2013. (Cited at §3.5 for exact-conditional inference on sparse contingency tables.)</w:t>
      </w:r>
    </w:p>
    <w:p>
      <w:pPr>
        <w:pStyle w:val="BodyText"/>
      </w:pPr>
      <w:r>
        <w:t xml:space="preserve">Cochran, William G.</w:t>
      </w:r>
      <w:r>
        <w:t xml:space="preserve"> </w:t>
      </w:r>
      <w:r>
        <w:t xml:space="preserve">‘Some Methods for Strengthening the Common χ² Tests’</w:t>
      </w:r>
      <w:r>
        <w:t xml:space="preserve">.</w:t>
      </w:r>
      <w:r>
        <w:t xml:space="preserve"> </w:t>
      </w:r>
      <w:r>
        <w:rPr>
          <w:i/>
          <w:iCs/>
        </w:rPr>
        <w:t xml:space="preserve">Biometrics</w:t>
      </w:r>
      <w:r>
        <w:t xml:space="preserve"> </w:t>
      </w:r>
      <w:r>
        <w:t xml:space="preserve">10:4 (1954), pp. 417-451. DOI: 10.2307/3001616.</w:t>
      </w:r>
    </w:p>
    <w:p>
      <w:pPr>
        <w:pStyle w:val="BodyText"/>
      </w:pPr>
      <w:r>
        <w:t xml:space="preserve">Cogent Authors.</w:t>
      </w:r>
      <w:r>
        <w:t xml:space="preserve"> </w:t>
      </w:r>
      <w:r>
        <w:t xml:space="preserve">‘Semantic Untranslatability in Qurʾānic Discourse: Challenges and Contextual Remedies in English Translation’</w:t>
      </w:r>
      <w:r>
        <w:t xml:space="preserve">.</w:t>
      </w:r>
      <w:r>
        <w:t xml:space="preserve"> </w:t>
      </w:r>
      <w:r>
        <w:rPr>
          <w:i/>
          <w:iCs/>
        </w:rPr>
        <w:t xml:space="preserve">Cogent Arts &amp; Humanities</w:t>
      </w:r>
      <w:r>
        <w:t xml:space="preserve"> </w:t>
      </w:r>
      <w:r>
        <w:t xml:space="preserve">(2025). DOI: 10.1080/23311983.2025.2542336. (Author attribution unresolved in source bibliography; to be updated on author follow-up.)</w:t>
      </w:r>
    </w:p>
    <w:p>
      <w:pPr>
        <w:pStyle w:val="BodyText"/>
      </w:pPr>
      <w:r>
        <w:t xml:space="preserve">Derki, Mohamed.</w:t>
      </w:r>
      <w:r>
        <w:t xml:space="preserve"> </w:t>
      </w:r>
      <w:r>
        <w:t xml:space="preserve">‘Conceptualization of Anger in Modern Standard Arabic and English: A Comparative Study’</w:t>
      </w:r>
      <w:r>
        <w:t xml:space="preserve">.</w:t>
      </w:r>
      <w:r>
        <w:t xml:space="preserve"> </w:t>
      </w:r>
      <w:r>
        <w:rPr>
          <w:i/>
          <w:iCs/>
        </w:rPr>
        <w:t xml:space="preserve">Professional Discourse and Communication</w:t>
      </w:r>
      <w:r>
        <w:t xml:space="preserve"> </w:t>
      </w:r>
      <w:r>
        <w:t xml:space="preserve">(2022). https://www.pdc-journal.com/jour/article/view/168.</w:t>
      </w:r>
    </w:p>
    <w:p>
      <w:pPr>
        <w:pStyle w:val="BodyText"/>
      </w:pPr>
      <w:r>
        <w:t xml:space="preserve">Dukes, Kais.</w:t>
      </w:r>
      <w:r>
        <w:t xml:space="preserve"> </w:t>
      </w:r>
      <w:r>
        <w:rPr>
          <w:i/>
          <w:iCs/>
        </w:rPr>
        <w:t xml:space="preserve">Quranic Arabic Corpus (Morphology, Version 0.4)</w:t>
      </w:r>
      <w:r>
        <w:t xml:space="preserve">. Leeds: University of Leeds, 2011. https://corpus.quran.com (GPL-licensed).</w:t>
      </w:r>
    </w:p>
    <w:p>
      <w:pPr>
        <w:pStyle w:val="BodyText"/>
      </w:pPr>
      <w:r>
        <w:t xml:space="preserve">El-Awa, Salwa M. S.</w:t>
      </w:r>
      <w:r>
        <w:t xml:space="preserve"> </w:t>
      </w:r>
      <w:r>
        <w:rPr>
          <w:i/>
          <w:iCs/>
        </w:rPr>
        <w:t xml:space="preserve">Textual Relations in the Qurʾan: Relevance, Coherence and Structure</w:t>
      </w:r>
      <w:r>
        <w:t xml:space="preserve">. Routledge Studies in the Qurʾan. London and New York: Routledge, 2006.</w:t>
      </w:r>
    </w:p>
    <w:p>
      <w:pPr>
        <w:pStyle w:val="BodyText"/>
      </w:pPr>
      <w:r>
        <w:t xml:space="preserve">ELQV Authors.</w:t>
      </w:r>
      <w:r>
        <w:t xml:space="preserve"> </w:t>
      </w:r>
      <w:r>
        <w:t xml:space="preserve">‘Leveraging Large Language Models for Detecting and Preserving Emotions in Quran Translations (introducing the ELQV dataset)’</w:t>
      </w:r>
      <w:r>
        <w:t xml:space="preserve">.</w:t>
      </w:r>
      <w:r>
        <w:t xml:space="preserve"> </w:t>
      </w:r>
      <w:r>
        <w:rPr>
          <w:i/>
          <w:iCs/>
        </w:rPr>
        <w:t xml:space="preserve">Journal of King Saud University – Computer and Information Sciences</w:t>
      </w:r>
      <w:r>
        <w:t xml:space="preserve"> </w:t>
      </w:r>
      <w:r>
        <w:t xml:space="preserve">37 (2025), Article 271. DOI: 10.1007/s44443-025-00269-y. (Author attribution unresolved in source bibliography; to be updated on author follow-up.)</w:t>
      </w:r>
    </w:p>
    <w:p>
      <w:pPr>
        <w:pStyle w:val="BodyText"/>
      </w:pPr>
      <w:r>
        <w:t xml:space="preserve">Fisher, Ronald A.</w:t>
      </w:r>
      <w:r>
        <w:t xml:space="preserve"> </w:t>
      </w:r>
      <w:r>
        <w:t xml:space="preserve">‘On the Interpretation of χ² from Contingency Tables, and the Calculation of</w:t>
      </w:r>
      <w:r>
        <w:t xml:space="preserve"> </w:t>
      </w:r>
      <w:r>
        <w:rPr>
          <w:i/>
          <w:iCs/>
        </w:rPr>
        <w:t xml:space="preserve">P</w:t>
      </w:r>
      <w:r>
        <w:t xml:space="preserve">’</w:t>
      </w:r>
      <w:r>
        <w:t xml:space="preserve">.</w:t>
      </w:r>
      <w:r>
        <w:t xml:space="preserve"> </w:t>
      </w:r>
      <w:r>
        <w:rPr>
          <w:i/>
          <w:iCs/>
        </w:rPr>
        <w:t xml:space="preserve">Journal of the Royal Statistical Society</w:t>
      </w:r>
      <w:r>
        <w:t xml:space="preserve"> </w:t>
      </w:r>
      <w:r>
        <w:t xml:space="preserve">85:1 (1922), pp. 87-94. DOI: 10.2307/2340521.</w:t>
      </w:r>
    </w:p>
    <w:p>
      <w:pPr>
        <w:pStyle w:val="BodyText"/>
      </w:pPr>
      <w:r>
        <w:t xml:space="preserve">Frijda, Nico H.</w:t>
      </w:r>
      <w:r>
        <w:t xml:space="preserve"> </w:t>
      </w:r>
      <w:r>
        <w:rPr>
          <w:i/>
          <w:iCs/>
        </w:rPr>
        <w:t xml:space="preserve">The Emotions</w:t>
      </w:r>
      <w:r>
        <w:t xml:space="preserve">. Studies in Emotion and Social Interaction. Cambridge and Paris: Cambridge University Press and Éditions de la Maison des Sciences de l’Homme, 1986.</w:t>
      </w:r>
    </w:p>
    <w:p>
      <w:pPr>
        <w:pStyle w:val="BodyText"/>
      </w:pPr>
      <w:r>
        <w:t xml:space="preserve">Gaanoun, Karim and Mohammed Alsuhaibani.</w:t>
      </w:r>
      <w:r>
        <w:t xml:space="preserve"> </w:t>
      </w:r>
      <w:r>
        <w:t xml:space="preserve">‘Sentiment Preservation in Quran Translation with Artificial Intelligence Approach: Study in Reputable English Translation of the Quran’</w:t>
      </w:r>
      <w:r>
        <w:t xml:space="preserve">.</w:t>
      </w:r>
      <w:r>
        <w:t xml:space="preserve"> </w:t>
      </w:r>
      <w:r>
        <w:rPr>
          <w:i/>
          <w:iCs/>
        </w:rPr>
        <w:t xml:space="preserve">Humanities and Social Sciences Communications</w:t>
      </w:r>
      <w:r>
        <w:t xml:space="preserve"> </w:t>
      </w:r>
      <w:r>
        <w:t xml:space="preserve">12:1 (2025). DOI: 10.1057/s41599-024-04181-0. (Authoritative attribution; supersedes the placeholder Almuhanna et al. 2025 entry.)</w:t>
      </w:r>
    </w:p>
    <w:p>
      <w:pPr>
        <w:pStyle w:val="BodyText"/>
      </w:pPr>
      <w:r>
        <w:t xml:space="preserve">Gross, James J.</w:t>
      </w:r>
      <w:r>
        <w:t xml:space="preserve"> </w:t>
      </w:r>
      <w:r>
        <w:t xml:space="preserve">‘The Emerging Field of Emotion Regulation: An Integrative Review’</w:t>
      </w:r>
      <w:r>
        <w:t xml:space="preserve">.</w:t>
      </w:r>
      <w:r>
        <w:t xml:space="preserve"> </w:t>
      </w:r>
      <w:r>
        <w:rPr>
          <w:i/>
          <w:iCs/>
        </w:rPr>
        <w:t xml:space="preserve">Review of General Psychology</w:t>
      </w:r>
      <w:r>
        <w:t xml:space="preserve"> </w:t>
      </w:r>
      <w:r>
        <w:t xml:space="preserve">2:3 (1998), pp. 271-299.</w:t>
      </w:r>
    </w:p>
    <w:p>
      <w:pPr>
        <w:pStyle w:val="BodyText"/>
      </w:pPr>
      <w:r>
        <w:t xml:space="preserve">Gross, James J. (ed.).</w:t>
      </w:r>
      <w:r>
        <w:t xml:space="preserve"> </w:t>
      </w:r>
      <w:r>
        <w:rPr>
          <w:i/>
          <w:iCs/>
        </w:rPr>
        <w:t xml:space="preserve">Handbook of Emotion Regulation</w:t>
      </w:r>
      <w:r>
        <w:t xml:space="preserve">. 2nd edn. New York: Guilford Press, 2014.</w:t>
      </w:r>
    </w:p>
    <w:p>
      <w:pPr>
        <w:pStyle w:val="BodyText"/>
      </w:pPr>
      <w:r>
        <w:t xml:space="preserve">Gross, James J.</w:t>
      </w:r>
      <w:r>
        <w:t xml:space="preserve"> </w:t>
      </w:r>
      <w:r>
        <w:t xml:space="preserve">‘Emotion Regulation: Current Status and Future Prospects’</w:t>
      </w:r>
      <w:r>
        <w:t xml:space="preserve">.</w:t>
      </w:r>
      <w:r>
        <w:t xml:space="preserve"> </w:t>
      </w:r>
      <w:r>
        <w:rPr>
          <w:i/>
          <w:iCs/>
        </w:rPr>
        <w:t xml:space="preserve">Psychological Inquiry</w:t>
      </w:r>
      <w:r>
        <w:t xml:space="preserve"> </w:t>
      </w:r>
      <w:r>
        <w:t xml:space="preserve">26:1 (2015), pp. 1-26.</w:t>
      </w:r>
    </w:p>
    <w:p>
      <w:pPr>
        <w:pStyle w:val="BodyText"/>
      </w:pPr>
      <w:r>
        <w:t xml:space="preserve">IJCP Authors.</w:t>
      </w:r>
      <w:r>
        <w:t xml:space="preserve"> </w:t>
      </w:r>
      <w:r>
        <w:t xml:space="preserve">‘The Concept of Emotions in Islamic Counseling: A Thematic Analysis of Fear, Anger, Sadness, and Shame According to the Qurʾān and Ḥadīth’</w:t>
      </w:r>
      <w:r>
        <w:t xml:space="preserve">.</w:t>
      </w:r>
      <w:r>
        <w:t xml:space="preserve"> </w:t>
      </w:r>
      <w:r>
        <w:rPr>
          <w:i/>
          <w:iCs/>
        </w:rPr>
        <w:t xml:space="preserve">International Journal of Counseling and Psychotherapy (Aeducia)</w:t>
      </w:r>
      <w:r>
        <w:t xml:space="preserve"> </w:t>
      </w:r>
      <w:r>
        <w:t xml:space="preserve">(2023), Article 311. (Author attribution unresolved in source bibliography; to be updated on author follow-up.)</w:t>
      </w:r>
    </w:p>
    <w:p>
      <w:pPr>
        <w:pStyle w:val="BodyText"/>
      </w:pPr>
      <w:r>
        <w:t xml:space="preserve">Izutsu, Toshihiko.</w:t>
      </w:r>
      <w:r>
        <w:t xml:space="preserve"> </w:t>
      </w:r>
      <w:r>
        <w:rPr>
          <w:i/>
          <w:iCs/>
        </w:rPr>
        <w:t xml:space="preserve">Ethico-Religious Concepts in the Qurʾān</w:t>
      </w:r>
      <w:r>
        <w:t xml:space="preserve">. Revised edn. Montreal: McGill-Queen’s University Press, 2002 (orig. 1966).</w:t>
      </w:r>
    </w:p>
    <w:p>
      <w:pPr>
        <w:pStyle w:val="BodyText"/>
      </w:pPr>
      <w:r>
        <w:t xml:space="preserve">Izutsu, Toshihiko.</w:t>
      </w:r>
      <w:r>
        <w:t xml:space="preserve"> </w:t>
      </w:r>
      <w:r>
        <w:rPr>
          <w:i/>
          <w:iCs/>
        </w:rPr>
        <w:t xml:space="preserve">God and Man in the Koran: Semantics of the Koranic Weltanschauung</w:t>
      </w:r>
      <w:r>
        <w:t xml:space="preserve">. Tokyo: Keio Institute of Cultural and Linguistic Studies, 1964.</w:t>
      </w:r>
    </w:p>
    <w:p>
      <w:pPr>
        <w:pStyle w:val="BodyText"/>
      </w:pPr>
      <w:r>
        <w:t xml:space="preserve">Izutsu, Toshihiko.</w:t>
      </w:r>
      <w:r>
        <w:t xml:space="preserve"> </w:t>
      </w:r>
      <w:r>
        <w:rPr>
          <w:i/>
          <w:iCs/>
        </w:rPr>
        <w:t xml:space="preserve">The Structure of the Ethical Terms in the Koran: A Study in Semantics</w:t>
      </w:r>
      <w:r>
        <w:t xml:space="preserve">. Studies in the Humanities and Social Relations 2. Tokyo: Keio Institute of Philological Studies, 1959.</w:t>
      </w:r>
    </w:p>
    <w:p>
      <w:pPr>
        <w:pStyle w:val="BodyText"/>
      </w:pPr>
      <w:r>
        <w:t xml:space="preserve">Jamison, Stephanie W. and Joel P. Brereton.</w:t>
      </w:r>
      <w:r>
        <w:t xml:space="preserve"> </w:t>
      </w:r>
      <w:r>
        <w:rPr>
          <w:i/>
          <w:iCs/>
        </w:rPr>
        <w:t xml:space="preserve">The Rigveda: The Earliest Religious Poetry of India</w:t>
      </w:r>
      <w:r>
        <w:t xml:space="preserve">. 3 vols. New York: Oxford University Press, 2014.</w:t>
      </w:r>
    </w:p>
    <w:p>
      <w:pPr>
        <w:pStyle w:val="BodyText"/>
      </w:pPr>
      <w:r>
        <w:t xml:space="preserve">Kassinove, Howard and Raymond Chip Tafrate.</w:t>
      </w:r>
      <w:r>
        <w:t xml:space="preserve"> </w:t>
      </w:r>
      <w:r>
        <w:rPr>
          <w:i/>
          <w:iCs/>
        </w:rPr>
        <w:t xml:space="preserve">Anger Management: The Complete Treatment Guidebook for Practitioners</w:t>
      </w:r>
      <w:r>
        <w:t xml:space="preserve">. Atascadero, CA: Impact Publishers, 2002.</w:t>
      </w:r>
    </w:p>
    <w:p>
      <w:pPr>
        <w:pStyle w:val="BodyText"/>
      </w:pPr>
      <w:r>
        <w:t xml:space="preserve">Kennedy, Christopher.</w:t>
      </w:r>
      <w:r>
        <w:t xml:space="preserve"> </w:t>
      </w:r>
      <w:r>
        <w:rPr>
          <w:i/>
          <w:iCs/>
        </w:rPr>
        <w:t xml:space="preserve">Projecting the Adjective: The Syntax and Semantics of Gradability and Comparison</w:t>
      </w:r>
      <w:r>
        <w:t xml:space="preserve">. Outstanding Dissertations in Linguistics. New York: Garland, 1999.</w:t>
      </w:r>
    </w:p>
    <w:p>
      <w:pPr>
        <w:pStyle w:val="BodyText"/>
      </w:pPr>
      <w:r>
        <w:t xml:space="preserve">Kennedy, Christopher.</w:t>
      </w:r>
      <w:r>
        <w:t xml:space="preserve"> </w:t>
      </w:r>
      <w:r>
        <w:t xml:space="preserve">‘Vagueness and Grammar: The Semantics of Relative and Absolute Gradable Adjectives’</w:t>
      </w:r>
      <w:r>
        <w:t xml:space="preserve">.</w:t>
      </w:r>
      <w:r>
        <w:t xml:space="preserve"> </w:t>
      </w:r>
      <w:r>
        <w:rPr>
          <w:i/>
          <w:iCs/>
        </w:rPr>
        <w:t xml:space="preserve">Linguistics and Philosophy</w:t>
      </w:r>
      <w:r>
        <w:t xml:space="preserve"> </w:t>
      </w:r>
      <w:r>
        <w:t xml:space="preserve">30:1 (2007), pp. 1-45.</w:t>
      </w:r>
    </w:p>
    <w:p>
      <w:pPr>
        <w:pStyle w:val="BodyText"/>
      </w:pPr>
      <w:r>
        <w:t xml:space="preserve">Khan, M. T. et al. </w:t>
      </w:r>
      <w:r>
        <w:t xml:space="preserve">‘A Literature Review on Natural Language Processing Techniques for Qurʾānic Studies: Challenges and Insights’</w:t>
      </w:r>
      <w:r>
        <w:t xml:space="preserve">.</w:t>
      </w:r>
      <w:r>
        <w:t xml:space="preserve"> </w:t>
      </w:r>
      <w:r>
        <w:rPr>
          <w:i/>
          <w:iCs/>
        </w:rPr>
        <w:t xml:space="preserve">Frontiers in Signal Processing</w:t>
      </w:r>
      <w:r>
        <w:t xml:space="preserve"> </w:t>
      </w:r>
      <w:r>
        <w:t xml:space="preserve">5 (2025), 1535166. DOI: 10.3389/frsip.2025.1535166.</w:t>
      </w:r>
    </w:p>
    <w:p>
      <w:pPr>
        <w:pStyle w:val="BodyText"/>
      </w:pPr>
      <w:r>
        <w:t xml:space="preserve">Kövecses, Zoltán.</w:t>
      </w:r>
      <w:r>
        <w:t xml:space="preserve"> </w:t>
      </w:r>
      <w:r>
        <w:rPr>
          <w:i/>
          <w:iCs/>
        </w:rPr>
        <w:t xml:space="preserve">Metaphor and Emotion: Language, Culture, and Body in Human Feeling</w:t>
      </w:r>
      <w:r>
        <w:t xml:space="preserve">. Cambridge: Cambridge University Press, 2000.</w:t>
      </w:r>
    </w:p>
    <w:p>
      <w:pPr>
        <w:pStyle w:val="BodyText"/>
      </w:pPr>
      <w:r>
        <w:t xml:space="preserve">Kövecses, Zoltán.</w:t>
      </w:r>
      <w:r>
        <w:t xml:space="preserve"> </w:t>
      </w:r>
      <w:r>
        <w:rPr>
          <w:i/>
          <w:iCs/>
        </w:rPr>
        <w:t xml:space="preserve">Metaphor: A Practical Introduction</w:t>
      </w:r>
      <w:r>
        <w:t xml:space="preserve">. 2nd edn. Oxford: Oxford University Press, 2010.</w:t>
      </w:r>
    </w:p>
    <w:p>
      <w:pPr>
        <w:pStyle w:val="BodyText"/>
      </w:pPr>
      <w:r>
        <w:t xml:space="preserve">Kövecses, Zoltán.</w:t>
      </w:r>
      <w:r>
        <w:t xml:space="preserve"> </w:t>
      </w:r>
      <w:r>
        <w:rPr>
          <w:i/>
          <w:iCs/>
        </w:rPr>
        <w:t xml:space="preserve">Metaphors of Anger, Pride, and Love: A Lexical Approach to the Structure of Concepts</w:t>
      </w:r>
      <w:r>
        <w:t xml:space="preserve">. Pragmatics &amp; Beyond VII:8. Amsterdam: John Benjamins, 1986.</w:t>
      </w:r>
    </w:p>
    <w:p>
      <w:pPr>
        <w:pStyle w:val="BodyText"/>
      </w:pPr>
      <w:r>
        <w:t xml:space="preserve">Kövecses, Zoltán, Réka Benczes and Veronika Szelid (eds).</w:t>
      </w:r>
      <w:r>
        <w:t xml:space="preserve"> </w:t>
      </w:r>
      <w:r>
        <w:rPr>
          <w:i/>
          <w:iCs/>
        </w:rPr>
        <w:t xml:space="preserve">Metaphors of ANGER across Languages: Universality and Variation</w:t>
      </w:r>
      <w:r>
        <w:t xml:space="preserve">. 2 vols. Comparative Handbooks of Linguistics 8. Berlin and Boston: De Gruyter Mouton, 2025. DOI: 10.1515/9783110730999.</w:t>
      </w:r>
    </w:p>
    <w:p>
      <w:pPr>
        <w:pStyle w:val="BodyText"/>
      </w:pPr>
      <w:r>
        <w:t xml:space="preserve">Kruger, Paul A.</w:t>
      </w:r>
      <w:r>
        <w:t xml:space="preserve"> </w:t>
      </w:r>
      <w:r>
        <w:t xml:space="preserve">‘A Cognitive Interpretation of the Emotion of Anger in the Hebrew Bible’</w:t>
      </w:r>
      <w:r>
        <w:t xml:space="preserve">.</w:t>
      </w:r>
      <w:r>
        <w:t xml:space="preserve"> </w:t>
      </w:r>
      <w:r>
        <w:rPr>
          <w:i/>
          <w:iCs/>
        </w:rPr>
        <w:t xml:space="preserve">Journal of Northwest Semitic Languages</w:t>
      </w:r>
      <w:r>
        <w:t xml:space="preserve"> </w:t>
      </w:r>
      <w:r>
        <w:t xml:space="preserve">26:1 (2000), pp. 181-193.</w:t>
      </w:r>
    </w:p>
    <w:p>
      <w:pPr>
        <w:pStyle w:val="BodyText"/>
      </w:pPr>
      <w:r>
        <w:t xml:space="preserve">Kruger, Paul A.</w:t>
      </w:r>
      <w:r>
        <w:t xml:space="preserve"> </w:t>
      </w:r>
      <w:r>
        <w:t xml:space="preserve">‘Emotions in the Hebrew Bible: A Few Observations on Prospects and Challenges’</w:t>
      </w:r>
      <w:r>
        <w:t xml:space="preserve">.</w:t>
      </w:r>
      <w:r>
        <w:t xml:space="preserve"> </w:t>
      </w:r>
      <w:r>
        <w:rPr>
          <w:i/>
          <w:iCs/>
        </w:rPr>
        <w:t xml:space="preserve">Old Testament Essays</w:t>
      </w:r>
      <w:r>
        <w:t xml:space="preserve"> </w:t>
      </w:r>
      <w:r>
        <w:t xml:space="preserve">28:2 (2015), pp. 395-420.</w:t>
      </w:r>
    </w:p>
    <w:p>
      <w:pPr>
        <w:pStyle w:val="BodyText"/>
      </w:pPr>
      <w:r>
        <w:t xml:space="preserve">Lakoff, George and Mark Johnson.</w:t>
      </w:r>
      <w:r>
        <w:t xml:space="preserve"> </w:t>
      </w:r>
      <w:r>
        <w:rPr>
          <w:i/>
          <w:iCs/>
        </w:rPr>
        <w:t xml:space="preserve">Metaphors We Live By</w:t>
      </w:r>
      <w:r>
        <w:t xml:space="preserve">. Chicago: University of Chicago Press, 1980.</w:t>
      </w:r>
    </w:p>
    <w:p>
      <w:pPr>
        <w:pStyle w:val="BodyText"/>
      </w:pPr>
      <w:r>
        <w:t xml:space="preserve">Lakoff, George and Zoltán Kövecses.</w:t>
      </w:r>
      <w:r>
        <w:t xml:space="preserve"> </w:t>
      </w:r>
      <w:r>
        <w:t xml:space="preserve">‘The Cognitive Model of Anger Inherent in American English’</w:t>
      </w:r>
      <w:r>
        <w:t xml:space="preserve">. In Dorothy Holland and Naomi Quinn (eds),</w:t>
      </w:r>
      <w:r>
        <w:t xml:space="preserve"> </w:t>
      </w:r>
      <w:r>
        <w:rPr>
          <w:i/>
          <w:iCs/>
        </w:rPr>
        <w:t xml:space="preserve">Cultural Models in Language and Thought</w:t>
      </w:r>
      <w:r>
        <w:t xml:space="preserve">, pp. 195-221. Cambridge: Cambridge University Press, 1987.</w:t>
      </w:r>
    </w:p>
    <w:p>
      <w:pPr>
        <w:pStyle w:val="BodyText"/>
      </w:pPr>
      <w:r>
        <w:t xml:space="preserve">Lauri, Juha, Saana Svärd, Tero Alstola, Heidi Jauhiainen, Aleksi Sahala, Krister Lindén, Mikko Sams and Lauri Nummenmaa.</w:t>
      </w:r>
      <w:r>
        <w:t xml:space="preserve"> </w:t>
      </w:r>
      <w:r>
        <w:t xml:space="preserve">‘Embodied Emotions in Ancient Neo-Assyrian Texts Revealed by Bodily Mapping of Emotional Semantics’</w:t>
      </w:r>
      <w:r>
        <w:t xml:space="preserve">.</w:t>
      </w:r>
      <w:r>
        <w:t xml:space="preserve"> </w:t>
      </w:r>
      <w:r>
        <w:rPr>
          <w:i/>
          <w:iCs/>
        </w:rPr>
        <w:t xml:space="preserve">iScience</w:t>
      </w:r>
      <w:r>
        <w:t xml:space="preserve"> </w:t>
      </w:r>
      <w:r>
        <w:t xml:space="preserve">27:12 (2024), 111365. DOI: 10.1016/j.isci.2024.111365.</w:t>
      </w:r>
    </w:p>
    <w:p>
      <w:pPr>
        <w:pStyle w:val="BodyText"/>
      </w:pPr>
      <w:r>
        <w:t xml:space="preserve">Lazarus, Richard S.</w:t>
      </w:r>
      <w:r>
        <w:t xml:space="preserve"> </w:t>
      </w:r>
      <w:r>
        <w:rPr>
          <w:i/>
          <w:iCs/>
        </w:rPr>
        <w:t xml:space="preserve">Emotion and Adaptation</w:t>
      </w:r>
      <w:r>
        <w:t xml:space="preserve">. New York: Oxford University Press, 1991.</w:t>
      </w:r>
    </w:p>
    <w:p>
      <w:pPr>
        <w:pStyle w:val="BodyText"/>
      </w:pPr>
      <w:r>
        <w:t xml:space="preserve">Maalej, Zouheir.</w:t>
      </w:r>
      <w:r>
        <w:t xml:space="preserve"> </w:t>
      </w:r>
      <w:r>
        <w:t xml:space="preserve">‘Figurative Language in Anger Expressions in Tunisian Arabic: An Extended View of Embodiment’</w:t>
      </w:r>
      <w:r>
        <w:t xml:space="preserve">.</w:t>
      </w:r>
      <w:r>
        <w:t xml:space="preserve"> </w:t>
      </w:r>
      <w:r>
        <w:rPr>
          <w:i/>
          <w:iCs/>
        </w:rPr>
        <w:t xml:space="preserve">Metaphor and Symbol</w:t>
      </w:r>
      <w:r>
        <w:t xml:space="preserve"> </w:t>
      </w:r>
      <w:r>
        <w:t xml:space="preserve">19:1 (2004), pp. 51-75.</w:t>
      </w:r>
    </w:p>
    <w:p>
      <w:pPr>
        <w:pStyle w:val="BodyText"/>
      </w:pPr>
      <w:r>
        <w:t xml:space="preserve">Maalej, Zouheir A. and Ning Yu (eds).</w:t>
      </w:r>
      <w:r>
        <w:t xml:space="preserve"> </w:t>
      </w:r>
      <w:r>
        <w:rPr>
          <w:i/>
          <w:iCs/>
        </w:rPr>
        <w:t xml:space="preserve">Embodiment via Body Parts: Studies from Various Languages and Cultures</w:t>
      </w:r>
      <w:r>
        <w:t xml:space="preserve">. Human Cognitive Processing 31. Amsterdam and Philadelphia: John Benjamins, 2011. DOI: 10.1075/hcp.31.</w:t>
      </w:r>
    </w:p>
    <w:p>
      <w:pPr>
        <w:pStyle w:val="BodyText"/>
      </w:pPr>
      <w:r>
        <w:t xml:space="preserve">Mehta, Cyrus R. and Nitin R. Patel.</w:t>
      </w:r>
      <w:r>
        <w:t xml:space="preserve"> </w:t>
      </w:r>
      <w:r>
        <w:t xml:space="preserve">‘A Network Algorithm for Performing Fisher’s Exact Test in</w:t>
      </w:r>
      <w:r>
        <w:t xml:space="preserve"> </w:t>
      </w:r>
      <w:r>
        <w:rPr>
          <w:i/>
          <w:iCs/>
        </w:rPr>
        <w:t xml:space="preserve">r</w:t>
      </w:r>
      <w:r>
        <w:t xml:space="preserve"> </w:t>
      </w:r>
      <w:r>
        <w:t xml:space="preserve">×</w:t>
      </w:r>
      <w:r>
        <w:t xml:space="preserve"> </w:t>
      </w:r>
      <w:r>
        <w:rPr>
          <w:i/>
          <w:iCs/>
        </w:rPr>
        <w:t xml:space="preserve">c</w:t>
      </w:r>
      <w:r>
        <w:t xml:space="preserve"> </w:t>
      </w:r>
      <w:r>
        <w:t xml:space="preserve">Contingency Tables’</w:t>
      </w:r>
      <w:r>
        <w:t xml:space="preserve">.</w:t>
      </w:r>
      <w:r>
        <w:t xml:space="preserve"> </w:t>
      </w:r>
      <w:r>
        <w:rPr>
          <w:i/>
          <w:iCs/>
        </w:rPr>
        <w:t xml:space="preserve">Journal of the American Statistical Association</w:t>
      </w:r>
      <w:r>
        <w:t xml:space="preserve"> </w:t>
      </w:r>
      <w:r>
        <w:t xml:space="preserve">78:382 (1983), pp. 427-434. DOI: 10.2307/2288652.</w:t>
      </w:r>
    </w:p>
    <w:p>
      <w:pPr>
        <w:pStyle w:val="BodyText"/>
      </w:pPr>
      <w:r>
        <w:t xml:space="preserve">Mottaghi, M. S. et al. </w:t>
      </w:r>
      <w:r>
        <w:t xml:space="preserve">‘A Graph-based Algorithm for Clustering Qurʾānic Surahs’</w:t>
      </w:r>
      <w:r>
        <w:t xml:space="preserve">.</w:t>
      </w:r>
      <w:r>
        <w:t xml:space="preserve"> </w:t>
      </w:r>
      <w:r>
        <w:rPr>
          <w:i/>
          <w:iCs/>
        </w:rPr>
        <w:t xml:space="preserve">Signal and Data Processing Journal (Iran)</w:t>
      </w:r>
      <w:r>
        <w:t xml:space="preserve"> </w:t>
      </w:r>
      <w:r>
        <w:t xml:space="preserve">(2024). http://jsdp.rcisp.ac.ir/article-1-1220-en.html.</w:t>
      </w:r>
    </w:p>
    <w:p>
      <w:pPr>
        <w:pStyle w:val="BodyText"/>
      </w:pPr>
      <w:r>
        <w:t xml:space="preserve">Muellner, Leonard C.</w:t>
      </w:r>
      <w:r>
        <w:t xml:space="preserve"> </w:t>
      </w:r>
      <w:r>
        <w:rPr>
          <w:i/>
          <w:iCs/>
        </w:rPr>
        <w:t xml:space="preserve">The Anger of Achilles: Mēnis in Greek Epic</w:t>
      </w:r>
      <w:r>
        <w:t xml:space="preserve">. Ithaca, NY: Cornell University Press, 1996.</w:t>
      </w:r>
    </w:p>
    <w:p>
      <w:pPr>
        <w:pStyle w:val="BodyText"/>
      </w:pPr>
      <w:r>
        <w:t xml:space="preserve">Nandan, M., I. Godbole, P. Kapparad and S. Bhattacharjee.</w:t>
      </w:r>
      <w:r>
        <w:t xml:space="preserve"> </w:t>
      </w:r>
      <w:r>
        <w:t xml:space="preserve">‘Comparative Analysis of Religious Texts: NLP Approaches to the Bible, Quran, and Bhagavad Gītā’</w:t>
      </w:r>
      <w:r>
        <w:t xml:space="preserve">. In</w:t>
      </w:r>
      <w:r>
        <w:t xml:space="preserve"> </w:t>
      </w:r>
      <w:r>
        <w:rPr>
          <w:i/>
          <w:iCs/>
        </w:rPr>
        <w:t xml:space="preserve">Proceedings of the Workshop on New Horizons in Computational Linguistics for Religious Texts (CLRel)</w:t>
      </w:r>
      <w:r>
        <w:t xml:space="preserve">. Stroudsburg, PA: Association for Computational Linguistics, 2025. https://aclanthology.org/2025.clrel-1.1/.</w:t>
      </w:r>
    </w:p>
    <w:p>
      <w:pPr>
        <w:pStyle w:val="BodyText"/>
      </w:pPr>
      <w:r>
        <w:t xml:space="preserve">Patefield, W. M.</w:t>
      </w:r>
      <w:r>
        <w:t xml:space="preserve"> </w:t>
      </w:r>
      <w:r>
        <w:t xml:space="preserve">‘Algorithm AS 159: An Efficient Method of Generating Random</w:t>
      </w:r>
      <w:r>
        <w:t xml:space="preserve"> </w:t>
      </w:r>
      <w:r>
        <w:rPr>
          <w:i/>
          <w:iCs/>
        </w:rPr>
        <w:t xml:space="preserve">R</w:t>
      </w:r>
      <w:r>
        <w:t xml:space="preserve"> </w:t>
      </w:r>
      <w:r>
        <w:t xml:space="preserve">×</w:t>
      </w:r>
      <w:r>
        <w:t xml:space="preserve"> </w:t>
      </w:r>
      <w:r>
        <w:rPr>
          <w:i/>
          <w:iCs/>
        </w:rPr>
        <w:t xml:space="preserve">C</w:t>
      </w:r>
      <w:r>
        <w:t xml:space="preserve"> </w:t>
      </w:r>
      <w:r>
        <w:t xml:space="preserve">Tables with Given Row and Column Totals’</w:t>
      </w:r>
      <w:r>
        <w:t xml:space="preserve">.</w:t>
      </w:r>
      <w:r>
        <w:t xml:space="preserve"> </w:t>
      </w:r>
      <w:r>
        <w:rPr>
          <w:i/>
          <w:iCs/>
        </w:rPr>
        <w:t xml:space="preserve">Journal of the Royal Statistical Society, Series C (Applied Statistics)</w:t>
      </w:r>
      <w:r>
        <w:t xml:space="preserve"> </w:t>
      </w:r>
      <w:r>
        <w:t xml:space="preserve">30:1 (1981), pp. 91-97. DOI: 10.2307/2346669.</w:t>
      </w:r>
    </w:p>
    <w:p>
      <w:pPr>
        <w:pStyle w:val="BodyText"/>
      </w:pPr>
      <w:r>
        <w:t xml:space="preserve">Plutchik, Robert.</w:t>
      </w:r>
      <w:r>
        <w:t xml:space="preserve"> </w:t>
      </w:r>
      <w:r>
        <w:rPr>
          <w:i/>
          <w:iCs/>
        </w:rPr>
        <w:t xml:space="preserve">Emotion: A Psychoevolutionary Synthesis</w:t>
      </w:r>
      <w:r>
        <w:t xml:space="preserve">. New York: Harper &amp; Row, 1980.</w:t>
      </w:r>
    </w:p>
    <w:p>
      <w:pPr>
        <w:pStyle w:val="BodyText"/>
      </w:pPr>
      <w:r>
        <w:t xml:space="preserve">Plutchik, Robert.</w:t>
      </w:r>
      <w:r>
        <w:t xml:space="preserve"> </w:t>
      </w:r>
      <w:r>
        <w:t xml:space="preserve">‘The Nature of Emotions’</w:t>
      </w:r>
      <w:r>
        <w:t xml:space="preserve">.</w:t>
      </w:r>
      <w:r>
        <w:t xml:space="preserve"> </w:t>
      </w:r>
      <w:r>
        <w:rPr>
          <w:i/>
          <w:iCs/>
        </w:rPr>
        <w:t xml:space="preserve">American Scientist</w:t>
      </w:r>
      <w:r>
        <w:t xml:space="preserve"> </w:t>
      </w:r>
      <w:r>
        <w:t xml:space="preserve">89:4 (2001), pp. 344-350.</w:t>
      </w:r>
    </w:p>
    <w:p>
      <w:pPr>
        <w:pStyle w:val="BodyText"/>
      </w:pPr>
      <w:r>
        <w:t xml:space="preserve">Rabab’ah, Khalid and Emad Al-Saidat.</w:t>
      </w:r>
      <w:r>
        <w:t xml:space="preserve"> </w:t>
      </w:r>
      <w:r>
        <w:t xml:space="preserve">‘The Conceptualization of Anger through Metaphors, Metonymies and Metaphtonymies in Jordanian Arabic and English: A Contrastive Study’</w:t>
      </w:r>
      <w:r>
        <w:t xml:space="preserve">.</w:t>
      </w:r>
      <w:r>
        <w:t xml:space="preserve"> </w:t>
      </w:r>
      <w:r>
        <w:rPr>
          <w:i/>
          <w:iCs/>
        </w:rPr>
        <w:t xml:space="preserve">Cognitive Semantics</w:t>
      </w:r>
      <w:r>
        <w:t xml:space="preserve"> </w:t>
      </w:r>
      <w:r>
        <w:t xml:space="preserve">8:3 (2022), pp. 409-433. DOI: 10.1163/23526416-bja10044.</w:t>
      </w:r>
    </w:p>
    <w:p>
      <w:pPr>
        <w:pStyle w:val="BodyText"/>
      </w:pPr>
      <w:r>
        <w:t xml:space="preserve">Roseman, Ira J.</w:t>
      </w:r>
      <w:r>
        <w:t xml:space="preserve"> </w:t>
      </w:r>
      <w:r>
        <w:t xml:space="preserve">‘Appraisal Determinants of Emotions: Constructing a More Accurate and Comprehensive Theory’</w:t>
      </w:r>
      <w:r>
        <w:t xml:space="preserve">.</w:t>
      </w:r>
      <w:r>
        <w:t xml:space="preserve"> </w:t>
      </w:r>
      <w:r>
        <w:rPr>
          <w:i/>
          <w:iCs/>
        </w:rPr>
        <w:t xml:space="preserve">Cognition and Emotion</w:t>
      </w:r>
      <w:r>
        <w:t xml:space="preserve"> </w:t>
      </w:r>
      <w:r>
        <w:t xml:space="preserve">10:3 (1996), pp. 241-277. DOI: 10.1080/026999396380240.</w:t>
      </w:r>
    </w:p>
    <w:p>
      <w:pPr>
        <w:pStyle w:val="BodyText"/>
      </w:pPr>
      <w:r>
        <w:t xml:space="preserve">Sassoon, Galit Weidman.</w:t>
      </w:r>
      <w:r>
        <w:t xml:space="preserve"> </w:t>
      </w:r>
      <w:r>
        <w:t xml:space="preserve">‘The Degree Functions of Negative Adjectives’</w:t>
      </w:r>
      <w:r>
        <w:t xml:space="preserve">.</w:t>
      </w:r>
      <w:r>
        <w:t xml:space="preserve"> </w:t>
      </w:r>
      <w:r>
        <w:rPr>
          <w:i/>
          <w:iCs/>
        </w:rPr>
        <w:t xml:space="preserve">Natural Language Semantics</w:t>
      </w:r>
      <w:r>
        <w:t xml:space="preserve"> </w:t>
      </w:r>
      <w:r>
        <w:t xml:space="preserve">18:2 (2010), pp. 141-181.</w:t>
      </w:r>
    </w:p>
    <w:p>
      <w:pPr>
        <w:pStyle w:val="BodyText"/>
      </w:pPr>
      <w:r>
        <w:t xml:space="preserve">Sawalha, Majdi, Faisal Al-Shargi, Sane Yagi, Ahmad T. AlShdaifat, Bassam Hammo, Mohammed Belajeed and Lina R. Al-Ogaili.</w:t>
      </w:r>
      <w:r>
        <w:t xml:space="preserve"> </w:t>
      </w:r>
      <w:r>
        <w:t xml:space="preserve">‘Morphologically-Analyzed and Syntactically-Annotated Quran Dataset (MASAQ)’</w:t>
      </w:r>
      <w:r>
        <w:t xml:space="preserve">.</w:t>
      </w:r>
      <w:r>
        <w:t xml:space="preserve"> </w:t>
      </w:r>
      <w:r>
        <w:rPr>
          <w:i/>
          <w:iCs/>
        </w:rPr>
        <w:t xml:space="preserve">Data in Brief</w:t>
      </w:r>
      <w:r>
        <w:t xml:space="preserve"> </w:t>
      </w:r>
      <w:r>
        <w:t xml:space="preserve">58 (2024), 111211. DOI: 10.1016/j.dib.2024.111211.</w:t>
      </w:r>
    </w:p>
    <w:p>
      <w:pPr>
        <w:pStyle w:val="BodyText"/>
      </w:pPr>
      <w:r>
        <w:t xml:space="preserve">Scherer, Klaus R.</w:t>
      </w:r>
      <w:r>
        <w:t xml:space="preserve"> </w:t>
      </w:r>
      <w:r>
        <w:t xml:space="preserve">‘Appraisal Considered as a Process of Multilevel Sequential Checking’</w:t>
      </w:r>
      <w:r>
        <w:t xml:space="preserve">. In Klaus R. Scherer, Angela Schorr and Tom Johnstone (eds),</w:t>
      </w:r>
      <w:r>
        <w:t xml:space="preserve"> </w:t>
      </w:r>
      <w:r>
        <w:rPr>
          <w:i/>
          <w:iCs/>
        </w:rPr>
        <w:t xml:space="preserve">Appraisal Processes in Emotion: Theory, Methods, Research</w:t>
      </w:r>
      <w:r>
        <w:t xml:space="preserve">, pp. 92-120. New York: Oxford University Press, 2001.</w:t>
      </w:r>
    </w:p>
    <w:p>
      <w:pPr>
        <w:pStyle w:val="BodyText"/>
      </w:pPr>
      <w:r>
        <w:t xml:space="preserve">Scherer, Klaus R.</w:t>
      </w:r>
      <w:r>
        <w:t xml:space="preserve"> </w:t>
      </w:r>
      <w:r>
        <w:t xml:space="preserve">‘What Are Emotions? And How Can They Be Measured?’</w:t>
      </w:r>
      <w:r>
        <w:t xml:space="preserve">.</w:t>
      </w:r>
      <w:r>
        <w:t xml:space="preserve"> </w:t>
      </w:r>
      <w:r>
        <w:rPr>
          <w:i/>
          <w:iCs/>
        </w:rPr>
        <w:t xml:space="preserve">Social Science Information</w:t>
      </w:r>
      <w:r>
        <w:t xml:space="preserve"> </w:t>
      </w:r>
      <w:r>
        <w:t xml:space="preserve">44:4 (2005), pp. 695-729.</w:t>
      </w:r>
    </w:p>
    <w:p>
      <w:pPr>
        <w:pStyle w:val="BodyText"/>
      </w:pPr>
      <w:r>
        <w:t xml:space="preserve">Sharaf, Abdul-Baquee M. and Eric Atwell.</w:t>
      </w:r>
      <w:r>
        <w:t xml:space="preserve"> </w:t>
      </w:r>
      <w:r>
        <w:t xml:space="preserve">‘QurAna: Corpus of the Quran Annotated with Pronominal Anaphora’</w:t>
      </w:r>
      <w:r>
        <w:t xml:space="preserve">. In</w:t>
      </w:r>
      <w:r>
        <w:t xml:space="preserve"> </w:t>
      </w:r>
      <w:r>
        <w:rPr>
          <w:i/>
          <w:iCs/>
        </w:rPr>
        <w:t xml:space="preserve">Proceedings of the Eighth International Conference on Language Resources and Evaluation (LREC’12)</w:t>
      </w:r>
      <w:r>
        <w:t xml:space="preserve">, pp. 130-137. Istanbul: ELRA, 2012. https://aclanthology.org/L12-1011/.</w:t>
      </w:r>
    </w:p>
    <w:p>
      <w:pPr>
        <w:pStyle w:val="BodyText"/>
      </w:pPr>
      <w:r>
        <w:t xml:space="preserve">Sharaf, Abdul-Baquee M. and Eric Atwell.</w:t>
      </w:r>
      <w:r>
        <w:t xml:space="preserve"> </w:t>
      </w:r>
      <w:r>
        <w:t xml:space="preserve">‘QurSim: A Corpus for Evaluation of Relatedness in Short Texts’</w:t>
      </w:r>
      <w:r>
        <w:t xml:space="preserve">. In</w:t>
      </w:r>
      <w:r>
        <w:t xml:space="preserve"> </w:t>
      </w:r>
      <w:r>
        <w:rPr>
          <w:i/>
          <w:iCs/>
        </w:rPr>
        <w:t xml:space="preserve">Proceedings of the Eighth International Conference on Language Resources and Evaluation (LREC’12)</w:t>
      </w:r>
      <w:r>
        <w:t xml:space="preserve">, pp. 2295-2302. Istanbul: ELRA, 2012. https://aclanthology.org/L12-1051/.</w:t>
      </w:r>
    </w:p>
    <w:p>
      <w:pPr>
        <w:pStyle w:val="BodyText"/>
      </w:pPr>
      <w:r>
        <w:t xml:space="preserve">Sharifian, Farzad.</w:t>
      </w:r>
      <w:r>
        <w:t xml:space="preserve"> </w:t>
      </w:r>
      <w:r>
        <w:rPr>
          <w:i/>
          <w:iCs/>
        </w:rPr>
        <w:t xml:space="preserve">Cultural Conceptualisations and Language: Theoretical Framework and Applications</w:t>
      </w:r>
      <w:r>
        <w:t xml:space="preserve">. Cognitive Linguistic Studies in Cultural Contexts 1. Amsterdam: John Benjamins, 2011.</w:t>
      </w:r>
    </w:p>
    <w:p>
      <w:pPr>
        <w:pStyle w:val="BodyText"/>
      </w:pPr>
      <w:r>
        <w:t xml:space="preserve">Sinai, Nicolai.</w:t>
      </w:r>
      <w:r>
        <w:t xml:space="preserve"> </w:t>
      </w:r>
      <w:r>
        <w:rPr>
          <w:i/>
          <w:iCs/>
        </w:rPr>
        <w:t xml:space="preserve">Key Terms of the Qurʾan: A Critical Dictionary</w:t>
      </w:r>
      <w:r>
        <w:t xml:space="preserve">. Princeton: Princeton University Press, 2023.</w:t>
      </w:r>
    </w:p>
    <w:p>
      <w:pPr>
        <w:pStyle w:val="BodyText"/>
      </w:pPr>
      <w:r>
        <w:t xml:space="preserve">Sinai, Nicolai.</w:t>
      </w:r>
      <w:r>
        <w:t xml:space="preserve"> </w:t>
      </w:r>
      <w:r>
        <w:rPr>
          <w:i/>
          <w:iCs/>
        </w:rPr>
        <w:t xml:space="preserve">The Qurʾan: A Historical-Critical Introduction</w:t>
      </w:r>
      <w:r>
        <w:t xml:space="preserve">. The New Edinburgh Islamic Surveys. Edinburgh: Edinburgh University Press, 2017.</w:t>
      </w:r>
    </w:p>
    <w:p>
      <w:pPr>
        <w:pStyle w:val="BodyText"/>
      </w:pPr>
      <w:r>
        <w:t xml:space="preserve">Soriano, Cristina.</w:t>
      </w:r>
      <w:r>
        <w:t xml:space="preserve"> </w:t>
      </w:r>
      <w:r>
        <w:t xml:space="preserve">‘Anger Metaphors across Languages: A Cognitive Linguistic Perspective’</w:t>
      </w:r>
      <w:r>
        <w:t xml:space="preserve">. In Roberto R. Heredia and Anna B. Cieślicka (eds),</w:t>
      </w:r>
      <w:r>
        <w:t xml:space="preserve"> </w:t>
      </w:r>
      <w:r>
        <w:rPr>
          <w:i/>
          <w:iCs/>
        </w:rPr>
        <w:t xml:space="preserve">Bilingual Figurative Language Processing</w:t>
      </w:r>
      <w:r>
        <w:t xml:space="preserve">, pp. 410-440. Cambridge: Cambridge University Press, 2013.</w:t>
      </w:r>
    </w:p>
    <w:p>
      <w:pPr>
        <w:pStyle w:val="BodyText"/>
      </w:pPr>
      <w:r>
        <w:t xml:space="preserve">Soriano, Cristina.</w:t>
      </w:r>
      <w:r>
        <w:t xml:space="preserve"> </w:t>
      </w:r>
      <w:r>
        <w:t xml:space="preserve">‘Some Anger Metaphors in Spanish and English: A Contrastive Review’</w:t>
      </w:r>
      <w:r>
        <w:t xml:space="preserve">.</w:t>
      </w:r>
      <w:r>
        <w:t xml:space="preserve"> </w:t>
      </w:r>
      <w:r>
        <w:rPr>
          <w:i/>
          <w:iCs/>
        </w:rPr>
        <w:t xml:space="preserve">International Journal of English Studies (IJES)</w:t>
      </w:r>
      <w:r>
        <w:t xml:space="preserve"> </w:t>
      </w:r>
      <w:r>
        <w:t xml:space="preserve">3:2 (2003), pp. 107-122.</w:t>
      </w:r>
    </w:p>
    <w:p>
      <w:pPr>
        <w:pStyle w:val="BodyText"/>
      </w:pPr>
      <w:r>
        <w:t xml:space="preserve">Soriano Salinas, Cristina María.</w:t>
      </w:r>
      <w:r>
        <w:t xml:space="preserve"> </w:t>
      </w:r>
      <w:r>
        <w:t xml:space="preserve">‘The Conceptualization of Anger in English and Spanish: A Cognitive Approach’</w:t>
      </w:r>
      <w:r>
        <w:t xml:space="preserve">. Doctoral dissertation, Universidad de Murcia, 2005. https://digitum.um.es/digitum/handle/10201/33082.</w:t>
      </w:r>
    </w:p>
    <w:p>
      <w:pPr>
        <w:pStyle w:val="BodyText"/>
      </w:pPr>
      <w:r>
        <w:t xml:space="preserve">Spielberger, Charles D.</w:t>
      </w:r>
      <w:r>
        <w:t xml:space="preserve"> </w:t>
      </w:r>
      <w:r>
        <w:rPr>
          <w:i/>
          <w:iCs/>
        </w:rPr>
        <w:t xml:space="preserve">Professional Manual for the State-Trait Anger Expression Inventory–2 (STAXI-2)</w:t>
      </w:r>
      <w:r>
        <w:t xml:space="preserve">. Odessa, FL: Psychological Assessment Resources, 1999.</w:t>
      </w:r>
    </w:p>
    <w:p>
      <w:pPr>
        <w:pStyle w:val="BodyText"/>
      </w:pPr>
      <w:r>
        <w:t xml:space="preserve">Tanzil Project.</w:t>
      </w:r>
      <w:r>
        <w:t xml:space="preserve"> </w:t>
      </w:r>
      <w:r>
        <w:rPr>
          <w:i/>
          <w:iCs/>
        </w:rPr>
        <w:t xml:space="preserve">The Tanzil Quran Text</w:t>
      </w:r>
      <w:r>
        <w:t xml:space="preserve"> </w:t>
      </w:r>
      <w:r>
        <w:t xml:space="preserve">(Uthmani edition). 2008. https://tanzil.net (CC-BY-ND 3.0).</w:t>
      </w:r>
    </w:p>
    <w:p>
      <w:pPr>
        <w:pStyle w:val="BodyText"/>
      </w:pPr>
      <w:r>
        <w:t xml:space="preserve">Wierzbicka, Anna.</w:t>
      </w:r>
      <w:r>
        <w:t xml:space="preserve"> </w:t>
      </w:r>
      <w:r>
        <w:rPr>
          <w:i/>
          <w:iCs/>
        </w:rPr>
        <w:t xml:space="preserve">Emotions Across Languages and Cultures: Diversity and Universals</w:t>
      </w:r>
      <w:r>
        <w:t xml:space="preserve">. Cambridge: Cambridge University Press, 1999.</w:t>
      </w:r>
    </w:p>
    <w:p>
      <w:pPr>
        <w:pStyle w:val="BodyText"/>
      </w:pPr>
      <w:r>
        <w:t xml:space="preserve">Yu, Ning.</w:t>
      </w:r>
      <w:r>
        <w:t xml:space="preserve"> </w:t>
      </w:r>
      <w:r>
        <w:t xml:space="preserve">‘Metaphorical Expressions of Anger and Happiness in English and Chinese’</w:t>
      </w:r>
      <w:r>
        <w:t xml:space="preserve">.</w:t>
      </w:r>
      <w:r>
        <w:t xml:space="preserve"> </w:t>
      </w:r>
      <w:r>
        <w:rPr>
          <w:i/>
          <w:iCs/>
        </w:rPr>
        <w:t xml:space="preserve">Metaphor and Symbolic Activity</w:t>
      </w:r>
      <w:r>
        <w:t xml:space="preserve"> </w:t>
      </w:r>
      <w:r>
        <w:t xml:space="preserve">10:2 (1995), pp. 59-92. DOI: 10.1207/s15327868ms1002_1.</w:t>
      </w:r>
    </w:p>
    <w:bookmarkEnd w:id="189"/>
    <w:bookmarkEnd w:id="190"/>
    <w:bookmarkEnd w:id="1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Kais Dukes,</w:t>
      </w:r>
      <w:r>
        <w:t xml:space="preserve"> </w:t>
      </w:r>
      <w:r>
        <w:rPr>
          <w:i/>
          <w:iCs/>
        </w:rPr>
        <w:t xml:space="preserve">Quranic Arabic Corpus (Morphology, Version 0.4)</w:t>
      </w:r>
      <w:r>
        <w:t xml:space="preserve"> </w:t>
      </w:r>
      <w:r>
        <w:t xml:space="preserve">(Leeds: University of Leeds, 2011), available at https://corpus.quran.com (GPL-licensed).</w:t>
      </w:r>
    </w:p>
  </w:footnote>
  <w:footnote w:id="24">
    <w:p>
      <w:pPr>
        <w:pStyle w:val="FootnoteText"/>
      </w:pPr>
      <w:r>
        <w:rPr>
          <w:rStyle w:val="FootnoteReference"/>
        </w:rPr>
        <w:footnoteRef/>
      </w:r>
      <w:r>
        <w:t xml:space="preserve"> </w:t>
      </w:r>
      <w:r>
        <w:t xml:space="preserve">Izutsu,</w:t>
      </w:r>
      <w:r>
        <w:t xml:space="preserve"> </w:t>
      </w:r>
      <w:r>
        <w:rPr>
          <w:i/>
          <w:iCs/>
        </w:rPr>
        <w:t xml:space="preserve">Structure of the Ethical Terms</w:t>
      </w:r>
      <w:r>
        <w:t xml:space="preserve">; idem,</w:t>
      </w:r>
      <w:r>
        <w:t xml:space="preserve"> </w:t>
      </w:r>
      <w:r>
        <w:rPr>
          <w:i/>
          <w:iCs/>
        </w:rPr>
        <w:t xml:space="preserve">God and Man</w:t>
      </w:r>
      <w:r>
        <w:t xml:space="preserve">; idem,</w:t>
      </w:r>
      <w:r>
        <w:t xml:space="preserve"> </w:t>
      </w:r>
      <w:r>
        <w:rPr>
          <w:i/>
          <w:iCs/>
        </w:rPr>
        <w:t xml:space="preserve">Ethico-Religious Concepts</w:t>
      </w:r>
      <w:r>
        <w:t xml:space="preserve">.</w:t>
      </w:r>
    </w:p>
  </w:footnote>
  <w:footnote w:id="25">
    <w:p>
      <w:pPr>
        <w:pStyle w:val="FootnoteText"/>
      </w:pPr>
      <w:r>
        <w:rPr>
          <w:rStyle w:val="FootnoteReference"/>
        </w:rPr>
        <w:footnoteRef/>
      </w:r>
      <w:r>
        <w:t xml:space="preserve"> </w:t>
      </w:r>
      <w:r>
        <w:t xml:space="preserve">Kövecses, Benczes and Szelid (eds),</w:t>
      </w:r>
      <w:r>
        <w:t xml:space="preserve"> </w:t>
      </w:r>
      <w:r>
        <w:rPr>
          <w:i/>
          <w:iCs/>
        </w:rPr>
        <w:t xml:space="preserve">Metaphors of ANGER</w:t>
      </w:r>
      <w:r>
        <w:t xml:space="preserve">.</w:t>
      </w:r>
    </w:p>
  </w:footnote>
  <w:footnote w:id="26">
    <w:p>
      <w:pPr>
        <w:pStyle w:val="FootnoteText"/>
      </w:pPr>
      <w:r>
        <w:rPr>
          <w:rStyle w:val="FootnoteReference"/>
        </w:rPr>
        <w:footnoteRef/>
      </w:r>
      <w:r>
        <w:t xml:space="preserve"> </w:t>
      </w:r>
      <w:r>
        <w:t xml:space="preserve">Qāʾimīniyā,</w:t>
      </w:r>
      <w:r>
        <w:t xml:space="preserve"> </w:t>
      </w:r>
      <w:r>
        <w:rPr>
          <w:i/>
          <w:iCs/>
        </w:rPr>
        <w:t xml:space="preserve">Maʿnāshināsī-yi Shinākhtī</w:t>
      </w:r>
      <w:r>
        <w:t xml:space="preserve">; and idem,</w:t>
      </w:r>
      <w:r>
        <w:t xml:space="preserve"> </w:t>
      </w:r>
      <w:r>
        <w:rPr>
          <w:i/>
          <w:iCs/>
        </w:rPr>
        <w:t xml:space="preserve">Istiʿārah-hā-yi Mafhūmī</w:t>
      </w:r>
      <w:r>
        <w:t xml:space="preserve">.</w:t>
      </w:r>
    </w:p>
  </w:footnote>
  <w:footnote w:id="27">
    <w:p>
      <w:pPr>
        <w:pStyle w:val="FootnoteText"/>
      </w:pPr>
      <w:r>
        <w:rPr>
          <w:rStyle w:val="FootnoteReference"/>
        </w:rPr>
        <w:footnoteRef/>
      </w:r>
      <w:r>
        <w:t xml:space="preserve"> </w:t>
      </w:r>
      <w:r>
        <w:t xml:space="preserve">Pakatchi and Afrashi,</w:t>
      </w:r>
      <w:r>
        <w:t xml:space="preserve"> </w:t>
      </w:r>
      <w:r>
        <w:rPr>
          <w:i/>
          <w:iCs/>
        </w:rPr>
        <w:t xml:space="preserve">Rūykardhā-yi Maʿnā-shinākhtī</w:t>
      </w:r>
      <w:r>
        <w:t xml:space="preserve">.</w:t>
      </w:r>
    </w:p>
  </w:footnote>
  <w:footnote w:id="28">
    <w:p>
      <w:pPr>
        <w:pStyle w:val="FootnoteText"/>
      </w:pPr>
      <w:r>
        <w:rPr>
          <w:rStyle w:val="FootnoteReference"/>
        </w:rPr>
        <w:footnoteRef/>
      </w:r>
      <w:r>
        <w:t xml:space="preserve"> </w:t>
      </w:r>
      <w:r>
        <w:t xml:space="preserve">Qāʾimīniyā,</w:t>
      </w:r>
      <w:r>
        <w:t xml:space="preserve"> </w:t>
      </w:r>
      <w:r>
        <w:rPr>
          <w:i/>
          <w:iCs/>
        </w:rPr>
        <w:t xml:space="preserve">Maʿnāshināsī-yi Shinākhtī</w:t>
      </w:r>
      <w:r>
        <w:t xml:space="preserve">; and idem,</w:t>
      </w:r>
      <w:r>
        <w:t xml:space="preserve"> </w:t>
      </w:r>
      <w:r>
        <w:rPr>
          <w:i/>
          <w:iCs/>
        </w:rPr>
        <w:t xml:space="preserve">Istiʿārah-hā-yi Mafhūmī</w:t>
      </w:r>
      <w:r>
        <w:t xml:space="preserve">.</w:t>
      </w:r>
    </w:p>
  </w:footnote>
  <w:footnote w:id="29">
    <w:p>
      <w:pPr>
        <w:pStyle w:val="FootnoteText"/>
      </w:pPr>
      <w:r>
        <w:rPr>
          <w:rStyle w:val="FootnoteReference"/>
        </w:rPr>
        <w:footnoteRef/>
      </w:r>
      <w:r>
        <w:t xml:space="preserve"> </w:t>
      </w:r>
      <w:r>
        <w:t xml:space="preserve">Pakatchi and Afrashi,</w:t>
      </w:r>
      <w:r>
        <w:t xml:space="preserve"> </w:t>
      </w:r>
      <w:r>
        <w:rPr>
          <w:i/>
          <w:iCs/>
        </w:rPr>
        <w:t xml:space="preserve">Rūykardhā-yi Maʿnā-shinākhtī</w:t>
      </w:r>
      <w:r>
        <w:t xml:space="preserve">.</w:t>
      </w:r>
    </w:p>
  </w:footnote>
  <w:footnote w:id="31">
    <w:p>
      <w:pPr>
        <w:pStyle w:val="FootnoteText"/>
      </w:pPr>
      <w:r>
        <w:rPr>
          <w:rStyle w:val="FootnoteReference"/>
        </w:rPr>
        <w:footnoteRef/>
      </w:r>
      <w:r>
        <w:t xml:space="preserve"> </w:t>
      </w:r>
      <w:r>
        <w:t xml:space="preserve">Zahra Narimani, Masoud Iqbali and Majid Chari,</w:t>
      </w:r>
      <w:r>
        <w:t xml:space="preserve"> </w:t>
      </w:r>
      <w:r>
        <w:t xml:space="preserve">‘Semantic Re-analysis of the Words</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in the Holy Qurʾān with an Exegetical Approach’</w:t>
      </w:r>
      <w:r>
        <w:t xml:space="preserve">,</w:t>
      </w:r>
      <w:r>
        <w:t xml:space="preserve"> </w:t>
      </w:r>
      <w:r>
        <w:rPr>
          <w:i/>
          <w:iCs/>
        </w:rPr>
        <w:t xml:space="preserve">Pizhūhish-hā-yi Qurʾān va Ḥadīth</w:t>
      </w:r>
      <w:r>
        <w:t xml:space="preserve"> </w:t>
      </w:r>
      <w:r>
        <w:t xml:space="preserve">54:1 (1400 SH/2021), pp. 219-239, in Persian, DOI: 10.22059/jqst.2021.322181.669740.</w:t>
      </w:r>
    </w:p>
  </w:footnote>
  <w:footnote w:id="32">
    <w:p>
      <w:pPr>
        <w:pStyle w:val="FootnoteText"/>
      </w:pPr>
      <w:r>
        <w:rPr>
          <w:rStyle w:val="FootnoteReference"/>
        </w:rPr>
        <w:footnoteRef/>
      </w:r>
      <w:r>
        <w:t xml:space="preserve"> </w:t>
      </w:r>
      <w:r>
        <w:t xml:space="preserve">M. Qarizadeh, A. Salmani Marvast, A. Meymandi and A. Farsi,</w:t>
      </w:r>
      <w:r>
        <w:t xml:space="preserve"> </w:t>
      </w:r>
      <w:r>
        <w:t xml:space="preserve">‘Polysemy of the Word</w:t>
      </w:r>
      <w:r>
        <w:t xml:space="preserve"> </w:t>
      </w:r>
      <w:r>
        <w:rPr>
          <w:i/>
          <w:iCs/>
        </w:rPr>
        <w:t xml:space="preserve">ṭughyān</w:t>
      </w:r>
      <w:r>
        <w:t xml:space="preserve"> </w:t>
      </w:r>
      <w:r>
        <w:t xml:space="preserve">in the Qurʾān: A Linguistic Approach’</w:t>
      </w:r>
      <w:r>
        <w:t xml:space="preserve">,</w:t>
      </w:r>
      <w:r>
        <w:t xml:space="preserve"> </w:t>
      </w:r>
      <w:r>
        <w:rPr>
          <w:i/>
          <w:iCs/>
        </w:rPr>
        <w:t xml:space="preserve">Pizhūhish-hā-yi Zabānshinākhtī-yi Qurʾān</w:t>
      </w:r>
      <w:r>
        <w:t xml:space="preserve"> </w:t>
      </w:r>
      <w:r>
        <w:t xml:space="preserve">(University of Isfahan) (1402 SH/2024), in Persian.</w:t>
      </w:r>
    </w:p>
  </w:footnote>
  <w:footnote w:id="33">
    <w:p>
      <w:pPr>
        <w:pStyle w:val="FootnoteText"/>
      </w:pPr>
      <w:r>
        <w:rPr>
          <w:rStyle w:val="FootnoteReference"/>
        </w:rPr>
        <w:footnoteRef/>
      </w:r>
      <w:r>
        <w:t xml:space="preserve"> </w:t>
      </w:r>
      <w:r>
        <w:t xml:space="preserve">Qāʾimīniyā,</w:t>
      </w:r>
      <w:r>
        <w:t xml:space="preserve"> </w:t>
      </w:r>
      <w:r>
        <w:rPr>
          <w:i/>
          <w:iCs/>
        </w:rPr>
        <w:t xml:space="preserve">Maʿnāshināsī-yi Shinākhtī</w:t>
      </w:r>
      <w:r>
        <w:t xml:space="preserve">; and idem,</w:t>
      </w:r>
      <w:r>
        <w:t xml:space="preserve"> </w:t>
      </w:r>
      <w:r>
        <w:rPr>
          <w:i/>
          <w:iCs/>
        </w:rPr>
        <w:t xml:space="preserve">Istiʿārah-hā-yi Mafhūmī</w:t>
      </w:r>
      <w:r>
        <w:t xml:space="preserve">.</w:t>
      </w:r>
    </w:p>
  </w:footnote>
  <w:footnote w:id="34">
    <w:p>
      <w:pPr>
        <w:pStyle w:val="FootnoteText"/>
      </w:pPr>
      <w:r>
        <w:rPr>
          <w:rStyle w:val="FootnoteReference"/>
        </w:rPr>
        <w:footnoteRef/>
      </w:r>
      <w:r>
        <w:t xml:space="preserve"> </w:t>
      </w:r>
      <w:r>
        <w:t xml:space="preserve">Pakatchi and Afrashi,</w:t>
      </w:r>
      <w:r>
        <w:t xml:space="preserve"> </w:t>
      </w:r>
      <w:r>
        <w:rPr>
          <w:i/>
          <w:iCs/>
        </w:rPr>
        <w:t xml:space="preserve">Rūykardhā-yi Maʿnā-shinākhtī</w:t>
      </w:r>
      <w:r>
        <w:t xml:space="preserve">.</w:t>
      </w:r>
    </w:p>
  </w:footnote>
  <w:footnote w:id="35">
    <w:p>
      <w:pPr>
        <w:pStyle w:val="FootnoteText"/>
      </w:pPr>
      <w:r>
        <w:rPr>
          <w:rStyle w:val="FootnoteReference"/>
        </w:rPr>
        <w:footnoteRef/>
      </w:r>
      <w:r>
        <w:t xml:space="preserve"> </w:t>
      </w:r>
      <w:r>
        <w:t xml:space="preserve">Ismail Albayrak,</w:t>
      </w:r>
      <w:r>
        <w:t xml:space="preserve"> </w:t>
      </w:r>
      <w:r>
        <w:t xml:space="preserve">‘Semantics of the Qurʾānic Weltanschauung: A Critical Analysis of Toshihiko Izutsu’s Works’</w:t>
      </w:r>
      <w:r>
        <w:t xml:space="preserve">,</w:t>
      </w:r>
      <w:r>
        <w:t xml:space="preserve"> </w:t>
      </w:r>
      <w:r>
        <w:rPr>
          <w:i/>
          <w:iCs/>
        </w:rPr>
        <w:t xml:space="preserve">American Journal of Islam and Society</w:t>
      </w:r>
      <w:r>
        <w:t xml:space="preserve"> </w:t>
      </w:r>
      <w:r>
        <w:t xml:space="preserve">37:1-2 (2020).</w:t>
      </w:r>
    </w:p>
  </w:footnote>
  <w:footnote w:id="36">
    <w:p>
      <w:pPr>
        <w:pStyle w:val="FootnoteText"/>
      </w:pPr>
      <w:r>
        <w:rPr>
          <w:rStyle w:val="FootnoteReference"/>
        </w:rPr>
        <w:footnoteRef/>
      </w:r>
      <w:r>
        <w:t xml:space="preserve"> </w:t>
      </w:r>
      <w:r>
        <w:t xml:space="preserve">Kennedy,</w:t>
      </w:r>
      <w:r>
        <w:t xml:space="preserve"> </w:t>
      </w:r>
      <w:r>
        <w:rPr>
          <w:i/>
          <w:iCs/>
        </w:rPr>
        <w:t xml:space="preserve">Projecting the Adjective</w:t>
      </w:r>
      <w:r>
        <w:t xml:space="preserve">, ch. 2; idem,</w:t>
      </w:r>
      <w:r>
        <w:t xml:space="preserve"> </w:t>
      </w:r>
      <w:r>
        <w:t xml:space="preserve">‘Vagueness and Grammar’</w:t>
      </w:r>
      <w:r>
        <w:t xml:space="preserve">, pp. 8-15; Sassoon,</w:t>
      </w:r>
      <w:r>
        <w:t xml:space="preserve"> </w:t>
      </w:r>
      <w:r>
        <w:t xml:space="preserve">‘Degree Functions of Negative Adjectives’</w:t>
      </w:r>
      <w:r>
        <w:t xml:space="preserve">.</w:t>
      </w:r>
    </w:p>
  </w:footnote>
  <w:footnote w:id="37">
    <w:p>
      <w:pPr>
        <w:pStyle w:val="FootnoteText"/>
      </w:pPr>
      <w:r>
        <w:rPr>
          <w:rStyle w:val="FootnoteReference"/>
        </w:rPr>
        <w:footnoteRef/>
      </w:r>
      <w:r>
        <w:t xml:space="preserve"> </w:t>
      </w:r>
      <w:r>
        <w:t xml:space="preserve">Kövecses, Benczes and Szelid (eds),</w:t>
      </w:r>
      <w:r>
        <w:t xml:space="preserve"> </w:t>
      </w:r>
      <w:r>
        <w:rPr>
          <w:i/>
          <w:iCs/>
        </w:rPr>
        <w:t xml:space="preserve">Metaphors of ANGER</w:t>
      </w:r>
      <w:r>
        <w:t xml:space="preserve">.</w:t>
      </w:r>
    </w:p>
  </w:footnote>
  <w:footnote w:id="38">
    <w:p>
      <w:pPr>
        <w:pStyle w:val="FootnoteText"/>
      </w:pPr>
      <w:r>
        <w:rPr>
          <w:rStyle w:val="FootnoteReference"/>
        </w:rPr>
        <w:footnoteRef/>
      </w:r>
      <w:r>
        <w:t xml:space="preserve"> </w:t>
      </w:r>
      <w:r>
        <w:t xml:space="preserve">Sinai,</w:t>
      </w:r>
      <w:r>
        <w:t xml:space="preserve"> </w:t>
      </w:r>
      <w:r>
        <w:rPr>
          <w:i/>
          <w:iCs/>
        </w:rPr>
        <w:t xml:space="preserve">The Qurʾan: A Historical-Critical Introduction</w:t>
      </w:r>
      <w:r>
        <w:t xml:space="preserve">, pp. 111-138 on Meccan/Medinan periodisation.</w:t>
      </w:r>
    </w:p>
  </w:footnote>
  <w:footnote w:id="39">
    <w:p>
      <w:pPr>
        <w:pStyle w:val="FootnoteText"/>
      </w:pPr>
      <w:r>
        <w:rPr>
          <w:rStyle w:val="FootnoteReference"/>
        </w:rPr>
        <w:footnoteRef/>
      </w:r>
      <w:r>
        <w:t xml:space="preserve"> </w:t>
      </w:r>
      <w:r>
        <w:t xml:space="preserve">Sinai,</w:t>
      </w:r>
      <w:r>
        <w:t xml:space="preserve"> </w:t>
      </w:r>
      <w:r>
        <w:rPr>
          <w:i/>
          <w:iCs/>
        </w:rPr>
        <w:t xml:space="preserve">Key Terms</w:t>
      </w:r>
      <w:r>
        <w:t xml:space="preserve">, esp. the entries on</w:t>
      </w:r>
      <w:r>
        <w:t xml:space="preserve"> </w:t>
      </w:r>
      <w:r>
        <w:rPr>
          <w:i/>
          <w:iCs/>
        </w:rPr>
        <w:t xml:space="preserve">baghy</w:t>
      </w:r>
      <w:r>
        <w:t xml:space="preserve"> </w:t>
      </w:r>
      <w:r>
        <w:t xml:space="preserve">and</w:t>
      </w:r>
      <w:r>
        <w:t xml:space="preserve"> </w:t>
      </w:r>
      <w:r>
        <w:rPr>
          <w:i/>
          <w:iCs/>
        </w:rPr>
        <w:t xml:space="preserve">ẓulm</w:t>
      </w:r>
      <w:r>
        <w:t xml:space="preserve">.</w:t>
      </w:r>
    </w:p>
  </w:footnote>
  <w:footnote w:id="40">
    <w:p>
      <w:pPr>
        <w:pStyle w:val="FootnoteText"/>
      </w:pPr>
      <w:r>
        <w:rPr>
          <w:rStyle w:val="FootnoteReference"/>
        </w:rPr>
        <w:footnoteRef/>
      </w:r>
      <w:r>
        <w:t xml:space="preserve"> </w:t>
      </w:r>
      <w:r>
        <w:t xml:space="preserve">Salwa M. S. El-Awa,</w:t>
      </w:r>
      <w:r>
        <w:t xml:space="preserve"> </w:t>
      </w:r>
      <w:r>
        <w:rPr>
          <w:i/>
          <w:iCs/>
        </w:rPr>
        <w:t xml:space="preserve">Textual Relations in the Qurʾan: Relevance, Coherence and Structure</w:t>
      </w:r>
      <w:r>
        <w:t xml:space="preserve">, Routledge Studies in the Qurʾan (London: Routledge, 2006).</w:t>
      </w:r>
    </w:p>
  </w:footnote>
  <w:footnote w:id="41">
    <w:p>
      <w:pPr>
        <w:pStyle w:val="FootnoteText"/>
      </w:pPr>
      <w:r>
        <w:rPr>
          <w:rStyle w:val="FootnoteReference"/>
        </w:rPr>
        <w:footnoteRef/>
      </w:r>
      <w:r>
        <w:t xml:space="preserve"> </w:t>
      </w:r>
      <w:r>
        <w:t xml:space="preserve">Abdul-Baquee M. Sharaf and Eric Atwell,</w:t>
      </w:r>
      <w:r>
        <w:t xml:space="preserve"> </w:t>
      </w:r>
      <w:r>
        <w:t xml:space="preserve">‘QurAna: Corpus of the Quran Annotated with Pronominal Anaphora’</w:t>
      </w:r>
      <w:r>
        <w:t xml:space="preserve">, in</w:t>
      </w:r>
      <w:r>
        <w:t xml:space="preserve"> </w:t>
      </w:r>
      <w:r>
        <w:rPr>
          <w:i/>
          <w:iCs/>
        </w:rPr>
        <w:t xml:space="preserve">LREC’12 Proceedings</w:t>
      </w:r>
      <w:r>
        <w:t xml:space="preserve"> </w:t>
      </w:r>
      <w:r>
        <w:t xml:space="preserve">(Istanbul: ELRA, 2012), pp. 130-137; and idem,</w:t>
      </w:r>
      <w:r>
        <w:t xml:space="preserve"> </w:t>
      </w:r>
      <w:r>
        <w:t xml:space="preserve">‘QurSim: A Corpus for Evaluation of Relatedness in Short Texts’</w:t>
      </w:r>
      <w:r>
        <w:t xml:space="preserve">, in the same volume, pp. 2295-2302.</w:t>
      </w:r>
    </w:p>
  </w:footnote>
  <w:footnote w:id="42">
    <w:p>
      <w:pPr>
        <w:pStyle w:val="FootnoteText"/>
      </w:pPr>
      <w:r>
        <w:rPr>
          <w:rStyle w:val="FootnoteReference"/>
        </w:rPr>
        <w:footnoteRef/>
      </w:r>
      <w:r>
        <w:t xml:space="preserve"> </w:t>
      </w:r>
      <w:r>
        <w:t xml:space="preserve">Akra, Hammouda and Jarrar,</w:t>
      </w:r>
      <w:r>
        <w:t xml:space="preserve"> </w:t>
      </w:r>
      <w:r>
        <w:rPr>
          <w:i/>
          <w:iCs/>
        </w:rPr>
        <w:t xml:space="preserve">QuranMorph</w:t>
      </w:r>
      <w:r>
        <w:t xml:space="preserve">.</w:t>
      </w:r>
    </w:p>
  </w:footnote>
  <w:footnote w:id="43">
    <w:p>
      <w:pPr>
        <w:pStyle w:val="FootnoteText"/>
      </w:pPr>
      <w:r>
        <w:rPr>
          <w:rStyle w:val="FootnoteReference"/>
        </w:rPr>
        <w:footnoteRef/>
      </w:r>
      <w:r>
        <w:t xml:space="preserve"> </w:t>
      </w:r>
      <w:r>
        <w:t xml:space="preserve">Sawalha et al.,</w:t>
      </w:r>
      <w:r>
        <w:t xml:space="preserve"> </w:t>
      </w:r>
      <w:r>
        <w:t xml:space="preserve">‘MASAQ’</w:t>
      </w:r>
      <w:r>
        <w:t xml:space="preserve">.</w:t>
      </w:r>
    </w:p>
  </w:footnote>
  <w:footnote w:id="44">
    <w:p>
      <w:pPr>
        <w:pStyle w:val="FootnoteText"/>
      </w:pPr>
      <w:r>
        <w:rPr>
          <w:rStyle w:val="FootnoteReference"/>
        </w:rPr>
        <w:footnoteRef/>
      </w:r>
      <w:r>
        <w:t xml:space="preserve"> </w:t>
      </w:r>
      <w:r>
        <w:t xml:space="preserve">Karim Gaanoun and Mohammed Alsuhaibani,</w:t>
      </w:r>
      <w:r>
        <w:t xml:space="preserve"> </w:t>
      </w:r>
      <w:r>
        <w:t xml:space="preserve">‘Sentiment Preservation in Quran Translation with Artificial Intelligence Approach: Study in Reputable English Translation of the Quran’</w:t>
      </w:r>
      <w:r>
        <w:t xml:space="preserve">,</w:t>
      </w:r>
      <w:r>
        <w:t xml:space="preserve"> </w:t>
      </w:r>
      <w:r>
        <w:rPr>
          <w:i/>
          <w:iCs/>
        </w:rPr>
        <w:t xml:space="preserve">Humanities and Social Sciences Communications</w:t>
      </w:r>
      <w:r>
        <w:t xml:space="preserve"> </w:t>
      </w:r>
      <w:r>
        <w:t xml:space="preserve">12:1 (2025), DOI: 10.1057/s41599-024-04181-0.</w:t>
      </w:r>
    </w:p>
  </w:footnote>
  <w:footnote w:id="45">
    <w:p>
      <w:pPr>
        <w:pStyle w:val="FootnoteText"/>
      </w:pPr>
      <w:r>
        <w:rPr>
          <w:rStyle w:val="FootnoteReference"/>
        </w:rPr>
        <w:footnoteRef/>
      </w:r>
      <w:r>
        <w:t xml:space="preserve"> </w:t>
      </w:r>
      <w:r>
        <w:t xml:space="preserve">[ELQV authors],</w:t>
      </w:r>
      <w:r>
        <w:t xml:space="preserve"> </w:t>
      </w:r>
      <w:r>
        <w:t xml:space="preserve">‘Leveraging Large Language Models for Detecting and Preserving Emotions in Quran Translations (introducing the ELQV dataset)’</w:t>
      </w:r>
      <w:r>
        <w:t xml:space="preserve">,</w:t>
      </w:r>
      <w:r>
        <w:t xml:space="preserve"> </w:t>
      </w:r>
      <w:r>
        <w:rPr>
          <w:i/>
          <w:iCs/>
        </w:rPr>
        <w:t xml:space="preserve">Journal of King Saud University – Computer and Information Sciences</w:t>
      </w:r>
      <w:r>
        <w:t xml:space="preserve"> </w:t>
      </w:r>
      <w:r>
        <w:t xml:space="preserve">37 (2025), Article 271, DOI: 10.1007/s44443-025-00269-y. (Author attribution unresolved in source bibliography; to be updated on author follow-up.)</w:t>
      </w:r>
    </w:p>
  </w:footnote>
  <w:footnote w:id="46">
    <w:p>
      <w:pPr>
        <w:pStyle w:val="FootnoteText"/>
      </w:pPr>
      <w:r>
        <w:rPr>
          <w:rStyle w:val="FootnoteReference"/>
        </w:rPr>
        <w:footnoteRef/>
      </w:r>
      <w:r>
        <w:t xml:space="preserve"> </w:t>
      </w:r>
      <w:r>
        <w:t xml:space="preserve">M. T. Khan et al.,</w:t>
      </w:r>
      <w:r>
        <w:t xml:space="preserve"> </w:t>
      </w:r>
      <w:r>
        <w:t xml:space="preserve">‘A Literature Review on Natural Language Processing Techniques for Qurʾānic Studies: Challenges and Insights’</w:t>
      </w:r>
      <w:r>
        <w:t xml:space="preserve">,</w:t>
      </w:r>
      <w:r>
        <w:t xml:space="preserve"> </w:t>
      </w:r>
      <w:r>
        <w:rPr>
          <w:i/>
          <w:iCs/>
        </w:rPr>
        <w:t xml:space="preserve">Frontiers in Signal Processing</w:t>
      </w:r>
      <w:r>
        <w:t xml:space="preserve"> </w:t>
      </w:r>
      <w:r>
        <w:t xml:space="preserve">5 (2025), 1535166, DOI: 10.3389/frsip.2025.1535166.</w:t>
      </w:r>
    </w:p>
  </w:footnote>
  <w:footnote w:id="47">
    <w:p>
      <w:pPr>
        <w:pStyle w:val="FootnoteText"/>
      </w:pPr>
      <w:r>
        <w:rPr>
          <w:rStyle w:val="FootnoteReference"/>
        </w:rPr>
        <w:footnoteRef/>
      </w:r>
      <w:r>
        <w:t xml:space="preserve"> </w:t>
      </w:r>
      <w:r>
        <w:t xml:space="preserve">[Authors],</w:t>
      </w:r>
      <w:r>
        <w:t xml:space="preserve"> </w:t>
      </w:r>
      <w:r>
        <w:t xml:space="preserve">‘Semantic Untranslatability in Qurʾānic Discourse: Challenges and Contextual Remedies in English Translation’</w:t>
      </w:r>
      <w:r>
        <w:t xml:space="preserve">,</w:t>
      </w:r>
      <w:r>
        <w:t xml:space="preserve"> </w:t>
      </w:r>
      <w:r>
        <w:rPr>
          <w:i/>
          <w:iCs/>
        </w:rPr>
        <w:t xml:space="preserve">Cogent Arts &amp; Humanities</w:t>
      </w:r>
      <w:r>
        <w:t xml:space="preserve"> </w:t>
      </w:r>
      <w:r>
        <w:t xml:space="preserve">(2025), DOI: 10.1080/23311983.2025.2542336. (Author attribution unresolved in source bibliography; to be updated on author follow-up.)</w:t>
      </w:r>
    </w:p>
  </w:footnote>
  <w:footnote w:id="48">
    <w:p>
      <w:pPr>
        <w:pStyle w:val="FootnoteText"/>
      </w:pPr>
      <w:r>
        <w:rPr>
          <w:rStyle w:val="FootnoteReference"/>
        </w:rPr>
        <w:footnoteRef/>
      </w:r>
      <w:r>
        <w:t xml:space="preserve"> </w:t>
      </w:r>
      <w:r>
        <w:t xml:space="preserve">E.g. [Authors],</w:t>
      </w:r>
      <w:r>
        <w:t xml:space="preserve"> </w:t>
      </w:r>
      <w:r>
        <w:t xml:space="preserve">‘The Concept of Emotions in Islamic Counseling: A Thematic Analysis of Fear, Anger, Sadness, and Shame According to the Qurʾān and Ḥadīth’</w:t>
      </w:r>
      <w:r>
        <w:t xml:space="preserve">,</w:t>
      </w:r>
      <w:r>
        <w:t xml:space="preserve"> </w:t>
      </w:r>
      <w:r>
        <w:rPr>
          <w:i/>
          <w:iCs/>
        </w:rPr>
        <w:t xml:space="preserve">International Journal of Counseling and Psychotherapy (Aeducia)</w:t>
      </w:r>
      <w:r>
        <w:t xml:space="preserve"> </w:t>
      </w:r>
      <w:r>
        <w:t xml:space="preserve">(2023), Article 311. (Author attribution unresolved in source bibliography; to be updated on author follow-up.)</w:t>
      </w:r>
    </w:p>
  </w:footnote>
  <w:footnote w:id="52">
    <w:p>
      <w:pPr>
        <w:pStyle w:val="FootnoteText"/>
      </w:pPr>
      <w:r>
        <w:rPr>
          <w:rStyle w:val="FootnoteReference"/>
        </w:rPr>
        <w:footnoteRef/>
      </w:r>
      <w:r>
        <w:t xml:space="preserve"> </w:t>
      </w:r>
      <w:r>
        <w:t xml:space="preserve">Toshihiko Izutsu,</w:t>
      </w:r>
      <w:r>
        <w:t xml:space="preserve"> </w:t>
      </w:r>
      <w:r>
        <w:rPr>
          <w:i/>
          <w:iCs/>
        </w:rPr>
        <w:t xml:space="preserve">The Structure of the Ethical Terms in the Koran: A Study in Semantics</w:t>
      </w:r>
      <w:r>
        <w:t xml:space="preserve">, Studies in the Humanities and Social Relations 2 (Tokyo: Keio Institute of Philological Studies, 1959); idem,</w:t>
      </w:r>
      <w:r>
        <w:t xml:space="preserve"> </w:t>
      </w:r>
      <w:r>
        <w:rPr>
          <w:i/>
          <w:iCs/>
        </w:rPr>
        <w:t xml:space="preserve">God and Man in the Koran: Semantics of the Koranic Weltanschauung</w:t>
      </w:r>
      <w:r>
        <w:t xml:space="preserve"> </w:t>
      </w:r>
      <w:r>
        <w:t xml:space="preserve">(Tokyo: Keio Institute of Cultural and Linguistic Studies, 1964); idem,</w:t>
      </w:r>
      <w:r>
        <w:t xml:space="preserve"> </w:t>
      </w:r>
      <w:r>
        <w:rPr>
          <w:i/>
          <w:iCs/>
        </w:rPr>
        <w:t xml:space="preserve">Ethico-Religious Concepts in the Qurʾān</w:t>
      </w:r>
      <w:r>
        <w:t xml:space="preserve">, rev. edn (Montreal: McGill-Queen’s University Press, 2002; orig. 1966).</w:t>
      </w:r>
    </w:p>
  </w:footnote>
  <w:footnote w:id="53">
    <w:p>
      <w:pPr>
        <w:pStyle w:val="FootnoteText"/>
      </w:pPr>
      <w:r>
        <w:rPr>
          <w:rStyle w:val="FootnoteReference"/>
        </w:rPr>
        <w:footnoteRef/>
      </w:r>
      <w:r>
        <w:t xml:space="preserve"> </w:t>
      </w:r>
      <w:r>
        <w:t xml:space="preserve">See Qāʾimīniyā,</w:t>
      </w:r>
      <w:r>
        <w:t xml:space="preserve"> </w:t>
      </w:r>
      <w:r>
        <w:rPr>
          <w:i/>
          <w:iCs/>
        </w:rPr>
        <w:t xml:space="preserve">Maʿnāshināsī-yi Shinākhtī</w:t>
      </w:r>
      <w:r>
        <w:t xml:space="preserve">; idem,</w:t>
      </w:r>
      <w:r>
        <w:t xml:space="preserve"> </w:t>
      </w:r>
      <w:r>
        <w:rPr>
          <w:i/>
          <w:iCs/>
        </w:rPr>
        <w:t xml:space="preserve">Istiʿārah-hā-yi Mafhūmī</w:t>
      </w:r>
      <w:r>
        <w:t xml:space="preserve">; and Pakatchi and Afrashi,</w:t>
      </w:r>
      <w:r>
        <w:t xml:space="preserve"> </w:t>
      </w:r>
      <w:r>
        <w:rPr>
          <w:i/>
          <w:iCs/>
        </w:rPr>
        <w:t xml:space="preserve">Rūykardhā-yi Maʿnā-shinākhtī</w:t>
      </w:r>
      <w:r>
        <w:t xml:space="preserve">.</w:t>
      </w:r>
    </w:p>
  </w:footnote>
  <w:footnote w:id="55">
    <w:p>
      <w:pPr>
        <w:pStyle w:val="FootnoteText"/>
      </w:pPr>
      <w:r>
        <w:rPr>
          <w:rStyle w:val="FootnoteReference"/>
        </w:rPr>
        <w:footnoteRef/>
      </w:r>
      <w:r>
        <w:t xml:space="preserve"> </w:t>
      </w:r>
      <w:r>
        <w:t xml:space="preserve">Christopher Kennedy,</w:t>
      </w:r>
      <w:r>
        <w:t xml:space="preserve"> </w:t>
      </w:r>
      <w:r>
        <w:rPr>
          <w:i/>
          <w:iCs/>
        </w:rPr>
        <w:t xml:space="preserve">Projecting the Adjective: The Syntax and Semantics of Gradability and Comparison</w:t>
      </w:r>
      <w:r>
        <w:t xml:space="preserve">, Outstanding Dissertations in Linguistics (New York: Garland, 1999); idem,</w:t>
      </w:r>
      <w:r>
        <w:t xml:space="preserve"> </w:t>
      </w:r>
      <w:r>
        <w:t xml:space="preserve">‘Vagueness and Grammar: The Semantics of Relative and Absolute Gradable Adjectives’</w:t>
      </w:r>
      <w:r>
        <w:t xml:space="preserve">,</w:t>
      </w:r>
      <w:r>
        <w:t xml:space="preserve"> </w:t>
      </w:r>
      <w:r>
        <w:rPr>
          <w:i/>
          <w:iCs/>
        </w:rPr>
        <w:t xml:space="preserve">Linguistics and Philosophy</w:t>
      </w:r>
      <w:r>
        <w:t xml:space="preserve"> </w:t>
      </w:r>
      <w:r>
        <w:t xml:space="preserve">30:1 (2007), pp. 1-45; Galit Weidman Sassoon,</w:t>
      </w:r>
      <w:r>
        <w:t xml:space="preserve"> </w:t>
      </w:r>
      <w:r>
        <w:t xml:space="preserve">‘The Degree Functions of Negative Adjectives’</w:t>
      </w:r>
      <w:r>
        <w:t xml:space="preserve">,</w:t>
      </w:r>
      <w:r>
        <w:t xml:space="preserve"> </w:t>
      </w:r>
      <w:r>
        <w:rPr>
          <w:i/>
          <w:iCs/>
        </w:rPr>
        <w:t xml:space="preserve">Natural Language Semantics</w:t>
      </w:r>
      <w:r>
        <w:t xml:space="preserve"> </w:t>
      </w:r>
      <w:r>
        <w:t xml:space="preserve">18:2 (2010), pp. 141-181.</w:t>
      </w:r>
    </w:p>
  </w:footnote>
  <w:footnote w:id="57">
    <w:p>
      <w:pPr>
        <w:pStyle w:val="FootnoteText"/>
      </w:pPr>
      <w:r>
        <w:rPr>
          <w:rStyle w:val="FootnoteReference"/>
        </w:rPr>
        <w:footnoteRef/>
      </w:r>
      <w:r>
        <w:t xml:space="preserve"> </w:t>
      </w:r>
      <w:r>
        <w:t xml:space="preserve">George Lakoff and Mark Johnson,</w:t>
      </w:r>
      <w:r>
        <w:t xml:space="preserve"> </w:t>
      </w:r>
      <w:r>
        <w:rPr>
          <w:i/>
          <w:iCs/>
        </w:rPr>
        <w:t xml:space="preserve">Metaphors We Live By</w:t>
      </w:r>
      <w:r>
        <w:t xml:space="preserve"> </w:t>
      </w:r>
      <w:r>
        <w:t xml:space="preserve">(Chicago: University of Chicago Press, 1980); George Lakoff and Zoltán Kövecses,</w:t>
      </w:r>
      <w:r>
        <w:t xml:space="preserve"> </w:t>
      </w:r>
      <w:r>
        <w:t xml:space="preserve">‘The Cognitive Model of Anger Inherent in American English’</w:t>
      </w:r>
      <w:r>
        <w:t xml:space="preserve">, in Dorothy Holland and Naomi Quinn (eds),</w:t>
      </w:r>
      <w:r>
        <w:t xml:space="preserve"> </w:t>
      </w:r>
      <w:r>
        <w:rPr>
          <w:i/>
          <w:iCs/>
        </w:rPr>
        <w:t xml:space="preserve">Cultural Models in Language and Thought</w:t>
      </w:r>
      <w:r>
        <w:t xml:space="preserve"> </w:t>
      </w:r>
      <w:r>
        <w:t xml:space="preserve">(Cambridge: Cambridge University Press, 1987), pp. 195-221; Zoltán Kövecses,</w:t>
      </w:r>
      <w:r>
        <w:t xml:space="preserve"> </w:t>
      </w:r>
      <w:r>
        <w:rPr>
          <w:i/>
          <w:iCs/>
        </w:rPr>
        <w:t xml:space="preserve">Metaphor and Emotion: Language, Culture, and Body in Human Feeling</w:t>
      </w:r>
      <w:r>
        <w:t xml:space="preserve"> </w:t>
      </w:r>
      <w:r>
        <w:t xml:space="preserve">(Cambridge: Cambridge University Press, 2000); idem,</w:t>
      </w:r>
      <w:r>
        <w:t xml:space="preserve"> </w:t>
      </w:r>
      <w:r>
        <w:rPr>
          <w:i/>
          <w:iCs/>
        </w:rPr>
        <w:t xml:space="preserve">Metaphor: A Practical Introduction</w:t>
      </w:r>
      <w:r>
        <w:t xml:space="preserve">, 2nd edn (Oxford: Oxford University Press, 2010); Kövecses, Benczes and Szelid (eds),</w:t>
      </w:r>
      <w:r>
        <w:t xml:space="preserve"> </w:t>
      </w:r>
      <w:r>
        <w:rPr>
          <w:i/>
          <w:iCs/>
        </w:rPr>
        <w:t xml:space="preserve">Metaphors of ANGER</w:t>
      </w:r>
      <w:r>
        <w:t xml:space="preserve">.</w:t>
      </w:r>
    </w:p>
  </w:footnote>
  <w:footnote w:id="58">
    <w:p>
      <w:pPr>
        <w:pStyle w:val="FootnoteText"/>
      </w:pPr>
      <w:r>
        <w:rPr>
          <w:rStyle w:val="FootnoteReference"/>
        </w:rPr>
        <w:footnoteRef/>
      </w:r>
      <w:r>
        <w:t xml:space="preserve"> </w:t>
      </w:r>
      <w:r>
        <w:t xml:space="preserve">Lakoff and Kövecses,</w:t>
      </w:r>
      <w:r>
        <w:t xml:space="preserve"> </w:t>
      </w:r>
      <w:r>
        <w:t xml:space="preserve">‘Cognitive Model of Anger’</w:t>
      </w:r>
      <w:r>
        <w:t xml:space="preserve">, pp. 195-221.</w:t>
      </w:r>
    </w:p>
  </w:footnote>
  <w:footnote w:id="65">
    <w:p>
      <w:pPr>
        <w:pStyle w:val="FootnoteText"/>
      </w:pPr>
      <w:r>
        <w:rPr>
          <w:rStyle w:val="FootnoteReference"/>
        </w:rPr>
        <w:footnoteRef/>
      </w:r>
      <w:r>
        <w:t xml:space="preserve"> </w:t>
      </w:r>
      <w:r>
        <w:t xml:space="preserve">Dukes,</w:t>
      </w:r>
      <w:r>
        <w:t xml:space="preserve"> </w:t>
      </w:r>
      <w:r>
        <w:rPr>
          <w:i/>
          <w:iCs/>
        </w:rPr>
        <w:t xml:space="preserve">Quranic Arabic Corpus</w:t>
      </w:r>
      <w:r>
        <w:t xml:space="preserve">.</w:t>
      </w:r>
    </w:p>
  </w:footnote>
  <w:footnote w:id="66">
    <w:p>
      <w:pPr>
        <w:pStyle w:val="FootnoteText"/>
      </w:pPr>
      <w:r>
        <w:rPr>
          <w:rStyle w:val="FootnoteReference"/>
        </w:rPr>
        <w:footnoteRef/>
      </w:r>
      <w:r>
        <w:t xml:space="preserve"> </w:t>
      </w:r>
      <w:r>
        <w:t xml:space="preserve">Tanzil Project,</w:t>
      </w:r>
      <w:r>
        <w:t xml:space="preserve"> </w:t>
      </w:r>
      <w:r>
        <w:rPr>
          <w:i/>
          <w:iCs/>
        </w:rPr>
        <w:t xml:space="preserve">The Tanzil Quran Text</w:t>
      </w:r>
      <w:r>
        <w:t xml:space="preserve"> </w:t>
      </w:r>
      <w:r>
        <w:t xml:space="preserve">(Uthmani edition) (2008), https://tanzil.net (CC-BY-ND 3.0).</w:t>
      </w:r>
    </w:p>
  </w:footnote>
  <w:footnote w:id="69">
    <w:p>
      <w:pPr>
        <w:pStyle w:val="FootnoteText"/>
      </w:pPr>
      <w:r>
        <w:rPr>
          <w:rStyle w:val="FootnoteReference"/>
        </w:rPr>
        <w:footnoteRef/>
      </w:r>
      <w:r>
        <w:t xml:space="preserve"> </w:t>
      </w:r>
      <w:r>
        <w:t xml:space="preserve">Dukes,</w:t>
      </w:r>
      <w:r>
        <w:t xml:space="preserve"> </w:t>
      </w:r>
      <w:r>
        <w:rPr>
          <w:i/>
          <w:iCs/>
        </w:rPr>
        <w:t xml:space="preserve">Quranic Arabic Corpus</w:t>
      </w:r>
      <w:r>
        <w:t xml:space="preserve">; release date May 2011.</w:t>
      </w:r>
    </w:p>
  </w:footnote>
  <w:footnote w:id="74">
    <w:p>
      <w:pPr>
        <w:pStyle w:val="FootnoteText"/>
      </w:pPr>
      <w:r>
        <w:rPr>
          <w:rStyle w:val="FootnoteReference"/>
        </w:rPr>
        <w:footnoteRef/>
      </w:r>
      <w:r>
        <w:t xml:space="preserve"> </w:t>
      </w:r>
      <w:r>
        <w:t xml:space="preserve">Cf. M. S. Mottaghi et al.,</w:t>
      </w:r>
      <w:r>
        <w:t xml:space="preserve"> </w:t>
      </w:r>
      <w:r>
        <w:t xml:space="preserve">‘A Graph-based Algorithm for Clustering Qurʾānic Surahs’</w:t>
      </w:r>
      <w:r>
        <w:t xml:space="preserve">,</w:t>
      </w:r>
      <w:r>
        <w:t xml:space="preserve"> </w:t>
      </w:r>
      <w:r>
        <w:rPr>
          <w:i/>
          <w:iCs/>
        </w:rPr>
        <w:t xml:space="preserve">Signal and Data Processing Journal (Iran)</w:t>
      </w:r>
      <w:r>
        <w:t xml:space="preserve"> </w:t>
      </w:r>
      <w:r>
        <w:t xml:space="preserve">(2024).</w:t>
      </w:r>
    </w:p>
  </w:footnote>
  <w:footnote w:id="75">
    <w:p>
      <w:pPr>
        <w:pStyle w:val="FootnoteText"/>
      </w:pPr>
      <w:r>
        <w:rPr>
          <w:rStyle w:val="FootnoteReference"/>
        </w:rPr>
        <w:footnoteRef/>
      </w:r>
      <w:r>
        <w:t xml:space="preserve"> </w:t>
      </w:r>
      <w:r>
        <w:t xml:space="preserve">E.g. M. Nandan, I. Godbole, P. Kapparad and S. Bhattacharjee,</w:t>
      </w:r>
      <w:r>
        <w:t xml:space="preserve"> </w:t>
      </w:r>
      <w:r>
        <w:t xml:space="preserve">‘Comparative Analysis of Religious Texts: NLP Approaches to the Bible, Quran, and Bhagavad Gītā’</w:t>
      </w:r>
      <w:r>
        <w:t xml:space="preserve">, in</w:t>
      </w:r>
      <w:r>
        <w:t xml:space="preserve"> </w:t>
      </w:r>
      <w:r>
        <w:rPr>
          <w:i/>
          <w:iCs/>
        </w:rPr>
        <w:t xml:space="preserve">Proceedings of the Workshop on New Horizons in Computational Linguistics for Religious Texts (CLRel)</w:t>
      </w:r>
      <w:r>
        <w:t xml:space="preserve"> </w:t>
      </w:r>
      <w:r>
        <w:t xml:space="preserve">(Stroudsburg, PA: Association for Computational Linguistics, 2025).</w:t>
      </w:r>
    </w:p>
  </w:footnote>
  <w:footnote w:id="78">
    <w:p>
      <w:pPr>
        <w:pStyle w:val="FootnoteText"/>
      </w:pPr>
      <w:r>
        <w:rPr>
          <w:rStyle w:val="FootnoteReference"/>
        </w:rPr>
        <w:footnoteRef/>
      </w:r>
      <w:r>
        <w:t xml:space="preserve"> </w:t>
      </w:r>
      <w:r>
        <w:t xml:space="preserve">William G. Cochran,</w:t>
      </w:r>
      <w:r>
        <w:t xml:space="preserve"> </w:t>
      </w:r>
      <w:r>
        <w:t xml:space="preserve">‘Some Methods for Strengthening the Common χ² Tests’</w:t>
      </w:r>
      <w:r>
        <w:t xml:space="preserve">,</w:t>
      </w:r>
      <w:r>
        <w:t xml:space="preserve"> </w:t>
      </w:r>
      <w:r>
        <w:rPr>
          <w:i/>
          <w:iCs/>
        </w:rPr>
        <w:t xml:space="preserve">Biometrics</w:t>
      </w:r>
      <w:r>
        <w:t xml:space="preserve"> </w:t>
      </w:r>
      <w:r>
        <w:t xml:space="preserve">10:4 (1954), pp. 417-451.</w:t>
      </w:r>
    </w:p>
  </w:footnote>
  <w:footnote w:id="79">
    <w:p>
      <w:pPr>
        <w:pStyle w:val="FootnoteText"/>
      </w:pPr>
      <w:r>
        <w:rPr>
          <w:rStyle w:val="FootnoteReference"/>
        </w:rPr>
        <w:footnoteRef/>
      </w:r>
      <w:r>
        <w:t xml:space="preserve"> </w:t>
      </w:r>
      <w:r>
        <w:t xml:space="preserve">R. A. Fisher,</w:t>
      </w:r>
      <w:r>
        <w:t xml:space="preserve"> </w:t>
      </w:r>
      <w:r>
        <w:t xml:space="preserve">‘On the Interpretation of χ² from Contingency Tables, and the Calculation of</w:t>
      </w:r>
      <w:r>
        <w:t xml:space="preserve"> </w:t>
      </w:r>
      <w:r>
        <w:rPr>
          <w:i/>
          <w:iCs/>
        </w:rPr>
        <w:t xml:space="preserve">p</w:t>
      </w:r>
      <w:r>
        <w:t xml:space="preserve">’</w:t>
      </w:r>
      <w:r>
        <w:t xml:space="preserve">,</w:t>
      </w:r>
      <w:r>
        <w:t xml:space="preserve"> </w:t>
      </w:r>
      <w:r>
        <w:rPr>
          <w:i/>
          <w:iCs/>
        </w:rPr>
        <w:t xml:space="preserve">Journal of the Royal Statistical Society</w:t>
      </w:r>
      <w:r>
        <w:t xml:space="preserve"> </w:t>
      </w:r>
      <w:r>
        <w:t xml:space="preserve">85:1 (1922), pp. 87-94.</w:t>
      </w:r>
    </w:p>
  </w:footnote>
  <w:footnote w:id="80">
    <w:p>
      <w:pPr>
        <w:pStyle w:val="FootnoteText"/>
      </w:pPr>
      <w:r>
        <w:rPr>
          <w:rStyle w:val="FootnoteReference"/>
        </w:rPr>
        <w:footnoteRef/>
      </w:r>
      <w:r>
        <w:t xml:space="preserve"> </w:t>
      </w:r>
      <w:r>
        <w:t xml:space="preserve">W. M. Patefield,</w:t>
      </w:r>
      <w:r>
        <w:t xml:space="preserve"> </w:t>
      </w:r>
      <w:r>
        <w:t xml:space="preserve">‘An Efficient Method of Generating Random R × C Tables with Given Row and Column Totals’</w:t>
      </w:r>
      <w:r>
        <w:t xml:space="preserve">,</w:t>
      </w:r>
      <w:r>
        <w:t xml:space="preserve"> </w:t>
      </w:r>
      <w:r>
        <w:rPr>
          <w:i/>
          <w:iCs/>
        </w:rPr>
        <w:t xml:space="preserve">Applied Statistics</w:t>
      </w:r>
      <w:r>
        <w:t xml:space="preserve"> </w:t>
      </w:r>
      <w:r>
        <w:t xml:space="preserve">30:1 (1981), pp. 91-97.</w:t>
      </w:r>
    </w:p>
  </w:footnote>
  <w:footnote w:id="81">
    <w:p>
      <w:pPr>
        <w:pStyle w:val="FootnoteText"/>
      </w:pPr>
      <w:r>
        <w:rPr>
          <w:rStyle w:val="FootnoteReference"/>
        </w:rPr>
        <w:footnoteRef/>
      </w:r>
      <w:r>
        <w:t xml:space="preserve"> </w:t>
      </w:r>
      <w:r>
        <w:t xml:space="preserve">Cyrus R. Mehta and Nitin R. Patel,</w:t>
      </w:r>
      <w:r>
        <w:t xml:space="preserve"> </w:t>
      </w:r>
      <w:r>
        <w:t xml:space="preserve">‘A Network Algorithm for Performing Fisher’s Exact Test in</w:t>
      </w:r>
      <w:r>
        <w:t xml:space="preserve"> </w:t>
      </w:r>
      <w:r>
        <w:rPr>
          <w:i/>
          <w:iCs/>
        </w:rPr>
        <w:t xml:space="preserve">r</w:t>
      </w:r>
      <w:r>
        <w:t xml:space="preserve"> </w:t>
      </w:r>
      <w:r>
        <w:t xml:space="preserve">×</w:t>
      </w:r>
      <w:r>
        <w:t xml:space="preserve"> </w:t>
      </w:r>
      <w:r>
        <w:rPr>
          <w:i/>
          <w:iCs/>
        </w:rPr>
        <w:t xml:space="preserve">c</w:t>
      </w:r>
      <w:r>
        <w:t xml:space="preserve"> </w:t>
      </w:r>
      <w:r>
        <w:t xml:space="preserve">Contingency Tables’</w:t>
      </w:r>
      <w:r>
        <w:t xml:space="preserve">,</w:t>
      </w:r>
      <w:r>
        <w:t xml:space="preserve"> </w:t>
      </w:r>
      <w:r>
        <w:rPr>
          <w:i/>
          <w:iCs/>
        </w:rPr>
        <w:t xml:space="preserve">Journal of the American Statistical Association</w:t>
      </w:r>
      <w:r>
        <w:t xml:space="preserve"> </w:t>
      </w:r>
      <w:r>
        <w:t xml:space="preserve">78:382 (1983), pp. 427-434.</w:t>
      </w:r>
    </w:p>
  </w:footnote>
  <w:footnote w:id="82">
    <w:p>
      <w:pPr>
        <w:pStyle w:val="FootnoteText"/>
      </w:pPr>
      <w:r>
        <w:rPr>
          <w:rStyle w:val="FootnoteReference"/>
        </w:rPr>
        <w:footnoteRef/>
      </w:r>
      <w:r>
        <w:t xml:space="preserve"> </w:t>
      </w:r>
      <w:r>
        <w:t xml:space="preserve">Alan Agresti,</w:t>
      </w:r>
      <w:r>
        <w:t xml:space="preserve"> </w:t>
      </w:r>
      <w:r>
        <w:rPr>
          <w:i/>
          <w:iCs/>
        </w:rPr>
        <w:t xml:space="preserve">Categorical Data Analysis</w:t>
      </w:r>
      <w:r>
        <w:t xml:space="preserve">, 3rd edn (Hoboken, NJ: Wiley, 2013), §3.5.</w:t>
      </w:r>
    </w:p>
  </w:footnote>
  <w:footnote w:id="86">
    <w:p>
      <w:pPr>
        <w:pStyle w:val="FootnoteText"/>
      </w:pPr>
      <w:r>
        <w:rPr>
          <w:rStyle w:val="FootnoteReference"/>
        </w:rPr>
        <w:footnoteRef/>
      </w:r>
      <w:r>
        <w:t xml:space="preserve"> </w:t>
      </w:r>
      <w:r>
        <w:t xml:space="preserve">William G. Cochran,</w:t>
      </w:r>
      <w:r>
        <w:t xml:space="preserve"> </w:t>
      </w:r>
      <w:r>
        <w:t xml:space="preserve">‘Some Methods for Strengthening the Common χ² Tests’</w:t>
      </w:r>
      <w:r>
        <w:t xml:space="preserve">,</w:t>
      </w:r>
      <w:r>
        <w:t xml:space="preserve"> </w:t>
      </w:r>
      <w:r>
        <w:rPr>
          <w:i/>
          <w:iCs/>
        </w:rPr>
        <w:t xml:space="preserve">Biometrics</w:t>
      </w:r>
      <w:r>
        <w:t xml:space="preserve"> </w:t>
      </w:r>
      <w:r>
        <w:t xml:space="preserve">10:4 (1954), pp. 417-451. (Bibliography entry to be added on author follow-up; cited from secondary literature.)</w:t>
      </w:r>
    </w:p>
  </w:footnote>
  <w:footnote w:id="99">
    <w:p>
      <w:pPr>
        <w:pStyle w:val="FootnoteText"/>
      </w:pPr>
      <w:r>
        <w:rPr>
          <w:rStyle w:val="FootnoteReference"/>
        </w:rPr>
        <w:footnoteRef/>
      </w:r>
      <w:r>
        <w:t xml:space="preserve"> </w:t>
      </w:r>
      <w:r>
        <w:t xml:space="preserve">Kövecses,</w:t>
      </w:r>
      <w:r>
        <w:t xml:space="preserve"> </w:t>
      </w:r>
      <w:r>
        <w:rPr>
          <w:i/>
          <w:iCs/>
        </w:rPr>
        <w:t xml:space="preserve">Metaphor and Emotion</w:t>
      </w:r>
      <w:r>
        <w:t xml:space="preserve">.</w:t>
      </w:r>
    </w:p>
  </w:footnote>
  <w:footnote w:id="101">
    <w:p>
      <w:pPr>
        <w:pStyle w:val="FootnoteText"/>
      </w:pPr>
      <w:r>
        <w:rPr>
          <w:rStyle w:val="FootnoteReference"/>
        </w:rPr>
        <w:footnoteRef/>
      </w:r>
      <w:r>
        <w:t xml:space="preserve"> </w:t>
      </w:r>
      <w:r>
        <w:t xml:space="preserve">Narimani, Iqbali and Chari,</w:t>
      </w:r>
      <w:r>
        <w:t xml:space="preserve"> </w:t>
      </w:r>
      <w:r>
        <w:t xml:space="preserve">‘Semantic Re-analysis’</w:t>
      </w:r>
      <w:r>
        <w:t xml:space="preserve">.</w:t>
      </w:r>
    </w:p>
  </w:footnote>
  <w:footnote w:id="104">
    <w:p>
      <w:pPr>
        <w:pStyle w:val="FootnoteText"/>
      </w:pPr>
      <w:r>
        <w:rPr>
          <w:rStyle w:val="FootnoteReference"/>
        </w:rPr>
        <w:footnoteRef/>
      </w:r>
      <w:r>
        <w:t xml:space="preserve"> </w:t>
      </w:r>
      <w:r>
        <w:t xml:space="preserve">Lakoff and Kövecses,</w:t>
      </w:r>
      <w:r>
        <w:t xml:space="preserve"> </w:t>
      </w:r>
      <w:r>
        <w:t xml:space="preserve">‘Cognitive Model of Anger’</w:t>
      </w:r>
      <w:r>
        <w:t xml:space="preserve">.</w:t>
      </w:r>
    </w:p>
  </w:footnote>
  <w:footnote w:id="105">
    <w:p>
      <w:pPr>
        <w:pStyle w:val="FootnoteText"/>
      </w:pPr>
      <w:r>
        <w:rPr>
          <w:rStyle w:val="FootnoteReference"/>
        </w:rPr>
        <w:footnoteRef/>
      </w:r>
      <w:r>
        <w:t xml:space="preserve"> </w:t>
      </w:r>
      <w:r>
        <w:t xml:space="preserve">Lakoff and Kövecses,</w:t>
      </w:r>
      <w:r>
        <w:t xml:space="preserve"> </w:t>
      </w:r>
      <w:r>
        <w:t xml:space="preserve">‘Cognitive Model of Anger’</w:t>
      </w:r>
      <w:r>
        <w:t xml:space="preserve">.</w:t>
      </w:r>
    </w:p>
  </w:footnote>
  <w:footnote w:id="107">
    <w:p>
      <w:pPr>
        <w:pStyle w:val="FootnoteText"/>
      </w:pPr>
      <w:r>
        <w:rPr>
          <w:rStyle w:val="FootnoteReference"/>
        </w:rPr>
        <w:footnoteRef/>
      </w:r>
      <w:r>
        <w:t xml:space="preserve"> </w:t>
      </w:r>
      <w:r>
        <w:t xml:space="preserve">Richard S. Lazarus,</w:t>
      </w:r>
      <w:r>
        <w:t xml:space="preserve"> </w:t>
      </w:r>
      <w:r>
        <w:rPr>
          <w:i/>
          <w:iCs/>
        </w:rPr>
        <w:t xml:space="preserve">Emotion and Adaptation</w:t>
      </w:r>
      <w:r>
        <w:t xml:space="preserve"> </w:t>
      </w:r>
      <w:r>
        <w:t xml:space="preserve">(New York: Oxford University Press, 1991).</w:t>
      </w:r>
    </w:p>
  </w:footnote>
  <w:footnote w:id="108">
    <w:p>
      <w:pPr>
        <w:pStyle w:val="FootnoteText"/>
      </w:pPr>
      <w:r>
        <w:rPr>
          <w:rStyle w:val="FootnoteReference"/>
        </w:rPr>
        <w:footnoteRef/>
      </w:r>
      <w:r>
        <w:t xml:space="preserve"> </w:t>
      </w:r>
      <w:r>
        <w:t xml:space="preserve">Klaus R. Scherer,</w:t>
      </w:r>
      <w:r>
        <w:t xml:space="preserve"> </w:t>
      </w:r>
      <w:r>
        <w:t xml:space="preserve">‘Appraisal Considered as a Process of Multilevel Sequential Checking’</w:t>
      </w:r>
      <w:r>
        <w:t xml:space="preserve">, in Klaus R. Scherer, Angela Schorr and Tom Johnstone (eds),</w:t>
      </w:r>
      <w:r>
        <w:t xml:space="preserve"> </w:t>
      </w:r>
      <w:r>
        <w:rPr>
          <w:i/>
          <w:iCs/>
        </w:rPr>
        <w:t xml:space="preserve">Appraisal Processes in Emotion: Theory, Methods, Research</w:t>
      </w:r>
      <w:r>
        <w:t xml:space="preserve"> </w:t>
      </w:r>
      <w:r>
        <w:t xml:space="preserve">(New York: Oxford University Press, 2001), pp. 92-120; idem,</w:t>
      </w:r>
      <w:r>
        <w:t xml:space="preserve"> </w:t>
      </w:r>
      <w:r>
        <w:t xml:space="preserve">‘What Are Emotions? And How Can They Be Measured?’</w:t>
      </w:r>
      <w:r>
        <w:t xml:space="preserve">,</w:t>
      </w:r>
      <w:r>
        <w:t xml:space="preserve"> </w:t>
      </w:r>
      <w:r>
        <w:rPr>
          <w:i/>
          <w:iCs/>
        </w:rPr>
        <w:t xml:space="preserve">Social Science Information</w:t>
      </w:r>
      <w:r>
        <w:t xml:space="preserve"> </w:t>
      </w:r>
      <w:r>
        <w:t xml:space="preserve">44:4 (2005), pp. 695-729.</w:t>
      </w:r>
    </w:p>
  </w:footnote>
  <w:footnote w:id="109">
    <w:p>
      <w:pPr>
        <w:pStyle w:val="FootnoteText"/>
      </w:pPr>
      <w:r>
        <w:rPr>
          <w:rStyle w:val="FootnoteReference"/>
        </w:rPr>
        <w:footnoteRef/>
      </w:r>
      <w:r>
        <w:t xml:space="preserve"> </w:t>
      </w:r>
      <w:r>
        <w:t xml:space="preserve">Ira J. Roseman,</w:t>
      </w:r>
      <w:r>
        <w:t xml:space="preserve"> </w:t>
      </w:r>
      <w:r>
        <w:t xml:space="preserve">‘Appraisal Determinants of Emotions: Constructing a More Accurate and Comprehensive Theory’</w:t>
      </w:r>
      <w:r>
        <w:t xml:space="preserve">,</w:t>
      </w:r>
      <w:r>
        <w:t xml:space="preserve"> </w:t>
      </w:r>
      <w:r>
        <w:rPr>
          <w:i/>
          <w:iCs/>
        </w:rPr>
        <w:t xml:space="preserve">Cognition and Emotion</w:t>
      </w:r>
      <w:r>
        <w:t xml:space="preserve"> </w:t>
      </w:r>
      <w:r>
        <w:t xml:space="preserve">10:3 (1996), pp. 241-277.</w:t>
      </w:r>
    </w:p>
  </w:footnote>
  <w:footnote w:id="110">
    <w:p>
      <w:pPr>
        <w:pStyle w:val="FootnoteText"/>
      </w:pPr>
      <w:r>
        <w:rPr>
          <w:rStyle w:val="FootnoteReference"/>
        </w:rPr>
        <w:footnoteRef/>
      </w:r>
      <w:r>
        <w:t xml:space="preserve"> </w:t>
      </w:r>
      <w:r>
        <w:t xml:space="preserve">Qarizadeh et al.,</w:t>
      </w:r>
      <w:r>
        <w:t xml:space="preserve"> </w:t>
      </w:r>
      <w:r>
        <w:t xml:space="preserve">‘Polysemy of</w:t>
      </w:r>
      <w:r>
        <w:t xml:space="preserve"> </w:t>
      </w:r>
      <w:r>
        <w:rPr>
          <w:i/>
          <w:iCs/>
        </w:rPr>
        <w:t xml:space="preserve">ṭughyān</w:t>
      </w:r>
      <w:r>
        <w:t xml:space="preserve">’</w:t>
      </w:r>
      <w:r>
        <w:t xml:space="preserve">.</w:t>
      </w:r>
    </w:p>
  </w:footnote>
  <w:footnote w:id="135">
    <w:p>
      <w:pPr>
        <w:pStyle w:val="FootnoteText"/>
      </w:pPr>
      <w:r>
        <w:rPr>
          <w:rStyle w:val="FootnoteReference"/>
        </w:rPr>
        <w:footnoteRef/>
      </w:r>
      <w:r>
        <w:t xml:space="preserve"> </w:t>
      </w:r>
      <w:r>
        <w:t xml:space="preserve">James J. Gross,</w:t>
      </w:r>
      <w:r>
        <w:t xml:space="preserve"> </w:t>
      </w:r>
      <w:r>
        <w:t xml:space="preserve">‘The Emerging Field of Emotion Regulation: An Integrative Review’</w:t>
      </w:r>
      <w:r>
        <w:t xml:space="preserve">,</w:t>
      </w:r>
      <w:r>
        <w:t xml:space="preserve"> </w:t>
      </w:r>
      <w:r>
        <w:rPr>
          <w:i/>
          <w:iCs/>
        </w:rPr>
        <w:t xml:space="preserve">Review of General Psychology</w:t>
      </w:r>
      <w:r>
        <w:t xml:space="preserve"> </w:t>
      </w:r>
      <w:r>
        <w:t xml:space="preserve">2:3 (1998), pp. 271-299; idem (ed.),</w:t>
      </w:r>
      <w:r>
        <w:t xml:space="preserve"> </w:t>
      </w:r>
      <w:r>
        <w:rPr>
          <w:i/>
          <w:iCs/>
        </w:rPr>
        <w:t xml:space="preserve">Handbook of Emotion Regulation</w:t>
      </w:r>
      <w:r>
        <w:t xml:space="preserve">, 2nd edn (New York: Guilford Press, 2014); idem,</w:t>
      </w:r>
      <w:r>
        <w:t xml:space="preserve"> </w:t>
      </w:r>
      <w:r>
        <w:t xml:space="preserve">‘Emotion Regulation: Current Status and Future Prospects’</w:t>
      </w:r>
      <w:r>
        <w:t xml:space="preserve">,</w:t>
      </w:r>
      <w:r>
        <w:t xml:space="preserve"> </w:t>
      </w:r>
      <w:r>
        <w:rPr>
          <w:i/>
          <w:iCs/>
        </w:rPr>
        <w:t xml:space="preserve">Psychological Inquiry</w:t>
      </w:r>
      <w:r>
        <w:t xml:space="preserve"> </w:t>
      </w:r>
      <w:r>
        <w:t xml:space="preserve">26:1 (2015), pp. 1-26.</w:t>
      </w:r>
    </w:p>
  </w:footnote>
  <w:footnote w:id="136">
    <w:p>
      <w:pPr>
        <w:pStyle w:val="FootnoteText"/>
      </w:pPr>
      <w:r>
        <w:rPr>
          <w:rStyle w:val="FootnoteReference"/>
        </w:rPr>
        <w:footnoteRef/>
      </w:r>
      <w:r>
        <w:t xml:space="preserve"> </w:t>
      </w:r>
      <w:r>
        <w:t xml:space="preserve">Robert Plutchik,</w:t>
      </w:r>
      <w:r>
        <w:t xml:space="preserve"> </w:t>
      </w:r>
      <w:r>
        <w:rPr>
          <w:i/>
          <w:iCs/>
        </w:rPr>
        <w:t xml:space="preserve">Emotion: A Psychoevolutionary Synthesis</w:t>
      </w:r>
      <w:r>
        <w:t xml:space="preserve"> </w:t>
      </w:r>
      <w:r>
        <w:t xml:space="preserve">(New York: Harper &amp; Row, 1980); idem,</w:t>
      </w:r>
      <w:r>
        <w:t xml:space="preserve"> </w:t>
      </w:r>
      <w:r>
        <w:t xml:space="preserve">‘The Nature of Emotions’</w:t>
      </w:r>
      <w:r>
        <w:t xml:space="preserve">,</w:t>
      </w:r>
      <w:r>
        <w:t xml:space="preserve"> </w:t>
      </w:r>
      <w:r>
        <w:rPr>
          <w:i/>
          <w:iCs/>
        </w:rPr>
        <w:t xml:space="preserve">American Scientist</w:t>
      </w:r>
      <w:r>
        <w:t xml:space="preserve"> </w:t>
      </w:r>
      <w:r>
        <w:t xml:space="preserve">89:4 (2001), pp. 344-350.</w:t>
      </w:r>
    </w:p>
  </w:footnote>
  <w:footnote w:id="137">
    <w:p>
      <w:pPr>
        <w:pStyle w:val="FootnoteText"/>
      </w:pPr>
      <w:r>
        <w:rPr>
          <w:rStyle w:val="FootnoteReference"/>
        </w:rPr>
        <w:footnoteRef/>
      </w:r>
      <w:r>
        <w:t xml:space="preserve"> </w:t>
      </w:r>
      <w:r>
        <w:t xml:space="preserve">Charles D. Spielberger,</w:t>
      </w:r>
      <w:r>
        <w:t xml:space="preserve"> </w:t>
      </w:r>
      <w:r>
        <w:rPr>
          <w:i/>
          <w:iCs/>
        </w:rPr>
        <w:t xml:space="preserve">Professional Manual for the State-Trait Anger Expression Inventory–2 (STAXI-2)</w:t>
      </w:r>
      <w:r>
        <w:t xml:space="preserve"> </w:t>
      </w:r>
      <w:r>
        <w:t xml:space="preserve">(Odessa, FL: Psychological Assessment Resources, 1999).</w:t>
      </w:r>
    </w:p>
  </w:footnote>
  <w:footnote w:id="138">
    <w:p>
      <w:pPr>
        <w:pStyle w:val="FootnoteText"/>
      </w:pPr>
      <w:r>
        <w:rPr>
          <w:rStyle w:val="FootnoteReference"/>
        </w:rPr>
        <w:footnoteRef/>
      </w:r>
      <w:r>
        <w:t xml:space="preserve"> </w:t>
      </w:r>
      <w:r>
        <w:t xml:space="preserve">Nico H. Frijda,</w:t>
      </w:r>
      <w:r>
        <w:t xml:space="preserve"> </w:t>
      </w:r>
      <w:r>
        <w:rPr>
          <w:i/>
          <w:iCs/>
        </w:rPr>
        <w:t xml:space="preserve">The Emotions</w:t>
      </w:r>
      <w:r>
        <w:t xml:space="preserve">, Studies in Emotion and Social Interaction (Cambridge: Cambridge University Press, 1986); Lazarus,</w:t>
      </w:r>
      <w:r>
        <w:t xml:space="preserve"> </w:t>
      </w:r>
      <w:r>
        <w:rPr>
          <w:i/>
          <w:iCs/>
        </w:rPr>
        <w:t xml:space="preserve">Emotion and Adaptation</w:t>
      </w:r>
      <w:r>
        <w:t xml:space="preserve">; Roseman,</w:t>
      </w:r>
      <w:r>
        <w:t xml:space="preserve"> </w:t>
      </w:r>
      <w:r>
        <w:t xml:space="preserve">‘Appraisal Determinants’</w:t>
      </w:r>
      <w:r>
        <w:t xml:space="preserve">; Scherer,</w:t>
      </w:r>
      <w:r>
        <w:t xml:space="preserve"> </w:t>
      </w:r>
      <w:r>
        <w:t xml:space="preserve">‘Appraisal Considered as a Process’</w:t>
      </w:r>
      <w:r>
        <w:t xml:space="preserve">; idem,</w:t>
      </w:r>
      <w:r>
        <w:t xml:space="preserve"> </w:t>
      </w:r>
      <w:r>
        <w:t xml:space="preserve">‘What Are Emotions?’</w:t>
      </w:r>
      <w:r>
        <w:t xml:space="preserve">.</w:t>
      </w:r>
    </w:p>
  </w:footnote>
  <w:footnote w:id="139">
    <w:p>
      <w:pPr>
        <w:pStyle w:val="FootnoteText"/>
      </w:pPr>
      <w:r>
        <w:rPr>
          <w:rStyle w:val="FootnoteReference"/>
        </w:rPr>
        <w:footnoteRef/>
      </w:r>
      <w:r>
        <w:t xml:space="preserve"> </w:t>
      </w:r>
      <w:r>
        <w:t xml:space="preserve">Scherer,</w:t>
      </w:r>
      <w:r>
        <w:t xml:space="preserve"> </w:t>
      </w:r>
      <w:r>
        <w:t xml:space="preserve">‘Appraisal Considered as a Process’</w:t>
      </w:r>
      <w:r>
        <w:t xml:space="preserve">, pp. 92-120; idem,</w:t>
      </w:r>
      <w:r>
        <w:t xml:space="preserve"> </w:t>
      </w:r>
      <w:r>
        <w:t xml:space="preserve">‘What Are Emotions?’</w:t>
      </w:r>
      <w:r>
        <w:t xml:space="preserve">, pp. 695-729.</w:t>
      </w:r>
    </w:p>
  </w:footnote>
  <w:footnote w:id="140">
    <w:p>
      <w:pPr>
        <w:pStyle w:val="FootnoteText"/>
      </w:pPr>
      <w:r>
        <w:rPr>
          <w:rStyle w:val="FootnoteReference"/>
        </w:rPr>
        <w:footnoteRef/>
      </w:r>
      <w:r>
        <w:t xml:space="preserve"> </w:t>
      </w:r>
      <w:r>
        <w:t xml:space="preserve">Roseman,</w:t>
      </w:r>
      <w:r>
        <w:t xml:space="preserve"> </w:t>
      </w:r>
      <w:r>
        <w:t xml:space="preserve">‘Appraisal Determinants’</w:t>
      </w:r>
      <w:r>
        <w:t xml:space="preserve">, pp. 241-277.</w:t>
      </w:r>
    </w:p>
  </w:footnote>
  <w:footnote w:id="143">
    <w:p>
      <w:pPr>
        <w:pStyle w:val="FootnoteText"/>
      </w:pPr>
      <w:r>
        <w:rPr>
          <w:rStyle w:val="FootnoteReference"/>
        </w:rPr>
        <w:footnoteRef/>
      </w:r>
      <w:r>
        <w:t xml:space="preserve"> </w:t>
      </w:r>
      <w:r>
        <w:t xml:space="preserve">Salwa M. S. El-Awa,</w:t>
      </w:r>
      <w:r>
        <w:t xml:space="preserve"> </w:t>
      </w:r>
      <w:r>
        <w:rPr>
          <w:i/>
          <w:iCs/>
        </w:rPr>
        <w:t xml:space="preserve">Textual Relations in the Qurʾan: Relevance, Coherence and Structure</w:t>
      </w:r>
      <w:r>
        <w:t xml:space="preserve">, Routledge Studies in the Qurʾan (London: Routledge, 2006).</w:t>
      </w:r>
    </w:p>
  </w:footnote>
  <w:footnote w:id="144">
    <w:p>
      <w:pPr>
        <w:pStyle w:val="FootnoteText"/>
      </w:pPr>
      <w:r>
        <w:rPr>
          <w:rStyle w:val="FootnoteReference"/>
        </w:rPr>
        <w:footnoteRef/>
      </w:r>
      <w:r>
        <w:t xml:space="preserve"> </w:t>
      </w:r>
      <w:r>
        <w:t xml:space="preserve">Nicolai Sinai,</w:t>
      </w:r>
      <w:r>
        <w:t xml:space="preserve"> </w:t>
      </w:r>
      <w:r>
        <w:rPr>
          <w:i/>
          <w:iCs/>
        </w:rPr>
        <w:t xml:space="preserve">The Qurʾan: A Historical-Critical Introduction</w:t>
      </w:r>
      <w:r>
        <w:t xml:space="preserve">, The New Edinburgh Islamic Surveys (Edinburgh: Edinburgh University Press, 2017); idem,</w:t>
      </w:r>
      <w:r>
        <w:t xml:space="preserve"> </w:t>
      </w:r>
      <w:r>
        <w:rPr>
          <w:i/>
          <w:iCs/>
        </w:rPr>
        <w:t xml:space="preserve">Key Terms of the Qurʾan: A Critical Dictionary</w:t>
      </w:r>
      <w:r>
        <w:t xml:space="preserve"> </w:t>
      </w:r>
      <w:r>
        <w:t xml:space="preserve">(Princeton: Princeton University Press, 2023).</w:t>
      </w:r>
    </w:p>
  </w:footnote>
  <w:footnote w:id="145">
    <w:p>
      <w:pPr>
        <w:pStyle w:val="FootnoteText"/>
      </w:pPr>
      <w:r>
        <w:rPr>
          <w:rStyle w:val="FootnoteReference"/>
        </w:rPr>
        <w:footnoteRef/>
      </w:r>
      <w:r>
        <w:t xml:space="preserve"> </w:t>
      </w:r>
      <w:r>
        <w:t xml:space="preserve">Abdul-Baquee M. Sharaf and Eric Atwell,</w:t>
      </w:r>
      <w:r>
        <w:t xml:space="preserve"> </w:t>
      </w:r>
      <w:r>
        <w:t xml:space="preserve">‘QurAna: Corpus of the Quran Annotated with Pronominal Anaphora’</w:t>
      </w:r>
      <w:r>
        <w:t xml:space="preserve">, in</w:t>
      </w:r>
      <w:r>
        <w:t xml:space="preserve"> </w:t>
      </w:r>
      <w:r>
        <w:rPr>
          <w:i/>
          <w:iCs/>
        </w:rPr>
        <w:t xml:space="preserve">Proceedings of the Eighth International Conference on Language Resources and Evaluation (LREC’12)</w:t>
      </w:r>
      <w:r>
        <w:t xml:space="preserve"> </w:t>
      </w:r>
      <w:r>
        <w:t xml:space="preserve">(Istanbul: ELRA, 2012), pp. 130-137; and idem,</w:t>
      </w:r>
      <w:r>
        <w:t xml:space="preserve"> </w:t>
      </w:r>
      <w:r>
        <w:t xml:space="preserve">‘QurSim: A Corpus for Evaluation of Relatedness in Short Texts’</w:t>
      </w:r>
      <w:r>
        <w:t xml:space="preserve">, in the same volume, pp. 2295-2302.</w:t>
      </w:r>
    </w:p>
  </w:footnote>
  <w:footnote w:id="146">
    <w:p>
      <w:pPr>
        <w:pStyle w:val="FootnoteText"/>
      </w:pPr>
      <w:r>
        <w:rPr>
          <w:rStyle w:val="FootnoteReference"/>
        </w:rPr>
        <w:footnoteRef/>
      </w:r>
      <w:r>
        <w:t xml:space="preserve"> </w:t>
      </w:r>
      <w:r>
        <w:t xml:space="preserve">Diyam Akra, Tymaa Hammouda and Mustafa Jarrar,</w:t>
      </w:r>
      <w:r>
        <w:t xml:space="preserve"> </w:t>
      </w:r>
      <w:r>
        <w:rPr>
          <w:i/>
          <w:iCs/>
        </w:rPr>
        <w:t xml:space="preserve">QuranMorph: Morphologically Annotated Quranic Corpus</w:t>
      </w:r>
      <w:r>
        <w:t xml:space="preserve">, arXiv preprint 2506.18148 (2025), https://arxiv.org/abs/2506.18148.</w:t>
      </w:r>
    </w:p>
  </w:footnote>
  <w:footnote w:id="147">
    <w:p>
      <w:pPr>
        <w:pStyle w:val="FootnoteText"/>
      </w:pPr>
      <w:r>
        <w:rPr>
          <w:rStyle w:val="FootnoteReference"/>
        </w:rPr>
        <w:footnoteRef/>
      </w:r>
      <w:r>
        <w:t xml:space="preserve"> </w:t>
      </w:r>
      <w:r>
        <w:t xml:space="preserve">Majdi Sawalha et al.,</w:t>
      </w:r>
      <w:r>
        <w:t xml:space="preserve"> </w:t>
      </w:r>
      <w:r>
        <w:t xml:space="preserve">‘Morphologically-Analyzed and Syntactically-Annotated Quran Dataset (MASAQ)’</w:t>
      </w:r>
      <w:r>
        <w:t xml:space="preserve">,</w:t>
      </w:r>
      <w:r>
        <w:t xml:space="preserve"> </w:t>
      </w:r>
      <w:r>
        <w:rPr>
          <w:i/>
          <w:iCs/>
        </w:rPr>
        <w:t xml:space="preserve">Data in Brief</w:t>
      </w:r>
      <w:r>
        <w:t xml:space="preserve"> </w:t>
      </w:r>
      <w:r>
        <w:t xml:space="preserve">58 (2024), 111211, DOI: 10.1016/j.dib.2024.111211.</w:t>
      </w:r>
    </w:p>
  </w:footnote>
  <w:footnote w:id="149">
    <w:p>
      <w:pPr>
        <w:pStyle w:val="FootnoteText"/>
      </w:pPr>
      <w:r>
        <w:rPr>
          <w:rStyle w:val="FootnoteReference"/>
        </w:rPr>
        <w:footnoteRef/>
      </w:r>
      <w:r>
        <w:t xml:space="preserve"> </w:t>
      </w:r>
      <w:r>
        <w:t xml:space="preserve">Lakoff and Kövecses,</w:t>
      </w:r>
      <w:r>
        <w:t xml:space="preserve"> </w:t>
      </w:r>
      <w:r>
        <w:t xml:space="preserve">‘Cognitive Model of Anger’</w:t>
      </w:r>
      <w:r>
        <w:t xml:space="preserve">, pp. 195-221.</w:t>
      </w:r>
    </w:p>
  </w:footnote>
  <w:footnote w:id="150">
    <w:p>
      <w:pPr>
        <w:pStyle w:val="FootnoteText"/>
      </w:pPr>
      <w:r>
        <w:rPr>
          <w:rStyle w:val="FootnoteReference"/>
        </w:rPr>
        <w:footnoteRef/>
      </w:r>
      <w:r>
        <w:t xml:space="preserve"> </w:t>
      </w:r>
      <w:r>
        <w:rPr>
          <w:i/>
          <w:iCs/>
        </w:rPr>
        <w:t xml:space="preserve">Chicago Assyrian Dictionary</w:t>
      </w:r>
      <w:r>
        <w:t xml:space="preserve">, vol. L (Chicago: Oriental Institute, 1973), p. 164; D. Bodi,</w:t>
      </w:r>
      <w:r>
        <w:t xml:space="preserve"> </w:t>
      </w:r>
      <w:r>
        <w:t xml:space="preserve">‘An Akkadian-Aramaic Idiomatic Expression in Ezekiel 16:30</w:t>
      </w:r>
      <w:r>
        <w:t xml:space="preserve"> </w:t>
      </w:r>
      <w:r>
        <w:rPr>
          <w:i/>
          <w:iCs/>
        </w:rPr>
        <w:t xml:space="preserve">amūlâ libbātēk</w:t>
      </w:r>
      <w:r>
        <w:t xml:space="preserve"> </w:t>
      </w:r>
      <w:r>
        <w:t xml:space="preserve">“I am filled with anger against you,”</w:t>
      </w:r>
      <w:r>
        <w:t xml:space="preserve"> </w:t>
      </w:r>
      <w:r>
        <w:t xml:space="preserve">and Remarks on the Languages in Persian Times’</w:t>
      </w:r>
      <w:r>
        <w:t xml:space="preserve">,</w:t>
      </w:r>
      <w:r>
        <w:t xml:space="preserve"> </w:t>
      </w:r>
      <w:r>
        <w:rPr>
          <w:i/>
          <w:iCs/>
        </w:rPr>
        <w:t xml:space="preserve">Transeuphratène</w:t>
      </w:r>
      <w:r>
        <w:t xml:space="preserve"> </w:t>
      </w:r>
      <w:r>
        <w:t xml:space="preserve">50 (2018), pp. 13-38.</w:t>
      </w:r>
    </w:p>
  </w:footnote>
  <w:footnote w:id="151">
    <w:p>
      <w:pPr>
        <w:pStyle w:val="FootnoteText"/>
      </w:pPr>
      <w:r>
        <w:rPr>
          <w:rStyle w:val="FootnoteReference"/>
        </w:rPr>
        <w:footnoteRef/>
      </w:r>
      <w:r>
        <w:t xml:space="preserve"> </w:t>
      </w:r>
      <w:r>
        <w:t xml:space="preserve">J. Lauri, S. Svärd, T. Alstola, H. Jauhiainen, A. Sahala, K. Lindén, M. Sams and L. Nummenmaa,</w:t>
      </w:r>
      <w:r>
        <w:t xml:space="preserve"> </w:t>
      </w:r>
      <w:r>
        <w:t xml:space="preserve">‘Embodied Emotions in Ancient Neo-Assyrian Texts Revealed by Bodily Mapping of Emotional Semantics’</w:t>
      </w:r>
      <w:r>
        <w:t xml:space="preserve">,</w:t>
      </w:r>
      <w:r>
        <w:t xml:space="preserve"> </w:t>
      </w:r>
      <w:r>
        <w:rPr>
          <w:i/>
          <w:iCs/>
        </w:rPr>
        <w:t xml:space="preserve">iScience</w:t>
      </w:r>
      <w:r>
        <w:t xml:space="preserve"> </w:t>
      </w:r>
      <w:r>
        <w:t xml:space="preserve">27:12 (2024), 111365, DOI: 10.1016/j.isci.2024.111365.</w:t>
      </w:r>
    </w:p>
  </w:footnote>
  <w:footnote w:id="152">
    <w:p>
      <w:pPr>
        <w:pStyle w:val="FootnoteText"/>
      </w:pPr>
      <w:r>
        <w:rPr>
          <w:rStyle w:val="FootnoteReference"/>
        </w:rPr>
        <w:footnoteRef/>
      </w:r>
      <w:r>
        <w:t xml:space="preserve"> </w:t>
      </w:r>
      <w:r>
        <w:t xml:space="preserve">P. A. Kruger,</w:t>
      </w:r>
      <w:r>
        <w:t xml:space="preserve"> </w:t>
      </w:r>
      <w:r>
        <w:t xml:space="preserve">‘A Cognitive Interpretation of the Emotion of Anger in the Hebrew Bible’</w:t>
      </w:r>
      <w:r>
        <w:t xml:space="preserve">,</w:t>
      </w:r>
      <w:r>
        <w:t xml:space="preserve"> </w:t>
      </w:r>
      <w:r>
        <w:rPr>
          <w:i/>
          <w:iCs/>
        </w:rPr>
        <w:t xml:space="preserve">Journal of Northwest Semitic Languages</w:t>
      </w:r>
      <w:r>
        <w:t xml:space="preserve"> </w:t>
      </w:r>
      <w:r>
        <w:t xml:space="preserve">26:1 (2000), pp. 181-193; idem,</w:t>
      </w:r>
      <w:r>
        <w:t xml:space="preserve"> </w:t>
      </w:r>
      <w:r>
        <w:t xml:space="preserve">‘Emotions in the Hebrew Bible: A Few Observations on Prospects and Challenges’</w:t>
      </w:r>
      <w:r>
        <w:t xml:space="preserve">,</w:t>
      </w:r>
      <w:r>
        <w:t xml:space="preserve"> </w:t>
      </w:r>
      <w:r>
        <w:rPr>
          <w:i/>
          <w:iCs/>
        </w:rPr>
        <w:t xml:space="preserve">Old Testament Essays</w:t>
      </w:r>
      <w:r>
        <w:t xml:space="preserve"> </w:t>
      </w:r>
      <w:r>
        <w:t xml:space="preserve">28:2 (2015), pp. 395-420.</w:t>
      </w:r>
    </w:p>
  </w:footnote>
  <w:footnote w:id="153">
    <w:p>
      <w:pPr>
        <w:pStyle w:val="FootnoteText"/>
      </w:pPr>
      <w:r>
        <w:rPr>
          <w:rStyle w:val="FootnoteReference"/>
        </w:rPr>
        <w:footnoteRef/>
      </w:r>
      <w:r>
        <w:t xml:space="preserve"> </w:t>
      </w:r>
      <w:r>
        <w:t xml:space="preserve">Leonard C. Muellner,</w:t>
      </w:r>
      <w:r>
        <w:t xml:space="preserve"> </w:t>
      </w:r>
      <w:r>
        <w:rPr>
          <w:i/>
          <w:iCs/>
        </w:rPr>
        <w:t xml:space="preserve">The Anger of Achilles: Mēnis in Greek Epic</w:t>
      </w:r>
      <w:r>
        <w:t xml:space="preserve"> </w:t>
      </w:r>
      <w:r>
        <w:t xml:space="preserve">(Ithaca, NY: Cornell University Press, 1996).</w:t>
      </w:r>
    </w:p>
  </w:footnote>
  <w:footnote w:id="154">
    <w:p>
      <w:pPr>
        <w:pStyle w:val="FootnoteText"/>
      </w:pPr>
      <w:r>
        <w:rPr>
          <w:rStyle w:val="FootnoteReference"/>
        </w:rPr>
        <w:footnoteRef/>
      </w:r>
      <w:r>
        <w:t xml:space="preserve"> </w:t>
      </w:r>
      <w:r>
        <w:t xml:space="preserve">Douglas L. Cairns,</w:t>
      </w:r>
      <w:r>
        <w:t xml:space="preserve"> </w:t>
      </w:r>
      <w:r>
        <w:t xml:space="preserve">‘Ethics, Ethology, Terminology: Iliadic Anger and the Cross-cultural Study of Emotion’</w:t>
      </w:r>
      <w:r>
        <w:t xml:space="preserve">, in S. Braund and G. W. Most (eds),</w:t>
      </w:r>
      <w:r>
        <w:t xml:space="preserve"> </w:t>
      </w:r>
      <w:r>
        <w:rPr>
          <w:i/>
          <w:iCs/>
        </w:rPr>
        <w:t xml:space="preserve">Ancient Anger: Perspectives from Homer to Galen</w:t>
      </w:r>
      <w:r>
        <w:t xml:space="preserve">, Yale Classical Studies 32 (Cambridge: Cambridge University Press, 2003), pp. 11-49.</w:t>
      </w:r>
    </w:p>
  </w:footnote>
  <w:footnote w:id="155">
    <w:p>
      <w:pPr>
        <w:pStyle w:val="FootnoteText"/>
      </w:pPr>
      <w:r>
        <w:rPr>
          <w:rStyle w:val="FootnoteReference"/>
        </w:rPr>
        <w:footnoteRef/>
      </w:r>
      <w:r>
        <w:t xml:space="preserve"> </w:t>
      </w:r>
      <w:r>
        <w:t xml:space="preserve">Stephanie W. Jamison and Joel P. Brereton,</w:t>
      </w:r>
      <w:r>
        <w:t xml:space="preserve"> </w:t>
      </w:r>
      <w:r>
        <w:rPr>
          <w:i/>
          <w:iCs/>
        </w:rPr>
        <w:t xml:space="preserve">The Rigveda: The Earliest Religious Poetry of India</w:t>
      </w:r>
      <w:r>
        <w:t xml:space="preserve">, 3 vols. (New York: Oxford University Press, 2014), vol. III for translation of and commentary on the</w:t>
      </w:r>
      <w:r>
        <w:t xml:space="preserve"> </w:t>
      </w:r>
      <w:r>
        <w:rPr>
          <w:i/>
          <w:iCs/>
        </w:rPr>
        <w:t xml:space="preserve">Manyu-Sūkta</w:t>
      </w:r>
      <w:r>
        <w:t xml:space="preserve">, ṚV 10.83-84.</w:t>
      </w:r>
    </w:p>
  </w:footnote>
  <w:footnote w:id="156">
    <w:p>
      <w:pPr>
        <w:pStyle w:val="FootnoteText"/>
      </w:pPr>
      <w:r>
        <w:rPr>
          <w:rStyle w:val="FootnoteReference"/>
        </w:rPr>
        <w:footnoteRef/>
      </w:r>
      <w:r>
        <w:t xml:space="preserve"> </w:t>
      </w:r>
      <w:r>
        <w:t xml:space="preserve">Ning Yu,</w:t>
      </w:r>
      <w:r>
        <w:t xml:space="preserve"> </w:t>
      </w:r>
      <w:r>
        <w:t xml:space="preserve">‘Metaphorical Expressions of Anger and Happiness in English and Chinese’</w:t>
      </w:r>
      <w:r>
        <w:t xml:space="preserve">,</w:t>
      </w:r>
      <w:r>
        <w:t xml:space="preserve"> </w:t>
      </w:r>
      <w:r>
        <w:rPr>
          <w:i/>
          <w:iCs/>
        </w:rPr>
        <w:t xml:space="preserve">Metaphor and Symbolic Activity</w:t>
      </w:r>
      <w:r>
        <w:t xml:space="preserve"> </w:t>
      </w:r>
      <w:r>
        <w:t xml:space="preserve">10:2 (1995), pp. 59-92, DOI: 10.1207/s15327868ms1002_1.</w:t>
      </w:r>
    </w:p>
  </w:footnote>
  <w:footnote w:id="157">
    <w:p>
      <w:pPr>
        <w:pStyle w:val="FootnoteText"/>
      </w:pPr>
      <w:r>
        <w:rPr>
          <w:rStyle w:val="FootnoteReference"/>
        </w:rPr>
        <w:footnoteRef/>
      </w:r>
      <w:r>
        <w:t xml:space="preserve"> </w:t>
      </w:r>
      <w:r>
        <w:t xml:space="preserve">Kövecses, Benczes and Szelid (eds),</w:t>
      </w:r>
      <w:r>
        <w:t xml:space="preserve"> </w:t>
      </w:r>
      <w:r>
        <w:rPr>
          <w:i/>
          <w:iCs/>
        </w:rPr>
        <w:t xml:space="preserve">Metaphors of ANGER</w:t>
      </w:r>
      <w:r>
        <w:t xml:space="preserve">.</w:t>
      </w:r>
    </w:p>
  </w:footnote>
  <w:footnote w:id="158">
    <w:p>
      <w:pPr>
        <w:pStyle w:val="FootnoteText"/>
      </w:pPr>
      <w:r>
        <w:rPr>
          <w:rStyle w:val="FootnoteReference"/>
        </w:rPr>
        <w:footnoteRef/>
      </w:r>
      <w:r>
        <w:t xml:space="preserve"> </w:t>
      </w:r>
      <w:r>
        <w:t xml:space="preserve">Kövecses, Benczes and Szelid (eds),</w:t>
      </w:r>
      <w:r>
        <w:t xml:space="preserve"> </w:t>
      </w:r>
      <w:r>
        <w:rPr>
          <w:i/>
          <w:iCs/>
        </w:rPr>
        <w:t xml:space="preserve">Metaphors of ANGER</w:t>
      </w:r>
      <w:r>
        <w:t xml:space="preserve">.</w:t>
      </w:r>
    </w:p>
  </w:footnote>
  <w:footnote w:id="159">
    <w:p>
      <w:pPr>
        <w:pStyle w:val="FootnoteText"/>
      </w:pPr>
      <w:r>
        <w:rPr>
          <w:rStyle w:val="FootnoteReference"/>
        </w:rPr>
        <w:footnoteRef/>
      </w:r>
      <w:r>
        <w:t xml:space="preserve"> </w:t>
      </w:r>
      <w:r>
        <w:t xml:space="preserve">Lakoff and Kövecses,</w:t>
      </w:r>
      <w:r>
        <w:t xml:space="preserve"> </w:t>
      </w:r>
      <w:r>
        <w:t xml:space="preserve">‘Cognitive Model of Anger’</w:t>
      </w:r>
      <w:r>
        <w:t xml:space="preserve">; Kövecses,</w:t>
      </w:r>
      <w:r>
        <w:t xml:space="preserve"> </w:t>
      </w:r>
      <w:r>
        <w:rPr>
          <w:i/>
          <w:iCs/>
        </w:rPr>
        <w:t xml:space="preserve">Metaphor and Emotion</w:t>
      </w:r>
      <w:r>
        <w:t xml:space="preserve">.</w:t>
      </w:r>
    </w:p>
  </w:footnote>
  <w:footnote w:id="164">
    <w:p>
      <w:pPr>
        <w:pStyle w:val="FootnoteText"/>
      </w:pPr>
      <w:r>
        <w:rPr>
          <w:rStyle w:val="FootnoteReference"/>
        </w:rPr>
        <w:footnoteRef/>
      </w:r>
      <w:r>
        <w:t xml:space="preserve"> </w:t>
      </w:r>
      <w:r>
        <w:t xml:space="preserve">Gaanoun and Alsuhaibani,</w:t>
      </w:r>
      <w:r>
        <w:t xml:space="preserve"> </w:t>
      </w:r>
      <w:r>
        <w:t xml:space="preserve">‘Sentiment Preservation’</w:t>
      </w:r>
      <w:r>
        <w:t xml:space="preserve">.</w:t>
      </w:r>
    </w:p>
  </w:footnote>
  <w:footnote w:id="165">
    <w:p>
      <w:pPr>
        <w:pStyle w:val="FootnoteText"/>
      </w:pPr>
      <w:r>
        <w:rPr>
          <w:rStyle w:val="FootnoteReference"/>
        </w:rPr>
        <w:footnoteRef/>
      </w:r>
      <w:r>
        <w:t xml:space="preserve"> </w:t>
      </w:r>
      <w:r>
        <w:t xml:space="preserve">[ELQV authors],</w:t>
      </w:r>
      <w:r>
        <w:t xml:space="preserve"> </w:t>
      </w:r>
      <w:r>
        <w:t xml:space="preserve">‘Leveraging Large Language Models’</w:t>
      </w:r>
      <w:r>
        <w:t xml:space="preserve">.</w:t>
      </w:r>
    </w:p>
  </w:footnote>
  <w:footnote w:id="169">
    <w:p>
      <w:pPr>
        <w:pStyle w:val="FootnoteText"/>
      </w:pPr>
      <w:r>
        <w:rPr>
          <w:rStyle w:val="FootnoteReference"/>
        </w:rPr>
        <w:footnoteRef/>
      </w:r>
      <w:r>
        <w:t xml:space="preserve"> </w:t>
      </w:r>
      <w:r>
        <w:t xml:space="preserve">Qāʾimīniyā,</w:t>
      </w:r>
      <w:r>
        <w:t xml:space="preserve"> </w:t>
      </w:r>
      <w:r>
        <w:rPr>
          <w:i/>
          <w:iCs/>
        </w:rPr>
        <w:t xml:space="preserve">Maʿnāshināsī-yi Shinākhtī</w:t>
      </w:r>
      <w:r>
        <w:t xml:space="preserve">; idem,</w:t>
      </w:r>
      <w:r>
        <w:t xml:space="preserve"> </w:t>
      </w:r>
      <w:r>
        <w:rPr>
          <w:i/>
          <w:iCs/>
        </w:rPr>
        <w:t xml:space="preserve">Istiʿārah-hā-yi Mafhūmī</w:t>
      </w:r>
      <w:r>
        <w:t xml:space="preserve">.</w:t>
      </w:r>
    </w:p>
  </w:footnote>
  <w:footnote w:id="170">
    <w:p>
      <w:pPr>
        <w:pStyle w:val="FootnoteText"/>
      </w:pPr>
      <w:r>
        <w:rPr>
          <w:rStyle w:val="FootnoteReference"/>
        </w:rPr>
        <w:footnoteRef/>
      </w:r>
      <w:r>
        <w:t xml:space="preserve"> </w:t>
      </w:r>
      <w:r>
        <w:t xml:space="preserve">Pakatchi and Afrashi,</w:t>
      </w:r>
      <w:r>
        <w:t xml:space="preserve"> </w:t>
      </w:r>
      <w:r>
        <w:rPr>
          <w:i/>
          <w:iCs/>
        </w:rPr>
        <w:t xml:space="preserve">Rūykardhā-yi Maʿnā-shinākhtī</w:t>
      </w:r>
      <w:r>
        <w:t xml:space="preserve">.</w:t>
      </w:r>
    </w:p>
  </w:footnote>
  <w:footnote w:id="173">
    <w:p>
      <w:pPr>
        <w:pStyle w:val="FootnoteText"/>
      </w:pPr>
      <w:r>
        <w:rPr>
          <w:rStyle w:val="FootnoteReference"/>
        </w:rPr>
        <w:footnoteRef/>
      </w:r>
      <w:r>
        <w:t xml:space="preserve"> </w:t>
      </w:r>
      <w:r>
        <w:t xml:space="preserve">El-Awa,</w:t>
      </w:r>
      <w:r>
        <w:t xml:space="preserve"> </w:t>
      </w:r>
      <w:r>
        <w:rPr>
          <w:i/>
          <w:iCs/>
        </w:rPr>
        <w:t xml:space="preserve">Textual Relations</w:t>
      </w:r>
      <w:r>
        <w:t xml:space="preserve">.</w:t>
      </w:r>
    </w:p>
  </w:footnote>
  <w:footnote w:id="174">
    <w:p>
      <w:pPr>
        <w:pStyle w:val="FootnoteText"/>
      </w:pPr>
      <w:r>
        <w:rPr>
          <w:rStyle w:val="FootnoteReference"/>
        </w:rPr>
        <w:footnoteRef/>
      </w:r>
      <w:r>
        <w:t xml:space="preserve"> </w:t>
      </w:r>
      <w:r>
        <w:t xml:space="preserve">Sinai,</w:t>
      </w:r>
      <w:r>
        <w:t xml:space="preserve"> </w:t>
      </w:r>
      <w:r>
        <w:rPr>
          <w:i/>
          <w:iCs/>
        </w:rPr>
        <w:t xml:space="preserve">The Qurʾan: A Historical-Critical Introduction</w:t>
      </w:r>
      <w:r>
        <w:t xml:space="preserve">; idem,</w:t>
      </w:r>
      <w:r>
        <w:t xml:space="preserve"> </w:t>
      </w:r>
      <w:r>
        <w:rPr>
          <w:i/>
          <w:iCs/>
        </w:rPr>
        <w:t xml:space="preserve">Key Terms</w:t>
      </w:r>
      <w:r>
        <w:t xml:space="preserve">.</w:t>
      </w:r>
    </w:p>
  </w:footnote>
  <w:footnote w:id="185">
    <w:p>
      <w:pPr>
        <w:pStyle w:val="FootnoteText"/>
      </w:pPr>
      <w:r>
        <w:rPr>
          <w:rStyle w:val="FootnoteReference"/>
        </w:rPr>
        <w:footnoteRef/>
      </w:r>
      <w:r>
        <w:t xml:space="preserve"> </w:t>
      </w:r>
      <w:r>
        <w:t xml:space="preserve">Dukes,</w:t>
      </w:r>
      <w:r>
        <w:t xml:space="preserve"> </w:t>
      </w:r>
      <w:r>
        <w:rPr>
          <w:i/>
          <w:iCs/>
        </w:rPr>
        <w:t xml:space="preserve">Quranic Arabic Corpus</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8" Target="media/rId128.jpg" /><Relationship Type="http://schemas.openxmlformats.org/officeDocument/2006/relationships/image" Id="rId120" Target="media/rId120.jpg" /><Relationship Type="http://schemas.openxmlformats.org/officeDocument/2006/relationships/image" Id="rId60" Target="media/rId60.jp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111" Target="media/rId111.png" /><Relationship Type="http://schemas.openxmlformats.org/officeDocument/2006/relationships/image" Id="rId93" Target="media/rId93.png" /><Relationship Type="http://schemas.openxmlformats.org/officeDocument/2006/relationships/image" Id="rId160" Target="media/rId160.jpg" /><Relationship Type="http://schemas.openxmlformats.org/officeDocument/2006/relationships/image" Id="rId114" Target="media/rId114.png" /><Relationship Type="http://schemas.openxmlformats.org/officeDocument/2006/relationships/image" Id="rId70" Target="media/rId70.jpg" /><Relationship Type="http://schemas.openxmlformats.org/officeDocument/2006/relationships/image" Id="rId124" Target="media/rId124.jpg" /><Relationship Type="http://schemas.openxmlformats.org/officeDocument/2006/relationships/hyperlink" Id="rId184" Target="https://github.com/ali-kin4/quranic-emotion-spectrum" TargetMode="External" /></Relationships>
</file>

<file path=word/_rels/footnotes.xml.rels><?xml version="1.0" encoding="UTF-8"?><Relationships xmlns="http://schemas.openxmlformats.org/package/2006/relationships"><Relationship Type="http://schemas.openxmlformats.org/officeDocument/2006/relationships/hyperlink" Id="rId184" Target="https://github.com/ali-kin4/quranic-emotion-spectru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2026-05-13T11:29:49Z</dcterms:created>
  <dcterms:modified xsi:type="dcterms:W3CDTF">2026-05-13T11:29:49Z</dcterms:modified>
</cp:coreProperties>
</file>

<file path=docProps/custom.xml><?xml version="1.0" encoding="utf-8"?>
<Properties xmlns="http://schemas.openxmlformats.org/officeDocument/2006/custom-properties" xmlns:vt="http://schemas.openxmlformats.org/officeDocument/2006/docPropsVTypes"/>
</file>