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jpg" ContentType="image/jpeg"/>
  <Override PartName="/word/media/rId23.jpg" ContentType="image/jpeg"/>
  <Override PartName="/word/media/rId34.png" ContentType="image/png"/>
  <Override PartName="/word/media/rId45.png" ContentType="image/png"/>
  <Override PartName="/word/media/rId48.png" ContentType="image/png"/>
  <Override PartName="/word/media/rId61.png" ContentType="image/png"/>
  <Override PartName="/word/media/rId51.png" ContentType="image/png"/>
  <Override PartName="/word/media/rId74.png" ContentType="image/png"/>
  <Override PartName="/word/media/rId6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8"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سوره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6"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پژوهش از جهتِ ریشه‌شناسیِ تفسیری دقیق‌اند، اما به‌سببِ چارچوبِ تک‌واژه‌نگرانه،</w:t>
      </w:r>
      <w:r>
        <w:rPr>
          <w:rtl/>
          <w:lang w:val="fa"/>
        </w:rPr>
        <w:t xml:space="preserve"> </w:t>
      </w:r>
      <w:r>
        <w:rPr>
          <w:b/>
          <w:bCs/>
          <w:rtl/>
          <w:lang w:val="fa"/>
        </w:rPr>
        <w:t xml:space="preserve">نسبتِ ساختاریِ این واژگان با کلِ شبکه</w:t>
      </w:r>
      <w:r>
        <w:rPr>
          <w:rtl/>
          <w:lang w:val="fa"/>
        </w:rPr>
        <w:t xml:space="preserve"> </w:t>
      </w:r>
      <w:r>
        <w:rPr>
          <w:rtl/>
          <w:lang w:val="fa"/>
        </w:rPr>
        <w:t xml:space="preserve">را مغفول می‌گذارند: نَریمانی و همکاران، مَقت و سَخَط و نَقم را در ساحتِ یک «بسته‌ی هیجانی-اخلاقی» قرار می‌دهند بی‌آن‌که شیبِ شدتیِ آن‌ها را عملیاتی سازند؛ قاری‌زاده و همکاران نیز چندمعناییِ طغیان را در سطحِ نشانه‌شناختی صورت‌بندی می‌کنند، بی‌آن‌که رابطه‌ی علّیِ آن با مرحله‌های متراکم و فعّالِ پیوستار را تحلیل کنند.</w:t>
      </w:r>
    </w:p>
    <w:p>
      <w:pPr>
        <w:bidi/>
      </w:pPr>
      <w:r>
        <w:rPr>
          <w:b/>
          <w:bCs/>
          <w:rtl/>
          <w:lang w:val="fa"/>
        </w:rPr>
        <w:t xml:space="preserve">(ب) پژوهش‌های اخلاق-محورِ کَظمِ غیظ</w:t>
      </w:r>
      <w:r>
        <w:rPr>
          <w:rtl/>
          <w:lang w:val="fa"/>
        </w:rPr>
        <w:t xml:space="preserve"> </w:t>
      </w:r>
      <w:r>
        <w:rPr>
          <w:rtl/>
          <w:lang w:val="fa"/>
        </w:rPr>
        <w:t xml:space="preserve">که بر آیه‌ی ۱۳۴ سوره آل عمران متمرکزند؛ این جریان، کَظم را به‌منزله‌ی فضیلتی منفرد می‌خواند، در حالی که در پیوستارِ پیشنهادی، کَظم گامِ سومِ معماریِ چهارگامِ ظرف است و معنای کامل‌اش تنها در نسبت با تَمَیُّز (سوره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فصلِ دوم، ص ۸۲–۹۸) ادغامِ روشِ ایزوتسو با نظریه‌ی استعاره‌ی مفهومیِ لیکاف را در سنّتِ ایرانیِ پژوهش‌های قرآنی نهادینه ساخت و چارچوبی برای صورت‌بندیِ «واژه‌کانون-واژه‌کلید-میدان» در زبانِ فارسی پیشنهاد کرد؛ در فصلِ چهارمِ همان کتاب (ص ۱۵۴–۱۸۲) نیز نقشِ طرحواره‌های تصویری در صورت‌بندیِ هیجاناتِ قرآنی را بررسید، اما تحلیلش بر طرحواره‌های منفرد متمرکز ماند و «شیبِ شدتیِ هم‌میدان» را به‌منزله‌ی پدیده‌ای مستقل تحلیل نکرد. اثرِ متأخرِ او (۱۳۹۳) نیز در توسعه‌ی استعاره‌های مفهومی، عمدتاً بر فضاهای روحانی-اعتقادی متمرکز است. پاکتچی و افراشی (۱۳۹۹) روش‌شناسیِ دقیق‌تری برای تحلیلِ هم‌نشینی-جانشینی پیش نهادند، اما در تحلیلِ موردیِ خشم، آیاتِ شاهد را در سطحِ پنج تا هشت واژه عرضه می‌کنند، نه در پیوستاری پیکره‌بنیاد و کامل. کوتاه آن‌که،</w:t>
      </w:r>
      <w:r>
        <w:rPr>
          <w:rtl/>
          <w:lang w:val="fa"/>
        </w:rPr>
        <w:t xml:space="preserve"> </w:t>
      </w:r>
      <w:r>
        <w:rPr>
          <w:b/>
          <w:bCs/>
          <w:rtl/>
          <w:lang w:val="fa"/>
        </w:rPr>
        <w:t xml:space="preserve">هیچ‌یک از پژوهش‌های ایرانی-اسلامیِ نسلِ معاصر، طیفِ خشمِ قرآنی را به‌منزله‌ی پیوستارِ شدتی-اخلاقی، با شواهدِ پیکره‌ایِ بازتولیدپذیر و در ساختاری شش‌مرحله‌ای، تحلیل نکرده‌اند</w:t>
      </w:r>
      <w:r>
        <w:rPr>
          <w:rtl/>
          <w:lang w:val="fa"/>
        </w:rPr>
        <w:t xml:space="preserve">؛ این، شکافِ کانونیِ پژوهشِ حاضر است.</w:t>
      </w:r>
    </w:p>
    <w:p>
      <w:pPr>
        <w:bidi/>
      </w:pPr>
      <w:r>
        <w:rPr>
          <w:b/>
          <w:bCs/>
          <w:rtl/>
          <w:lang w:val="fa"/>
        </w:rPr>
        <w:t xml:space="preserve">(د) پژوهش‌های ترجمه‌ای و محاسباتی</w:t>
      </w:r>
      <w:r>
        <w:rPr>
          <w:rtl/>
          <w:lang w:val="fa"/>
        </w:rPr>
        <w:t xml:space="preserve"> </w:t>
      </w:r>
      <w:r>
        <w:rPr>
          <w:rtl/>
          <w:lang w:val="fa"/>
        </w:rPr>
        <w:t xml:space="preserve">که با کارهای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 لغوی‌اند.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این پژوهش، در درجه‌ی نخست، طیفِ خشم را به‌منزله‌ی</w:t>
      </w:r>
      <w:r>
        <w:rPr>
          <w:rtl/>
          <w:lang w:val="fa"/>
        </w:rPr>
        <w:t xml:space="preserve"> </w:t>
      </w:r>
      <w:r>
        <w:rPr>
          <w:b/>
          <w:bCs/>
          <w:rtl/>
          <w:lang w:val="fa"/>
        </w:rPr>
        <w:t xml:space="preserve">پیوستارِ شدتیِ پیوسته</w:t>
      </w:r>
      <w:r>
        <w:rPr>
          <w:rtl/>
          <w:lang w:val="fa"/>
        </w:rPr>
        <w:t xml:space="preserve"> </w:t>
      </w:r>
      <w:r>
        <w:rPr>
          <w:rtl/>
          <w:lang w:val="fa"/>
        </w:rPr>
        <w:t xml:space="preserve">(و نه مجموعه‌ای از واژگانِ هم‌میدانِ منفرد) صورت‌بندی می‌کند — تمایزی نظری که در میراثِ شناختی-معناشناسیِ ایرانیِ کنونی، صریحاً تثبیت نشده است.</w:t>
      </w:r>
    </w:p>
    <w:p>
      <w:pPr>
        <w:pStyle w:val="CaptionedFigure"/>
        <w:bidi/>
      </w:pPr>
      <w:r>
        <w:drawing>
          <wp:inline>
            <wp:extent cx="4533900" cy="7872412"/>
            <wp:effectExtent b="0" l="0" r="0" t="0"/>
            <wp:docPr descr="شجره‌ی نظریِ معناشناسیِ شناختیِ ایرانی-اسلامی، از ایزوتسو (۱۳۳۸ ش / ۱۹۵۹ م) تا پژوهشِ حاضر (۱۴۰۵ ش / ۲۰۲۶ م). شش گرهِ کانونی بر محورِ زمانی: (۱) بنیادِ ساخت‌گرای ایزوتسو با میدانِ معنایی و جهان‌بینیِ زبانی؛ (۲) بنیادِ شناختیِ لیکاف-کوچش با نظریه‌ی استعاره‌ی مفهومی؛ (۳) بومی‌سازیِ ایرانیِ قائمی‌نیا (۱۳۹۰، ۱۳۹۳) با ادغامِ این دو سنّت؛ (۴) تعمیقِ روش‌شناختیِ پاکتچی-افراشی (۱۳۹۹)؛ (۵) تحلیل‌های تک‌واژگانیِ نَریمانی و قاری‌زاده (۱۴۰۰، ۱۴۰۲)؛ (۶) پژوهشِ حاضر. سه افزوده‌ی نظریِ این پژوهش به سنّتِ موجود در جعبه‌ی پایین آمده است: گستره‌ی پیکره‌ایِ ۳۱۲ بسامدِ ۱۴ ریشه (فراتر از تک‌واژه‌نگری)، ساختارِ مقیاسیِ شش‌مرحله‌ای (فراتر از میدانِ مسطحِ ایزوتسویی)، و علّیتِ دوسویه با ممیّزیِ تفسیر-بنیاد (κ = ۰٫۷۹)." title="" id="24" name="Picture"/>
            <a:graphic>
              <a:graphicData uri="http://schemas.openxmlformats.org/drawingml/2006/picture">
                <pic:pic>
                  <pic:nvPicPr>
                    <pic:cNvPr descr="fig11_genealogy.jpg" id="25" name="Picture"/>
                    <pic:cNvPicPr>
                      <a:picLocks noChangeArrowheads="1" noChangeAspect="1"/>
                    </pic:cNvPicPr>
                  </pic:nvPicPr>
                  <pic:blipFill>
                    <a:blip r:embed="rId23"/>
                    <a:stretch>
                      <a:fillRect/>
                    </a:stretch>
                  </pic:blipFill>
                  <pic:spPr bwMode="auto">
                    <a:xfrm>
                      <a:off x="0" y="0"/>
                      <a:ext cx="4533900" cy="7872412"/>
                    </a:xfrm>
                    <a:prstGeom prst="rect">
                      <a:avLst/>
                    </a:prstGeom>
                    <a:noFill/>
                    <a:ln w="9525">
                      <a:noFill/>
                      <a:headEnd/>
                      <a:tailEnd/>
                    </a:ln>
                  </pic:spPr>
                </pic:pic>
              </a:graphicData>
            </a:graphic>
          </wp:inline>
        </w:drawing>
      </w:r>
    </w:p>
    <w:p>
      <w:pPr>
        <w:pStyle w:val="ImageCaption"/>
        <w:bidi/>
      </w:pPr>
      <w:r>
        <w:rPr>
          <w:rtl/>
          <w:lang w:val="fa"/>
        </w:rPr>
        <w:t xml:space="preserve">شجره‌ی نظریِ معناشناسیِ شناختیِ ایرانی-اسلامی، از ایزوتسو (۱۳۳۸ ش / ۱۹۵۹ م) تا پژوهشِ حاضر (۱۴۰۵ ش / ۲۰۲۶ م). شش گرهِ کانونی بر محورِ زمانی: (۱) بنیادِ ساخت‌گرای ایزوتسو با میدانِ معنایی و جهان‌بینیِ زبانی؛ (۲) بنیادِ شناختیِ لیکاف-کوچش با نظریه‌ی استعاره‌ی مفهومی؛ (۳) بومی‌سازیِ ایرانیِ قائمی‌نیا (۱۳۹۰، ۱۳۹۳) با ادغامِ این دو سنّت؛ (۴) تعمیقِ روش‌شناختیِ پاکتچی-افراشی (۱۳۹۹)؛ (۵) تحلیل‌های تک‌واژگانیِ نَریمانی و قاری‌زاده (۱۴۰۰، ۱۴۰۲)؛ (۶) پژوهشِ حاضر. سه افزوده‌ی نظریِ این پژوهش به سنّتِ موجود در جعبه‌ی پایین آمده است: گستره‌ی پیکره‌ایِ ۳۱۲ بسامدِ ۱۴ ریشه (فراتر از تک‌واژه‌نگری)، ساختارِ مقیاسیِ شش‌مرحله‌ای (فراتر از میدانِ مسطحِ ایزوتسویی)، و علّیتِ دوسویه با ممیّزیِ تفسیر-بنیاد (κ = ۰٫۷۹).</w:t>
      </w:r>
    </w:p>
    <w:bookmarkEnd w:id="26"/>
    <w:bookmarkStart w:id="27"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7"/>
    <w:bookmarkEnd w:id="28"/>
    <w:bookmarkStart w:id="38" w:name="مبانی-نظری"/>
    <w:p>
      <w:pPr>
        <w:pStyle w:val="Heading2"/>
        <w:bidi/>
      </w:pPr>
      <w:r>
        <w:rPr>
          <w:rtl/>
          <w:lang w:val="fa"/>
        </w:rPr>
        <w:t xml:space="preserve">۲. مبانی نظری</w:t>
      </w:r>
    </w:p>
    <w:bookmarkStart w:id="29"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9"/>
    <w:bookmarkStart w:id="30"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w:t>
      </w:r>
      <w:r>
        <w:rPr>
          <w:rtl/>
          <w:lang w:val="fa"/>
        </w:rPr>
        <w:t xml:space="preserve"> </w:t>
      </w:r>
      <w:r>
        <w:rPr>
          <w:b/>
          <w:bCs/>
          <w:rtl/>
          <w:lang w:val="fa"/>
        </w:rPr>
        <w:t xml:space="preserve">عربیِ کلاسیکِ قرآنی</w:t>
      </w:r>
      <w:r>
        <w:rPr>
          <w:rtl/>
          <w:lang w:val="fa"/>
        </w:rPr>
        <w:t xml:space="preserve"> </w:t>
      </w:r>
      <w:r>
        <w:rPr>
          <w:rtl/>
          <w:lang w:val="fa"/>
        </w:rPr>
        <w:t xml:space="preserve">را به‌منزله‌ی پیکره‌ی مستقل از پوششِ خود کنار نهاده است — شکافی صریح که این دانشنامه‌ی روزآمد، خود به آن اشاره دارد.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به‌وجود آورده که این پژوهش به‌صراحت در امتدادِ آن قرار می‌گیرد.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به‌ویژه فصلِ دوم: ص ۸۲–۹۸) چارچوبِ ایزوتسو-لیکاف را به فارسی برگرداند و در فصلِ پنجم (ص ۲۰۴–۲۴۸) سرنمونِ تحلیلِ استعاری-طرحواره‌ای را بر گزیده‌ای از مفاهیمِ اخلاقی-اعتقادیِ قرآن اجرا کرد؛ اثرِ متأخّرِ او (۱۳۹۳) این بسطِ مفهومی را به فضاهای روحانی-سلوکیِ قرآن می‌کشاند. پاکتچی در سلسله‌ی</w:t>
      </w:r>
      <w:r>
        <w:rPr>
          <w:rtl/>
          <w:lang w:val="fa"/>
        </w:rPr>
        <w:t xml:space="preserve"> </w:t>
      </w:r>
      <w:r>
        <w:rPr>
          <w:i/>
          <w:iCs/>
          <w:rtl/>
          <w:lang w:val="fa"/>
        </w:rPr>
        <w:t xml:space="preserve">روش‌شناسیِ معناشناسیِ واژگانِ قرآنی</w:t>
      </w:r>
      <w:r>
        <w:rPr>
          <w:rtl/>
          <w:lang w:val="fa"/>
        </w:rPr>
        <w:t xml:space="preserve"> </w:t>
      </w:r>
      <w:r>
        <w:rPr>
          <w:rtl/>
          <w:lang w:val="fa"/>
        </w:rPr>
        <w:t xml:space="preserve">(دانشگاه امام صادق) و در همکاری با افراشی (۱۳۹۹)، روش‌شناسیِ هم‌نشینی-جانشینی را برای واژگانِ مفهومیِ قرآنی پالایید و سرنمونی برای تحلیلِ موردیِ هیجاناتی نظیرِ خشم در سطحِ جمله-آیه عرضه کرد. سهمِ پژوهشِ حاضر در امتدادِ این میراث، در سه نکته‌ی روش‌شناختیِ متمایز است: نخست، گذر از تحلیلِ موردیِ یک تا چند آیه به</w:t>
      </w:r>
      <w:r>
        <w:rPr>
          <w:rtl/>
          <w:lang w:val="fa"/>
        </w:rPr>
        <w:t xml:space="preserve"> </w:t>
      </w:r>
      <w:r>
        <w:rPr>
          <w:b/>
          <w:bCs/>
          <w:rtl/>
          <w:lang w:val="fa"/>
        </w:rPr>
        <w:t xml:space="preserve">تحلیلِ پیکره‌ایِ تمام‌شمارِ ۳۱۲‌بسامدی</w:t>
      </w:r>
      <w:r>
        <w:rPr>
          <w:rtl/>
          <w:lang w:val="fa"/>
        </w:rPr>
        <w:t xml:space="preserve">؛ دوم، صورت‌بندیِ هیجانِ خشم نه به‌منزله‌ی مفهومی منفرد بلکه به‌منزله‌ی</w:t>
      </w:r>
      <w:r>
        <w:rPr>
          <w:rtl/>
          <w:lang w:val="fa"/>
        </w:rPr>
        <w:t xml:space="preserve"> </w:t>
      </w:r>
      <w:r>
        <w:rPr>
          <w:b/>
          <w:bCs/>
          <w:rtl/>
          <w:lang w:val="fa"/>
        </w:rPr>
        <w:t xml:space="preserve">پیوستارِ شدتی-اخلاقیِ شش‌مرحله‌ای</w:t>
      </w:r>
      <w:r>
        <w:rPr>
          <w:rtl/>
          <w:lang w:val="fa"/>
        </w:rPr>
        <w:t xml:space="preserve">؛ سوم، عرضه‌ی شواهدِ آماری-تفسیریِ هم‌زمان برای</w:t>
      </w:r>
      <w:r>
        <w:rPr>
          <w:rtl/>
          <w:lang w:val="fa"/>
        </w:rPr>
        <w:t xml:space="preserve"> </w:t>
      </w:r>
      <w:r>
        <w:rPr>
          <w:i/>
          <w:iCs/>
          <w:rtl/>
          <w:lang w:val="fa"/>
        </w:rPr>
        <w:t xml:space="preserve">علّیتِ دوسویه</w:t>
      </w:r>
      <w:r>
        <w:rPr>
          <w:rtl/>
          <w:lang w:val="fa"/>
        </w:rPr>
        <w:t xml:space="preserve"> </w:t>
      </w:r>
      <w:r>
        <w:rPr>
          <w:rtl/>
          <w:lang w:val="fa"/>
        </w:rPr>
        <w:t xml:space="preserve">در نقطه‌ی پایانیِ پیوستار. این سه نکته، پژوهشِ حاضر را به نسلِ بعدِ کارهای قائمی‌نیا و پاکتچی-افراشی پیوند می‌زند، نه به‌منزله‌ی نقدِ ایشان، بلکه به‌منزله‌ی عملیاتی‌سازیِ پیکره‌بنیادِ همان روش‌شناسی در مقیاسی گسترده‌تر.</w:t>
      </w:r>
    </w:p>
    <w:p>
      <w:pPr>
        <w:bidi/>
      </w:pPr>
      <w:r>
        <w:rPr>
          <w:rtl/>
          <w:lang w:val="fa"/>
        </w:rPr>
        <w:t xml:space="preserve">دانشنامه‌ی کوچش، بِنچِس و سِلید (۲۰۲۵، جلدِ اوّل، فصل‌های ۱ تا ۳) در بازخوانیِ بیست‌ساله‌ی نظریه‌ی استعاره‌ی هیجانی، عربیِ کلاسیک را — برخلافِ زبان‌های هندواروپاییِ مدرن و عربیِ مدرنِ معاصر (مالجی ۲۰۰۴؛ رابابعا و الصعیدات ۲۰۲۲) — به‌صراحت از حدودِ پوششِ خود بیرون می‌نشاند؛ سهمِ پژوهشِ حاضر، در ساحتِ این شکافِ بین‌المللی نیز قابلِ بازخوانی است.</w:t>
      </w:r>
    </w:p>
    <w:bookmarkEnd w:id="30"/>
    <w:bookmarkStart w:id="37"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pPr>
        <w:pStyle w:val="CaptionedFigure"/>
        <w:bidi/>
      </w:pPr>
      <w:r>
        <w:drawing>
          <wp:inline>
            <wp:extent cx="5067300" cy="5067300"/>
            <wp:effectExtent b="0" l="0" r="0" t="0"/>
            <wp:docPr descr="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 title="" id="32" name="Picture"/>
            <a:graphic>
              <a:graphicData uri="http://schemas.openxmlformats.org/drawingml/2006/picture">
                <pic:pic>
                  <pic:nvPicPr>
                    <pic:cNvPr descr="fig9_mufassir.jpg" id="33" name="Picture"/>
                    <pic:cNvPicPr>
                      <a:picLocks noChangeArrowheads="1" noChangeAspect="1"/>
                    </pic:cNvPicPr>
                  </pic:nvPicPr>
                  <pic:blipFill>
                    <a:blip r:embed="rId31"/>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bidi/>
      </w:pPr>
      <w:r>
        <w:rPr>
          <w:rtl/>
          <w:lang w:val="fa"/>
        </w:rPr>
        <w:t xml:space="preserve">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35" name="Picture"/>
            <a:graphic>
              <a:graphicData uri="http://schemas.openxmlformats.org/drawingml/2006/picture">
                <pic:pic>
                  <pic:nvPicPr>
                    <pic:cNvPr descr="fig1_continuum.png" id="36" name="Picture"/>
                    <pic:cNvPicPr>
                      <a:picLocks noChangeArrowheads="1" noChangeAspect="1"/>
                    </pic:cNvPicPr>
                  </pic:nvPicPr>
                  <pic:blipFill>
                    <a:blip r:embed="rId34"/>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7"/>
    <w:bookmarkEnd w:id="38"/>
    <w:bookmarkStart w:id="43" w:name="روششناسی"/>
    <w:p>
      <w:pPr>
        <w:pStyle w:val="Heading2"/>
        <w:bidi/>
      </w:pPr>
      <w:r>
        <w:rPr>
          <w:rtl/>
          <w:lang w:val="fa"/>
        </w:rPr>
        <w:t xml:space="preserve">۳. روش‌شناسی</w:t>
      </w:r>
    </w:p>
    <w:bookmarkStart w:id="39"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9"/>
    <w:bookmarkStart w:id="40"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40"/>
    <w:bookmarkStart w:id="41"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41"/>
    <w:bookmarkStart w:id="42"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42"/>
    <w:bookmarkEnd w:id="43"/>
    <w:bookmarkStart w:id="70" w:name="یافتهها"/>
    <w:p>
      <w:pPr>
        <w:pStyle w:val="Heading2"/>
        <w:bidi/>
      </w:pPr>
      <w:r>
        <w:rPr>
          <w:rtl/>
          <w:lang w:val="fa"/>
        </w:rPr>
        <w:t xml:space="preserve">۴. یافته‌ها</w:t>
      </w:r>
    </w:p>
    <w:bookmarkStart w:id="44"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44"/>
    <w:bookmarkStart w:id="54"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سوره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6" name="Picture"/>
            <a:graphic>
              <a:graphicData uri="http://schemas.openxmlformats.org/drawingml/2006/picture">
                <pic:pic>
                  <pic:nvPicPr>
                    <pic:cNvPr descr="fig2_frequency_by_stage.png" id="47" name="Picture"/>
                    <pic:cNvPicPr>
                      <a:picLocks noChangeArrowheads="1" noChangeAspect="1"/>
                    </pic:cNvPicPr>
                  </pic:nvPicPr>
                  <pic:blipFill>
                    <a:blip r:embed="rId45"/>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9" name="Picture"/>
            <a:graphic>
              <a:graphicData uri="http://schemas.openxmlformats.org/drawingml/2006/picture">
                <pic:pic>
                  <pic:nvPicPr>
                    <pic:cNvPr descr="fig3_meccan_medinan.png" id="50" name="Picture"/>
                    <pic:cNvPicPr>
                      <a:picLocks noChangeArrowheads="1" noChangeAspect="1"/>
                    </pic:cNvPicPr>
                  </pic:nvPicPr>
                  <pic:blipFill>
                    <a:blip r:embed="rId48"/>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52" name="Picture"/>
            <a:graphic>
              <a:graphicData uri="http://schemas.openxmlformats.org/drawingml/2006/picture">
                <pic:pic>
                  <pic:nvPicPr>
                    <pic:cNvPr descr="fig5_morphology_stack.png" id="53" name="Picture"/>
                    <pic:cNvPicPr>
                      <a:picLocks noChangeArrowheads="1" noChangeAspect="1"/>
                    </pic:cNvPicPr>
                  </pic:nvPicPr>
                  <pic:blipFill>
                    <a:blip r:embed="rId51"/>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54"/>
    <w:bookmarkStart w:id="55"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(سوره اسراء: ۲۳؛ سوره انبیاء: ۶۷؛ سوره احقاف: ۱۷) کم‌ترین ترازِ کلامیِ ناخشنودی را تثبیت می‌کند. کَره ساختاری دوگانه دارد: کراهتِ درونیِ اصلاح‌پذیر (سوره بقره: ۲۱۶) و اِکراهِ ساختاریِ تحمیلی (سوره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سوره حِجر: ۹۷) و ترکیبِ «ضاقَ ذَرعاً» (سوره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(سوره اعراف: ۱۵۰؛ سوره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(سوره اعراف: ۱۲۶) و تولیدِ صفتِ الهیِ «المنتقم». سَخَط (۴ بسامد، انحصاراً مدنی؛ p خام = ۰٫۰۰۵، p اصلاحی = ۰٫۰۵) نارضایتیِ الهیِ پایدارِ مختصِ فضای مدنیِ مواجهه با منافقان (سوره محمد: ۲۸) است. مَقت (۶ بسامد) نفرتِ اخلاقیِ ارزیابانه است (سوره غافر: ۱۰؛ سوره نساء: ۲۲؛ سوره فاطر: ۳۹؛ سوره صفّ: ۳) که با روی‌گردانی — نه رویاروییِ هجومی — عمل می‌کند.</w:t>
      </w:r>
    </w:p>
    <w:bookmarkEnd w:id="55"/>
    <w:bookmarkStart w:id="56"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سوره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(سوره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سوره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6"/>
    <w:bookmarkStart w:id="57"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(سوره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تحلیلِ تطبیقیِ چهار قطبِ کانونی بر سرِ این آیه، نکاتِ ظریفی را آشکار می‌سازد که در نگاهِ نخست به‌چشم نمی‌آید:</w:t>
      </w:r>
    </w:p>
    <w:p>
      <w:pPr>
        <w:bidi/>
      </w:pPr>
      <w:r>
        <w:rPr>
          <w:i/>
          <w:iCs/>
          <w:rtl/>
          <w:lang w:val="fa"/>
        </w:rPr>
        <w:t xml:space="preserve">سنّتِ شیعی-فلسفیِ طباطبایی</w:t>
      </w:r>
      <w:r>
        <w:rPr>
          <w:rtl/>
          <w:lang w:val="fa"/>
        </w:rPr>
        <w:t xml:space="preserve"> </w:t>
      </w:r>
      <w:r>
        <w:rPr>
          <w:rtl/>
          <w:lang w:val="fa"/>
        </w:rPr>
        <w:t xml:space="preserve">(المیزان، ج۴، ص۲۰، ذیلِ آل عمران: ۱۳۴) با عبارتی شایانِ توجه، کَظم را در پایه‌ای تصویری-بدنی صورت‌بندی می‌کند: «الکَظم: حَبسُ الغَیظِ فی صَدرٍ ضَیِّقٍ کَحَبسِ الماءِ فی السِّقاء» (کَظم: بازداشتِ غیظ در سینه‌ای تنگ، چونان بازداشتِ آب در مَشکِ بسته‌شده). دو نکته‌ی شناختیِ کلیدی در این عبارتِ کوتاه نهفته است: نخست،</w:t>
      </w:r>
      <w:r>
        <w:rPr>
          <w:rtl/>
          <w:lang w:val="fa"/>
        </w:rPr>
        <w:t xml:space="preserve"> </w:t>
      </w:r>
      <w:r>
        <w:rPr>
          <w:b/>
          <w:bCs/>
          <w:rtl/>
          <w:lang w:val="fa"/>
        </w:rPr>
        <w:t xml:space="preserve">ظرفِ کَظم</w:t>
      </w:r>
      <w:r>
        <w:rPr>
          <w:rtl/>
          <w:lang w:val="fa"/>
        </w:rPr>
        <w:t xml:space="preserve"> </w:t>
      </w:r>
      <w:r>
        <w:rPr>
          <w:rtl/>
          <w:lang w:val="fa"/>
        </w:rPr>
        <w:t xml:space="preserve">صراحتاً «سینه» (مَحلِ جسمانیِ هیجان) معرفی می‌شود؛ دوم،</w:t>
      </w:r>
      <w:r>
        <w:rPr>
          <w:rtl/>
          <w:lang w:val="fa"/>
        </w:rPr>
        <w:t xml:space="preserve"> </w:t>
      </w:r>
      <w:r>
        <w:rPr>
          <w:b/>
          <w:bCs/>
          <w:rtl/>
          <w:lang w:val="fa"/>
        </w:rPr>
        <w:t xml:space="preserve">استعاره‌ی مرجع</w:t>
      </w:r>
      <w:r>
        <w:rPr>
          <w:rtl/>
          <w:lang w:val="fa"/>
        </w:rPr>
        <w:t xml:space="preserve"> </w:t>
      </w:r>
      <w:r>
        <w:rPr>
          <w:rtl/>
          <w:lang w:val="fa"/>
        </w:rPr>
        <w:t xml:space="preserve">(مَشک، سِقاء) مایعی است که خروجش از حدِّ ظرف، فوریت دارد. این هر دو نکته، عبارت‌به‌عبارت با گامِ سومِ طرحواره‌ی لیکاف-کوچش — یعنی</w:t>
      </w:r>
      <w:r>
        <w:rPr>
          <w:rtl/>
          <w:lang w:val="fa"/>
        </w:rPr>
        <w:t xml:space="preserve"> </w:t>
      </w:r>
      <w:r>
        <w:rPr>
          <w:rtl/>
          <w:lang w:val="fa"/>
        </w:rPr>
        <w:t xml:space="preserve"> </w:t>
      </w:r>
      <w:r>
        <w:rPr>
          <w:rtl/>
          <w:lang w:val="fa"/>
        </w:rPr>
        <w:t xml:space="preserve">— هم‌ساز است.</w:t>
      </w:r>
    </w:p>
    <w:p>
      <w:pPr>
        <w:bidi/>
      </w:pPr>
      <w:r>
        <w:rPr>
          <w:i/>
          <w:iCs/>
          <w:rtl/>
          <w:lang w:val="fa"/>
        </w:rPr>
        <w:t xml:space="preserve">سنّتِ معتزلی-بلاغیِ زمخشری</w:t>
      </w:r>
      <w:r>
        <w:rPr>
          <w:rtl/>
          <w:lang w:val="fa"/>
        </w:rPr>
        <w:t xml:space="preserve"> </w:t>
      </w:r>
      <w:r>
        <w:rPr>
          <w:rtl/>
          <w:lang w:val="fa"/>
        </w:rPr>
        <w:t xml:space="preserve">(الکشّاف، ج۱، ذیلِ آل عمران: ۱۳۴) از زاویه‌ای دیگر بر مسئله می‌نگرد: کَظم را به‌منزله‌ی «الإمساکُ علی ما فی النَّفسِ مع القُدرةِ علی إنفاذِه» (نگه‌داری از آنچه در نفس است، در حالی که توانِ راندنش هست) تعریف می‌کند. این صورت‌بندی،</w:t>
      </w:r>
      <w:r>
        <w:rPr>
          <w:rtl/>
          <w:lang w:val="fa"/>
        </w:rPr>
        <w:t xml:space="preserve"> </w:t>
      </w:r>
      <w:r>
        <w:rPr>
          <w:b/>
          <w:bCs/>
          <w:rtl/>
          <w:lang w:val="fa"/>
        </w:rPr>
        <w:t xml:space="preserve">شرطِ قدرت</w:t>
      </w:r>
      <w:r>
        <w:rPr>
          <w:rtl/>
          <w:lang w:val="fa"/>
        </w:rPr>
        <w:t xml:space="preserve"> </w:t>
      </w:r>
      <w:r>
        <w:rPr>
          <w:rtl/>
          <w:lang w:val="fa"/>
        </w:rPr>
        <w:t xml:space="preserve">را به تعریفِ کَظم می‌افزاید: کَظمی که از سرِ ناتوانی باشد، فضیلت نیست. به دیگر بیان، زمخشری فضیلتِ کَظم را در نسبت با اراده‌ی آزاد می‌ایستاند، نه در پدیدارِ صرفِ مهار.</w:t>
      </w:r>
    </w:p>
    <w:p>
      <w:pPr>
        <w:bidi/>
      </w:pPr>
      <w:r>
        <w:rPr>
          <w:i/>
          <w:iCs/>
          <w:rtl/>
          <w:lang w:val="fa"/>
        </w:rPr>
        <w:t xml:space="preserve">سنّتِ شیعی-روایی-بلاغیِ طبرسی</w:t>
      </w:r>
      <w:r>
        <w:rPr>
          <w:rtl/>
          <w:lang w:val="fa"/>
        </w:rPr>
        <w:t xml:space="preserve"> </w:t>
      </w:r>
      <w:r>
        <w:rPr>
          <w:rtl/>
          <w:lang w:val="fa"/>
        </w:rPr>
        <w:t xml:space="preserve">(مجمع‌البیان، ج۲، ذیلِ همین آیه) کَظم را در پیوند با عفو ( «وَالْعَافِينَ عَنِ النَّاس») بازخوانی می‌کند و سامانه‌ای دومرحله‌ای را پیشنهاد می‌دهد: کَظم، مرحله‌ی درون‌فردیِ مهارِ هیجان است؛ عفو، مرحله‌ی بینافردیِ بازارزیابیِ موقعیت. این تمایز، با تمایزِ شناختیِ معاصر میانِ</w:t>
      </w:r>
      <w:r>
        <w:rPr>
          <w:rtl/>
          <w:lang w:val="fa"/>
        </w:rPr>
        <w:t xml:space="preserve"> </w:t>
      </w:r>
      <w:r>
        <w:rPr>
          <w:rtl/>
          <w:lang w:val="fa"/>
        </w:rPr>
        <w:t xml:space="preserve"> </w:t>
      </w:r>
      <w:r>
        <w:rPr>
          <w:rtl/>
          <w:lang w:val="fa"/>
        </w:rPr>
        <w:t xml:space="preserve">(تعدیلِ پاسخ) و</w:t>
      </w:r>
      <w:r>
        <w:rPr>
          <w:rtl/>
          <w:lang w:val="fa"/>
        </w:rPr>
        <w:t xml:space="preserve"> </w:t>
      </w:r>
      <w:r>
        <w:rPr>
          <w:rtl/>
          <w:lang w:val="fa"/>
        </w:rPr>
        <w:t xml:space="preserve"> </w:t>
      </w:r>
      <w:r>
        <w:rPr>
          <w:rtl/>
          <w:lang w:val="fa"/>
        </w:rPr>
        <w:t xml:space="preserve">(بازارزیابیِ شناختی) در مدلِ گراس هم‌سو است.</w:t>
      </w:r>
    </w:p>
    <w:p>
      <w:pPr>
        <w:bidi/>
      </w:pPr>
      <w:r>
        <w:rPr>
          <w:i/>
          <w:iCs/>
          <w:rtl/>
          <w:lang w:val="fa"/>
        </w:rPr>
        <w:t xml:space="preserve">سنّتِ مالکی-فقهی-نوگرای ابن‌عاشور</w:t>
      </w:r>
      <w:r>
        <w:rPr>
          <w:rtl/>
          <w:lang w:val="fa"/>
        </w:rPr>
        <w:t xml:space="preserve"> </w:t>
      </w:r>
      <w:r>
        <w:rPr>
          <w:rtl/>
          <w:lang w:val="fa"/>
        </w:rPr>
        <w:t xml:space="preserve">(التحریر و التنویر، ج۴، ذیلِ آل عمران: ۱۳۴) با دقتی پدیدارشناختی، تمایزی نظری را عملیاتی می‌سازد که در سنّتِ کلاسیک به‌صورتِ ضمنی حاضر بود اما در ابن‌عاشور صراحت می‌یابد: «الکَظمُ کفُّ النَّفسِ عن إظهارِ الغَیظِ مع بَقاءِ مَعناه فی الباطن» (کَظم، بازداشتِ نفس از ابرازِ غیظ است، در حالی که معنای آن در باطن باقی است). این عبارت،</w:t>
      </w:r>
      <w:r>
        <w:rPr>
          <w:rtl/>
          <w:lang w:val="fa"/>
        </w:rPr>
        <w:t xml:space="preserve"> </w:t>
      </w:r>
      <w:r>
        <w:rPr>
          <w:b/>
          <w:bCs/>
          <w:rtl/>
          <w:lang w:val="fa"/>
        </w:rPr>
        <w:t xml:space="preserve">تمایزِ ظرف-محتوا</w:t>
      </w:r>
      <w:r>
        <w:rPr>
          <w:rtl/>
          <w:lang w:val="fa"/>
        </w:rPr>
        <w:t xml:space="preserve"> </w:t>
      </w:r>
      <w:r>
        <w:rPr>
          <w:rtl/>
          <w:lang w:val="fa"/>
        </w:rPr>
        <w:t xml:space="preserve">را تثبیت می‌کند: ظرف مهار می‌شود، اما محتوا نمی‌رود. هم‌سویی این صورت‌بندی با تمایزِ مدرنِ گراس میانِ</w:t>
      </w:r>
      <w:r>
        <w:rPr>
          <w:rtl/>
          <w:lang w:val="fa"/>
        </w:rPr>
        <w:t xml:space="preserve"> </w:t>
      </w:r>
      <w:r>
        <w:rPr>
          <w:rtl/>
          <w:lang w:val="fa"/>
        </w:rPr>
        <w:t xml:space="preserve"> </w:t>
      </w:r>
      <w:r>
        <w:rPr>
          <w:rtl/>
          <w:lang w:val="fa"/>
        </w:rPr>
        <w:t xml:space="preserve">(سرکوبِ ابرازی، که بر سطحِ ظاهرِ هیجان عمل می‌کند) و</w:t>
      </w:r>
      <w:r>
        <w:rPr>
          <w:rtl/>
          <w:lang w:val="fa"/>
        </w:rPr>
        <w:t xml:space="preserve"> </w:t>
      </w:r>
      <w:r>
        <w:rPr>
          <w:rtl/>
          <w:lang w:val="fa"/>
        </w:rPr>
        <w:t xml:space="preserve"> </w:t>
      </w:r>
      <w:r>
        <w:rPr>
          <w:rtl/>
          <w:lang w:val="fa"/>
        </w:rPr>
        <w:t xml:space="preserve">(بازارزیابیِ شناختی، که محتوای هیجانی را تغییر می‌دهد) چشمگیر است (گراس ۲۰۱۴، فصلِ اوّل، ص ۱۴–۱۷؛ گراس ۲۰۱۵، ص ۸–۱۲).</w:t>
      </w:r>
    </w:p>
    <w:p>
      <w:pPr>
        <w:bidi/>
      </w:pPr>
      <w:r>
        <w:rPr>
          <w:i/>
          <w:iCs/>
          <w:rtl/>
          <w:lang w:val="fa"/>
        </w:rPr>
        <w:t xml:space="preserve">سنّتِ صوفیانه‌ی قشیری</w:t>
      </w:r>
      <w:r>
        <w:rPr>
          <w:rtl/>
          <w:lang w:val="fa"/>
        </w:rPr>
        <w:t xml:space="preserve"> </w:t>
      </w:r>
      <w:r>
        <w:rPr>
          <w:rtl/>
          <w:lang w:val="fa"/>
        </w:rPr>
        <w:t xml:space="preserve">(لطائف‌الإشارات،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 — در این قرائتِ سلوکی، ظرفِ کَظم از سینه‌ی فیزیولوژیک به «وعاء الصَّبر»ِ روحانی گسترش می‌یابد.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هر چهار قطبِ کانونی، کَظم را به‌اتفاق</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(نه صرفاً وضعی روان‌شناختی) 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فصلِ اوّل؛ گراس ۲۰۱۵، ص ۲–۵) هم‌سو می‌سازد. نکته‌ی نظریِ شایانِ توجه آن است که</w:t>
      </w:r>
      <w:r>
        <w:rPr>
          <w:rtl/>
          <w:lang w:val="fa"/>
        </w:rPr>
        <w:t xml:space="preserve"> </w:t>
      </w:r>
      <w:r>
        <w:rPr>
          <w:b/>
          <w:bCs/>
          <w:rtl/>
          <w:lang w:val="fa"/>
        </w:rPr>
        <w:t xml:space="preserve">چهار قطبِ کانونی، چهار وجهِ مکمّل</w:t>
      </w:r>
      <w:r>
        <w:rPr>
          <w:rtl/>
          <w:lang w:val="fa"/>
        </w:rPr>
        <w:t xml:space="preserve"> </w:t>
      </w:r>
      <w:r>
        <w:rPr>
          <w:rtl/>
          <w:lang w:val="fa"/>
        </w:rPr>
        <w:t xml:space="preserve">از کَظم را برجسته می‌کنند: طباطبایی بر</w:t>
      </w:r>
      <w:r>
        <w:rPr>
          <w:rtl/>
          <w:lang w:val="fa"/>
        </w:rPr>
        <w:t xml:space="preserve"> </w:t>
      </w:r>
      <w:r>
        <w:rPr>
          <w:b/>
          <w:bCs/>
          <w:rtl/>
          <w:lang w:val="fa"/>
        </w:rPr>
        <w:t xml:space="preserve">مکانیسمِ بدنیِ مهار</w:t>
      </w:r>
      <w:r>
        <w:rPr>
          <w:rtl/>
          <w:lang w:val="fa"/>
        </w:rPr>
        <w:t xml:space="preserve"> </w:t>
      </w:r>
      <w:r>
        <w:rPr>
          <w:rtl/>
          <w:lang w:val="fa"/>
        </w:rPr>
        <w:t xml:space="preserve">(ظرفِ تنگ)، زمخشری بر</w:t>
      </w:r>
      <w:r>
        <w:rPr>
          <w:rtl/>
          <w:lang w:val="fa"/>
        </w:rPr>
        <w:t xml:space="preserve"> </w:t>
      </w:r>
      <w:r>
        <w:rPr>
          <w:b/>
          <w:bCs/>
          <w:rtl/>
          <w:lang w:val="fa"/>
        </w:rPr>
        <w:t xml:space="preserve">شرطِ قدرتِ کنشگر</w:t>
      </w:r>
      <w:r>
        <w:rPr>
          <w:rtl/>
          <w:lang w:val="fa"/>
        </w:rPr>
        <w:t xml:space="preserve"> </w:t>
      </w:r>
      <w:r>
        <w:rPr>
          <w:rtl/>
          <w:lang w:val="fa"/>
        </w:rPr>
        <w:t xml:space="preserve">(ارادی بودنِ مهار)، طبرسی بر</w:t>
      </w:r>
      <w:r>
        <w:rPr>
          <w:rtl/>
          <w:lang w:val="fa"/>
        </w:rPr>
        <w:t xml:space="preserve"> </w:t>
      </w:r>
      <w:r>
        <w:rPr>
          <w:b/>
          <w:bCs/>
          <w:rtl/>
          <w:lang w:val="fa"/>
        </w:rPr>
        <w:t xml:space="preserve">پیوستارِ کَظم-عفو</w:t>
      </w:r>
      <w:r>
        <w:rPr>
          <w:rtl/>
          <w:lang w:val="fa"/>
        </w:rPr>
        <w:t xml:space="preserve"> </w:t>
      </w:r>
      <w:r>
        <w:rPr>
          <w:rtl/>
          <w:lang w:val="fa"/>
        </w:rPr>
        <w:t xml:space="preserve">(تعدیلِ پاسخ و بازارزیابی) و ابن‌عاشور بر</w:t>
      </w:r>
      <w:r>
        <w:rPr>
          <w:rtl/>
          <w:lang w:val="fa"/>
        </w:rPr>
        <w:t xml:space="preserve"> </w:t>
      </w:r>
      <w:r>
        <w:rPr>
          <w:b/>
          <w:bCs/>
          <w:rtl/>
          <w:lang w:val="fa"/>
        </w:rPr>
        <w:t xml:space="preserve">تمایزِ ظرف-محتوا</w:t>
      </w:r>
      <w:r>
        <w:rPr>
          <w:rtl/>
          <w:lang w:val="fa"/>
        </w:rPr>
        <w:t xml:space="preserve"> </w:t>
      </w:r>
      <w:r>
        <w:rPr>
          <w:rtl/>
          <w:lang w:val="fa"/>
        </w:rPr>
        <w:t xml:space="preserve">(سطحِ ابراز در برابرِ سطحِ محتوا). این چهار وجه، نه به‌منزله‌ی واگراییِ تفسیری، بلکه به‌منزله‌ی</w:t>
      </w:r>
      <w:r>
        <w:rPr>
          <w:rtl/>
          <w:lang w:val="fa"/>
        </w:rPr>
        <w:t xml:space="preserve"> </w:t>
      </w:r>
      <w:r>
        <w:rPr>
          <w:b/>
          <w:bCs/>
          <w:rtl/>
          <w:lang w:val="fa"/>
        </w:rPr>
        <w:t xml:space="preserve">تحلیلِ چندبُعدیِ هم‌گرا</w:t>
      </w:r>
      <w:r>
        <w:rPr>
          <w:rtl/>
          <w:lang w:val="fa"/>
        </w:rPr>
        <w:t xml:space="preserve"> </w:t>
      </w:r>
      <w:r>
        <w:rPr>
          <w:rtl/>
          <w:lang w:val="fa"/>
        </w:rPr>
        <w:t xml:space="preserve">بر سرِ سامانه‌ی مفهومیِ واحد، در مدلِ مدرنِ تنظیمِ هیجان نیز قابلِ بازشناسی‌اند.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(سوره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7"/>
    <w:bookmarkStart w:id="67"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سوره نازعات: ۱۷ («اِذهَب إلی فِرعَون إنَّه طَغی»)، سوره قصص: ۴، سوره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(سوره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در سنّتِ تفسیریِ شیعه، طباطبایی در المیزان (ج۱۵، ص ۲۷۸–۲۸۰، ذیلِ سوره شعراء: ۵۵) این قطبیتِ معکوس را در عبارتی نظریِ شایانِ توجه چنین صورت‌بندی می‌کند: «الغَیظُ المَنسوبُ إلی فِرعَون وقومِه فی هذه الآیةِ مَسبوقٌ بِطُغیانِهِم و استِکبارِهِم و ادِّعائِهِمُ الرُبوبیّةَ، فَهو نَتیجَةُ السلطةِ المُنفَلِتةِ مِن قَیدِ الحَقّ، لا سابِقَةُ السُّخطِ علی المَوسی(ع) و قومِه» (غیظی که در این آیه به فرعون و قومِ او نسبت داده شده، مسبوقِ طغیان و استکبار و ادّعای ربوبیّتِ ایشان است؛ پس این غیظ، نتیجه‌ی قدرتِ مهارگسسته از قیدِ حق است، نه سابقه‌ی نارضایتی نسبت به موسی (ع) و قومش). این تحلیلِ المیزانی، که در التحریر و التنویرِ ابن‌عاشور (ج۱۹، ذیلِ همین آیه) نیز به صورتی هم‌ساز بازنمایی شده، یکی از کلیدی‌ترین مواضعِ ادبیاتِ تفسیری برای تشخیصِ علّیتِ دوسویه به‌شمار می‌رود: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 و این تقدمِ علّی، آیه‌ی شعراء را به نمونه‌ی شاخصِ بازگشتِ معکوسِ هیجان از ساختارِ ستمگری تبدیل می‌کند.</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b/>
          <w:bCs/>
          <w:rtl/>
          <w:lang w:val="fa"/>
        </w:rPr>
        <w:t xml:space="preserve">روال کدگذاری، آموزشِ کدگذار و دفترچه‌ی راهنما.</w:t>
      </w:r>
      <w:r>
        <w:rPr>
          <w:rtl/>
          <w:lang w:val="fa"/>
        </w:rPr>
        <w:t xml:space="preserve"> </w:t>
      </w:r>
      <w:r>
        <w:rPr>
          <w:rtl/>
          <w:lang w:val="fa"/>
        </w:rPr>
        <w:t xml:space="preserve">کدگذارِ نخست (نویسنده‌ی مسئول، با تخصصِ ادبیاتِ عرب و تاریخِ تفسیر) و کدگذارِ دوم (دانشجوی دکترای علومِ قرآنی، با آموزشِ پنج‌جلسه‌ایِ مقدماتی بر دفترچه‌ی راهنما) به‌صورتِ مستقل، ۲۰٪ نمونه‌ی تصادفیِ بسامدها (۲۹ موردِ ۱۴۵ بسامد) را در سه طبقه‌ی A/S/A+S کدگذاری کردند.</w:t>
      </w:r>
      <w:r>
        <w:rPr>
          <w:rtl/>
          <w:lang w:val="fa"/>
        </w:rPr>
        <w:t xml:space="preserve"> </w:t>
      </w:r>
      <w:r>
        <w:rPr>
          <w:b/>
          <w:bCs/>
          <w:rtl/>
          <w:lang w:val="fa"/>
        </w:rPr>
        <w:t xml:space="preserve">دفترچه‌ی راهنمای کدگذاری</w:t>
      </w:r>
      <w:r>
        <w:rPr>
          <w:rtl/>
          <w:lang w:val="fa"/>
        </w:rPr>
        <w:t xml:space="preserve"> </w:t>
      </w:r>
      <w:r>
        <w:rPr>
          <w:rtl/>
          <w:lang w:val="fa"/>
        </w:rPr>
        <w:t xml:space="preserve">بر چهار قطبِ تفسیری استوار بود: (الف) قرائتِ المیزان از سابقه‌ی علّیِ موقعیت؛ (ب) قرائتِ الکشّاف از انگیزه‌ی واژگانیِ مسلّط (طمع، استکبار، انتقامِ هیجانی)؛ (ج) قرائتِ مجمع‌البیان از پیشایندِ خشم در سیاقِ روایی؛ (د) قرائتِ التحریر و التنویر از ساختارِ نهادی-اجتماعیِ مولّدِ کنش. در موردِ هم‌سویی هر چهار قطب با یک خوانش، آن خوانش تثبیت می‌شد؛ در موردِ اختلاف، طبقه‌ی A+S تخصیص می‌گرفت.</w:t>
      </w:r>
      <w:r>
        <w:rPr>
          <w:rtl/>
          <w:lang w:val="fa"/>
        </w:rPr>
        <w:t xml:space="preserve"> </w:t>
      </w:r>
      <w:r>
        <w:rPr>
          <w:b/>
          <w:bCs/>
          <w:rtl/>
          <w:lang w:val="fa"/>
        </w:rPr>
        <w:t xml:space="preserve">توافقِ بین‌کدگذار</w:t>
      </w:r>
      <w:r>
        <w:rPr>
          <w:rtl/>
          <w:lang w:val="fa"/>
        </w:rPr>
        <w:t xml:space="preserve"> </w:t>
      </w:r>
      <w:r>
        <w:rPr>
          <w:rtl/>
          <w:lang w:val="fa"/>
        </w:rPr>
        <w:t xml:space="preserve">با کاپای کوهن سنجیده شد: κ = ۰٫۷۹ (توافقِ «اساسی» بر معیارِ</w:t>
      </w:r>
      <w:r>
        <w:rPr>
          <w:rtl/>
          <w:lang w:val="fa"/>
        </w:rPr>
        <w:t xml:space="preserve"> </w:t>
      </w:r>
      <w:r>
        <w:rPr>
          <w:rtl/>
          <w:lang w:val="fa"/>
        </w:rPr>
        <w:t xml:space="preserve">، که در فاصله‌ی [۰٫۶۱، ۰٫۸۰] قرار می‌گیرد).</w:t>
      </w:r>
      <w:r>
        <w:rPr>
          <w:rtl/>
          <w:lang w:val="fa"/>
        </w:rPr>
        <w:t xml:space="preserve"> </w:t>
      </w:r>
      <w:r>
        <w:rPr>
          <w:b/>
          <w:bCs/>
          <w:rtl/>
          <w:lang w:val="fa"/>
        </w:rPr>
        <w:t xml:space="preserve">نمونه‌ی موردهای اختلاف</w:t>
      </w:r>
      <w:r>
        <w:rPr>
          <w:rtl/>
          <w:lang w:val="fa"/>
        </w:rPr>
        <w:t xml:space="preserve"> </w:t>
      </w:r>
      <w:r>
        <w:rPr>
          <w:rtl/>
          <w:lang w:val="fa"/>
        </w:rPr>
        <w:t xml:space="preserve">(شش موردِ ناهم‌خوان از ۲۹ موردِ ممیّزی) عمدتاً در آیاتِ بَغیِ بنی‌اسرائیلی (مثلاً سوره بقره: ۹۰، سوره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(ج۱، ص ۲۰۴–۲۱۲) و الکشّاف (ج۱، ذیلِ سوره بقره: ۹۰) به طبقه‌ی A+S منتقل شدند. جدولِ کدبندیِ کامل، با ستون‌های شناسه‌ی آیه، ریشه، طبقه، کدِ کدگذارِ نخست، کدِ کدگذارِ دوم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2956439"/>
            <wp:effectExtent b="0" l="0" r="0" t="0"/>
            <wp:docPr descr="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شوری: ۴۲ به‌منزله‌ی نمونه‌ی پیامدِ خشم-خاستگاه؛ شعراء: ۵۵ («إِنَّهُمْ لَنَا لَغَائِظُونَ») به‌منزله‌ی نمونه‌ی قطبیتِ معکوس — غیظِ ستمگر از سرکشیِ ستمدیده، نه برعکس. این یافته با تأکیدِ المیزان (ج۱۵، ص ۲۷۸) بر طغیانِ فرعونی به‌منزله‌ی سابق بر خشم، نه پیامدِ آن، هم‌خوانیِ مستقیم دارد." title="" id="59" name="Picture"/>
            <a:graphic>
              <a:graphicData uri="http://schemas.openxmlformats.org/drawingml/2006/picture">
                <pic:pic>
                  <pic:nvPicPr>
                    <pic:cNvPr descr="fig10_bidirectional.jpg" id="60" name="Picture"/>
                    <pic:cNvPicPr>
                      <a:picLocks noChangeArrowheads="1" noChangeAspect="1"/>
                    </pic:cNvPicPr>
                  </pic:nvPicPr>
                  <pic:blipFill>
                    <a:blip r:embed="rId58"/>
                    <a:stretch>
                      <a:fillRect/>
                    </a:stretch>
                  </pic:blipFill>
                  <pic:spPr bwMode="auto">
                    <a:xfrm>
                      <a:off x="0" y="0"/>
                      <a:ext cx="5067300" cy="2956439"/>
                    </a:xfrm>
                    <a:prstGeom prst="rect">
                      <a:avLst/>
                    </a:prstGeom>
                    <a:noFill/>
                    <a:ln w="9525">
                      <a:noFill/>
                      <a:headEnd/>
                      <a:tailEnd/>
                    </a:ln>
                  </pic:spPr>
                </pic:pic>
              </a:graphicData>
            </a:graphic>
          </wp:inline>
        </w:drawing>
      </w:r>
    </w:p>
    <w:p>
      <w:pPr>
        <w:pStyle w:val="ImageCaption"/>
        <w:bidi/>
      </w:pPr>
      <w:r>
        <w:rPr>
          <w:rtl/>
          <w:lang w:val="fa"/>
        </w:rPr>
        <w:t xml:space="preserve">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شوری: ۴۲ به‌منزله‌ی نمونه‌ی پیامدِ خشم-خاستگاه؛ شعراء: ۵۵ («إِنَّهُمْ لَنَا لَغَائِظُونَ») به‌منزله‌ی نمونه‌ی قطبیتِ معکوس — غیظِ ستمگر از سرکشیِ ستمدیده، نه برعکس. این یافته با تأکیدِ المیزان (ج۱۵، ص ۲۷۸) بر طغیانِ فرعونی به‌منزله‌ی سابق بر خشم، نه پیامدِ آن، هم‌خوانیِ مستقیم دارد.</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62" name="Picture"/>
            <a:graphic>
              <a:graphicData uri="http://schemas.openxmlformats.org/drawingml/2006/picture">
                <pic:pic>
                  <pic:nvPicPr>
                    <pic:cNvPr descr="fig4_cooccurrence.png" id="63" name="Picture"/>
                    <pic:cNvPicPr>
                      <a:picLocks noChangeArrowheads="1" noChangeAspect="1"/>
                    </pic:cNvPicPr>
                  </pic:nvPicPr>
                  <pic:blipFill>
                    <a:blip r:embed="rId61"/>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65" name="Picture"/>
            <a:graphic>
              <a:graphicData uri="http://schemas.openxmlformats.org/drawingml/2006/picture">
                <pic:pic>
                  <pic:nvPicPr>
                    <pic:cNvPr descr="fig7_centrality.png" id="66" name="Picture"/>
                    <pic:cNvPicPr>
                      <a:picLocks noChangeArrowheads="1" noChangeAspect="1"/>
                    </pic:cNvPicPr>
                  </pic:nvPicPr>
                  <pic:blipFill>
                    <a:blip r:embed="rId64"/>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67"/>
    <w:bookmarkStart w:id="68"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(سوره حجر: ۹۷؛ سوره آل عمران: ۱۳۴؛ سوره مُلک: ۸؛ سوره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bookmarkEnd w:id="68"/>
    <w:bookmarkStart w:id="69" w:name="اعتبارسنجی-پیکرهای-محاسباتی-تکمیلی"/>
    <w:p>
      <w:pPr>
        <w:pStyle w:val="Heading3"/>
        <w:bidi/>
      </w:pPr>
      <w:r>
        <w:rPr>
          <w:rtl/>
          <w:lang w:val="fa"/>
        </w:rPr>
        <w:t xml:space="preserve">۴-۸. اعتبارسنجیِ پیکره‌ای-محاسباتیِ تکمیلی</w:t>
      </w:r>
    </w:p>
    <w:p>
      <w:pPr>
        <w:bidi/>
      </w:pPr>
      <w:r>
        <w:rPr>
          <w:rtl/>
          <w:lang w:val="fa"/>
        </w:rPr>
        <w:t xml:space="preserve">به‌منزله‌ی پشتوانه‌ی کمّیِ مستقل بر یافته‌های تفسیریِ §§۴-۴ تا ۴-۶، چهار تحلیلِ محاسباتی بر پیکره‌ی ۳۱۲‌بسامدی اجرا شد.</w:t>
      </w:r>
      <w:r>
        <w:rPr>
          <w:rtl/>
          <w:lang w:val="fa"/>
        </w:rPr>
        <w:t xml:space="preserve"> </w:t>
      </w:r>
      <w:r>
        <w:rPr>
          <w:b/>
          <w:bCs/>
          <w:rtl/>
          <w:lang w:val="fa"/>
        </w:rPr>
        <w:t xml:space="preserve">(الف) خوشه‌بندیِ تعبیه‌های بافتیِ بَرت</w:t>
      </w:r>
      <w:r>
        <w:rPr>
          <w:rtl/>
          <w:lang w:val="fa"/>
        </w:rPr>
        <w:t xml:space="preserve"> </w:t>
      </w:r>
      <w:r>
        <w:rPr>
          <w:rtl/>
          <w:lang w:val="fa"/>
        </w:rPr>
        <w:t xml:space="preserve">با مدلِ CAMeLBERT-CA (نسخه‌ی عربیِ کلاسیک) نشان می‌دهد که فضای تعبیه‌های ۷۶۸-بُعدی، بسامدها را</w:t>
      </w:r>
      <w:r>
        <w:rPr>
          <w:rtl/>
          <w:lang w:val="fa"/>
        </w:rPr>
        <w:t xml:space="preserve"> </w:t>
      </w:r>
      <w:r>
        <w:rPr>
          <w:i/>
          <w:iCs/>
          <w:rtl/>
          <w:lang w:val="fa"/>
        </w:rPr>
        <w:t xml:space="preserve">به‌حسبِ ریشه</w:t>
      </w:r>
      <w:r>
        <w:rPr>
          <w:rtl/>
          <w:lang w:val="fa"/>
        </w:rPr>
        <w:t xml:space="preserve"> </w:t>
      </w:r>
      <w:r>
        <w:rPr>
          <w:rtl/>
          <w:lang w:val="fa"/>
        </w:rPr>
        <w:t xml:space="preserve">خوشه‌بندی می‌کند و نه به‌حسبِ مرحله (سیلوئت ۰٫۰۸- در برابرِ برچسبِ شش‌مرحله‌ای؛ NMI = ۰٫۰۷۷). این نتیجه‌ی صفری، آموزنده است: هندسه‌ی شش‌مرحله‌ای، یک «ساختارِ تحلیلی-تفسیری» بر روی پیکره است که از همانندیِ توزیعیِ هم‌نشینیِ سطحی به‌دست نمی‌آید؛ مدلِ پیش‌آموخته‌ی زبانیِ کلاسیک، بدونِ برچسب‌های تفسیریِ پدیدارشناختی، آن را بازکشف نمی‌کند.</w:t>
      </w:r>
      <w:r>
        <w:rPr>
          <w:rtl/>
          <w:lang w:val="fa"/>
        </w:rPr>
        <w:t xml:space="preserve"> </w:t>
      </w:r>
      <w:r>
        <w:rPr>
          <w:b/>
          <w:bCs/>
          <w:rtl/>
          <w:lang w:val="fa"/>
        </w:rPr>
        <w:t xml:space="preserve">(ب) تحلیلِ رانشِ ترجمه‌ای</w:t>
      </w:r>
      <w:r>
        <w:rPr>
          <w:rtl/>
          <w:lang w:val="fa"/>
        </w:rPr>
        <w:t xml:space="preserve"> </w:t>
      </w:r>
      <w:r>
        <w:rPr>
          <w:rtl/>
          <w:lang w:val="fa"/>
        </w:rPr>
        <w:t xml:space="preserve">بر روی پنج ترجمه‌ی انگلیسی + پنج ترجمه‌ی فارسی، با تعبیه‌های چندزبانیِ MPNet، نشان می‌دهد که میانگینِ فاصله‌ی معناشناختیِ مترجمان برای واژگانی نظیرِ سَخَط (۰٫۲۳)، مَقت (۰٫۲۲)، طُغیان (۰٫۲۳) و غیظ (۰٫۲۱) بیش‌تر از غضب (۰٫۱۷) و بَغی (۰٫۱۹) است — یافته‌ای کمّی هم‌سو با ادعای کیفیِ §۴-۷ که مترجمان بر سرِ واژگانِ ارزیابانه و متراکم بیش‌تر اختلاف می‌ورزند.</w:t>
      </w:r>
      <w:r>
        <w:rPr>
          <w:rtl/>
          <w:lang w:val="fa"/>
        </w:rPr>
        <w:t xml:space="preserve"> </w:t>
      </w:r>
      <w:r>
        <w:rPr>
          <w:b/>
          <w:bCs/>
          <w:rtl/>
          <w:lang w:val="fa"/>
        </w:rPr>
        <w:t xml:space="preserve">(ج) شبکه‌ی هم‌رخدادگیریِ وزن‌دارِ PMI</w:t>
      </w:r>
      <w:r>
        <w:rPr>
          <w:rtl/>
          <w:lang w:val="fa"/>
        </w:rPr>
        <w:t xml:space="preserve"> </w:t>
      </w:r>
      <w:r>
        <w:rPr>
          <w:rtl/>
          <w:lang w:val="fa"/>
        </w:rPr>
        <w:t xml:space="preserve">قوی‌ترین یالِ مثبت را در جفتِ أَسَف-غضب (npmi = ۰٫۵۹، آیاتِ موسوی) و سپس در ضِیق-حُزن (۰٫۴۷، خوشه‌ی فشارِ درونی) آشکار می‌سازد؛ پس از تصحیحِ PMI، مرکزیتِ خامِ بَغی کاهش می‌یابد و قوی‌ترین پیوندهای آن نه با ریشه‌های مرحله‌ی ۶، بلکه با کَره (۰٫۲۳) و غیظ (۰٫۲۲) برقرار می‌گردد — یافته‌ای هم‌ساز با قرائتِ علّیتِ دوسویه‌ی §۴-۶-۴ (بَغی، گاه از کَراهت و غیظِ متراکم برمی‌خیزد، نه از خشمِ بسیج‌شده).</w:t>
      </w:r>
      <w:r>
        <w:rPr>
          <w:rtl/>
          <w:lang w:val="fa"/>
        </w:rPr>
        <w:t xml:space="preserve"> </w:t>
      </w:r>
      <w:r>
        <w:rPr>
          <w:b/>
          <w:bCs/>
          <w:rtl/>
          <w:lang w:val="fa"/>
        </w:rPr>
        <w:t xml:space="preserve">(د) آزمونِ هم‌بستگیِ تک‌سویه‌ی مرحله-با-ترتیبِ نزولِ نولدکه‌ای</w:t>
      </w:r>
      <w:r>
        <w:rPr>
          <w:rtl/>
          <w:lang w:val="fa"/>
        </w:rPr>
        <w:t xml:space="preserve">: ρ اسپیرمن = −۰٫۱۵۷ (p = ۰٫۰۰۶)، با اندازه‌ی اثرِ بسیار کوچک. این نتیجه نشان می‌دهد که پیوستار، یک</w:t>
      </w:r>
      <w:r>
        <w:rPr>
          <w:rtl/>
          <w:lang w:val="fa"/>
        </w:rPr>
        <w:t xml:space="preserve"> </w:t>
      </w:r>
      <w:r>
        <w:rPr>
          <w:b/>
          <w:bCs/>
          <w:rtl/>
          <w:lang w:val="fa"/>
        </w:rPr>
        <w:t xml:space="preserve">توالیِ تاریخی</w:t>
      </w:r>
      <w:r>
        <w:rPr>
          <w:rtl/>
          <w:lang w:val="fa"/>
        </w:rPr>
        <w:t xml:space="preserve"> </w:t>
      </w:r>
      <w:r>
        <w:rPr>
          <w:rtl/>
          <w:lang w:val="fa"/>
        </w:rPr>
        <w:t xml:space="preserve">نیست — مراحلِ شش‌گانه ساختاری شدتی، نه ترتیبی-نزولی، دارند. خروجی‌های کاملِ این چهار تحلیل در شاخه‌ی</w:t>
      </w:r>
      <w:r>
        <w:rPr>
          <w:rtl/>
          <w:lang w:val="fa"/>
        </w:rPr>
        <w:t xml:space="preserve"> </w:t>
      </w:r>
      <w:r>
        <w:rPr>
          <w:rStyle w:val="VerbatimChar"/>
          <w:rtl/>
          <w:lang w:val="fa"/>
        </w:rPr>
        <w:t xml:space="preserve">nlp-outputs-2026-05-13</w:t>
      </w:r>
      <w:r>
        <w:rPr>
          <w:rtl/>
          <w:lang w:val="fa"/>
        </w:rPr>
        <w:t xml:space="preserve"> </w:t>
      </w:r>
      <w:r>
        <w:rPr>
          <w:rtl/>
          <w:lang w:val="fa"/>
        </w:rPr>
        <w:t xml:space="preserve">انباره‌ی عمومیِ پروژه در دسترس‌اند.</w:t>
      </w:r>
    </w:p>
    <w:p>
      <w:r>
        <w:pict>
          <v:rect style="width:0;height:1.5pt" o:hralign="center" o:hrstd="t" o:hr="t"/>
        </w:pict>
      </w:r>
    </w:p>
    <w:bookmarkEnd w:id="69"/>
    <w:bookmarkEnd w:id="70"/>
    <w:bookmarkStart w:id="79" w:name="بحث"/>
    <w:p>
      <w:pPr>
        <w:pStyle w:val="Heading2"/>
        <w:bidi/>
      </w:pPr>
      <w:r>
        <w:rPr>
          <w:rtl/>
          <w:lang w:val="fa"/>
        </w:rPr>
        <w:t xml:space="preserve">۵. بحث</w:t>
      </w:r>
    </w:p>
    <w:bookmarkStart w:id="71"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71"/>
    <w:bookmarkStart w:id="72"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72"/>
    <w:bookmarkStart w:id="73"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73"/>
    <w:bookmarkStart w:id="77"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ه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75" name="Picture"/>
            <a:graphic>
              <a:graphicData uri="http://schemas.openxmlformats.org/drawingml/2006/picture">
                <pic:pic>
                  <pic:nvPicPr>
                    <pic:cNvPr descr="fig6_metaphor_diagram.png" id="76" name="Picture"/>
                    <pic:cNvPicPr>
                      <a:picLocks noChangeArrowheads="1" noChangeAspect="1"/>
                    </pic:cNvPicPr>
                  </pic:nvPicPr>
                  <pic:blipFill>
                    <a:blip r:embed="rId74"/>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سوره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77"/>
    <w:bookmarkStart w:id="78"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78"/>
    <w:bookmarkEnd w:id="79"/>
    <w:bookmarkStart w:id="83" w:name="نتیجهگیری"/>
    <w:p>
      <w:pPr>
        <w:pStyle w:val="Heading2"/>
        <w:bidi/>
      </w:pPr>
      <w:r>
        <w:rPr>
          <w:rtl/>
          <w:lang w:val="fa"/>
        </w:rPr>
        <w:t xml:space="preserve">۶. نتیجه‌گیری</w:t>
      </w:r>
    </w:p>
    <w:bookmarkStart w:id="80"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80"/>
    <w:bookmarkStart w:id="81"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هم‌زمان نقاطِ آغازِ چهار جهتِ پژوهشیِ آینده را نیز ترسیم می‌کنند:</w:t>
      </w:r>
    </w:p>
    <w:p>
      <w:pPr>
        <w:bidi/>
      </w:pPr>
      <w:r>
        <w:rPr>
          <w:b/>
          <w:bCs/>
          <w:rtl/>
          <w:lang w:val="fa"/>
        </w:rPr>
        <w:t xml:space="preserve">(الف) سطحِ تحلیل و گذار از واژگان به گفتمان.</w:t>
      </w:r>
      <w:r>
        <w:rPr>
          <w:rtl/>
          <w:lang w:val="fa"/>
        </w:rPr>
        <w:t xml:space="preserve"> </w:t>
      </w:r>
      <w:r>
        <w:rPr>
          <w:rtl/>
          <w:lang w:val="fa"/>
        </w:rPr>
        <w:t xml:space="preserve">پژوهشِ حاضر، طیفِ خشم را در سطحِ واژگانی-آیه‌ای صورت‌بندی می‌کند؛ اما خشمِ قرآنی در ساختارِ روایی-گفتمانیِ سوره‌ها (به‌ویژه روایت‌های موسی-فرعون، نوح، شُعیب، و روایت‌های جنگیِ سوره‌ی توبه) سامانه‌ای پیچیده‌تر از جمعِ بسامدهای واژگانی است.</w:t>
      </w:r>
      <w:r>
        <w:rPr>
          <w:rtl/>
          <w:lang w:val="fa"/>
        </w:rPr>
        <w:t xml:space="preserve"> </w:t>
      </w:r>
      <w:r>
        <w:rPr>
          <w:b/>
          <w:bCs/>
          <w:rtl/>
          <w:lang w:val="fa"/>
        </w:rPr>
        <w:t xml:space="preserve">افقِ پژوهشِ آینده‌ی نخست</w:t>
      </w:r>
      <w:r>
        <w:rPr>
          <w:rtl/>
          <w:lang w:val="fa"/>
        </w:rPr>
        <w:t xml:space="preserve">، توسعه‌ی تحلیل به سطحِ کلانِ روایتی است: نقشه‌برداریِ منحنیِ شدتِ هیجانی در طولِ هر روایتِ پیامبرانه، در پیوند با مدل‌های نوینِ زبان‌شناسیِ متن و تحلیلِ مسیرِ روایی (مثلاً سینای ۲۰۲۳، فصل‌های ۴ و ۵). در این راستا،</w:t>
      </w:r>
      <w:r>
        <w:rPr>
          <w:rtl/>
          <w:lang w:val="fa"/>
        </w:rPr>
        <w:t xml:space="preserve"> </w:t>
      </w:r>
      <w:r>
        <w:rPr>
          <w:b/>
          <w:bCs/>
          <w:rtl/>
          <w:lang w:val="fa"/>
        </w:rPr>
        <w:t xml:space="preserve">اجرای بازنماییِ بافت‌مندِ ۳۱۲ بسامد با مدل‌های زبانیِ پیشاآموخته‌ی ویژه‌ی عربیِ قرآنی</w:t>
      </w:r>
      <w:r>
        <w:rPr>
          <w:rtl/>
          <w:lang w:val="fa"/>
        </w:rPr>
        <w:t xml:space="preserve"> </w:t>
      </w:r>
      <w:r>
        <w:rPr>
          <w:rtl/>
          <w:lang w:val="fa"/>
        </w:rPr>
        <w:t xml:space="preserve">(</w:t>
      </w:r>
      <w:r>
        <w:rPr>
          <w:rtl/>
          <w:lang w:val="fa"/>
        </w:rPr>
        <w:t xml:space="preserve"> </w:t>
      </w:r>
      <w:r>
        <w:rPr>
          <w:rtl/>
          <w:lang w:val="fa"/>
        </w:rPr>
        <w:t xml:space="preserve">و</w:t>
      </w:r>
      <w:r>
        <w:rPr>
          <w:rtl/>
          <w:lang w:val="fa"/>
        </w:rPr>
        <w:t xml:space="preserve"> </w:t>
      </w:r>
      <w:r>
        <w:rPr>
          <w:rtl/>
          <w:lang w:val="fa"/>
        </w:rPr>
        <w:t xml:space="preserve">) در دستورِ کارِ پی‌گیری‌های آینده قرار دارد: اعتبارسنجیِ مستقلِ مرزهای شش‌گانه‌ی پیوستار، از رهگذرِ خوشه‌بندیِ بدون‌نظارت بر بازنمایی‌های برداریِ بسامدها، می‌تواند مدلِ تفسیری-آماریِ پژوهشِ حاضر را با شواهدی محاسباتی-مستقل تقویت کند.</w:t>
      </w:r>
    </w:p>
    <w:p>
      <w:pPr>
        <w:bidi/>
      </w:pPr>
      <w:r>
        <w:rPr>
          <w:b/>
          <w:bCs/>
          <w:rtl/>
          <w:lang w:val="fa"/>
        </w:rPr>
        <w:t xml:space="preserve">(ب) پشتیبانیِ تجربیِ بالینی و مدل‌سازیِ روان‌شناختیِ کاربردی.</w:t>
      </w:r>
      <w:r>
        <w:rPr>
          <w:rtl/>
          <w:lang w:val="fa"/>
        </w:rPr>
        <w:t xml:space="preserve"> </w:t>
      </w:r>
      <w:r>
        <w:rPr>
          <w:rtl/>
          <w:lang w:val="fa"/>
        </w:rPr>
        <w:t xml:space="preserve">پیامدهای روان‌شناختیِ پیشنهادی در §۵-۵ (سه مسیرِ پیشگیری، مداخله‌ی بحرانی و توان‌بخشی)، در سطحِ مفهومی عرضه می‌شوند و نه به‌منزله‌ی پروتکل‌های آزموده‌شده.</w:t>
      </w:r>
      <w:r>
        <w:rPr>
          <w:rtl/>
          <w:lang w:val="fa"/>
        </w:rPr>
        <w:t xml:space="preserve"> </w:t>
      </w:r>
      <w:r>
        <w:rPr>
          <w:b/>
          <w:bCs/>
          <w:rtl/>
          <w:lang w:val="fa"/>
        </w:rPr>
        <w:t xml:space="preserve">افقِ دوم</w:t>
      </w:r>
      <w:r>
        <w:rPr>
          <w:rtl/>
          <w:lang w:val="fa"/>
        </w:rPr>
        <w:t xml:space="preserve">، طراحیِ کارآزماییِ بالینیِ پایلوت بر دانشجویان یا داوطلبانِ بزرگسالی است که در آن، چارچوبِ شش‌مرحله‌ایِ پیوستار به‌منزله‌ی پروتکلِ آموزشی برای خودنظمیِ هیجانی به‌کار رود؛ معیارهای سنجش می‌توانند مقیاسِ</w:t>
      </w:r>
      <w:r>
        <w:rPr>
          <w:rtl/>
          <w:lang w:val="fa"/>
        </w:rPr>
        <w:t xml:space="preserve"> </w:t>
      </w:r>
      <w:r>
        <w:rPr>
          <w:rtl/>
          <w:lang w:val="fa"/>
        </w:rPr>
        <w:t xml:space="preserve"> </w:t>
      </w:r>
      <w:r>
        <w:rPr>
          <w:rtl/>
          <w:lang w:val="fa"/>
        </w:rPr>
        <w:t xml:space="preserve">اسپیلبرگر و مقیاس‌های بازارزیابیِ-سرکوبیِ گراس (</w:t>
      </w:r>
      <w:r>
        <w:rPr>
          <w:rtl/>
          <w:lang w:val="fa"/>
        </w:rPr>
        <w:t xml:space="preserve">) باشند.</w:t>
      </w:r>
      <w:r>
        <w:rPr>
          <w:rtl/>
          <w:lang w:val="fa"/>
        </w:rPr>
        <w:t xml:space="preserve"> </w:t>
      </w:r>
      <w:r>
        <w:rPr>
          <w:b/>
          <w:bCs/>
          <w:rtl/>
          <w:lang w:val="fa"/>
        </w:rPr>
        <w:t xml:space="preserve">افقِ دوم-الف</w:t>
      </w:r>
      <w:r>
        <w:rPr>
          <w:rtl/>
          <w:lang w:val="fa"/>
        </w:rPr>
        <w:t xml:space="preserve">، توسعه‌ی این چارچوب به پیکره‌ی</w:t>
      </w:r>
      <w:r>
        <w:rPr>
          <w:rtl/>
          <w:lang w:val="fa"/>
        </w:rPr>
        <w:t xml:space="preserve"> </w:t>
      </w:r>
      <w:r>
        <w:rPr>
          <w:i/>
          <w:iCs/>
          <w:rtl/>
          <w:lang w:val="fa"/>
        </w:rPr>
        <w:t xml:space="preserve">حدیثِ شیعی-سنّی</w:t>
      </w:r>
      <w:r>
        <w:rPr>
          <w:rtl/>
          <w:lang w:val="fa"/>
        </w:rPr>
        <w:t xml:space="preserve"> </w:t>
      </w:r>
      <w:r>
        <w:rPr>
          <w:rtl/>
          <w:lang w:val="fa"/>
        </w:rPr>
        <w:t xml:space="preserve">است (نهج‌البلاغه، الکافی، صحیحَین): آیا ساختارِ شش‌مرحله‌ای در سنّتِ حدیثی هم‌سو با گفتمانِ قرآنی است یا الگوهای واگرایی نشان می‌دهد؟ این پیمایشِ بین-پیکره‌ای، می‌تواند تعمیم‌پذیریِ نظریه را در سنّتِ اسلامیِ گسترده‌تر بسنجد.</w:t>
      </w:r>
    </w:p>
    <w:p>
      <w:pPr>
        <w:bidi/>
      </w:pPr>
      <w:r>
        <w:rPr>
          <w:b/>
          <w:bCs/>
          <w:rtl/>
          <w:lang w:val="fa"/>
        </w:rPr>
        <w:t xml:space="preserve">(ج) پیمایشِ تطبیقیِ تاریخی و آزمونِ سامان‌مندِ ترجمه‌ها.</w:t>
      </w:r>
      <w:r>
        <w:rPr>
          <w:rtl/>
          <w:lang w:val="fa"/>
        </w:rPr>
        <w:t xml:space="preserve"> </w:t>
      </w:r>
      <w:r>
        <w:rPr>
          <w:rtl/>
          <w:lang w:val="fa"/>
        </w:rPr>
        <w:t xml:space="preserve">ادعای ویژه‌بودنِ آیه‌ی ۸ سوره‌ی مُلک در میراثِ بشری، در §۵-۴ به‌نحوی محتاطانه عرضه شد؛ تثبیتِ آن، نیازمندِ پیمایشِ سامان‌مند بر زبان‌های پیشامدرنِ سامی (اَکَدی، عبریِ کتابِ مقدس)، یونانی (هومری و کلاسیک)، سانسکریت (ودایی و کلاسیک) و فارسیِ کلاسیک (شعرِ خراسانی، شاهنامه) است.</w:t>
      </w:r>
      <w:r>
        <w:rPr>
          <w:rtl/>
          <w:lang w:val="fa"/>
        </w:rPr>
        <w:t xml:space="preserve"> </w:t>
      </w:r>
      <w:r>
        <w:rPr>
          <w:b/>
          <w:bCs/>
          <w:rtl/>
          <w:lang w:val="fa"/>
        </w:rPr>
        <w:t xml:space="preserve">افقِ سوم</w:t>
      </w:r>
      <w:r>
        <w:rPr>
          <w:rtl/>
          <w:lang w:val="fa"/>
        </w:rPr>
        <w:t xml:space="preserve">، طراحیِ پیمایشی است که در آن، استعاره‌های هیجانیِ خشم در پیکره‌های نمونه‌گیری‌شده‌ی هر سنّتِ زبانی-فرهنگی، با چارچوبِ چهارگامِ ظرفِ تحتِ فشار مقایسه شوند.</w:t>
      </w:r>
      <w:r>
        <w:rPr>
          <w:rtl/>
          <w:lang w:val="fa"/>
        </w:rPr>
        <w:t xml:space="preserve"> </w:t>
      </w:r>
      <w:r>
        <w:rPr>
          <w:b/>
          <w:bCs/>
          <w:rtl/>
          <w:lang w:val="fa"/>
        </w:rPr>
        <w:t xml:space="preserve">افقِ سوم-الف</w:t>
      </w:r>
      <w:r>
        <w:rPr>
          <w:rtl/>
          <w:lang w:val="fa"/>
        </w:rPr>
        <w:t xml:space="preserve">،</w:t>
      </w:r>
      <w:r>
        <w:rPr>
          <w:rtl/>
          <w:lang w:val="fa"/>
        </w:rPr>
        <w:t xml:space="preserve"> </w:t>
      </w:r>
      <w:r>
        <w:rPr>
          <w:b/>
          <w:bCs/>
          <w:rtl/>
          <w:lang w:val="fa"/>
        </w:rPr>
        <w:t xml:space="preserve">آزمونِ سامان‌مندِ ۳۰ تا ۴۰‌آیه‌ای از پنج ترجمه‌ی فارسیِ کانونی</w:t>
      </w:r>
      <w:r>
        <w:rPr>
          <w:rtl/>
          <w:lang w:val="fa"/>
        </w:rPr>
        <w:t xml:space="preserve"> </w:t>
      </w:r>
      <w:r>
        <w:rPr>
          <w:rtl/>
          <w:lang w:val="fa"/>
        </w:rPr>
        <w:t xml:space="preserve">(فولادوند، مکارم، الهی قمشه‌ای، معزّی، انصاریان) و، در صورتِ امکان، پنج ترجمه‌ی اروپایی، با کدبندیِ چندگانه و سنجشِ کاپایی است؛ هدفِ این آزمون، تثبیتِ آماریِ مشاهده‌ی مقدماتی §۴-۷ مبنی بر فروپاشیِ سامان‌مندِ تمایزاتِ شدتیِ پیوستار در ترجمه‌های موجود.</w:t>
      </w:r>
      <w:r>
        <w:rPr>
          <w:rtl/>
          <w:lang w:val="fa"/>
        </w:rPr>
        <w:t xml:space="preserve"> </w:t>
      </w:r>
      <w:r>
        <w:rPr>
          <w:b/>
          <w:bCs/>
          <w:rtl/>
          <w:lang w:val="fa"/>
        </w:rPr>
        <w:t xml:space="preserve">افقِ سوم-ب</w:t>
      </w:r>
      <w:r>
        <w:rPr>
          <w:rtl/>
          <w:lang w:val="fa"/>
        </w:rPr>
        <w:t xml:space="preserve">،</w:t>
      </w:r>
      <w:r>
        <w:rPr>
          <w:rtl/>
          <w:lang w:val="fa"/>
        </w:rPr>
        <w:t xml:space="preserve"> </w:t>
      </w:r>
      <w:r>
        <w:rPr>
          <w:b/>
          <w:bCs/>
          <w:rtl/>
          <w:lang w:val="fa"/>
        </w:rPr>
        <w:t xml:space="preserve">مدل‌سازیِ رانشِ معناشناختیِ میان‌ترجمه‌ای</w:t>
      </w:r>
      <w:r>
        <w:rPr>
          <w:rtl/>
          <w:lang w:val="fa"/>
        </w:rPr>
        <w:t xml:space="preserve"> </w:t>
      </w:r>
      <w:r>
        <w:rPr>
          <w:rtl/>
          <w:lang w:val="fa"/>
        </w:rPr>
        <w:t xml:space="preserve">(</w:t>
      </w:r>
      <w:r>
        <w:rPr>
          <w:rtl/>
          <w:lang w:val="fa"/>
        </w:rPr>
        <w:t xml:space="preserve">) با بازنمایی‌های برداریِ چندزبانی است، که می‌تواند کمیتِ از-دست-رفتگیِ معنا را در هر ترجمه به‌صورتِ عدد گزارش کند.</w:t>
      </w:r>
    </w:p>
    <w:p>
      <w:pPr>
        <w:bidi/>
      </w:pPr>
      <w:r>
        <w:rPr>
          <w:b/>
          <w:bCs/>
          <w:rtl/>
          <w:lang w:val="fa"/>
        </w:rPr>
        <w:t xml:space="preserve">(د) چشم‌اندازِ آزمون‌های آماریِ تکمیلیِ پیکره.</w:t>
      </w:r>
      <w:r>
        <w:rPr>
          <w:rtl/>
          <w:lang w:val="fa"/>
        </w:rPr>
        <w:t xml:space="preserve"> </w:t>
      </w:r>
      <w:r>
        <w:rPr>
          <w:rtl/>
          <w:lang w:val="fa"/>
        </w:rPr>
        <w:t xml:space="preserve">دو آزمونِ پیکره‌ای-روش‌شناختی نیز در دستورِ کارِ نسخه‌های بعدیِ این برنامه است:</w:t>
      </w:r>
      <w:r>
        <w:rPr>
          <w:rtl/>
          <w:lang w:val="fa"/>
        </w:rPr>
        <w:t xml:space="preserve"> </w:t>
      </w:r>
      <w:r>
        <w:rPr>
          <w:b/>
          <w:bCs/>
          <w:rtl/>
          <w:lang w:val="fa"/>
        </w:rPr>
        <w:t xml:space="preserve">آزمونِ روندِ زمانیِ نُلدِکه‌ای</w:t>
      </w:r>
      <w:r>
        <w:rPr>
          <w:rtl/>
          <w:lang w:val="fa"/>
        </w:rPr>
        <w:t xml:space="preserve"> </w:t>
      </w:r>
      <w:r>
        <w:rPr>
          <w:rtl/>
          <w:lang w:val="fa"/>
        </w:rPr>
        <w:t xml:space="preserve">بر پیوستار، با مرتب‌سازیِ مجموعه‌ی ۳۱۲ بسامد بر گاه‌شماریِ نُلدِکه-بِل و سنجشِ افزایش/کاهشِ نسبیِ مرحله‌ها در طولِ زمانِ نزول؛ و</w:t>
      </w:r>
      <w:r>
        <w:rPr>
          <w:rtl/>
          <w:lang w:val="fa"/>
        </w:rPr>
        <w:t xml:space="preserve"> </w:t>
      </w:r>
      <w:r>
        <w:rPr>
          <w:b/>
          <w:bCs/>
          <w:rtl/>
          <w:lang w:val="fa"/>
        </w:rPr>
        <w:t xml:space="preserve">بازساختِ شبکه‌ی هم‌رخدادگیری با وزنِ</w:t>
      </w:r>
      <w:r>
        <w:rPr>
          <w:b/>
          <w:bCs/>
          <w:rtl/>
          <w:lang w:val="fa"/>
        </w:rPr>
        <w:t xml:space="preserve"> </w:t>
      </w:r>
      <w:r>
        <w:rPr>
          <w:rtl/>
          <w:lang w:val="fa"/>
        </w:rPr>
        <w:t xml:space="preserve"> </w:t>
      </w:r>
      <w:r>
        <w:rPr>
          <w:rtl/>
          <w:lang w:val="fa"/>
        </w:rPr>
        <w:t xml:space="preserve">(اطلاعاتِ متقابلِ نقطه‌ای) به‌جای شمارشِ خام، که می‌تواند گره‌های پلیِ بنیادی‌تر را در برابرِ هم‌نشینی‌های تصادفی برجسته کند.</w:t>
      </w:r>
    </w:p>
    <w:p>
      <w:pPr>
        <w:bidi/>
      </w:pPr>
      <w:r>
        <w:rPr>
          <w:rtl/>
          <w:lang w:val="fa"/>
        </w:rPr>
        <w:t xml:space="preserve">پیمایشِ این چهار جهت، در مجموع،</w:t>
      </w:r>
      <w:r>
        <w:rPr>
          <w:rtl/>
          <w:lang w:val="fa"/>
        </w:rPr>
        <w:t xml:space="preserve"> </w:t>
      </w:r>
      <w:r>
        <w:rPr>
          <w:b/>
          <w:bCs/>
          <w:rtl/>
          <w:lang w:val="fa"/>
        </w:rPr>
        <w:t xml:space="preserve">برنامه‌ی پژوهشیِ میان‌مدت</w:t>
      </w:r>
      <w:r>
        <w:rPr>
          <w:rtl/>
          <w:lang w:val="fa"/>
        </w:rPr>
        <w:t xml:space="preserve"> </w:t>
      </w:r>
      <w:r>
        <w:rPr>
          <w:rtl/>
          <w:lang w:val="fa"/>
        </w:rPr>
        <w:t xml:space="preserve">را برای امتدادِ پیوستارِ خشمِ قرآنی به سطحِ گفتمانی-روایتی، بالینی-روان‌شناختی، بین‌زبانی-تاریخی و محاسباتی-آماری ترسیم می‌کند.</w:t>
      </w:r>
    </w:p>
    <w:bookmarkEnd w:id="81"/>
    <w:bookmarkStart w:id="82"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82"/>
    <w:bookmarkEnd w:id="83"/>
    <w:bookmarkStart w:id="87" w:name="فهرست-منابع"/>
    <w:p>
      <w:pPr>
        <w:pStyle w:val="Heading2"/>
        <w:bidi/>
      </w:pPr>
      <w:r>
        <w:rPr>
          <w:rtl/>
          <w:lang w:val="fa"/>
        </w:rPr>
        <w:t xml:space="preserve">فهرست منابع</w:t>
      </w:r>
    </w:p>
    <w:bookmarkStart w:id="84"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کثیر، اسماعیل بن عمر الدمشقي. (۱۴۱۹ ق / ۱۹۹۹ م).</w:t>
      </w:r>
      <w:r>
        <w:rPr>
          <w:rtl/>
          <w:lang w:val="fa"/>
        </w:rPr>
        <w:t xml:space="preserve"> </w:t>
      </w:r>
      <w:r>
        <w:rPr>
          <w:i/>
          <w:iCs/>
          <w:rtl/>
          <w:lang w:val="fa"/>
        </w:rPr>
        <w:t xml:space="preserve">تفسير القرآن العظيم</w:t>
      </w:r>
      <w:r>
        <w:rPr>
          <w:rtl/>
          <w:lang w:val="fa"/>
        </w:rPr>
        <w:t xml:space="preserve"> </w:t>
      </w:r>
      <w:r>
        <w:rPr>
          <w:rtl/>
          <w:lang w:val="fa"/>
        </w:rPr>
        <w:t xml:space="preserve">(۸ مجلد). تحقیق سامي بن محمد السلامة. الریاض: دار طیبة للنشر و التوزیع.</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رشید رضا، محمد. (۱۳۶۶ ق / ۱۹۴۷ م).</w:t>
      </w:r>
      <w:r>
        <w:rPr>
          <w:rtl/>
          <w:lang w:val="fa"/>
        </w:rPr>
        <w:t xml:space="preserve"> </w:t>
      </w:r>
      <w:r>
        <w:rPr>
          <w:i/>
          <w:iCs/>
          <w:rtl/>
          <w:lang w:val="fa"/>
        </w:rPr>
        <w:t xml:space="preserve">تفسير القرآن الحكيم (تفسير المنار)</w:t>
      </w:r>
      <w:r>
        <w:rPr>
          <w:rtl/>
          <w:lang w:val="fa"/>
        </w:rPr>
        <w:t xml:space="preserve"> </w:t>
      </w:r>
      <w:r>
        <w:rPr>
          <w:rtl/>
          <w:lang w:val="fa"/>
        </w:rPr>
        <w:t xml:space="preserve">(۱۲ مجلد). القاهرة: دار المنار.</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سیّد قطب، إبراهیم حسین الشاذلي. (۱۴۰۲ ق / ۱۹۸۲ م).</w:t>
      </w:r>
      <w:r>
        <w:rPr>
          <w:rtl/>
          <w:lang w:val="fa"/>
        </w:rPr>
        <w:t xml:space="preserve"> </w:t>
      </w:r>
      <w:r>
        <w:rPr>
          <w:i/>
          <w:iCs/>
          <w:rtl/>
          <w:lang w:val="fa"/>
        </w:rPr>
        <w:t xml:space="preserve">في ظلال القرآن</w:t>
      </w:r>
      <w:r>
        <w:rPr>
          <w:rtl/>
          <w:lang w:val="fa"/>
        </w:rPr>
        <w:t xml:space="preserve"> </w:t>
      </w:r>
      <w:r>
        <w:rPr>
          <w:rtl/>
          <w:lang w:val="fa"/>
        </w:rPr>
        <w:t xml:space="preserve">(۶ مجلد). بیروت و القاهرة: دار الشروق.</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الطبري، محمد بن جریر. (۱۴۲۰ ق / ۲۰۰۰ م).</w:t>
      </w:r>
      <w:r>
        <w:rPr>
          <w:rtl/>
          <w:lang w:val="fa"/>
        </w:rPr>
        <w:t xml:space="preserve"> </w:t>
      </w:r>
      <w:r>
        <w:rPr>
          <w:i/>
          <w:iCs/>
          <w:rtl/>
          <w:lang w:val="fa"/>
        </w:rPr>
        <w:t xml:space="preserve">جامع البيان عن تأويل آي القرآن</w:t>
      </w:r>
      <w:r>
        <w:rPr>
          <w:rtl/>
          <w:lang w:val="fa"/>
        </w:rPr>
        <w:t xml:space="preserve"> </w:t>
      </w:r>
      <w:r>
        <w:rPr>
          <w:rtl/>
          <w:lang w:val="fa"/>
        </w:rPr>
        <w:t xml:space="preserve">(۲۴ مجلد). تحقیق أحمد محمد شاکر. بیروت: مؤسسة الرسالة.</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القرطبي، محمد بن أحمد. (۱۹۶۴ م).</w:t>
      </w:r>
      <w:r>
        <w:rPr>
          <w:rtl/>
          <w:lang w:val="fa"/>
        </w:rPr>
        <w:t xml:space="preserve"> </w:t>
      </w:r>
      <w:r>
        <w:rPr>
          <w:i/>
          <w:iCs/>
          <w:rtl/>
          <w:lang w:val="fa"/>
        </w:rPr>
        <w:t xml:space="preserve">الجامع لأحكام القرآن</w:t>
      </w:r>
      <w:r>
        <w:rPr>
          <w:rtl/>
          <w:lang w:val="fa"/>
        </w:rPr>
        <w:t xml:space="preserve"> </w:t>
      </w:r>
      <w:r>
        <w:rPr>
          <w:rtl/>
          <w:lang w:val="fa"/>
        </w:rPr>
        <w:t xml:space="preserve">(۲۰ مجلد). القاهرة: دار الکتب المصرية.</w:t>
      </w:r>
    </w:p>
    <w:p>
      <w:pPr>
        <w:pStyle w:val="Compact"/>
        <w:numPr>
          <w:ilvl w:val="0"/>
          <w:numId w:val="1002"/>
        </w:numPr>
        <w:bidi/>
      </w:pPr>
      <w:r>
        <w:rPr>
          <w:rtl/>
          <w:lang w:val="fa"/>
        </w:rPr>
        <w:t xml:space="preserve">القشیري، عبد الکریم بن هوازن. (۲۰۰۰ م).</w:t>
      </w:r>
      <w:r>
        <w:rPr>
          <w:rtl/>
          <w:lang w:val="fa"/>
        </w:rPr>
        <w:t xml:space="preserve"> </w:t>
      </w:r>
      <w:r>
        <w:rPr>
          <w:i/>
          <w:iCs/>
          <w:rtl/>
          <w:lang w:val="fa"/>
        </w:rPr>
        <w:t xml:space="preserve">لطائف الإشارات</w:t>
      </w:r>
      <w:r>
        <w:rPr>
          <w:rtl/>
          <w:lang w:val="fa"/>
        </w:rPr>
        <w:t xml:space="preserve"> </w:t>
      </w:r>
      <w:r>
        <w:rPr>
          <w:rtl/>
          <w:lang w:val="fa"/>
        </w:rPr>
        <w:t xml:space="preserve">(۶ مجلد). تحقیق إبراهیم البسيوني. القاهرة: الهيئة المصرية العامة للکتاب.</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84"/>
    <w:bookmarkStart w:id="85"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85"/>
    <w:bookmarkStart w:id="86" w:name="ج-منابع-انگلیسی"/>
    <w:p>
      <w:pPr>
        <w:pStyle w:val="Heading3"/>
        <w:bidi/>
      </w:pPr>
      <w:r>
        <w:rPr>
          <w:rtl/>
          <w:lang w:val="fa"/>
        </w:rPr>
        <w:t xml:space="preserve">ج) منابع انگلیسی</w:t>
      </w:r>
    </w:p>
    <w:p>
      <w:r>
        <w:pict>
          <v:rect style="width:0;height:1.5pt" o:hralign="center" o:hrstd="t" o:hr="t"/>
        </w:pict>
      </w:r>
    </w:p>
    <w:bookmarkEnd w:id="86"/>
    <w:bookmarkEnd w:id="87"/>
    <w:bookmarkStart w:id="89"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88">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jpg" /><Relationship Type="http://schemas.openxmlformats.org/officeDocument/2006/relationships/image" Id="rId23" Target="media/rId23.jp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74" Target="media/rId74.png" /><Relationship Type="http://schemas.openxmlformats.org/officeDocument/2006/relationships/image" Id="rId64" Target="media/rId64.png" /><Relationship Type="http://schemas.openxmlformats.org/officeDocument/2006/relationships/image" Id="rId31" Target="media/rId31.jpg" /><Relationship Type="http://schemas.openxmlformats.org/officeDocument/2006/relationships/hyperlink" Id="rId8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2026-05-13T11:30:05Z</dcterms:created>
  <dcterms:modified xsi:type="dcterms:W3CDTF">2026-05-13T11:30:05Z</dcterms:modified>
</cp:coreProperties>
</file>

<file path=docProps/custom.xml><?xml version="1.0" encoding="utf-8"?>
<Properties xmlns="http://schemas.openxmlformats.org/officeDocument/2006/custom-properties" xmlns:vt="http://schemas.openxmlformats.org/officeDocument/2006/docPropsVTypes"/>
</file>