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پروندهی-تکمیلی-الکترونیکی"/>
    <w:p>
      <w:pPr>
        <w:pStyle w:val="Heading1"/>
        <w:bidi/>
      </w:pPr>
      <w:r>
        <w:rPr>
          <w:rFonts w:ascii="Times New Roman" w:hAnsi="Times New Roman" w:cs="B Lotus"/>
          <w:rtl/>
          <w:lang w:val="fa"/>
        </w:rPr>
        <w:t xml:space="preserve">پرونده‌ی تکمیلیِ الکترونیکی</w:t>
      </w:r>
    </w:p>
    <w:bookmarkStart w:id="21" w:name="اوج-طیف-خشم-در-قرآن-کریم-شکلهای-تکمیلی"/>
    <w:p>
      <w:pPr>
        <w:pStyle w:val="Heading2"/>
        <w:bidi/>
      </w:pPr>
      <w:r>
        <w:rPr>
          <w:rFonts w:ascii="Times New Roman" w:hAnsi="Times New Roman" w:cs="B Lotus"/>
          <w:rtl/>
          <w:lang w:val="fa"/>
        </w:rPr>
        <w:t xml:space="preserve">اوجِ طیفِ خشم در قرآن کریم — شکل‌های تکمیلی</w:t>
      </w:r>
    </w:p>
    <w:p>
      <w:pPr>
        <w:bidi/>
        <w:jc w:val="both"/>
      </w:pPr>
      <w:r>
        <w:rPr>
          <w:rFonts w:ascii="Times New Roman" w:hAnsi="Times New Roman" w:cs="B Lotus"/>
          <w:rtl/>
          <w:lang w:val="fa"/>
        </w:rPr>
        <w:t xml:space="preserve">این پرونده شامل چهار شکلِ تکمیلیِ مقاله است (شکل‌های ۲، ۶، ۷ و ۹). شماره‌گذاری مطابقِ متنِ اصلیِ مقاله نگاه داشته شده است تا ارجاع‌های درون‌متنی (مانندِ «نک. شکلِ ۲») مستقیماً به همین شکل‌ها اشاره کنند.</w:t>
      </w:r>
    </w:p>
    <w:p>
      <w:pPr>
        <w:pStyle w:val="CaptionedFigure"/>
        <w:bidi/>
      </w:pPr>
      <w:r>
        <w:rPr>
          <w:rFonts w:ascii="Times New Roman" w:hAnsi="Times New Roman" w:cs="B Lotus"/>
        </w:rPr>
        <w:drawing>
          <wp:inline>
            <wp:extent cx="3292602" cy="2540007"/>
            <wp:effectExtent b="0" l="0" r="0" t="0"/>
            <wp:docPr descr="شکلِ ۲. شجره‌ی نظریِ پژوهش‌های قرآنیِ شناختی-معناشناسیِ ایرانی، از ایزوتسو (۱۳۳۸ ش) تا پژوهشِ حاضر (۱۴۰۵ ش)؛ شش گرهِ کانونی و سه افزوده‌ی نظریِ این پژوهش." title="" id="10" name="Picture"/>
            <a:graphic>
              <a:graphicData uri="http://schemas.openxmlformats.org/drawingml/2006/picture">
                <pic:pic>
                  <pic:nvPicPr>
                    <pic:cNvPr descr="fig10_genealog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602" cy="2540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Fonts w:ascii="Times New Roman" w:hAnsi="Times New Roman" w:cs="B Lotus"/>
          <w:b/>
          <w:bCs/>
          <w:rtl/>
          <w:lang w:val="fa"/>
        </w:rPr>
        <w:t xml:space="preserve">شکلِ ۲.</w:t>
      </w:r>
      <w:r>
        <w:rPr>
          <w:rFonts w:ascii="Times New Roman" w:hAnsi="Times New Roman" w:cs="B Lotus"/>
          <w:rtl/>
          <w:lang w:val="fa"/>
        </w:rPr>
        <w:t xml:space="preserve"> </w:t>
      </w:r>
      <w:r>
        <w:rPr>
          <w:rFonts w:ascii="Times New Roman" w:hAnsi="Times New Roman" w:cs="B Lotus"/>
          <w:rtl/>
          <w:lang w:val="fa"/>
        </w:rPr>
        <w:t xml:space="preserve">شجره‌ی نظریِ پژوهش‌های قرآنیِ شناختی-معناشناسیِ ایرانی، از ایزوتسو (۱۳۳۸ ش) تا پژوهشِ حاضر (۱۴۰۵ ش)؛ شش گرهِ کانونی و سه افزوده‌ی نظریِ این پژوهش.</w:t>
      </w:r>
    </w:p>
    <w:p>
      <w:pPr>
        <w:pStyle w:val="CaptionedFigure"/>
        <w:bidi/>
      </w:pPr>
      <w:r>
        <w:rPr>
          <w:rFonts w:ascii="Times New Roman" w:hAnsi="Times New Roman" w:cs="B Lotus"/>
        </w:rPr>
        <w:drawing>
          <wp:inline>
            <wp:extent cx="3292602" cy="1347928"/>
            <wp:effectExtent b="0" l="0" r="0" t="0"/>
            <wp:docPr descr="شکلِ ۶. پروفایلِ ریخت‌شناختیِ ۱۴ ریشه به‌تفکیکِ جزءِ سخن. مراحلِ ۱ و ۲ غالباً فعلی‌اند (حُزن ۸۸٪)؛ مرحله‌ی ۴ بیشتر اسمی (غضب: ۱۶ اسم / ۶ فعل)؛ مرحله‌ی ۶ بیشترین اسمی‌شدگی را دارد — تثبیتِ پیامدها در حکمِ ویژگیِ پایدار، نه فرآیندِ گذرا." title="" id="13" name="Picture"/>
            <a:graphic>
              <a:graphicData uri="http://schemas.openxmlformats.org/drawingml/2006/picture">
                <pic:pic>
                  <pic:nvPicPr>
                    <pic:cNvPr descr="fig5_morphology_stack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602" cy="1347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Fonts w:ascii="Times New Roman" w:hAnsi="Times New Roman" w:cs="B Lotus"/>
          <w:b/>
          <w:bCs/>
          <w:rtl/>
          <w:lang w:val="fa"/>
        </w:rPr>
        <w:t xml:space="preserve">شکلِ ۶.</w:t>
      </w:r>
      <w:r>
        <w:rPr>
          <w:rFonts w:ascii="Times New Roman" w:hAnsi="Times New Roman" w:cs="B Lotus"/>
          <w:rtl/>
          <w:lang w:val="fa"/>
        </w:rPr>
        <w:t xml:space="preserve"> </w:t>
      </w:r>
      <w:r>
        <w:rPr>
          <w:rFonts w:ascii="Times New Roman" w:hAnsi="Times New Roman" w:cs="B Lotus"/>
          <w:rtl/>
          <w:lang w:val="fa"/>
        </w:rPr>
        <w:t xml:space="preserve">پروفایلِ ریخت‌شناختیِ ۱۴ ریشه به‌تفکیکِ جزءِ سخن. مراحلِ ۱ و ۲ غالباً فعلی‌اند (حُزن ۸۸٪)؛ مرحله‌ی ۴ بیشتر اسمی (غضب: ۱۶ اسم / ۶ فعل)؛ مرحله‌ی ۶ بیشترین اسمی‌شدگی را دارد — تثبیتِ پیامدها در حکمِ ویژگیِ پایدار، نه فرآیندِ گذرا.</w:t>
      </w:r>
    </w:p>
    <w:p>
      <w:pPr>
        <w:pStyle w:val="CaptionedFigure"/>
        <w:bidi/>
      </w:pPr>
      <w:r>
        <w:rPr>
          <w:rFonts w:ascii="Times New Roman" w:hAnsi="Times New Roman" w:cs="B Lotus"/>
        </w:rPr>
        <w:drawing>
          <wp:inline>
            <wp:extent cx="3292602" cy="1099817"/>
            <wp:effectExtent b="0" l="0" r="0" t="0"/>
            <wp:docPr descr="شکلِ ۷. سه سنجه‌ی مرکزیت بر شبکه‌ی هم‌رخدادگیری: (الف) درجه‌ی وزن‌دار، (ب) بینابینی، (ج) نزدیکی. بَغی بالاترین مرکزیتِ نزدیکی را دارد (۰٫۵۵) و در بینابینی با غضب و أَسَف هم‌رتبه است. ضِیق و حُزن نیز نزدیکیِ بالایی نشان می‌دهند — خوشه‌ی فشارِ درونی از حیثِ ساختار، مرکزی است. مرکزیتِ نزدیکی سنجه‌ی اصلیِ این‌جاست؛ مرکزیتِ بینابینی به‌سببِ فاصله‌ی اطمینانِ صفر-شامل برای همه‌ی گره‌ها صرفاً تصویرگرانه است." title="" id="16" name="Picture"/>
            <a:graphic>
              <a:graphicData uri="http://schemas.openxmlformats.org/drawingml/2006/picture">
                <pic:pic>
                  <pic:nvPicPr>
                    <pic:cNvPr descr="fig7_centrality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602" cy="1099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Fonts w:ascii="Times New Roman" w:hAnsi="Times New Roman" w:cs="B Lotus"/>
          <w:b/>
          <w:bCs/>
          <w:rtl/>
          <w:lang w:val="fa"/>
        </w:rPr>
        <w:t xml:space="preserve">شکلِ ۷.</w:t>
      </w:r>
      <w:r>
        <w:rPr>
          <w:rFonts w:ascii="Times New Roman" w:hAnsi="Times New Roman" w:cs="B Lotus"/>
          <w:rtl/>
          <w:lang w:val="fa"/>
        </w:rPr>
        <w:t xml:space="preserve"> </w:t>
      </w:r>
      <w:r>
        <w:rPr>
          <w:rFonts w:ascii="Times New Roman" w:hAnsi="Times New Roman" w:cs="B Lotus"/>
          <w:rtl/>
          <w:lang w:val="fa"/>
        </w:rPr>
        <w:t xml:space="preserve">سه سنجه‌ی مرکزیت بر شبکه‌ی هم‌رخدادگیری: (الف) درجه‌ی وزن‌دار، (ب) بینابینی، (ج) نزدیکی. بَغی بالاترین مرکزیتِ نزدیکی را دارد (۰٫۵۵) و در بینابینی با غضب و أَسَف هم‌رتبه است. ضِیق و حُزن نیز نزدیکیِ بالایی نشان می‌دهند — خوشه‌ی فشارِ درونی از حیثِ ساختار، مرکزی است. مرکزیتِ نزدیکی سنجه‌ی اصلیِ این‌جاست؛ مرکزیتِ بینابینی به‌سببِ فاصله‌ی اطمینانِ صفر-شامل برای همه‌ی گره‌ها صرفاً تصویرگرانه است.</w:t>
      </w:r>
    </w:p>
    <w:p>
      <w:pPr>
        <w:pStyle w:val="CaptionedFigure"/>
        <w:bidi/>
      </w:pPr>
      <w:r>
        <w:rPr>
          <w:rFonts w:ascii="Times New Roman" w:hAnsi="Times New Roman" w:cs="B Lotus"/>
        </w:rPr>
        <w:drawing>
          <wp:inline>
            <wp:extent cx="3292602" cy="2079210"/>
            <wp:effectExtent b="0" l="0" r="0" t="0"/>
            <wp:docPr descr="شکلِ ۹. شبکه‌ی هم‌رخدادگیریِ آیه‌ایِ ۱۴ ریشه. وزنِ یال = شمارِ آیاتِ مشترک. قوی‌ترین یال: حُزن—ضِیق (۳). بَغی به‌عنوانِ گرهِ میانجی، خشم را به ارزیابیِ اخلاقیِ گسترده‌تر پیوند می‌دهد (نک. بندِ ۵-۶-۱)." title="" id="19" name="Picture"/>
            <a:graphic>
              <a:graphicData uri="http://schemas.openxmlformats.org/drawingml/2006/picture">
                <pic:pic>
                  <pic:nvPicPr>
                    <pic:cNvPr descr="fig4_cooccurrenc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602" cy="2079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Fonts w:ascii="Times New Roman" w:hAnsi="Times New Roman" w:cs="B Lotus"/>
          <w:b/>
          <w:bCs/>
          <w:rtl/>
          <w:lang w:val="fa"/>
        </w:rPr>
        <w:t xml:space="preserve">شکلِ ۹.</w:t>
      </w:r>
      <w:r>
        <w:rPr>
          <w:rFonts w:ascii="Times New Roman" w:hAnsi="Times New Roman" w:cs="B Lotus"/>
          <w:rtl/>
          <w:lang w:val="fa"/>
        </w:rPr>
        <w:t xml:space="preserve"> </w:t>
      </w:r>
      <w:r>
        <w:rPr>
          <w:rFonts w:ascii="Times New Roman" w:hAnsi="Times New Roman" w:cs="B Lotus"/>
          <w:rtl/>
          <w:lang w:val="fa"/>
        </w:rPr>
        <w:t xml:space="preserve">شبکه‌ی هم‌رخدادگیریِ آیه‌ایِ ۱۴ ریشه. وزنِ یال = شمارِ آیاتِ مشترک. قوی‌ترین یال: حُزن—ضِیق (۳). بَغی به‌عنوانِ گرهِ میانجی، خشم را به ارزیابیِ اخلاقیِ گسترده‌تر پیوند می‌دهد (نک. بندِ ۵-۶-۱).</w:t>
      </w:r>
    </w:p>
    <w:bookmarkEnd w:id="21"/>
    <w:bookmarkEnd w:id="22"/>
    <w:sectPr>
      <w:pgSz w:h="16838" w:w="11906"/>
      <w:pgMar w:bottom="1474" w:left="1474" w:right="1474" w:top="1474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24" w:lineRule="auto"/>
      <w:ind w:firstLine="283"/>
      <w:jc w:val="both"/>
      <w:bidi/>
    </w:pPr>
    <w:rPr>
      <w:rFonts w:ascii="Times New Roman" w:cs="B Lotus" w:hAnsi="Times New Roman"/>
      <w:sz w:val="24"/>
      <w:szCs w:val="26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00"/>
      <w:jc w:val="right"/>
      <w:outlineLvl w:val="0"/>
      <w:bidi/>
    </w:pPr>
    <w:rPr>
      <w:rFonts w:ascii="B Lotus" w:asciiTheme="majorHAnsi" w:cs="B Lotus" w:cstheme="majorBidi" w:eastAsiaTheme="majorEastAsia" w:hAnsi="B Lotus" w:hAnsiTheme="majorHAnsi"/>
      <w:b/>
      <w:color w:themeColor="accent1" w:themeShade="BF" w:val="0F4761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jc w:val="right"/>
      <w:outlineLvl w:val="1"/>
      <w:bidi/>
    </w:pPr>
    <w:rPr>
      <w:rFonts w:ascii="B Lotus" w:asciiTheme="majorHAnsi" w:cs="B Lotus" w:cstheme="majorBidi" w:eastAsiaTheme="majorEastAsia" w:hAnsi="B Lotus" w:hAnsiTheme="majorHAnsi"/>
      <w:b/>
      <w:color w:themeColor="accent1" w:themeShade="BF" w:val="0F4761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jc w:val="right"/>
      <w:outlineLvl w:val="2"/>
      <w:bidi/>
    </w:pPr>
    <w:rPr>
      <w:rFonts w:ascii="B Lotus" w:cs="B Lotus" w:cstheme="majorBidi" w:eastAsiaTheme="majorEastAsia" w:hAnsi="B Lotus"/>
      <w:b/>
      <w:color w:themeColor="accent1" w:themeShade="BF" w:val="0F4761"/>
      <w:sz w:val="25"/>
      <w:szCs w:val="25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jc w:val="right"/>
      <w:outlineLvl w:val="3"/>
      <w:bidi/>
    </w:pPr>
    <w:rPr>
      <w:rFonts w:ascii="B Lotus" w:cs="B Lotus" w:cstheme="majorBidi" w:eastAsiaTheme="majorEastAsia" w:hAnsi="B Lotus"/>
      <w:b/>
      <w:i/>
      <w:iCs/>
      <w:color w:themeColor="accent1" w:themeShade="BF" w:val="0F4761"/>
      <w:sz w:val="23"/>
      <w:szCs w:val="23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  <w:bidi/>
    </w:pPr>
    <w:rPr>
      <w:rFonts w:cs="B Lotus"/>
      <w:rFonts w:ascii="B Lotus" w:hAnsi="B Lotus"/>
      <w:i w:val="0"/>
      <w:sz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image" Target="media/rId18.png"/><Relationship Id="rId12" Type="http://schemas.openxmlformats.org/officeDocument/2006/relationships/image" Target="media/rId12.png"/><Relationship Id="rId15" Type="http://schemas.openxmlformats.org/officeDocument/2006/relationships/image" Target="media/rId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2026-06-01T12:04:32Z</dcterms:created>
  <dcterms:modified xsi:type="dcterms:W3CDTF">2026-06-01T12:04:32Z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