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D6EDC" w14:textId="321C6BA3" w:rsidR="00C90DF8" w:rsidRPr="00AD3266" w:rsidRDefault="00C90DF8" w:rsidP="00C90DF8">
      <w:pPr>
        <w:pStyle w:val="NormalWeb"/>
        <w:shd w:val="clear" w:color="auto" w:fill="FFFFFF"/>
        <w:spacing w:after="0"/>
        <w:ind w:firstLine="720"/>
        <w:jc w:val="center"/>
        <w:rPr>
          <w:rFonts w:asciiTheme="minorHAnsi" w:hAnsiTheme="minorHAnsi" w:cstheme="minorHAnsi"/>
          <w:b/>
          <w:bCs/>
          <w:color w:val="333333"/>
        </w:rPr>
      </w:pPr>
      <w:r w:rsidRPr="00AD3266">
        <w:rPr>
          <w:rFonts w:asciiTheme="minorHAnsi" w:hAnsiTheme="minorHAnsi" w:cstheme="minorHAnsi"/>
          <w:b/>
          <w:bCs/>
          <w:color w:val="333333"/>
        </w:rPr>
        <w:t>Reflection Paper: Telecommunication’s Churn Data</w:t>
      </w:r>
    </w:p>
    <w:p w14:paraId="499EB07A" w14:textId="2D63CA70" w:rsidR="002E4CFC" w:rsidRPr="00AD3266" w:rsidRDefault="002E4CFC" w:rsidP="00AC7FE8">
      <w:pPr>
        <w:pStyle w:val="NormalWeb"/>
        <w:shd w:val="clear" w:color="auto" w:fill="FFFFFF"/>
        <w:spacing w:after="0" w:line="480" w:lineRule="auto"/>
        <w:ind w:firstLine="720"/>
        <w:rPr>
          <w:rFonts w:asciiTheme="minorHAnsi" w:hAnsiTheme="minorHAnsi" w:cstheme="minorHAnsi"/>
          <w:color w:val="333333"/>
        </w:rPr>
      </w:pPr>
      <w:r w:rsidRPr="00AD3266">
        <w:rPr>
          <w:rFonts w:asciiTheme="minorHAnsi" w:hAnsiTheme="minorHAnsi" w:cstheme="minorHAnsi"/>
          <w:color w:val="333333"/>
        </w:rPr>
        <w:t xml:space="preserve">This paper aims to show data analytics by using the customer churn rate for the telecommunication industry. I will be performing these analyses by utilising captured information provided by the project and another from an external source downloaded from Kaggle. These analyses will be performed by understanding the raw data, creating dimensions, creating </w:t>
      </w:r>
      <w:r w:rsidR="00B77C69">
        <w:rPr>
          <w:rFonts w:asciiTheme="minorHAnsi" w:hAnsiTheme="minorHAnsi" w:cstheme="minorHAnsi"/>
          <w:color w:val="333333"/>
        </w:rPr>
        <w:t>visualisations</w:t>
      </w:r>
      <w:r w:rsidRPr="00AD3266">
        <w:rPr>
          <w:rFonts w:asciiTheme="minorHAnsi" w:hAnsiTheme="minorHAnsi" w:cstheme="minorHAnsi"/>
          <w:color w:val="333333"/>
        </w:rPr>
        <w:t xml:space="preserve"> that will provide business stakeholders insights into how to decrease the churn rate market </w:t>
      </w:r>
      <w:r w:rsidR="00B77C69">
        <w:rPr>
          <w:rFonts w:asciiTheme="minorHAnsi" w:hAnsiTheme="minorHAnsi" w:cstheme="minorHAnsi"/>
          <w:color w:val="333333"/>
        </w:rPr>
        <w:t>utilisation</w:t>
      </w:r>
      <w:r w:rsidRPr="00AD3266">
        <w:rPr>
          <w:rFonts w:asciiTheme="minorHAnsi" w:hAnsiTheme="minorHAnsi" w:cstheme="minorHAnsi"/>
          <w:color w:val="333333"/>
        </w:rPr>
        <w:t xml:space="preserve"> and increase profit for the company.</w:t>
      </w:r>
    </w:p>
    <w:p w14:paraId="592A69BF" w14:textId="61D457A2" w:rsidR="002E4CFC" w:rsidRPr="00AD3266" w:rsidRDefault="002E4CFC" w:rsidP="00AC7FE8">
      <w:pPr>
        <w:pStyle w:val="NormalWeb"/>
        <w:shd w:val="clear" w:color="auto" w:fill="FFFFFF"/>
        <w:spacing w:after="0" w:line="480" w:lineRule="auto"/>
        <w:ind w:firstLine="720"/>
        <w:rPr>
          <w:rFonts w:asciiTheme="minorHAnsi" w:hAnsiTheme="minorHAnsi" w:cstheme="minorHAnsi"/>
          <w:color w:val="333333"/>
        </w:rPr>
      </w:pPr>
      <w:r w:rsidRPr="00AD3266">
        <w:rPr>
          <w:rFonts w:asciiTheme="minorHAnsi" w:hAnsiTheme="minorHAnsi" w:cstheme="minorHAnsi"/>
          <w:color w:val="333333"/>
        </w:rPr>
        <w:t xml:space="preserve">The dashboards in Tableau are designed to answer specific questions laid out in the associated data dictionary. They </w:t>
      </w:r>
      <w:r w:rsidR="00C90DF8" w:rsidRPr="00AD3266">
        <w:rPr>
          <w:rFonts w:asciiTheme="minorHAnsi" w:hAnsiTheme="minorHAnsi" w:cstheme="minorHAnsi"/>
          <w:color w:val="333333"/>
        </w:rPr>
        <w:t>analysed</w:t>
      </w:r>
      <w:r w:rsidRPr="00AD3266">
        <w:rPr>
          <w:rFonts w:asciiTheme="minorHAnsi" w:hAnsiTheme="minorHAnsi" w:cstheme="minorHAnsi"/>
          <w:color w:val="333333"/>
        </w:rPr>
        <w:t xml:space="preserve"> the data to identify trends related to the churn rate of customers to show differences on who is most likely to churn between gender? Whether the price of ownership goes high or low depending upon where the client lives? And does the customer who has been with the company tend to stay? It also compares the metric with a secondary data set to provide another perspective. It is important to answer these questions as they help business stakeholders and decision-makers adjust the process and policies accordingly.</w:t>
      </w:r>
    </w:p>
    <w:p w14:paraId="4D776001" w14:textId="77777777" w:rsidR="002E4CFC" w:rsidRPr="00AD3266" w:rsidRDefault="002E4CFC" w:rsidP="00AC7FE8">
      <w:pPr>
        <w:pStyle w:val="NormalWeb"/>
        <w:shd w:val="clear" w:color="auto" w:fill="FFFFFF"/>
        <w:spacing w:after="0" w:line="480" w:lineRule="auto"/>
        <w:ind w:firstLine="720"/>
        <w:rPr>
          <w:rFonts w:asciiTheme="minorHAnsi" w:hAnsiTheme="minorHAnsi" w:cstheme="minorHAnsi"/>
          <w:color w:val="333333"/>
        </w:rPr>
      </w:pPr>
      <w:r w:rsidRPr="00AD3266">
        <w:rPr>
          <w:rFonts w:asciiTheme="minorHAnsi" w:hAnsiTheme="minorHAnsi" w:cstheme="minorHAnsi"/>
          <w:color w:val="333333"/>
        </w:rPr>
        <w:t>The external data set was sourced from the Kaggle website with a couple of things in mind. First, the data set must be captured from a different source than the data provided by WGU to provide a different perspective to the business. In a way, it helps validates our baseline captured from the first data set. Second, it provides validity to the proposed suggestions.</w:t>
      </w:r>
    </w:p>
    <w:p w14:paraId="35932989" w14:textId="6145C08C" w:rsidR="007F2A29" w:rsidRPr="00AD3266" w:rsidRDefault="002E4CFC" w:rsidP="00AC7FE8">
      <w:pPr>
        <w:pStyle w:val="NormalWeb"/>
        <w:shd w:val="clear" w:color="auto" w:fill="FFFFFF"/>
        <w:spacing w:after="0" w:line="480" w:lineRule="auto"/>
        <w:ind w:firstLine="720"/>
        <w:rPr>
          <w:rFonts w:asciiTheme="minorHAnsi" w:hAnsiTheme="minorHAnsi" w:cstheme="minorHAnsi"/>
          <w:color w:val="333333"/>
        </w:rPr>
      </w:pPr>
      <w:r w:rsidRPr="00AD3266">
        <w:rPr>
          <w:rFonts w:asciiTheme="minorHAnsi" w:hAnsiTheme="minorHAnsi" w:cstheme="minorHAnsi"/>
          <w:color w:val="333333"/>
        </w:rPr>
        <w:t>There are two different data representations dashboards that executive leaders can use to support decision-making. These dashboards use filters/highlighters located in the ‘Category Menu’</w:t>
      </w:r>
      <w:r w:rsidR="00B77C69">
        <w:rPr>
          <w:rFonts w:asciiTheme="minorHAnsi" w:hAnsiTheme="minorHAnsi" w:cstheme="minorHAnsi"/>
          <w:color w:val="333333"/>
        </w:rPr>
        <w:t>; clicking</w:t>
      </w:r>
      <w:r w:rsidR="00A87C22" w:rsidRPr="00AD3266">
        <w:rPr>
          <w:rFonts w:asciiTheme="minorHAnsi" w:hAnsiTheme="minorHAnsi" w:cstheme="minorHAnsi"/>
          <w:color w:val="333333"/>
        </w:rPr>
        <w:t xml:space="preserve"> on ‘</w:t>
      </w:r>
      <w:r w:rsidR="00A87C22" w:rsidRPr="00AD3266">
        <w:rPr>
          <w:rFonts w:asciiTheme="minorHAnsi" w:hAnsiTheme="minorHAnsi" w:cstheme="minorHAnsi"/>
          <w:color w:val="ED7D31" w:themeColor="accent2"/>
        </w:rPr>
        <w:t xml:space="preserve">Left’ </w:t>
      </w:r>
      <w:r w:rsidR="00A87C22" w:rsidRPr="00AD3266">
        <w:rPr>
          <w:rFonts w:asciiTheme="minorHAnsi" w:hAnsiTheme="minorHAnsi" w:cstheme="minorHAnsi"/>
          <w:color w:val="333333"/>
        </w:rPr>
        <w:t>will show customers who have churned</w:t>
      </w:r>
      <w:r w:rsidR="00B77C69">
        <w:rPr>
          <w:rFonts w:asciiTheme="minorHAnsi" w:hAnsiTheme="minorHAnsi" w:cstheme="minorHAnsi"/>
          <w:color w:val="333333"/>
        </w:rPr>
        <w:t>,</w:t>
      </w:r>
      <w:r w:rsidR="00A87C22" w:rsidRPr="00AD3266">
        <w:rPr>
          <w:rFonts w:asciiTheme="minorHAnsi" w:hAnsiTheme="minorHAnsi" w:cstheme="minorHAnsi"/>
          <w:color w:val="333333"/>
        </w:rPr>
        <w:t xml:space="preserve"> and ‘</w:t>
      </w:r>
      <w:r w:rsidR="00A87C22" w:rsidRPr="00AD3266">
        <w:rPr>
          <w:rFonts w:asciiTheme="minorHAnsi" w:hAnsiTheme="minorHAnsi" w:cstheme="minorHAnsi"/>
          <w:color w:val="4472C4" w:themeColor="accent1"/>
        </w:rPr>
        <w:t xml:space="preserve">Stayed’ </w:t>
      </w:r>
      <w:r w:rsidR="00A87C22" w:rsidRPr="00AD3266">
        <w:rPr>
          <w:rFonts w:asciiTheme="minorHAnsi" w:hAnsiTheme="minorHAnsi" w:cstheme="minorHAnsi"/>
          <w:color w:val="333333"/>
        </w:rPr>
        <w:t>will show the rest. It will</w:t>
      </w:r>
      <w:r w:rsidRPr="00AD3266">
        <w:rPr>
          <w:rFonts w:asciiTheme="minorHAnsi" w:hAnsiTheme="minorHAnsi" w:cstheme="minorHAnsi"/>
          <w:color w:val="333333"/>
        </w:rPr>
        <w:t xml:space="preserve"> assist in manipulating the </w:t>
      </w:r>
      <w:r w:rsidR="00B77C69">
        <w:rPr>
          <w:rFonts w:asciiTheme="minorHAnsi" w:hAnsiTheme="minorHAnsi" w:cstheme="minorHAnsi"/>
          <w:color w:val="333333"/>
        </w:rPr>
        <w:t>visualisation</w:t>
      </w:r>
      <w:r w:rsidR="00A87C22" w:rsidRPr="00AD3266">
        <w:rPr>
          <w:rFonts w:asciiTheme="minorHAnsi" w:hAnsiTheme="minorHAnsi" w:cstheme="minorHAnsi"/>
          <w:color w:val="333333"/>
        </w:rPr>
        <w:t xml:space="preserve"> and provide greater insight.</w:t>
      </w:r>
    </w:p>
    <w:p w14:paraId="2412D1F2" w14:textId="6AEB6B48" w:rsidR="00AD5044" w:rsidRPr="00AD3266" w:rsidRDefault="002E4CFC" w:rsidP="00AC7FE8">
      <w:pPr>
        <w:pStyle w:val="NormalWeb"/>
        <w:numPr>
          <w:ilvl w:val="0"/>
          <w:numId w:val="12"/>
        </w:numPr>
        <w:shd w:val="clear" w:color="auto" w:fill="FFFFFF"/>
        <w:spacing w:after="0" w:line="480" w:lineRule="auto"/>
        <w:rPr>
          <w:rFonts w:asciiTheme="minorHAnsi" w:hAnsiTheme="minorHAnsi" w:cstheme="minorHAnsi"/>
          <w:color w:val="333333"/>
        </w:rPr>
      </w:pPr>
      <w:r w:rsidRPr="00AD3266">
        <w:rPr>
          <w:rFonts w:asciiTheme="minorHAnsi" w:hAnsiTheme="minorHAnsi" w:cstheme="minorHAnsi"/>
          <w:color w:val="333333"/>
        </w:rPr>
        <w:t xml:space="preserve">The ‘Packages v. Churn’ dashboard shows that the company needs to offer many services to their customers to retain them in the eco-system, leading to a lower churn rate. The decision-maker also needs to continuously invest in upcoming technologies so they can be offered to their customer and the company will keep its competitive edge in the market. </w:t>
      </w:r>
    </w:p>
    <w:p w14:paraId="647F3C2C" w14:textId="5CFAFEEE" w:rsidR="002E4CFC" w:rsidRPr="00AD3266" w:rsidRDefault="00AD5044" w:rsidP="00AC7FE8">
      <w:pPr>
        <w:pStyle w:val="NormalWeb"/>
        <w:numPr>
          <w:ilvl w:val="0"/>
          <w:numId w:val="12"/>
        </w:numPr>
        <w:shd w:val="clear" w:color="auto" w:fill="FFFFFF"/>
        <w:spacing w:after="0" w:line="480" w:lineRule="auto"/>
        <w:rPr>
          <w:rFonts w:asciiTheme="minorHAnsi" w:hAnsiTheme="minorHAnsi" w:cstheme="minorHAnsi"/>
          <w:color w:val="333333"/>
        </w:rPr>
      </w:pPr>
      <w:r w:rsidRPr="00AD3266">
        <w:rPr>
          <w:rFonts w:asciiTheme="minorHAnsi" w:hAnsiTheme="minorHAnsi" w:cstheme="minorHAnsi"/>
          <w:color w:val="333333"/>
        </w:rPr>
        <w:t>T</w:t>
      </w:r>
      <w:r w:rsidR="002E4CFC" w:rsidRPr="00AD3266">
        <w:rPr>
          <w:rFonts w:asciiTheme="minorHAnsi" w:hAnsiTheme="minorHAnsi" w:cstheme="minorHAnsi"/>
          <w:color w:val="333333"/>
        </w:rPr>
        <w:t>he ‘Monthly Charge v. Churn’ dashboard further conveys the idea by focusing on the churn rate of the customer with their monthly charges. The decision-maker needs to work with the marketing and advertising team to create a narrative that shows that the company offers the best price for the customers who are part of its ecosystem and stay for a long time.</w:t>
      </w:r>
    </w:p>
    <w:p w14:paraId="78463DD8" w14:textId="77777777" w:rsidR="00AD5044" w:rsidRPr="00AD3266" w:rsidRDefault="00AD5044" w:rsidP="00AC7FE8">
      <w:pPr>
        <w:pStyle w:val="NormalWeb"/>
        <w:shd w:val="clear" w:color="auto" w:fill="FFFFFF"/>
        <w:spacing w:before="0" w:beforeAutospacing="0" w:after="0" w:afterAutospacing="0" w:line="480" w:lineRule="auto"/>
        <w:rPr>
          <w:rFonts w:asciiTheme="minorHAnsi" w:hAnsiTheme="minorHAnsi" w:cstheme="minorHAnsi"/>
          <w:color w:val="333333"/>
        </w:rPr>
      </w:pPr>
      <w:r w:rsidRPr="00AD3266">
        <w:rPr>
          <w:rFonts w:asciiTheme="minorHAnsi" w:hAnsiTheme="minorHAnsi" w:cstheme="minorHAnsi"/>
          <w:color w:val="333333"/>
        </w:rPr>
        <w:t xml:space="preserve">There are two </w:t>
      </w:r>
      <w:r w:rsidR="00CD2F54" w:rsidRPr="00AD3266">
        <w:rPr>
          <w:rFonts w:asciiTheme="minorHAnsi" w:hAnsiTheme="minorHAnsi" w:cstheme="minorHAnsi"/>
          <w:color w:val="333333"/>
        </w:rPr>
        <w:t xml:space="preserve">interactive controls in </w:t>
      </w:r>
      <w:r w:rsidRPr="00AD3266">
        <w:rPr>
          <w:rFonts w:asciiTheme="minorHAnsi" w:hAnsiTheme="minorHAnsi" w:cstheme="minorHAnsi"/>
          <w:color w:val="333333"/>
        </w:rPr>
        <w:t xml:space="preserve">the </w:t>
      </w:r>
      <w:r w:rsidR="00CD2F54" w:rsidRPr="00AD3266">
        <w:rPr>
          <w:rFonts w:asciiTheme="minorHAnsi" w:hAnsiTheme="minorHAnsi" w:cstheme="minorHAnsi"/>
          <w:color w:val="333333"/>
        </w:rPr>
        <w:t xml:space="preserve">dashboard </w:t>
      </w:r>
      <w:r w:rsidRPr="00AD3266">
        <w:rPr>
          <w:rFonts w:asciiTheme="minorHAnsi" w:hAnsiTheme="minorHAnsi" w:cstheme="minorHAnsi"/>
          <w:color w:val="333333"/>
        </w:rPr>
        <w:t>that enable</w:t>
      </w:r>
      <w:r w:rsidR="00CD2F54" w:rsidRPr="00AD3266">
        <w:rPr>
          <w:rFonts w:asciiTheme="minorHAnsi" w:hAnsiTheme="minorHAnsi" w:cstheme="minorHAnsi"/>
          <w:color w:val="333333"/>
        </w:rPr>
        <w:t xml:space="preserve"> </w:t>
      </w:r>
      <w:r w:rsidRPr="00AD3266">
        <w:rPr>
          <w:rFonts w:asciiTheme="minorHAnsi" w:hAnsiTheme="minorHAnsi" w:cstheme="minorHAnsi"/>
          <w:color w:val="333333"/>
        </w:rPr>
        <w:t>users</w:t>
      </w:r>
      <w:r w:rsidR="00CD2F54" w:rsidRPr="00AD3266">
        <w:rPr>
          <w:rFonts w:asciiTheme="minorHAnsi" w:hAnsiTheme="minorHAnsi" w:cstheme="minorHAnsi"/>
          <w:color w:val="333333"/>
        </w:rPr>
        <w:t xml:space="preserve"> to modify the presentation of the data.</w:t>
      </w:r>
    </w:p>
    <w:p w14:paraId="5951501A" w14:textId="402802BD" w:rsidR="00D8127B" w:rsidRPr="00AD3266" w:rsidRDefault="00AD5044" w:rsidP="00AC7FE8">
      <w:pPr>
        <w:pStyle w:val="NormalWeb"/>
        <w:numPr>
          <w:ilvl w:val="0"/>
          <w:numId w:val="6"/>
        </w:numPr>
        <w:shd w:val="clear" w:color="auto" w:fill="FFFFFF"/>
        <w:spacing w:before="0" w:beforeAutospacing="0" w:after="0" w:afterAutospacing="0" w:line="480" w:lineRule="auto"/>
        <w:rPr>
          <w:rFonts w:asciiTheme="minorHAnsi" w:hAnsiTheme="minorHAnsi" w:cstheme="minorHAnsi"/>
          <w:color w:val="333333"/>
        </w:rPr>
      </w:pPr>
      <w:r w:rsidRPr="00AD3266">
        <w:rPr>
          <w:rFonts w:asciiTheme="minorHAnsi" w:hAnsiTheme="minorHAnsi" w:cstheme="minorHAnsi"/>
          <w:color w:val="333333"/>
        </w:rPr>
        <w:t>The ‘</w:t>
      </w:r>
      <w:r w:rsidR="00D8127B" w:rsidRPr="00AD3266">
        <w:rPr>
          <w:rFonts w:asciiTheme="minorHAnsi" w:hAnsiTheme="minorHAnsi" w:cstheme="minorHAnsi"/>
          <w:color w:val="333333"/>
        </w:rPr>
        <w:t xml:space="preserve">Tenure and bandwidth v. </w:t>
      </w:r>
      <w:r w:rsidR="007D265F" w:rsidRPr="00AD3266">
        <w:rPr>
          <w:rFonts w:asciiTheme="minorHAnsi" w:hAnsiTheme="minorHAnsi" w:cstheme="minorHAnsi"/>
          <w:color w:val="333333"/>
        </w:rPr>
        <w:t>C</w:t>
      </w:r>
      <w:r w:rsidR="00D8127B" w:rsidRPr="00AD3266">
        <w:rPr>
          <w:rFonts w:asciiTheme="minorHAnsi" w:hAnsiTheme="minorHAnsi" w:cstheme="minorHAnsi"/>
          <w:color w:val="333333"/>
        </w:rPr>
        <w:t>hurn</w:t>
      </w:r>
      <w:r w:rsidRPr="00AD3266">
        <w:rPr>
          <w:rFonts w:asciiTheme="minorHAnsi" w:hAnsiTheme="minorHAnsi" w:cstheme="minorHAnsi"/>
          <w:color w:val="333333"/>
        </w:rPr>
        <w:t xml:space="preserve">’ </w:t>
      </w:r>
      <w:r w:rsidR="00EE0763" w:rsidRPr="00AD3266">
        <w:rPr>
          <w:rFonts w:asciiTheme="minorHAnsi" w:hAnsiTheme="minorHAnsi" w:cstheme="minorHAnsi"/>
          <w:color w:val="333333"/>
        </w:rPr>
        <w:t>dashboard has</w:t>
      </w:r>
      <w:r w:rsidR="00BD68D3" w:rsidRPr="00AD3266">
        <w:rPr>
          <w:rFonts w:asciiTheme="minorHAnsi" w:hAnsiTheme="minorHAnsi" w:cstheme="minorHAnsi"/>
          <w:color w:val="333333"/>
        </w:rPr>
        <w:t xml:space="preserve"> an interactive filter</w:t>
      </w:r>
      <w:r w:rsidR="005170BB" w:rsidRPr="00AD3266">
        <w:rPr>
          <w:rFonts w:asciiTheme="minorHAnsi" w:hAnsiTheme="minorHAnsi" w:cstheme="minorHAnsi"/>
          <w:color w:val="333333"/>
        </w:rPr>
        <w:t xml:space="preserve"> on the </w:t>
      </w:r>
      <w:r w:rsidR="00BD68D3" w:rsidRPr="00AD3266">
        <w:rPr>
          <w:rFonts w:asciiTheme="minorHAnsi" w:hAnsiTheme="minorHAnsi" w:cstheme="minorHAnsi"/>
          <w:color w:val="333333"/>
        </w:rPr>
        <w:t>‘C</w:t>
      </w:r>
      <w:r w:rsidR="005170BB" w:rsidRPr="00AD3266">
        <w:rPr>
          <w:rFonts w:asciiTheme="minorHAnsi" w:hAnsiTheme="minorHAnsi" w:cstheme="minorHAnsi"/>
          <w:color w:val="333333"/>
        </w:rPr>
        <w:t>hurn</w:t>
      </w:r>
      <w:r w:rsidR="00BD68D3" w:rsidRPr="00AD3266">
        <w:rPr>
          <w:rFonts w:asciiTheme="minorHAnsi" w:hAnsiTheme="minorHAnsi" w:cstheme="minorHAnsi"/>
          <w:color w:val="333333"/>
        </w:rPr>
        <w:t>’</w:t>
      </w:r>
      <w:r w:rsidR="005170BB" w:rsidRPr="00AD3266">
        <w:rPr>
          <w:rFonts w:asciiTheme="minorHAnsi" w:hAnsiTheme="minorHAnsi" w:cstheme="minorHAnsi"/>
          <w:color w:val="333333"/>
        </w:rPr>
        <w:t xml:space="preserve"> to </w:t>
      </w:r>
      <w:r w:rsidR="00BD68D3" w:rsidRPr="00AD3266">
        <w:rPr>
          <w:rFonts w:asciiTheme="minorHAnsi" w:hAnsiTheme="minorHAnsi" w:cstheme="minorHAnsi"/>
          <w:color w:val="333333"/>
        </w:rPr>
        <w:t>al</w:t>
      </w:r>
      <w:r w:rsidR="00341FFC" w:rsidRPr="00AD3266">
        <w:rPr>
          <w:rFonts w:asciiTheme="minorHAnsi" w:hAnsiTheme="minorHAnsi" w:cstheme="minorHAnsi"/>
          <w:color w:val="333333"/>
        </w:rPr>
        <w:t>low users</w:t>
      </w:r>
      <w:r w:rsidR="00E05355" w:rsidRPr="00AD3266">
        <w:rPr>
          <w:rFonts w:asciiTheme="minorHAnsi" w:hAnsiTheme="minorHAnsi" w:cstheme="minorHAnsi"/>
          <w:color w:val="333333"/>
        </w:rPr>
        <w:t xml:space="preserve"> to modify the</w:t>
      </w:r>
      <w:r w:rsidR="00341FFC" w:rsidRPr="00AD3266">
        <w:rPr>
          <w:rFonts w:asciiTheme="minorHAnsi" w:hAnsiTheme="minorHAnsi" w:cstheme="minorHAnsi"/>
          <w:color w:val="333333"/>
        </w:rPr>
        <w:t xml:space="preserve"> </w:t>
      </w:r>
      <w:r w:rsidR="00E05355" w:rsidRPr="00AD3266">
        <w:rPr>
          <w:rFonts w:asciiTheme="minorHAnsi" w:hAnsiTheme="minorHAnsi" w:cstheme="minorHAnsi"/>
          <w:color w:val="333333"/>
        </w:rPr>
        <w:t xml:space="preserve">presentation to </w:t>
      </w:r>
      <w:r w:rsidR="00674BF7" w:rsidRPr="00AD3266">
        <w:rPr>
          <w:rFonts w:asciiTheme="minorHAnsi" w:hAnsiTheme="minorHAnsi" w:cstheme="minorHAnsi"/>
          <w:color w:val="333333"/>
        </w:rPr>
        <w:t>show</w:t>
      </w:r>
      <w:r w:rsidR="004B7693" w:rsidRPr="00AD3266">
        <w:rPr>
          <w:rFonts w:asciiTheme="minorHAnsi" w:hAnsiTheme="minorHAnsi" w:cstheme="minorHAnsi"/>
          <w:color w:val="333333"/>
        </w:rPr>
        <w:t xml:space="preserve"> the</w:t>
      </w:r>
      <w:r w:rsidR="00035313" w:rsidRPr="00AD3266">
        <w:rPr>
          <w:rFonts w:asciiTheme="minorHAnsi" w:hAnsiTheme="minorHAnsi" w:cstheme="minorHAnsi"/>
          <w:color w:val="333333"/>
        </w:rPr>
        <w:t xml:space="preserve"> custome</w:t>
      </w:r>
      <w:r w:rsidR="00D917C6" w:rsidRPr="00AD3266">
        <w:rPr>
          <w:rFonts w:asciiTheme="minorHAnsi" w:hAnsiTheme="minorHAnsi" w:cstheme="minorHAnsi"/>
          <w:color w:val="333333"/>
        </w:rPr>
        <w:t>r</w:t>
      </w:r>
      <w:r w:rsidR="00EE0763" w:rsidRPr="00AD3266">
        <w:rPr>
          <w:rFonts w:asciiTheme="minorHAnsi" w:hAnsiTheme="minorHAnsi" w:cstheme="minorHAnsi"/>
          <w:color w:val="333333"/>
        </w:rPr>
        <w:t xml:space="preserve">’s </w:t>
      </w:r>
      <w:r w:rsidR="00D917C6" w:rsidRPr="00AD3266">
        <w:rPr>
          <w:rFonts w:asciiTheme="minorHAnsi" w:hAnsiTheme="minorHAnsi" w:cstheme="minorHAnsi"/>
          <w:color w:val="333333"/>
        </w:rPr>
        <w:t>reliance on the services like the internet and their churn rate.</w:t>
      </w:r>
      <w:r w:rsidR="00035313" w:rsidRPr="00AD3266">
        <w:rPr>
          <w:rFonts w:asciiTheme="minorHAnsi" w:hAnsiTheme="minorHAnsi" w:cstheme="minorHAnsi"/>
          <w:color w:val="333333"/>
        </w:rPr>
        <w:t xml:space="preserve"> </w:t>
      </w:r>
      <w:r w:rsidR="00F2430D" w:rsidRPr="00AD3266">
        <w:rPr>
          <w:rFonts w:asciiTheme="minorHAnsi" w:hAnsiTheme="minorHAnsi" w:cstheme="minorHAnsi"/>
          <w:color w:val="333333"/>
        </w:rPr>
        <w:t xml:space="preserve">It implies that </w:t>
      </w:r>
      <w:r w:rsidR="00F544F3" w:rsidRPr="00AD3266">
        <w:rPr>
          <w:rFonts w:asciiTheme="minorHAnsi" w:hAnsiTheme="minorHAnsi" w:cstheme="minorHAnsi"/>
          <w:color w:val="333333"/>
        </w:rPr>
        <w:t xml:space="preserve">customers who have been with the company for a while tend to use </w:t>
      </w:r>
      <w:r w:rsidR="00674BF7" w:rsidRPr="00AD3266">
        <w:rPr>
          <w:rFonts w:asciiTheme="minorHAnsi" w:hAnsiTheme="minorHAnsi" w:cstheme="minorHAnsi"/>
          <w:color w:val="333333"/>
        </w:rPr>
        <w:t>much</w:t>
      </w:r>
      <w:r w:rsidR="00F544F3" w:rsidRPr="00AD3266">
        <w:rPr>
          <w:rFonts w:asciiTheme="minorHAnsi" w:hAnsiTheme="minorHAnsi" w:cstheme="minorHAnsi"/>
          <w:color w:val="333333"/>
        </w:rPr>
        <w:t xml:space="preserve"> bandwidth and have a low churn rate</w:t>
      </w:r>
      <w:r w:rsidR="00674BF7" w:rsidRPr="00AD3266">
        <w:rPr>
          <w:rFonts w:asciiTheme="minorHAnsi" w:hAnsiTheme="minorHAnsi" w:cstheme="minorHAnsi"/>
          <w:color w:val="333333"/>
        </w:rPr>
        <w:t>.</w:t>
      </w:r>
      <w:r w:rsidR="00F2430D" w:rsidRPr="00AD3266">
        <w:rPr>
          <w:rFonts w:asciiTheme="minorHAnsi" w:hAnsiTheme="minorHAnsi" w:cstheme="minorHAnsi"/>
          <w:color w:val="333333"/>
        </w:rPr>
        <w:t xml:space="preserve"> </w:t>
      </w:r>
    </w:p>
    <w:p w14:paraId="7791B473" w14:textId="3075A834" w:rsidR="00D8127B" w:rsidRPr="00AD3266" w:rsidRDefault="00AD5044" w:rsidP="00AC7FE8">
      <w:pPr>
        <w:pStyle w:val="NormalWeb"/>
        <w:numPr>
          <w:ilvl w:val="0"/>
          <w:numId w:val="6"/>
        </w:numPr>
        <w:shd w:val="clear" w:color="auto" w:fill="FFFFFF"/>
        <w:spacing w:before="0" w:beforeAutospacing="0" w:after="0" w:afterAutospacing="0" w:line="480" w:lineRule="auto"/>
        <w:rPr>
          <w:rFonts w:asciiTheme="minorHAnsi" w:hAnsiTheme="minorHAnsi" w:cstheme="minorHAnsi"/>
          <w:color w:val="333333"/>
        </w:rPr>
      </w:pPr>
      <w:r w:rsidRPr="00AD3266">
        <w:rPr>
          <w:rFonts w:asciiTheme="minorHAnsi" w:hAnsiTheme="minorHAnsi" w:cstheme="minorHAnsi"/>
          <w:color w:val="333333"/>
        </w:rPr>
        <w:t>The ‘</w:t>
      </w:r>
      <w:r w:rsidR="00D8127B" w:rsidRPr="00AD3266">
        <w:rPr>
          <w:rFonts w:asciiTheme="minorHAnsi" w:hAnsiTheme="minorHAnsi" w:cstheme="minorHAnsi"/>
          <w:color w:val="333333"/>
        </w:rPr>
        <w:t xml:space="preserve">Client location v. </w:t>
      </w:r>
      <w:r w:rsidR="00125733">
        <w:rPr>
          <w:rFonts w:asciiTheme="minorHAnsi" w:hAnsiTheme="minorHAnsi" w:cstheme="minorHAnsi"/>
          <w:color w:val="333333"/>
        </w:rPr>
        <w:t>Churn</w:t>
      </w:r>
      <w:r w:rsidRPr="00AD3266">
        <w:rPr>
          <w:rFonts w:asciiTheme="minorHAnsi" w:hAnsiTheme="minorHAnsi" w:cstheme="minorHAnsi"/>
          <w:color w:val="333333"/>
        </w:rPr>
        <w:t xml:space="preserve"> </w:t>
      </w:r>
      <w:r w:rsidR="00EE0763" w:rsidRPr="00AD3266">
        <w:rPr>
          <w:rFonts w:asciiTheme="minorHAnsi" w:hAnsiTheme="minorHAnsi" w:cstheme="minorHAnsi"/>
          <w:color w:val="333333"/>
        </w:rPr>
        <w:t xml:space="preserve">dashboard </w:t>
      </w:r>
      <w:r w:rsidR="007F5B3A" w:rsidRPr="00AD3266">
        <w:rPr>
          <w:rFonts w:asciiTheme="minorHAnsi" w:hAnsiTheme="minorHAnsi" w:cstheme="minorHAnsi"/>
          <w:color w:val="333333"/>
        </w:rPr>
        <w:t xml:space="preserve">interactively shows the users </w:t>
      </w:r>
      <w:r w:rsidR="00AD2C2F" w:rsidRPr="00AD3266">
        <w:rPr>
          <w:rFonts w:asciiTheme="minorHAnsi" w:hAnsiTheme="minorHAnsi" w:cstheme="minorHAnsi"/>
          <w:color w:val="333333"/>
        </w:rPr>
        <w:t xml:space="preserve">all the </w:t>
      </w:r>
      <w:r w:rsidR="00CA6708" w:rsidRPr="00AD3266">
        <w:rPr>
          <w:rFonts w:asciiTheme="minorHAnsi" w:hAnsiTheme="minorHAnsi" w:cstheme="minorHAnsi"/>
          <w:color w:val="333333"/>
        </w:rPr>
        <w:t>places</w:t>
      </w:r>
      <w:r w:rsidR="00AD2C2F" w:rsidRPr="00AD3266">
        <w:rPr>
          <w:rFonts w:asciiTheme="minorHAnsi" w:hAnsiTheme="minorHAnsi" w:cstheme="minorHAnsi"/>
          <w:color w:val="333333"/>
        </w:rPr>
        <w:t xml:space="preserve"> where the company needs to expand. This will help stakeholders </w:t>
      </w:r>
      <w:r w:rsidR="00CA6708" w:rsidRPr="00AD3266">
        <w:rPr>
          <w:rFonts w:asciiTheme="minorHAnsi" w:hAnsiTheme="minorHAnsi" w:cstheme="minorHAnsi"/>
          <w:color w:val="333333"/>
        </w:rPr>
        <w:t xml:space="preserve">with </w:t>
      </w:r>
      <w:r w:rsidR="00D016EC" w:rsidRPr="00AD3266">
        <w:rPr>
          <w:rFonts w:asciiTheme="minorHAnsi" w:hAnsiTheme="minorHAnsi" w:cstheme="minorHAnsi"/>
          <w:color w:val="333333"/>
        </w:rPr>
        <w:t>market capitalisation a</w:t>
      </w:r>
      <w:r w:rsidR="009A0EFD" w:rsidRPr="00AD3266">
        <w:rPr>
          <w:rFonts w:asciiTheme="minorHAnsi" w:hAnsiTheme="minorHAnsi" w:cstheme="minorHAnsi"/>
          <w:color w:val="333333"/>
        </w:rPr>
        <w:t>nd where they need to expand to increase their customer base.</w:t>
      </w:r>
    </w:p>
    <w:p w14:paraId="7745FB96" w14:textId="77777777" w:rsidR="00241DC1" w:rsidRPr="00AD3266" w:rsidRDefault="00241DC1" w:rsidP="00AC7FE8">
      <w:pPr>
        <w:pStyle w:val="NormalWeb"/>
        <w:shd w:val="clear" w:color="auto" w:fill="FFFFFF"/>
        <w:spacing w:before="0" w:beforeAutospacing="0" w:after="0" w:afterAutospacing="0" w:line="480" w:lineRule="auto"/>
        <w:rPr>
          <w:rFonts w:asciiTheme="minorHAnsi" w:hAnsiTheme="minorHAnsi" w:cstheme="minorHAnsi"/>
          <w:color w:val="333333"/>
        </w:rPr>
      </w:pPr>
    </w:p>
    <w:p w14:paraId="2639AF22" w14:textId="56A2290E" w:rsidR="00D05B53" w:rsidRPr="00AD3266" w:rsidRDefault="00AD5044" w:rsidP="00AC7FE8">
      <w:pPr>
        <w:pStyle w:val="NormalWeb"/>
        <w:shd w:val="clear" w:color="auto" w:fill="FFFFFF"/>
        <w:spacing w:before="0" w:beforeAutospacing="0" w:after="0" w:afterAutospacing="0" w:line="480" w:lineRule="auto"/>
        <w:rPr>
          <w:rFonts w:asciiTheme="minorHAnsi" w:hAnsiTheme="minorHAnsi" w:cstheme="minorHAnsi"/>
          <w:color w:val="333333"/>
        </w:rPr>
      </w:pPr>
      <w:r w:rsidRPr="00AD3266">
        <w:rPr>
          <w:rFonts w:asciiTheme="minorHAnsi" w:hAnsiTheme="minorHAnsi" w:cstheme="minorHAnsi"/>
          <w:color w:val="333333"/>
        </w:rPr>
        <w:t xml:space="preserve">All the dashboards were built using </w:t>
      </w:r>
      <w:r w:rsidR="00241DC1" w:rsidRPr="00AD3266">
        <w:rPr>
          <w:rFonts w:asciiTheme="minorHAnsi" w:hAnsiTheme="minorHAnsi" w:cstheme="minorHAnsi"/>
          <w:color w:val="333333"/>
        </w:rPr>
        <w:t xml:space="preserve">the </w:t>
      </w:r>
      <w:r w:rsidRPr="00AD3266">
        <w:rPr>
          <w:rFonts w:asciiTheme="minorHAnsi" w:hAnsiTheme="minorHAnsi" w:cstheme="minorHAnsi"/>
          <w:color w:val="333333"/>
        </w:rPr>
        <w:t xml:space="preserve">following </w:t>
      </w:r>
      <w:r w:rsidR="00241DC1" w:rsidRPr="00AD3266">
        <w:rPr>
          <w:rFonts w:asciiTheme="minorHAnsi" w:hAnsiTheme="minorHAnsi" w:cstheme="minorHAnsi"/>
          <w:color w:val="333333"/>
        </w:rPr>
        <w:t xml:space="preserve">rules </w:t>
      </w:r>
      <w:r w:rsidR="00CD2F54" w:rsidRPr="00AD3266">
        <w:rPr>
          <w:rFonts w:asciiTheme="minorHAnsi" w:hAnsiTheme="minorHAnsi" w:cstheme="minorHAnsi"/>
          <w:color w:val="333333"/>
        </w:rPr>
        <w:t xml:space="preserve">to be accessible for individuals with </w:t>
      </w:r>
      <w:r w:rsidR="00EE0763" w:rsidRPr="00AD3266">
        <w:rPr>
          <w:rFonts w:asciiTheme="minorHAnsi" w:hAnsiTheme="minorHAnsi" w:cstheme="minorHAnsi"/>
          <w:color w:val="333333"/>
        </w:rPr>
        <w:t>colour blindness</w:t>
      </w:r>
      <w:r w:rsidR="00241DC1" w:rsidRPr="00AD3266">
        <w:rPr>
          <w:rFonts w:asciiTheme="minorHAnsi" w:hAnsiTheme="minorHAnsi" w:cstheme="minorHAnsi"/>
          <w:color w:val="333333"/>
        </w:rPr>
        <w:t xml:space="preserve">. </w:t>
      </w:r>
      <w:r w:rsidR="0003283A" w:rsidRPr="00AD3266">
        <w:rPr>
          <w:rFonts w:asciiTheme="minorHAnsi" w:hAnsiTheme="minorHAnsi" w:cstheme="minorHAnsi"/>
          <w:color w:val="333333"/>
        </w:rPr>
        <w:t xml:space="preserve">I selected Tableau’s </w:t>
      </w:r>
      <w:r w:rsidR="00F33BA4" w:rsidRPr="00AD3266">
        <w:rPr>
          <w:rFonts w:asciiTheme="minorHAnsi" w:hAnsiTheme="minorHAnsi" w:cstheme="minorHAnsi"/>
          <w:color w:val="333333"/>
        </w:rPr>
        <w:t>‘</w:t>
      </w:r>
      <w:r w:rsidR="00B77C69">
        <w:rPr>
          <w:rFonts w:asciiTheme="minorHAnsi" w:hAnsiTheme="minorHAnsi" w:cstheme="minorHAnsi"/>
          <w:color w:val="333333"/>
        </w:rPr>
        <w:t>colour</w:t>
      </w:r>
      <w:r w:rsidR="00F33BA4" w:rsidRPr="00AD3266">
        <w:rPr>
          <w:rFonts w:asciiTheme="minorHAnsi" w:hAnsiTheme="minorHAnsi" w:cstheme="minorHAnsi"/>
          <w:color w:val="333333"/>
        </w:rPr>
        <w:t xml:space="preserve"> blind’</w:t>
      </w:r>
      <w:r w:rsidR="0003283A" w:rsidRPr="00AD3266">
        <w:rPr>
          <w:rFonts w:asciiTheme="minorHAnsi" w:hAnsiTheme="minorHAnsi" w:cstheme="minorHAnsi"/>
          <w:color w:val="333333"/>
        </w:rPr>
        <w:t xml:space="preserve"> palette to </w:t>
      </w:r>
      <w:r w:rsidR="00B77C69">
        <w:rPr>
          <w:rFonts w:asciiTheme="minorHAnsi" w:hAnsiTheme="minorHAnsi" w:cstheme="minorHAnsi"/>
          <w:color w:val="333333"/>
        </w:rPr>
        <w:t>meet the requirements</w:t>
      </w:r>
      <w:r w:rsidR="00F33BA4" w:rsidRPr="00AD3266">
        <w:rPr>
          <w:rFonts w:asciiTheme="minorHAnsi" w:hAnsiTheme="minorHAnsi" w:cstheme="minorHAnsi"/>
          <w:color w:val="333333"/>
        </w:rPr>
        <w:t>.</w:t>
      </w:r>
      <w:r w:rsidR="0003283A" w:rsidRPr="00AD3266">
        <w:rPr>
          <w:rFonts w:asciiTheme="minorHAnsi" w:hAnsiTheme="minorHAnsi" w:cstheme="minorHAnsi"/>
          <w:color w:val="333333"/>
        </w:rPr>
        <w:t xml:space="preserve"> </w:t>
      </w:r>
      <w:r w:rsidR="00241DC1" w:rsidRPr="00AD3266">
        <w:rPr>
          <w:rFonts w:asciiTheme="minorHAnsi" w:hAnsiTheme="minorHAnsi" w:cstheme="minorHAnsi"/>
          <w:color w:val="333333"/>
        </w:rPr>
        <w:t xml:space="preserve">These </w:t>
      </w:r>
      <w:r w:rsidR="007F4145" w:rsidRPr="00AD3266">
        <w:rPr>
          <w:rFonts w:asciiTheme="minorHAnsi" w:hAnsiTheme="minorHAnsi" w:cstheme="minorHAnsi"/>
          <w:color w:val="333333"/>
        </w:rPr>
        <w:t>three</w:t>
      </w:r>
      <w:r w:rsidR="00994493" w:rsidRPr="00AD3266">
        <w:rPr>
          <w:rFonts w:asciiTheme="minorHAnsi" w:hAnsiTheme="minorHAnsi" w:cstheme="minorHAnsi"/>
          <w:color w:val="333333"/>
        </w:rPr>
        <w:t xml:space="preserve"> rules </w:t>
      </w:r>
      <w:r w:rsidR="00BB4F62" w:rsidRPr="00AD3266">
        <w:rPr>
          <w:rFonts w:asciiTheme="minorHAnsi" w:hAnsiTheme="minorHAnsi" w:cstheme="minorHAnsi"/>
          <w:color w:val="333333"/>
        </w:rPr>
        <w:t xml:space="preserve">were </w:t>
      </w:r>
      <w:r w:rsidR="00994493" w:rsidRPr="00AD3266">
        <w:rPr>
          <w:rFonts w:asciiTheme="minorHAnsi" w:hAnsiTheme="minorHAnsi" w:cstheme="minorHAnsi"/>
          <w:color w:val="333333"/>
        </w:rPr>
        <w:t xml:space="preserve">laid out by </w:t>
      </w:r>
      <w:r w:rsidR="00D05B53" w:rsidRPr="00AD3266">
        <w:rPr>
          <w:rFonts w:asciiTheme="minorHAnsi" w:hAnsiTheme="minorHAnsi" w:cstheme="minorHAnsi"/>
          <w:color w:val="333333"/>
        </w:rPr>
        <w:t>Tableau</w:t>
      </w:r>
      <w:r w:rsidR="00C712E6" w:rsidRPr="00AD3266">
        <w:rPr>
          <w:rFonts w:asciiTheme="minorHAnsi" w:hAnsiTheme="minorHAnsi" w:cstheme="minorHAnsi"/>
          <w:color w:val="333333"/>
        </w:rPr>
        <w:t xml:space="preserve"> (</w:t>
      </w:r>
      <w:r w:rsidR="00C712E6" w:rsidRPr="00AD3266">
        <w:rPr>
          <w:rFonts w:asciiTheme="minorHAnsi" w:hAnsiTheme="minorHAnsi" w:cstheme="minorHAnsi"/>
          <w:color w:val="000000"/>
        </w:rPr>
        <w:t>Tableau, 2022</w:t>
      </w:r>
      <w:r w:rsidR="00C712E6" w:rsidRPr="00AD3266">
        <w:rPr>
          <w:rFonts w:asciiTheme="minorHAnsi" w:hAnsiTheme="minorHAnsi" w:cstheme="minorHAnsi"/>
          <w:color w:val="333333"/>
        </w:rPr>
        <w:t>)</w:t>
      </w:r>
      <w:r w:rsidR="00751959" w:rsidRPr="00AD3266">
        <w:rPr>
          <w:rFonts w:asciiTheme="minorHAnsi" w:hAnsiTheme="minorHAnsi" w:cstheme="minorHAnsi"/>
          <w:color w:val="333333"/>
        </w:rPr>
        <w:t xml:space="preserve"> on their website</w:t>
      </w:r>
      <w:r w:rsidR="00994493" w:rsidRPr="00AD3266">
        <w:rPr>
          <w:rFonts w:asciiTheme="minorHAnsi" w:hAnsiTheme="minorHAnsi" w:cstheme="minorHAnsi"/>
          <w:color w:val="333333"/>
        </w:rPr>
        <w:t>:</w:t>
      </w:r>
    </w:p>
    <w:p w14:paraId="45BFEA46" w14:textId="3958FEF4" w:rsidR="00D05B53" w:rsidRPr="00AD3266" w:rsidRDefault="00D05B53" w:rsidP="00AC7FE8">
      <w:pPr>
        <w:pStyle w:val="NormalWeb"/>
        <w:numPr>
          <w:ilvl w:val="0"/>
          <w:numId w:val="10"/>
        </w:numPr>
        <w:shd w:val="clear" w:color="auto" w:fill="FFFFFF"/>
        <w:spacing w:before="0" w:beforeAutospacing="0" w:after="0" w:afterAutospacing="0" w:line="480" w:lineRule="auto"/>
        <w:rPr>
          <w:rFonts w:asciiTheme="minorHAnsi" w:hAnsiTheme="minorHAnsi" w:cstheme="minorHAnsi"/>
          <w:color w:val="333333"/>
        </w:rPr>
      </w:pPr>
      <w:r w:rsidRPr="00AD3266">
        <w:rPr>
          <w:rFonts w:asciiTheme="minorHAnsi" w:hAnsiTheme="minorHAnsi" w:cstheme="minorHAnsi"/>
          <w:color w:val="333333"/>
        </w:rPr>
        <w:t>The data-viz rule: “Don’t use red &amp; green together.”</w:t>
      </w:r>
    </w:p>
    <w:p w14:paraId="6E8B5D16" w14:textId="3A497297" w:rsidR="00D05B53" w:rsidRPr="00AD3266" w:rsidRDefault="00D05B53" w:rsidP="00AC7FE8">
      <w:pPr>
        <w:pStyle w:val="NormalWeb"/>
        <w:numPr>
          <w:ilvl w:val="0"/>
          <w:numId w:val="10"/>
        </w:numPr>
        <w:shd w:val="clear" w:color="auto" w:fill="FFFFFF"/>
        <w:spacing w:after="0" w:line="480" w:lineRule="auto"/>
        <w:rPr>
          <w:rFonts w:asciiTheme="minorHAnsi" w:hAnsiTheme="minorHAnsi" w:cstheme="minorHAnsi"/>
          <w:color w:val="333333"/>
        </w:rPr>
      </w:pPr>
      <w:r w:rsidRPr="00AD3266">
        <w:rPr>
          <w:rFonts w:asciiTheme="minorHAnsi" w:hAnsiTheme="minorHAnsi" w:cstheme="minorHAnsi"/>
          <w:color w:val="333333"/>
        </w:rPr>
        <w:t>The issue: "Ten per cent of men are colour-blind, mostly with red/green issues."</w:t>
      </w:r>
    </w:p>
    <w:p w14:paraId="795EDCFC" w14:textId="737F1724" w:rsidR="00994493" w:rsidRPr="00AD3266" w:rsidRDefault="00D05B53" w:rsidP="00AC7FE8">
      <w:pPr>
        <w:pStyle w:val="NormalWeb"/>
        <w:numPr>
          <w:ilvl w:val="0"/>
          <w:numId w:val="10"/>
        </w:numPr>
        <w:shd w:val="clear" w:color="auto" w:fill="FFFFFF"/>
        <w:spacing w:before="0" w:beforeAutospacing="0" w:after="0" w:afterAutospacing="0" w:line="480" w:lineRule="auto"/>
        <w:rPr>
          <w:rFonts w:asciiTheme="minorHAnsi" w:hAnsiTheme="minorHAnsi" w:cstheme="minorHAnsi"/>
          <w:color w:val="333333"/>
        </w:rPr>
      </w:pPr>
      <w:r w:rsidRPr="00AD3266">
        <w:rPr>
          <w:rFonts w:asciiTheme="minorHAnsi" w:hAnsiTheme="minorHAnsi" w:cstheme="minorHAnsi"/>
          <w:color w:val="333333"/>
        </w:rPr>
        <w:t>Reaction: "Don't use red and green together."</w:t>
      </w:r>
    </w:p>
    <w:p w14:paraId="07520FA3" w14:textId="77777777" w:rsidR="00484B89" w:rsidRPr="00AD3266" w:rsidRDefault="00484B89" w:rsidP="00AC7FE8">
      <w:pPr>
        <w:pStyle w:val="NormalWeb"/>
        <w:shd w:val="clear" w:color="auto" w:fill="FFFFFF"/>
        <w:spacing w:before="0" w:beforeAutospacing="0" w:after="0" w:afterAutospacing="0" w:line="480" w:lineRule="auto"/>
        <w:rPr>
          <w:rFonts w:asciiTheme="minorHAnsi" w:hAnsiTheme="minorHAnsi" w:cstheme="minorHAnsi"/>
          <w:color w:val="333333"/>
        </w:rPr>
      </w:pPr>
    </w:p>
    <w:p w14:paraId="3954F694" w14:textId="196B07F2" w:rsidR="00CD2F54" w:rsidRPr="00AD3266" w:rsidRDefault="00B77C69" w:rsidP="00AC7FE8">
      <w:pPr>
        <w:pStyle w:val="NormalWeb"/>
        <w:shd w:val="clear" w:color="auto" w:fill="FFFFFF"/>
        <w:spacing w:before="0" w:beforeAutospacing="0" w:after="0" w:afterAutospacing="0" w:line="480" w:lineRule="auto"/>
        <w:ind w:left="288" w:hanging="288"/>
        <w:rPr>
          <w:rFonts w:asciiTheme="minorHAnsi" w:hAnsiTheme="minorHAnsi" w:cstheme="minorHAnsi"/>
          <w:color w:val="333333"/>
        </w:rPr>
      </w:pPr>
      <w:r>
        <w:rPr>
          <w:rFonts w:asciiTheme="minorHAnsi" w:hAnsiTheme="minorHAnsi" w:cstheme="minorHAnsi"/>
          <w:color w:val="333333"/>
        </w:rPr>
        <w:t xml:space="preserve">Two data representations in the Tableau presentation </w:t>
      </w:r>
      <w:r w:rsidR="00CD2F54" w:rsidRPr="00AD3266">
        <w:rPr>
          <w:rFonts w:asciiTheme="minorHAnsi" w:hAnsiTheme="minorHAnsi" w:cstheme="minorHAnsi"/>
          <w:color w:val="333333"/>
        </w:rPr>
        <w:t xml:space="preserve">support the story </w:t>
      </w:r>
      <w:r w:rsidR="00BB4F62" w:rsidRPr="00AD3266">
        <w:rPr>
          <w:rFonts w:asciiTheme="minorHAnsi" w:hAnsiTheme="minorHAnsi" w:cstheme="minorHAnsi"/>
          <w:color w:val="333333"/>
        </w:rPr>
        <w:t>I</w:t>
      </w:r>
      <w:r w:rsidR="00CD2F54" w:rsidRPr="00AD3266">
        <w:rPr>
          <w:rFonts w:asciiTheme="minorHAnsi" w:hAnsiTheme="minorHAnsi" w:cstheme="minorHAnsi"/>
          <w:color w:val="333333"/>
        </w:rPr>
        <w:t xml:space="preserve"> wanted to tell.</w:t>
      </w:r>
    </w:p>
    <w:p w14:paraId="5F4B2E56" w14:textId="77777777" w:rsidR="00085365" w:rsidRPr="00AD3266" w:rsidRDefault="00085365" w:rsidP="00AC7FE8">
      <w:pPr>
        <w:pStyle w:val="NormalWeb"/>
        <w:shd w:val="clear" w:color="auto" w:fill="FFFFFF"/>
        <w:spacing w:before="0" w:beforeAutospacing="0" w:after="0" w:afterAutospacing="0" w:line="480" w:lineRule="auto"/>
        <w:ind w:left="648" w:hanging="288"/>
        <w:rPr>
          <w:rFonts w:asciiTheme="minorHAnsi" w:hAnsiTheme="minorHAnsi" w:cstheme="minorHAnsi"/>
          <w:color w:val="333333"/>
        </w:rPr>
      </w:pPr>
    </w:p>
    <w:p w14:paraId="72741737" w14:textId="7B96BFB7" w:rsidR="00085365" w:rsidRPr="00AD3266" w:rsidRDefault="00BB4F62" w:rsidP="00AC7FE8">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rPr>
      </w:pPr>
      <w:r w:rsidRPr="00AD3266">
        <w:rPr>
          <w:rFonts w:asciiTheme="minorHAnsi" w:hAnsiTheme="minorHAnsi" w:cstheme="minorHAnsi"/>
          <w:color w:val="333333"/>
        </w:rPr>
        <w:t>The ‘</w:t>
      </w:r>
      <w:r w:rsidR="0016087D" w:rsidRPr="00AD3266">
        <w:rPr>
          <w:rFonts w:asciiTheme="minorHAnsi" w:hAnsiTheme="minorHAnsi" w:cstheme="minorHAnsi"/>
          <w:color w:val="333333"/>
        </w:rPr>
        <w:t>Packages v. Churn</w:t>
      </w:r>
      <w:r w:rsidRPr="00AD3266">
        <w:rPr>
          <w:rFonts w:asciiTheme="minorHAnsi" w:hAnsiTheme="minorHAnsi" w:cstheme="minorHAnsi"/>
          <w:color w:val="333333"/>
        </w:rPr>
        <w:t xml:space="preserve">’ </w:t>
      </w:r>
      <w:r w:rsidR="00B77C69">
        <w:rPr>
          <w:rFonts w:asciiTheme="minorHAnsi" w:hAnsiTheme="minorHAnsi" w:cstheme="minorHAnsi"/>
          <w:color w:val="333333"/>
        </w:rPr>
        <w:t>tells a story about customers who sign up</w:t>
      </w:r>
      <w:r w:rsidR="00D04192" w:rsidRPr="00AD3266">
        <w:rPr>
          <w:rFonts w:asciiTheme="minorHAnsi" w:hAnsiTheme="minorHAnsi" w:cstheme="minorHAnsi"/>
          <w:color w:val="333333"/>
        </w:rPr>
        <w:t xml:space="preserve"> with the company’s </w:t>
      </w:r>
      <w:r w:rsidR="00B77C69">
        <w:rPr>
          <w:rFonts w:asciiTheme="minorHAnsi" w:hAnsiTheme="minorHAnsi" w:cstheme="minorHAnsi"/>
          <w:color w:val="333333"/>
        </w:rPr>
        <w:t>ecosystem</w:t>
      </w:r>
      <w:r w:rsidR="00D04192" w:rsidRPr="00AD3266">
        <w:rPr>
          <w:rFonts w:asciiTheme="minorHAnsi" w:hAnsiTheme="minorHAnsi" w:cstheme="minorHAnsi"/>
          <w:color w:val="333333"/>
        </w:rPr>
        <w:t xml:space="preserve"> will have a lower churn rate. </w:t>
      </w:r>
      <w:r w:rsidR="003E360E" w:rsidRPr="00AD3266">
        <w:rPr>
          <w:rFonts w:asciiTheme="minorHAnsi" w:hAnsiTheme="minorHAnsi" w:cstheme="minorHAnsi"/>
          <w:color w:val="333333"/>
        </w:rPr>
        <w:t>Once</w:t>
      </w:r>
      <w:r w:rsidR="00A34415" w:rsidRPr="00AD3266">
        <w:rPr>
          <w:rFonts w:asciiTheme="minorHAnsi" w:hAnsiTheme="minorHAnsi" w:cstheme="minorHAnsi"/>
          <w:color w:val="333333"/>
        </w:rPr>
        <w:t xml:space="preserve"> the customer</w:t>
      </w:r>
      <w:r w:rsidR="00E86D22" w:rsidRPr="00AD3266">
        <w:rPr>
          <w:rFonts w:asciiTheme="minorHAnsi" w:hAnsiTheme="minorHAnsi" w:cstheme="minorHAnsi"/>
          <w:color w:val="333333"/>
        </w:rPr>
        <w:t>s</w:t>
      </w:r>
      <w:r w:rsidR="00A34415" w:rsidRPr="00AD3266">
        <w:rPr>
          <w:rFonts w:asciiTheme="minorHAnsi" w:hAnsiTheme="minorHAnsi" w:cstheme="minorHAnsi"/>
          <w:color w:val="333333"/>
        </w:rPr>
        <w:t xml:space="preserve"> ha</w:t>
      </w:r>
      <w:r w:rsidR="00E86D22" w:rsidRPr="00AD3266">
        <w:rPr>
          <w:rFonts w:asciiTheme="minorHAnsi" w:hAnsiTheme="minorHAnsi" w:cstheme="minorHAnsi"/>
          <w:color w:val="333333"/>
        </w:rPr>
        <w:t>ve</w:t>
      </w:r>
      <w:r w:rsidR="00A34415" w:rsidRPr="00AD3266">
        <w:rPr>
          <w:rFonts w:asciiTheme="minorHAnsi" w:hAnsiTheme="minorHAnsi" w:cstheme="minorHAnsi"/>
          <w:color w:val="333333"/>
        </w:rPr>
        <w:t xml:space="preserve"> all the </w:t>
      </w:r>
      <w:r w:rsidR="00E86D22" w:rsidRPr="00AD3266">
        <w:rPr>
          <w:rFonts w:asciiTheme="minorHAnsi" w:hAnsiTheme="minorHAnsi" w:cstheme="minorHAnsi"/>
          <w:color w:val="333333"/>
        </w:rPr>
        <w:t>services</w:t>
      </w:r>
      <w:r w:rsidR="00A34415" w:rsidRPr="00AD3266">
        <w:rPr>
          <w:rFonts w:asciiTheme="minorHAnsi" w:hAnsiTheme="minorHAnsi" w:cstheme="minorHAnsi"/>
          <w:color w:val="333333"/>
        </w:rPr>
        <w:t xml:space="preserve"> they need in one place</w:t>
      </w:r>
      <w:r w:rsidR="003E360E" w:rsidRPr="00AD3266">
        <w:rPr>
          <w:rFonts w:asciiTheme="minorHAnsi" w:hAnsiTheme="minorHAnsi" w:cstheme="minorHAnsi"/>
          <w:color w:val="333333"/>
        </w:rPr>
        <w:t>,</w:t>
      </w:r>
      <w:r w:rsidR="00A34415" w:rsidRPr="00AD3266">
        <w:rPr>
          <w:rFonts w:asciiTheme="minorHAnsi" w:hAnsiTheme="minorHAnsi" w:cstheme="minorHAnsi"/>
          <w:color w:val="333333"/>
        </w:rPr>
        <w:t xml:space="preserve"> </w:t>
      </w:r>
      <w:r w:rsidR="00E86D22" w:rsidRPr="00AD3266">
        <w:rPr>
          <w:rFonts w:asciiTheme="minorHAnsi" w:hAnsiTheme="minorHAnsi" w:cstheme="minorHAnsi"/>
          <w:color w:val="333333"/>
        </w:rPr>
        <w:t>they</w:t>
      </w:r>
      <w:r w:rsidR="00A34415" w:rsidRPr="00AD3266">
        <w:rPr>
          <w:rFonts w:asciiTheme="minorHAnsi" w:hAnsiTheme="minorHAnsi" w:cstheme="minorHAnsi"/>
          <w:color w:val="333333"/>
        </w:rPr>
        <w:t xml:space="preserve"> will not try to move away </w:t>
      </w:r>
      <w:r w:rsidR="00E86D22" w:rsidRPr="00AD3266">
        <w:rPr>
          <w:rFonts w:asciiTheme="minorHAnsi" w:hAnsiTheme="minorHAnsi" w:cstheme="minorHAnsi"/>
          <w:color w:val="333333"/>
        </w:rPr>
        <w:t>due to the difficulty and stress related to the migration from one company to another.</w:t>
      </w:r>
      <w:r w:rsidR="00A34415" w:rsidRPr="00AD3266">
        <w:rPr>
          <w:rFonts w:asciiTheme="minorHAnsi" w:hAnsiTheme="minorHAnsi" w:cstheme="minorHAnsi"/>
          <w:color w:val="333333"/>
        </w:rPr>
        <w:t xml:space="preserve"> </w:t>
      </w:r>
      <w:r w:rsidR="003D59E8" w:rsidRPr="00AD3266">
        <w:rPr>
          <w:rFonts w:asciiTheme="minorHAnsi" w:hAnsiTheme="minorHAnsi" w:cstheme="minorHAnsi"/>
          <w:color w:val="333333"/>
        </w:rPr>
        <w:t>Once the company keep investing in Research and development, the c</w:t>
      </w:r>
      <w:r w:rsidR="00612C3A" w:rsidRPr="00AD3266">
        <w:rPr>
          <w:rFonts w:asciiTheme="minorHAnsi" w:hAnsiTheme="minorHAnsi" w:cstheme="minorHAnsi"/>
          <w:color w:val="333333"/>
        </w:rPr>
        <w:t xml:space="preserve">ustomer will not look to the competitors </w:t>
      </w:r>
      <w:r w:rsidR="00774655" w:rsidRPr="00AD3266">
        <w:rPr>
          <w:rFonts w:asciiTheme="minorHAnsi" w:hAnsiTheme="minorHAnsi" w:cstheme="minorHAnsi"/>
          <w:color w:val="333333"/>
        </w:rPr>
        <w:t>and become loyal customers.</w:t>
      </w:r>
    </w:p>
    <w:p w14:paraId="6AAB7AD6" w14:textId="77777777" w:rsidR="00085365" w:rsidRPr="00AD3266" w:rsidRDefault="00085365" w:rsidP="00AC7FE8">
      <w:pPr>
        <w:pStyle w:val="NormalWeb"/>
        <w:shd w:val="clear" w:color="auto" w:fill="FFFFFF"/>
        <w:spacing w:before="0" w:beforeAutospacing="0" w:after="0" w:afterAutospacing="0" w:line="480" w:lineRule="auto"/>
        <w:ind w:left="360"/>
        <w:rPr>
          <w:rFonts w:asciiTheme="minorHAnsi" w:hAnsiTheme="minorHAnsi" w:cstheme="minorHAnsi"/>
          <w:color w:val="333333"/>
        </w:rPr>
      </w:pPr>
    </w:p>
    <w:p w14:paraId="4F945D33" w14:textId="09F0D8F5" w:rsidR="00085365" w:rsidRPr="00AD3266" w:rsidRDefault="00DC7BA0" w:rsidP="00AC7FE8">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rPr>
      </w:pPr>
      <w:r w:rsidRPr="00AD3266">
        <w:rPr>
          <w:rFonts w:asciiTheme="minorHAnsi" w:hAnsiTheme="minorHAnsi" w:cstheme="minorHAnsi"/>
          <w:color w:val="333333"/>
        </w:rPr>
        <w:t>﻿</w:t>
      </w:r>
      <w:r w:rsidR="00BB4F62" w:rsidRPr="00AD3266">
        <w:rPr>
          <w:rFonts w:asciiTheme="minorHAnsi" w:hAnsiTheme="minorHAnsi" w:cstheme="minorHAnsi"/>
          <w:color w:val="333333"/>
        </w:rPr>
        <w:t>The ‘</w:t>
      </w:r>
      <w:r w:rsidRPr="00AD3266">
        <w:rPr>
          <w:rFonts w:asciiTheme="minorHAnsi" w:hAnsiTheme="minorHAnsi" w:cstheme="minorHAnsi"/>
          <w:color w:val="333333"/>
        </w:rPr>
        <w:t>Monthly Charge v. Churn</w:t>
      </w:r>
      <w:r w:rsidR="00BB4F62" w:rsidRPr="00AD3266">
        <w:rPr>
          <w:rFonts w:asciiTheme="minorHAnsi" w:hAnsiTheme="minorHAnsi" w:cstheme="minorHAnsi"/>
          <w:color w:val="333333"/>
        </w:rPr>
        <w:t>’ t</w:t>
      </w:r>
      <w:r w:rsidR="00DC3A4C" w:rsidRPr="00AD3266">
        <w:rPr>
          <w:rFonts w:asciiTheme="minorHAnsi" w:hAnsiTheme="minorHAnsi" w:cstheme="minorHAnsi"/>
          <w:color w:val="333333"/>
        </w:rPr>
        <w:t xml:space="preserve">ells the story </w:t>
      </w:r>
      <w:r w:rsidR="002654E4" w:rsidRPr="00AD3266">
        <w:rPr>
          <w:rFonts w:asciiTheme="minorHAnsi" w:hAnsiTheme="minorHAnsi" w:cstheme="minorHAnsi"/>
          <w:color w:val="333333"/>
        </w:rPr>
        <w:t xml:space="preserve">of customers who have a lower churn rate </w:t>
      </w:r>
      <w:r w:rsidR="003E360E" w:rsidRPr="00AD3266">
        <w:rPr>
          <w:rFonts w:asciiTheme="minorHAnsi" w:hAnsiTheme="minorHAnsi" w:cstheme="minorHAnsi"/>
          <w:color w:val="333333"/>
        </w:rPr>
        <w:t xml:space="preserve">and have a competitive price advantage over the one </w:t>
      </w:r>
      <w:r w:rsidR="002654E4" w:rsidRPr="00AD3266">
        <w:rPr>
          <w:rFonts w:asciiTheme="minorHAnsi" w:hAnsiTheme="minorHAnsi" w:cstheme="minorHAnsi"/>
          <w:color w:val="333333"/>
        </w:rPr>
        <w:t xml:space="preserve">left. </w:t>
      </w:r>
      <w:r w:rsidR="003E360E" w:rsidRPr="00AD3266">
        <w:rPr>
          <w:rFonts w:asciiTheme="minorHAnsi" w:hAnsiTheme="minorHAnsi" w:cstheme="minorHAnsi"/>
          <w:color w:val="333333"/>
        </w:rPr>
        <w:t>The marketing team can utilise this advantage</w:t>
      </w:r>
      <w:r w:rsidR="00CD03F2" w:rsidRPr="00AD3266">
        <w:rPr>
          <w:rFonts w:asciiTheme="minorHAnsi" w:hAnsiTheme="minorHAnsi" w:cstheme="minorHAnsi"/>
          <w:color w:val="333333"/>
        </w:rPr>
        <w:t xml:space="preserve"> </w:t>
      </w:r>
      <w:r w:rsidR="00752C5B" w:rsidRPr="00AD3266">
        <w:rPr>
          <w:rFonts w:asciiTheme="minorHAnsi" w:hAnsiTheme="minorHAnsi" w:cstheme="minorHAnsi"/>
          <w:color w:val="333333"/>
        </w:rPr>
        <w:t xml:space="preserve">in their strategies to </w:t>
      </w:r>
      <w:r w:rsidR="003C379E" w:rsidRPr="00AD3266">
        <w:rPr>
          <w:rFonts w:asciiTheme="minorHAnsi" w:hAnsiTheme="minorHAnsi" w:cstheme="minorHAnsi"/>
          <w:color w:val="333333"/>
        </w:rPr>
        <w:t>increase</w:t>
      </w:r>
      <w:r w:rsidR="00752C5B" w:rsidRPr="00AD3266">
        <w:rPr>
          <w:rFonts w:asciiTheme="minorHAnsi" w:hAnsiTheme="minorHAnsi" w:cstheme="minorHAnsi"/>
          <w:color w:val="333333"/>
        </w:rPr>
        <w:t xml:space="preserve"> </w:t>
      </w:r>
      <w:r w:rsidR="003C379E" w:rsidRPr="00AD3266">
        <w:rPr>
          <w:rFonts w:asciiTheme="minorHAnsi" w:hAnsiTheme="minorHAnsi" w:cstheme="minorHAnsi"/>
          <w:color w:val="333333"/>
        </w:rPr>
        <w:t>companies’</w:t>
      </w:r>
      <w:r w:rsidR="00752C5B" w:rsidRPr="00AD3266">
        <w:rPr>
          <w:rFonts w:asciiTheme="minorHAnsi" w:hAnsiTheme="minorHAnsi" w:cstheme="minorHAnsi"/>
          <w:color w:val="333333"/>
        </w:rPr>
        <w:t xml:space="preserve"> </w:t>
      </w:r>
      <w:r w:rsidR="003C379E" w:rsidRPr="00AD3266">
        <w:rPr>
          <w:rFonts w:asciiTheme="minorHAnsi" w:hAnsiTheme="minorHAnsi" w:cstheme="minorHAnsi"/>
          <w:color w:val="333333"/>
        </w:rPr>
        <w:t>footprint in the business sector.</w:t>
      </w:r>
    </w:p>
    <w:p w14:paraId="6BA57097" w14:textId="77777777" w:rsidR="00085365" w:rsidRPr="00AD3266" w:rsidRDefault="00085365" w:rsidP="00AC7FE8">
      <w:pPr>
        <w:pStyle w:val="NormalWeb"/>
        <w:shd w:val="clear" w:color="auto" w:fill="FFFFFF"/>
        <w:spacing w:before="0" w:beforeAutospacing="0" w:after="0" w:afterAutospacing="0" w:line="480" w:lineRule="auto"/>
        <w:rPr>
          <w:rFonts w:asciiTheme="minorHAnsi" w:hAnsiTheme="minorHAnsi" w:cstheme="minorHAnsi"/>
          <w:color w:val="333333"/>
        </w:rPr>
      </w:pPr>
    </w:p>
    <w:p w14:paraId="1A86C6E0" w14:textId="41B1A20A" w:rsidR="00484B89" w:rsidRPr="00AD3266" w:rsidRDefault="000E08C1" w:rsidP="00AC7FE8">
      <w:pPr>
        <w:pStyle w:val="NormalWeb"/>
        <w:shd w:val="clear" w:color="auto" w:fill="FFFFFF"/>
        <w:spacing w:before="0" w:beforeAutospacing="0" w:after="0" w:afterAutospacing="0" w:line="480" w:lineRule="auto"/>
        <w:ind w:firstLine="360"/>
        <w:rPr>
          <w:rFonts w:asciiTheme="minorHAnsi" w:hAnsiTheme="minorHAnsi" w:cstheme="minorHAnsi"/>
          <w:color w:val="333333"/>
        </w:rPr>
      </w:pPr>
      <w:r w:rsidRPr="00AD3266">
        <w:rPr>
          <w:rFonts w:asciiTheme="minorHAnsi" w:hAnsiTheme="minorHAnsi" w:cstheme="minorHAnsi"/>
          <w:color w:val="333333"/>
        </w:rPr>
        <w:t>My primary audience</w:t>
      </w:r>
      <w:r w:rsidR="00664330" w:rsidRPr="00AD3266">
        <w:rPr>
          <w:rFonts w:asciiTheme="minorHAnsi" w:hAnsiTheme="minorHAnsi" w:cstheme="minorHAnsi"/>
          <w:color w:val="333333"/>
        </w:rPr>
        <w:t>s</w:t>
      </w:r>
      <w:r w:rsidRPr="00AD3266">
        <w:rPr>
          <w:rFonts w:asciiTheme="minorHAnsi" w:hAnsiTheme="minorHAnsi" w:cstheme="minorHAnsi"/>
          <w:color w:val="333333"/>
        </w:rPr>
        <w:t xml:space="preserve"> </w:t>
      </w:r>
      <w:r w:rsidR="00664330" w:rsidRPr="00AD3266">
        <w:rPr>
          <w:rFonts w:asciiTheme="minorHAnsi" w:hAnsiTheme="minorHAnsi" w:cstheme="minorHAnsi"/>
          <w:color w:val="333333"/>
        </w:rPr>
        <w:t>are</w:t>
      </w:r>
      <w:r w:rsidR="0097119A" w:rsidRPr="00AD3266">
        <w:rPr>
          <w:rFonts w:asciiTheme="minorHAnsi" w:hAnsiTheme="minorHAnsi" w:cstheme="minorHAnsi"/>
          <w:color w:val="333333"/>
        </w:rPr>
        <w:t xml:space="preserve"> functional leads, </w:t>
      </w:r>
      <w:r w:rsidR="00664330" w:rsidRPr="00AD3266">
        <w:rPr>
          <w:rFonts w:asciiTheme="minorHAnsi" w:hAnsiTheme="minorHAnsi" w:cstheme="minorHAnsi"/>
          <w:color w:val="333333"/>
        </w:rPr>
        <w:t>managers,</w:t>
      </w:r>
      <w:r w:rsidR="00943538" w:rsidRPr="00AD3266">
        <w:rPr>
          <w:rFonts w:asciiTheme="minorHAnsi" w:hAnsiTheme="minorHAnsi" w:cstheme="minorHAnsi"/>
          <w:color w:val="333333"/>
        </w:rPr>
        <w:t xml:space="preserve"> and department heads of telecom </w:t>
      </w:r>
      <w:r w:rsidR="00B77C69">
        <w:rPr>
          <w:rFonts w:asciiTheme="minorHAnsi" w:hAnsiTheme="minorHAnsi" w:cstheme="minorHAnsi"/>
          <w:color w:val="333333"/>
        </w:rPr>
        <w:t>organisations</w:t>
      </w:r>
      <w:r w:rsidR="00943538" w:rsidRPr="00AD3266">
        <w:rPr>
          <w:rFonts w:asciiTheme="minorHAnsi" w:hAnsiTheme="minorHAnsi" w:cstheme="minorHAnsi"/>
          <w:color w:val="333333"/>
        </w:rPr>
        <w:t xml:space="preserve">. </w:t>
      </w:r>
      <w:r w:rsidR="00664330" w:rsidRPr="00AD3266">
        <w:rPr>
          <w:rFonts w:asciiTheme="minorHAnsi" w:hAnsiTheme="minorHAnsi" w:cstheme="minorHAnsi"/>
          <w:color w:val="333333"/>
        </w:rPr>
        <w:t xml:space="preserve">To ensure they </w:t>
      </w:r>
      <w:r w:rsidR="00B77C69">
        <w:rPr>
          <w:rFonts w:asciiTheme="minorHAnsi" w:hAnsiTheme="minorHAnsi" w:cstheme="minorHAnsi"/>
          <w:color w:val="333333"/>
        </w:rPr>
        <w:t>were</w:t>
      </w:r>
      <w:r w:rsidR="00664330" w:rsidRPr="00AD3266">
        <w:rPr>
          <w:rFonts w:asciiTheme="minorHAnsi" w:hAnsiTheme="minorHAnsi" w:cstheme="minorHAnsi"/>
          <w:color w:val="333333"/>
        </w:rPr>
        <w:t xml:space="preserve"> </w:t>
      </w:r>
      <w:r w:rsidR="00B77C69" w:rsidRPr="00AD3266">
        <w:rPr>
          <w:rFonts w:asciiTheme="minorHAnsi" w:hAnsiTheme="minorHAnsi" w:cstheme="minorHAnsi"/>
          <w:color w:val="333333"/>
        </w:rPr>
        <w:t>engaged</w:t>
      </w:r>
      <w:r w:rsidR="00664330" w:rsidRPr="00AD3266">
        <w:rPr>
          <w:rFonts w:asciiTheme="minorHAnsi" w:hAnsiTheme="minorHAnsi" w:cstheme="minorHAnsi"/>
          <w:color w:val="333333"/>
        </w:rPr>
        <w:t xml:space="preserve"> and the </w:t>
      </w:r>
      <w:r w:rsidR="008A6D20" w:rsidRPr="00AD3266">
        <w:rPr>
          <w:rFonts w:asciiTheme="minorHAnsi" w:hAnsiTheme="minorHAnsi" w:cstheme="minorHAnsi"/>
          <w:color w:val="333333"/>
        </w:rPr>
        <w:t xml:space="preserve">essential </w:t>
      </w:r>
      <w:r w:rsidR="00664330" w:rsidRPr="00AD3266">
        <w:rPr>
          <w:rFonts w:asciiTheme="minorHAnsi" w:hAnsiTheme="minorHAnsi" w:cstheme="minorHAnsi"/>
          <w:color w:val="333333"/>
        </w:rPr>
        <w:t>point</w:t>
      </w:r>
      <w:r w:rsidR="008A6D20" w:rsidRPr="00AD3266">
        <w:rPr>
          <w:rFonts w:asciiTheme="minorHAnsi" w:hAnsiTheme="minorHAnsi" w:cstheme="minorHAnsi"/>
          <w:color w:val="333333"/>
        </w:rPr>
        <w:t>s</w:t>
      </w:r>
      <w:r w:rsidR="00664330" w:rsidRPr="00AD3266">
        <w:rPr>
          <w:rFonts w:asciiTheme="minorHAnsi" w:hAnsiTheme="minorHAnsi" w:cstheme="minorHAnsi"/>
          <w:color w:val="333333"/>
        </w:rPr>
        <w:t xml:space="preserve"> </w:t>
      </w:r>
      <w:r w:rsidR="008A6D20" w:rsidRPr="00AD3266">
        <w:rPr>
          <w:rFonts w:asciiTheme="minorHAnsi" w:hAnsiTheme="minorHAnsi" w:cstheme="minorHAnsi"/>
          <w:color w:val="333333"/>
        </w:rPr>
        <w:t>were</w:t>
      </w:r>
      <w:r w:rsidR="00664330" w:rsidRPr="00AD3266">
        <w:rPr>
          <w:rFonts w:asciiTheme="minorHAnsi" w:hAnsiTheme="minorHAnsi" w:cstheme="minorHAnsi"/>
          <w:color w:val="333333"/>
        </w:rPr>
        <w:t xml:space="preserve"> sent across</w:t>
      </w:r>
      <w:r w:rsidR="003B0ECA" w:rsidRPr="00AD3266">
        <w:rPr>
          <w:rFonts w:asciiTheme="minorHAnsi" w:hAnsiTheme="minorHAnsi" w:cstheme="minorHAnsi"/>
          <w:color w:val="333333"/>
        </w:rPr>
        <w:t xml:space="preserve">, anything that </w:t>
      </w:r>
      <w:r w:rsidR="00B77C69">
        <w:rPr>
          <w:rFonts w:asciiTheme="minorHAnsi" w:hAnsiTheme="minorHAnsi" w:cstheme="minorHAnsi"/>
          <w:color w:val="333333"/>
        </w:rPr>
        <w:t>could</w:t>
      </w:r>
      <w:r w:rsidR="003B0ECA" w:rsidRPr="00AD3266">
        <w:rPr>
          <w:rFonts w:asciiTheme="minorHAnsi" w:hAnsiTheme="minorHAnsi" w:cstheme="minorHAnsi"/>
          <w:color w:val="333333"/>
        </w:rPr>
        <w:t xml:space="preserve"> </w:t>
      </w:r>
      <w:r w:rsidR="008A6D20" w:rsidRPr="00AD3266">
        <w:rPr>
          <w:rFonts w:asciiTheme="minorHAnsi" w:hAnsiTheme="minorHAnsi" w:cstheme="minorHAnsi"/>
          <w:color w:val="333333"/>
        </w:rPr>
        <w:t>be ambiguous</w:t>
      </w:r>
      <w:r w:rsidR="003B0ECA" w:rsidRPr="00AD3266">
        <w:rPr>
          <w:rFonts w:asciiTheme="minorHAnsi" w:hAnsiTheme="minorHAnsi" w:cstheme="minorHAnsi"/>
          <w:color w:val="333333"/>
        </w:rPr>
        <w:t xml:space="preserve"> was redacted from the </w:t>
      </w:r>
      <w:r w:rsidR="00B77C69">
        <w:rPr>
          <w:rFonts w:asciiTheme="minorHAnsi" w:hAnsiTheme="minorHAnsi" w:cstheme="minorHAnsi"/>
          <w:color w:val="333333"/>
        </w:rPr>
        <w:t>visualisation</w:t>
      </w:r>
      <w:r w:rsidR="003B0ECA" w:rsidRPr="00AD3266">
        <w:rPr>
          <w:rFonts w:asciiTheme="minorHAnsi" w:hAnsiTheme="minorHAnsi" w:cstheme="minorHAnsi"/>
          <w:color w:val="333333"/>
        </w:rPr>
        <w:t xml:space="preserve">. </w:t>
      </w:r>
      <w:r w:rsidR="005668EE" w:rsidRPr="00AD3266">
        <w:rPr>
          <w:rFonts w:asciiTheme="minorHAnsi" w:hAnsiTheme="minorHAnsi" w:cstheme="minorHAnsi"/>
          <w:color w:val="333333"/>
        </w:rPr>
        <w:t xml:space="preserve">Extreme </w:t>
      </w:r>
      <w:r w:rsidR="008D2F38" w:rsidRPr="00AD3266">
        <w:rPr>
          <w:rFonts w:asciiTheme="minorHAnsi" w:hAnsiTheme="minorHAnsi" w:cstheme="minorHAnsi"/>
          <w:color w:val="333333"/>
        </w:rPr>
        <w:t>care was</w:t>
      </w:r>
      <w:r w:rsidR="005668EE" w:rsidRPr="00AD3266">
        <w:rPr>
          <w:rFonts w:asciiTheme="minorHAnsi" w:hAnsiTheme="minorHAnsi" w:cstheme="minorHAnsi"/>
          <w:color w:val="333333"/>
        </w:rPr>
        <w:t xml:space="preserve"> put toward keeping </w:t>
      </w:r>
      <w:r w:rsidR="008D2F38" w:rsidRPr="00AD3266">
        <w:rPr>
          <w:rFonts w:asciiTheme="minorHAnsi" w:hAnsiTheme="minorHAnsi" w:cstheme="minorHAnsi"/>
          <w:color w:val="333333"/>
        </w:rPr>
        <w:t xml:space="preserve">visuals simple and to the point. </w:t>
      </w:r>
      <w:r w:rsidR="002D49BE" w:rsidRPr="00AD3266">
        <w:rPr>
          <w:rFonts w:asciiTheme="minorHAnsi" w:hAnsiTheme="minorHAnsi" w:cstheme="minorHAnsi"/>
          <w:color w:val="333333"/>
        </w:rPr>
        <w:t xml:space="preserve">All the dollar </w:t>
      </w:r>
      <w:r w:rsidR="0057451A" w:rsidRPr="00AD3266">
        <w:rPr>
          <w:rFonts w:asciiTheme="minorHAnsi" w:hAnsiTheme="minorHAnsi" w:cstheme="minorHAnsi"/>
          <w:color w:val="333333"/>
        </w:rPr>
        <w:t>amounts percentages</w:t>
      </w:r>
      <w:r w:rsidR="002D49BE" w:rsidRPr="00AD3266">
        <w:rPr>
          <w:rFonts w:asciiTheme="minorHAnsi" w:hAnsiTheme="minorHAnsi" w:cstheme="minorHAnsi"/>
          <w:color w:val="333333"/>
        </w:rPr>
        <w:t xml:space="preserve"> were rounded up</w:t>
      </w:r>
      <w:r w:rsidR="00B77C69">
        <w:rPr>
          <w:rFonts w:asciiTheme="minorHAnsi" w:hAnsiTheme="minorHAnsi" w:cstheme="minorHAnsi"/>
          <w:color w:val="333333"/>
        </w:rPr>
        <w:t>,</w:t>
      </w:r>
      <w:r w:rsidR="0057451A" w:rsidRPr="00AD3266">
        <w:rPr>
          <w:rFonts w:asciiTheme="minorHAnsi" w:hAnsiTheme="minorHAnsi" w:cstheme="minorHAnsi"/>
          <w:color w:val="333333"/>
        </w:rPr>
        <w:t xml:space="preserve"> and </w:t>
      </w:r>
      <w:r w:rsidR="002D49BE" w:rsidRPr="00AD3266">
        <w:rPr>
          <w:rFonts w:asciiTheme="minorHAnsi" w:hAnsiTheme="minorHAnsi" w:cstheme="minorHAnsi"/>
          <w:color w:val="333333"/>
        </w:rPr>
        <w:t>decimals were dropped</w:t>
      </w:r>
      <w:r w:rsidR="0057451A" w:rsidRPr="00AD3266">
        <w:rPr>
          <w:rFonts w:asciiTheme="minorHAnsi" w:hAnsiTheme="minorHAnsi" w:cstheme="minorHAnsi"/>
          <w:color w:val="333333"/>
        </w:rPr>
        <w:t xml:space="preserve"> </w:t>
      </w:r>
      <w:r w:rsidR="00D34573" w:rsidRPr="00AD3266">
        <w:rPr>
          <w:rFonts w:asciiTheme="minorHAnsi" w:hAnsiTheme="minorHAnsi" w:cstheme="minorHAnsi"/>
          <w:color w:val="333333"/>
        </w:rPr>
        <w:t xml:space="preserve">to make the information palatable for the </w:t>
      </w:r>
      <w:r w:rsidR="00CD39C9" w:rsidRPr="00AD3266">
        <w:rPr>
          <w:rFonts w:asciiTheme="minorHAnsi" w:hAnsiTheme="minorHAnsi" w:cstheme="minorHAnsi"/>
          <w:color w:val="333333"/>
        </w:rPr>
        <w:t>decision-makers</w:t>
      </w:r>
      <w:r w:rsidR="00D34573" w:rsidRPr="00AD3266">
        <w:rPr>
          <w:rFonts w:asciiTheme="minorHAnsi" w:hAnsiTheme="minorHAnsi" w:cstheme="minorHAnsi"/>
          <w:color w:val="333333"/>
        </w:rPr>
        <w:t>.</w:t>
      </w:r>
      <w:r w:rsidR="002D49BE" w:rsidRPr="00AD3266">
        <w:rPr>
          <w:rFonts w:asciiTheme="minorHAnsi" w:hAnsiTheme="minorHAnsi" w:cstheme="minorHAnsi"/>
          <w:color w:val="333333"/>
        </w:rPr>
        <w:t xml:space="preserve"> </w:t>
      </w:r>
    </w:p>
    <w:p w14:paraId="7FF2DEFE" w14:textId="77777777" w:rsidR="002C0F99" w:rsidRPr="00AD3266" w:rsidRDefault="002C0F99" w:rsidP="00AC7FE8">
      <w:pPr>
        <w:pStyle w:val="NormalWeb"/>
        <w:shd w:val="clear" w:color="auto" w:fill="FFFFFF"/>
        <w:spacing w:before="0" w:beforeAutospacing="0" w:after="0" w:afterAutospacing="0" w:line="480" w:lineRule="auto"/>
        <w:ind w:firstLine="360"/>
        <w:rPr>
          <w:rFonts w:asciiTheme="minorHAnsi" w:hAnsiTheme="minorHAnsi" w:cstheme="minorHAnsi"/>
          <w:color w:val="333333"/>
        </w:rPr>
      </w:pPr>
    </w:p>
    <w:p w14:paraId="3BBBB772" w14:textId="42488FD2" w:rsidR="002C0F99" w:rsidRPr="00AD3266" w:rsidRDefault="002C0F99" w:rsidP="00EA1435">
      <w:pPr>
        <w:spacing w:line="480" w:lineRule="auto"/>
        <w:ind w:firstLine="360"/>
        <w:rPr>
          <w:rFonts w:eastAsia="Times New Roman" w:cstheme="minorHAnsi"/>
          <w:color w:val="333333"/>
          <w:sz w:val="24"/>
          <w:szCs w:val="24"/>
          <w:lang w:eastAsia="en-GB"/>
        </w:rPr>
      </w:pPr>
      <w:r w:rsidRPr="00AD3266">
        <w:rPr>
          <w:rFonts w:eastAsia="Times New Roman" w:cstheme="minorHAnsi"/>
          <w:color w:val="333333"/>
          <w:sz w:val="24"/>
          <w:szCs w:val="24"/>
          <w:lang w:eastAsia="en-GB"/>
        </w:rPr>
        <w:t xml:space="preserve">The ‘Best Practices for Designing Accessible Views’ laid out by Tableau were followed to ensure the visual designs layout are </w:t>
      </w:r>
      <w:r w:rsidR="00B77C69">
        <w:rPr>
          <w:rFonts w:eastAsia="Times New Roman" w:cstheme="minorHAnsi"/>
          <w:color w:val="333333"/>
          <w:sz w:val="24"/>
          <w:szCs w:val="24"/>
          <w:lang w:eastAsia="en-GB"/>
        </w:rPr>
        <w:t>optimised</w:t>
      </w:r>
      <w:r w:rsidRPr="00AD3266">
        <w:rPr>
          <w:rFonts w:eastAsia="Times New Roman" w:cstheme="minorHAnsi"/>
          <w:color w:val="333333"/>
          <w:sz w:val="24"/>
          <w:szCs w:val="24"/>
          <w:lang w:eastAsia="en-GB"/>
        </w:rPr>
        <w:t xml:space="preserve"> for accessibility. Simple graphic elements like bar charts or line charts allow you to use text, </w:t>
      </w:r>
      <w:r w:rsidR="00B77C69">
        <w:rPr>
          <w:rFonts w:eastAsia="Times New Roman" w:cstheme="minorHAnsi"/>
          <w:color w:val="333333"/>
          <w:sz w:val="24"/>
          <w:szCs w:val="24"/>
          <w:lang w:eastAsia="en-GB"/>
        </w:rPr>
        <w:t>colour</w:t>
      </w:r>
      <w:r w:rsidRPr="00AD3266">
        <w:rPr>
          <w:rFonts w:eastAsia="Times New Roman" w:cstheme="minorHAnsi"/>
          <w:color w:val="333333"/>
          <w:sz w:val="24"/>
          <w:szCs w:val="24"/>
          <w:lang w:eastAsia="en-GB"/>
        </w:rPr>
        <w:t xml:space="preserve"> and shapes to add additional context to the view. (Tableau, 2022) were used. Extra care was taken to avoid jargon, acronyms, or abbreviations to remove complexity in the Title and Caption. </w:t>
      </w:r>
    </w:p>
    <w:p w14:paraId="0797F352" w14:textId="0E7C45AD" w:rsidR="00EA1435" w:rsidRPr="00AD3266" w:rsidRDefault="00AD3266" w:rsidP="00A20FA0">
      <w:pPr>
        <w:pStyle w:val="NormalWeb"/>
        <w:shd w:val="clear" w:color="auto" w:fill="FFFFFF"/>
        <w:spacing w:before="0" w:beforeAutospacing="0" w:after="0" w:afterAutospacing="0" w:line="480" w:lineRule="auto"/>
        <w:ind w:firstLine="360"/>
        <w:rPr>
          <w:rFonts w:asciiTheme="minorHAnsi" w:hAnsiTheme="minorHAnsi" w:cstheme="minorHAnsi"/>
          <w:color w:val="333333"/>
        </w:rPr>
      </w:pPr>
      <w:r w:rsidRPr="00AD3266">
        <w:rPr>
          <w:rFonts w:asciiTheme="minorHAnsi" w:hAnsiTheme="minorHAnsi" w:cstheme="minorHAnsi"/>
          <w:color w:val="333333"/>
        </w:rPr>
        <w:t>Storytelling</w:t>
      </w:r>
      <w:r w:rsidR="009932B0" w:rsidRPr="00AD3266">
        <w:rPr>
          <w:rFonts w:asciiTheme="minorHAnsi" w:hAnsiTheme="minorHAnsi" w:cstheme="minorHAnsi"/>
          <w:color w:val="333333"/>
        </w:rPr>
        <w:t xml:space="preserve"> is </w:t>
      </w:r>
      <w:r w:rsidRPr="00AD3266">
        <w:rPr>
          <w:rFonts w:asciiTheme="minorHAnsi" w:hAnsiTheme="minorHAnsi" w:cstheme="minorHAnsi"/>
          <w:color w:val="333333"/>
        </w:rPr>
        <w:t xml:space="preserve">an </w:t>
      </w:r>
      <w:r w:rsidR="009932B0" w:rsidRPr="00AD3266">
        <w:rPr>
          <w:rFonts w:asciiTheme="minorHAnsi" w:hAnsiTheme="minorHAnsi" w:cstheme="minorHAnsi"/>
          <w:color w:val="333333"/>
        </w:rPr>
        <w:t>art and</w:t>
      </w:r>
      <w:r w:rsidR="00F17B08">
        <w:rPr>
          <w:rFonts w:asciiTheme="minorHAnsi" w:hAnsiTheme="minorHAnsi" w:cstheme="minorHAnsi"/>
          <w:color w:val="333333"/>
        </w:rPr>
        <w:t xml:space="preserve"> brings the store to life, combined with well-presented visual data</w:t>
      </w:r>
      <w:r w:rsidRPr="00AD3266">
        <w:rPr>
          <w:rFonts w:asciiTheme="minorHAnsi" w:hAnsiTheme="minorHAnsi" w:cstheme="minorHAnsi"/>
          <w:color w:val="333333"/>
        </w:rPr>
        <w:t>.</w:t>
      </w:r>
      <w:r w:rsidR="00A20FA0">
        <w:rPr>
          <w:rFonts w:asciiTheme="minorHAnsi" w:hAnsiTheme="minorHAnsi" w:cstheme="minorHAnsi"/>
          <w:color w:val="333333"/>
        </w:rPr>
        <w:t xml:space="preserve"> </w:t>
      </w:r>
      <w:r w:rsidR="007E518D" w:rsidRPr="00AD3266">
        <w:rPr>
          <w:rFonts w:asciiTheme="minorHAnsi" w:hAnsiTheme="minorHAnsi" w:cstheme="minorHAnsi"/>
          <w:color w:val="333333"/>
        </w:rPr>
        <w:t xml:space="preserve">I used the </w:t>
      </w:r>
      <w:r w:rsidR="004F31F8" w:rsidRPr="00AD3266">
        <w:rPr>
          <w:rFonts w:asciiTheme="minorHAnsi" w:hAnsiTheme="minorHAnsi" w:cstheme="minorHAnsi"/>
          <w:color w:val="333333"/>
        </w:rPr>
        <w:t>‘</w:t>
      </w:r>
      <w:r w:rsidR="007E518D" w:rsidRPr="00AD3266">
        <w:rPr>
          <w:rFonts w:asciiTheme="minorHAnsi" w:hAnsiTheme="minorHAnsi" w:cstheme="minorHAnsi"/>
          <w:color w:val="333333"/>
        </w:rPr>
        <w:t>contra</w:t>
      </w:r>
      <w:r w:rsidR="00E11D97" w:rsidRPr="00AD3266">
        <w:rPr>
          <w:rFonts w:asciiTheme="minorHAnsi" w:hAnsiTheme="minorHAnsi" w:cstheme="minorHAnsi"/>
          <w:color w:val="333333"/>
        </w:rPr>
        <w:t>s</w:t>
      </w:r>
      <w:r w:rsidR="007E518D" w:rsidRPr="00AD3266">
        <w:rPr>
          <w:rFonts w:asciiTheme="minorHAnsi" w:hAnsiTheme="minorHAnsi" w:cstheme="minorHAnsi"/>
          <w:color w:val="333333"/>
        </w:rPr>
        <w:t>t</w:t>
      </w:r>
      <w:r w:rsidR="004F31F8" w:rsidRPr="00AD3266">
        <w:rPr>
          <w:rFonts w:asciiTheme="minorHAnsi" w:hAnsiTheme="minorHAnsi" w:cstheme="minorHAnsi"/>
          <w:color w:val="333333"/>
        </w:rPr>
        <w:t>’</w:t>
      </w:r>
      <w:r w:rsidR="009E3836" w:rsidRPr="00AD3266">
        <w:rPr>
          <w:rFonts w:asciiTheme="minorHAnsi" w:hAnsiTheme="minorHAnsi" w:cstheme="minorHAnsi"/>
          <w:color w:val="333333"/>
        </w:rPr>
        <w:t xml:space="preserve"> element to </w:t>
      </w:r>
      <w:r w:rsidR="00D12CA0" w:rsidRPr="00AD3266">
        <w:rPr>
          <w:rFonts w:asciiTheme="minorHAnsi" w:hAnsiTheme="minorHAnsi" w:cstheme="minorHAnsi"/>
          <w:color w:val="333333"/>
        </w:rPr>
        <w:t xml:space="preserve">drive the </w:t>
      </w:r>
      <w:r w:rsidR="009E3836" w:rsidRPr="00AD3266">
        <w:rPr>
          <w:rFonts w:asciiTheme="minorHAnsi" w:hAnsiTheme="minorHAnsi" w:cstheme="minorHAnsi"/>
          <w:color w:val="333333"/>
        </w:rPr>
        <w:t>compa</w:t>
      </w:r>
      <w:r w:rsidR="00D12CA0" w:rsidRPr="00AD3266">
        <w:rPr>
          <w:rFonts w:asciiTheme="minorHAnsi" w:hAnsiTheme="minorHAnsi" w:cstheme="minorHAnsi"/>
          <w:color w:val="333333"/>
        </w:rPr>
        <w:t>rison</w:t>
      </w:r>
      <w:r w:rsidR="009E3836" w:rsidRPr="00AD3266">
        <w:rPr>
          <w:rFonts w:asciiTheme="minorHAnsi" w:hAnsiTheme="minorHAnsi" w:cstheme="minorHAnsi"/>
          <w:color w:val="333333"/>
        </w:rPr>
        <w:t xml:space="preserve"> </w:t>
      </w:r>
      <w:r w:rsidR="00D12CA0" w:rsidRPr="00AD3266">
        <w:rPr>
          <w:rFonts w:asciiTheme="minorHAnsi" w:hAnsiTheme="minorHAnsi" w:cstheme="minorHAnsi"/>
          <w:color w:val="333333"/>
        </w:rPr>
        <w:t>of</w:t>
      </w:r>
      <w:r w:rsidR="009E3836" w:rsidRPr="00AD3266">
        <w:rPr>
          <w:rFonts w:asciiTheme="minorHAnsi" w:hAnsiTheme="minorHAnsi" w:cstheme="minorHAnsi"/>
          <w:color w:val="333333"/>
        </w:rPr>
        <w:t xml:space="preserve"> two </w:t>
      </w:r>
      <w:r w:rsidR="004F31F8" w:rsidRPr="00AD3266">
        <w:rPr>
          <w:rFonts w:asciiTheme="minorHAnsi" w:hAnsiTheme="minorHAnsi" w:cstheme="minorHAnsi"/>
          <w:color w:val="333333"/>
        </w:rPr>
        <w:t>datasets</w:t>
      </w:r>
      <w:r w:rsidR="00D12CA0" w:rsidRPr="00AD3266">
        <w:rPr>
          <w:rFonts w:asciiTheme="minorHAnsi" w:hAnsiTheme="minorHAnsi" w:cstheme="minorHAnsi"/>
          <w:color w:val="333333"/>
        </w:rPr>
        <w:t xml:space="preserve">. </w:t>
      </w:r>
      <w:r w:rsidR="00E11D97" w:rsidRPr="00AD3266">
        <w:rPr>
          <w:rFonts w:asciiTheme="minorHAnsi" w:hAnsiTheme="minorHAnsi" w:cstheme="minorHAnsi"/>
          <w:color w:val="333333"/>
        </w:rPr>
        <w:t xml:space="preserve">The narrative </w:t>
      </w:r>
      <w:r w:rsidR="00D2251F" w:rsidRPr="00AD3266">
        <w:rPr>
          <w:rFonts w:asciiTheme="minorHAnsi" w:hAnsiTheme="minorHAnsi" w:cstheme="minorHAnsi"/>
          <w:color w:val="333333"/>
        </w:rPr>
        <w:t>was enforced</w:t>
      </w:r>
      <w:r w:rsidR="00E11D97" w:rsidRPr="00AD3266">
        <w:rPr>
          <w:rFonts w:asciiTheme="minorHAnsi" w:hAnsiTheme="minorHAnsi" w:cstheme="minorHAnsi"/>
          <w:color w:val="333333"/>
        </w:rPr>
        <w:t xml:space="preserve"> with the</w:t>
      </w:r>
      <w:r w:rsidR="00D2251F" w:rsidRPr="00AD3266">
        <w:rPr>
          <w:rFonts w:asciiTheme="minorHAnsi" w:hAnsiTheme="minorHAnsi" w:cstheme="minorHAnsi"/>
          <w:color w:val="333333"/>
        </w:rPr>
        <w:t xml:space="preserve"> easy to understand bar charts</w:t>
      </w:r>
      <w:r w:rsidR="00E11D97" w:rsidRPr="00AD3266">
        <w:rPr>
          <w:rFonts w:asciiTheme="minorHAnsi" w:hAnsiTheme="minorHAnsi" w:cstheme="minorHAnsi"/>
          <w:color w:val="333333"/>
        </w:rPr>
        <w:t xml:space="preserve"> </w:t>
      </w:r>
      <w:r w:rsidR="00D2251F" w:rsidRPr="00AD3266">
        <w:rPr>
          <w:rFonts w:asciiTheme="minorHAnsi" w:hAnsiTheme="minorHAnsi" w:cstheme="minorHAnsi"/>
          <w:color w:val="333333"/>
        </w:rPr>
        <w:t xml:space="preserve">with a filter on the churn. </w:t>
      </w:r>
      <w:r w:rsidR="006A7640" w:rsidRPr="00AD3266">
        <w:rPr>
          <w:rFonts w:asciiTheme="minorHAnsi" w:hAnsiTheme="minorHAnsi" w:cstheme="minorHAnsi"/>
          <w:color w:val="333333"/>
        </w:rPr>
        <w:t xml:space="preserve">It showed how the two datasets are different following the Tableau principle </w:t>
      </w:r>
      <w:r w:rsidR="004F31F8" w:rsidRPr="00AD3266">
        <w:rPr>
          <w:rFonts w:asciiTheme="minorHAnsi" w:hAnsiTheme="minorHAnsi" w:cstheme="minorHAnsi"/>
          <w:color w:val="333333"/>
        </w:rPr>
        <w:t>(</w:t>
      </w:r>
      <w:r w:rsidR="004F31F8" w:rsidRPr="00AD3266">
        <w:rPr>
          <w:rFonts w:asciiTheme="minorHAnsi" w:hAnsiTheme="minorHAnsi" w:cstheme="minorHAnsi"/>
          <w:color w:val="000000"/>
        </w:rPr>
        <w:t>Tableau, 2021</w:t>
      </w:r>
      <w:r w:rsidR="004F31F8" w:rsidRPr="00AD3266">
        <w:rPr>
          <w:rFonts w:asciiTheme="minorHAnsi" w:hAnsiTheme="minorHAnsi" w:cstheme="minorHAnsi"/>
          <w:color w:val="333333"/>
        </w:rPr>
        <w:t>)</w:t>
      </w:r>
      <w:r w:rsidR="009E3836" w:rsidRPr="00AD3266">
        <w:rPr>
          <w:rFonts w:asciiTheme="minorHAnsi" w:hAnsiTheme="minorHAnsi" w:cstheme="minorHAnsi"/>
          <w:color w:val="333333"/>
        </w:rPr>
        <w:t>.</w:t>
      </w:r>
      <w:r w:rsidR="00EE4F21" w:rsidRPr="00AD3266">
        <w:rPr>
          <w:rFonts w:asciiTheme="minorHAnsi" w:hAnsiTheme="minorHAnsi" w:cstheme="minorHAnsi"/>
          <w:color w:val="333333"/>
        </w:rPr>
        <w:t xml:space="preserve"> </w:t>
      </w:r>
      <w:r w:rsidR="009B09C4" w:rsidRPr="00AD3266">
        <w:rPr>
          <w:rFonts w:asciiTheme="minorHAnsi" w:hAnsiTheme="minorHAnsi" w:cstheme="minorHAnsi"/>
          <w:color w:val="333333"/>
        </w:rPr>
        <w:t xml:space="preserve">Additionally, I used the ‘Keep it simple’ element to ensure all the visuals </w:t>
      </w:r>
      <w:r w:rsidR="00D76925" w:rsidRPr="00AD3266">
        <w:rPr>
          <w:rFonts w:asciiTheme="minorHAnsi" w:hAnsiTheme="minorHAnsi" w:cstheme="minorHAnsi"/>
          <w:color w:val="333333"/>
        </w:rPr>
        <w:t>in the presentation were</w:t>
      </w:r>
      <w:r w:rsidR="00F62F4B" w:rsidRPr="00AD3266">
        <w:rPr>
          <w:rFonts w:asciiTheme="minorHAnsi" w:hAnsiTheme="minorHAnsi" w:cstheme="minorHAnsi"/>
          <w:color w:val="333333"/>
        </w:rPr>
        <w:t xml:space="preserve"> easy to understand.</w:t>
      </w:r>
    </w:p>
    <w:p w14:paraId="0D3BADF2" w14:textId="77777777" w:rsidR="000F518F" w:rsidRPr="00AD3266" w:rsidRDefault="000F518F" w:rsidP="000F518F">
      <w:pPr>
        <w:pStyle w:val="NormalWeb"/>
        <w:shd w:val="clear" w:color="auto" w:fill="FFFFFF"/>
        <w:spacing w:before="0" w:beforeAutospacing="0" w:after="0" w:afterAutospacing="0"/>
        <w:rPr>
          <w:rFonts w:asciiTheme="minorHAnsi" w:hAnsiTheme="minorHAnsi" w:cstheme="minorHAnsi"/>
          <w:color w:val="333333"/>
        </w:rPr>
      </w:pPr>
    </w:p>
    <w:p w14:paraId="448E103C" w14:textId="77777777" w:rsidR="000F518F" w:rsidRPr="00AD3266" w:rsidRDefault="000F518F" w:rsidP="000F518F">
      <w:pPr>
        <w:pStyle w:val="NormalWeb"/>
        <w:shd w:val="clear" w:color="auto" w:fill="FFFFFF"/>
        <w:spacing w:before="0" w:beforeAutospacing="0" w:after="0" w:afterAutospacing="0"/>
        <w:rPr>
          <w:rFonts w:asciiTheme="minorHAnsi" w:hAnsiTheme="minorHAnsi" w:cstheme="minorHAnsi"/>
          <w:color w:val="333333"/>
        </w:rPr>
      </w:pPr>
    </w:p>
    <w:p w14:paraId="723C4AE1" w14:textId="458CC5D3" w:rsidR="0027170A" w:rsidRPr="00AD3266" w:rsidRDefault="000F518F" w:rsidP="000F518F">
      <w:pPr>
        <w:pStyle w:val="NormalWeb"/>
        <w:shd w:val="clear" w:color="auto" w:fill="FFFFFF"/>
        <w:spacing w:before="0" w:beforeAutospacing="0" w:after="0" w:afterAutospacing="0"/>
        <w:rPr>
          <w:rFonts w:asciiTheme="minorHAnsi" w:hAnsiTheme="minorHAnsi" w:cstheme="minorHAnsi"/>
          <w:color w:val="333333"/>
        </w:rPr>
      </w:pPr>
      <w:r w:rsidRPr="00AD3266">
        <w:rPr>
          <w:rFonts w:asciiTheme="minorHAnsi" w:hAnsiTheme="minorHAnsi" w:cstheme="minorHAnsi"/>
          <w:color w:val="333333"/>
        </w:rPr>
        <w:t>Bibliography</w:t>
      </w:r>
      <w:r w:rsidR="0027170A" w:rsidRPr="00AD3266">
        <w:rPr>
          <w:rFonts w:asciiTheme="minorHAnsi" w:hAnsiTheme="minorHAnsi" w:cstheme="minorHAnsi"/>
          <w:color w:val="333333"/>
        </w:rPr>
        <w:t>:</w:t>
      </w:r>
    </w:p>
    <w:p w14:paraId="1A6CD0AF" w14:textId="1B7063CE" w:rsidR="000F518F" w:rsidRPr="00AD3266" w:rsidRDefault="000F518F" w:rsidP="000F518F">
      <w:pPr>
        <w:pStyle w:val="NormalWeb"/>
        <w:spacing w:before="0" w:beforeAutospacing="0" w:after="0" w:afterAutospacing="0" w:line="480" w:lineRule="atLeast"/>
        <w:ind w:left="720" w:hanging="720"/>
        <w:rPr>
          <w:rFonts w:asciiTheme="minorHAnsi" w:hAnsiTheme="minorHAnsi" w:cstheme="minorHAnsi"/>
          <w:color w:val="000000"/>
        </w:rPr>
      </w:pPr>
      <w:r w:rsidRPr="00AD3266">
        <w:rPr>
          <w:rFonts w:asciiTheme="minorHAnsi" w:hAnsiTheme="minorHAnsi" w:cstheme="minorHAnsi"/>
          <w:i/>
          <w:iCs/>
          <w:color w:val="000000"/>
        </w:rPr>
        <w:t xml:space="preserve">5 tips on designing colour-blind-friendly </w:t>
      </w:r>
      <w:r w:rsidR="00771D7E">
        <w:rPr>
          <w:rFonts w:asciiTheme="minorHAnsi" w:hAnsiTheme="minorHAnsi" w:cstheme="minorHAnsi"/>
          <w:i/>
          <w:iCs/>
          <w:color w:val="000000"/>
        </w:rPr>
        <w:t>visualisations</w:t>
      </w:r>
      <w:r w:rsidRPr="00AD3266">
        <w:rPr>
          <w:rFonts w:asciiTheme="minorHAnsi" w:hAnsiTheme="minorHAnsi" w:cstheme="minorHAnsi"/>
          <w:color w:val="000000"/>
        </w:rPr>
        <w:t xml:space="preserve">. (n.d.). Tableau. Retrieved 23 March 2022, from </w:t>
      </w:r>
      <w:hyperlink r:id="rId7" w:history="1">
        <w:r w:rsidR="00322108" w:rsidRPr="00AD3266">
          <w:rPr>
            <w:rStyle w:val="Hyperlink"/>
            <w:rFonts w:asciiTheme="minorHAnsi" w:hAnsiTheme="minorHAnsi" w:cstheme="minorHAnsi"/>
          </w:rPr>
          <w:t>https://www.tableau.com/en-gb/about/blog/examining-data-viz-rules-dont-use-red-green-together</w:t>
        </w:r>
      </w:hyperlink>
    </w:p>
    <w:p w14:paraId="78B140B3" w14:textId="5730D170" w:rsidR="00B64760" w:rsidRPr="00AD3266" w:rsidRDefault="00B64760" w:rsidP="00B64760">
      <w:pPr>
        <w:pStyle w:val="NormalWeb"/>
        <w:spacing w:before="0" w:beforeAutospacing="0" w:after="0" w:afterAutospacing="0" w:line="480" w:lineRule="atLeast"/>
        <w:ind w:left="720" w:hanging="720"/>
        <w:rPr>
          <w:rFonts w:asciiTheme="minorHAnsi" w:hAnsiTheme="minorHAnsi" w:cstheme="minorHAnsi"/>
          <w:color w:val="000000"/>
        </w:rPr>
      </w:pPr>
      <w:r w:rsidRPr="00AD3266">
        <w:rPr>
          <w:rFonts w:asciiTheme="minorHAnsi" w:hAnsiTheme="minorHAnsi" w:cstheme="minorHAnsi"/>
          <w:color w:val="000000"/>
        </w:rPr>
        <w:t>Producer, A. R. –. S. C. (n.d.).</w:t>
      </w:r>
      <w:r w:rsidRPr="00AD3266">
        <w:rPr>
          <w:rStyle w:val="apple-converted-space"/>
          <w:rFonts w:asciiTheme="minorHAnsi" w:hAnsiTheme="minorHAnsi" w:cstheme="minorHAnsi"/>
          <w:color w:val="000000"/>
        </w:rPr>
        <w:t> </w:t>
      </w:r>
      <w:r w:rsidRPr="00AD3266">
        <w:rPr>
          <w:rFonts w:asciiTheme="minorHAnsi" w:hAnsiTheme="minorHAnsi" w:cstheme="minorHAnsi"/>
          <w:i/>
          <w:iCs/>
          <w:color w:val="000000"/>
        </w:rPr>
        <w:t xml:space="preserve">How To Design For </w:t>
      </w:r>
      <w:proofErr w:type="spellStart"/>
      <w:r w:rsidRPr="00AD3266">
        <w:rPr>
          <w:rFonts w:asciiTheme="minorHAnsi" w:hAnsiTheme="minorHAnsi" w:cstheme="minorHAnsi"/>
          <w:i/>
          <w:iCs/>
          <w:color w:val="000000"/>
        </w:rPr>
        <w:t>Color</w:t>
      </w:r>
      <w:proofErr w:type="spellEnd"/>
      <w:r w:rsidRPr="00AD3266">
        <w:rPr>
          <w:rFonts w:asciiTheme="minorHAnsi" w:hAnsiTheme="minorHAnsi" w:cstheme="minorHAnsi"/>
          <w:i/>
          <w:iCs/>
          <w:color w:val="000000"/>
        </w:rPr>
        <w:t xml:space="preserve"> Blindness</w:t>
      </w:r>
      <w:r w:rsidRPr="00AD3266">
        <w:rPr>
          <w:rFonts w:asciiTheme="minorHAnsi" w:hAnsiTheme="minorHAnsi" w:cstheme="minorHAnsi"/>
          <w:color w:val="000000"/>
        </w:rPr>
        <w:t xml:space="preserve">. Www.Extensis.Com. Retrieved 23 March 2022, from </w:t>
      </w:r>
      <w:hyperlink r:id="rId8" w:history="1">
        <w:r w:rsidR="00322108" w:rsidRPr="00AD3266">
          <w:rPr>
            <w:rStyle w:val="Hyperlink"/>
            <w:rFonts w:asciiTheme="minorHAnsi" w:hAnsiTheme="minorHAnsi" w:cstheme="minorHAnsi"/>
          </w:rPr>
          <w:t>https://www.extensis.com/blog/how-to-design-for-color-blindness</w:t>
        </w:r>
      </w:hyperlink>
    </w:p>
    <w:p w14:paraId="0B73F526" w14:textId="77777777" w:rsidR="00322108" w:rsidRPr="00AD3266" w:rsidRDefault="00322108" w:rsidP="00B64760">
      <w:pPr>
        <w:pStyle w:val="NormalWeb"/>
        <w:spacing w:before="0" w:beforeAutospacing="0" w:after="0" w:afterAutospacing="0" w:line="480" w:lineRule="atLeast"/>
        <w:ind w:left="720" w:hanging="720"/>
        <w:rPr>
          <w:rFonts w:asciiTheme="minorHAnsi" w:hAnsiTheme="minorHAnsi" w:cstheme="minorHAnsi"/>
          <w:color w:val="000000"/>
        </w:rPr>
      </w:pPr>
    </w:p>
    <w:p w14:paraId="0C251367" w14:textId="10CDF2CB" w:rsidR="0027170A" w:rsidRPr="00AD3266" w:rsidRDefault="00C97220" w:rsidP="00C97220">
      <w:pPr>
        <w:pStyle w:val="NormalWeb"/>
        <w:spacing w:before="0" w:beforeAutospacing="0" w:after="0" w:afterAutospacing="0" w:line="480" w:lineRule="atLeast"/>
        <w:ind w:left="720" w:hanging="720"/>
        <w:rPr>
          <w:rFonts w:asciiTheme="minorHAnsi" w:hAnsiTheme="minorHAnsi" w:cstheme="minorHAnsi"/>
          <w:color w:val="000000"/>
        </w:rPr>
      </w:pPr>
      <w:r w:rsidRPr="00AD3266">
        <w:rPr>
          <w:rFonts w:asciiTheme="minorHAnsi" w:hAnsiTheme="minorHAnsi" w:cstheme="minorHAnsi"/>
          <w:i/>
          <w:iCs/>
          <w:color w:val="000000"/>
        </w:rPr>
        <w:t>Best Practices for Designing Accessible Views</w:t>
      </w:r>
      <w:r w:rsidRPr="00AD3266">
        <w:rPr>
          <w:rFonts w:asciiTheme="minorHAnsi" w:hAnsiTheme="minorHAnsi" w:cstheme="minorHAnsi"/>
          <w:color w:val="000000"/>
        </w:rPr>
        <w:t xml:space="preserve">. (n.d.). Tableau. Retrieved 23 March 2022, from </w:t>
      </w:r>
      <w:hyperlink r:id="rId9" w:history="1">
        <w:r w:rsidR="00322108" w:rsidRPr="00AD3266">
          <w:rPr>
            <w:rStyle w:val="Hyperlink"/>
            <w:rFonts w:asciiTheme="minorHAnsi" w:hAnsiTheme="minorHAnsi" w:cstheme="minorHAnsi"/>
          </w:rPr>
          <w:t>https://help.tableau.com/current/pro/desktop/en-us/accessibility_best_practice.htm</w:t>
        </w:r>
      </w:hyperlink>
    </w:p>
    <w:p w14:paraId="208CA38E" w14:textId="47E81C7A" w:rsidR="00322108" w:rsidRPr="00AD3266" w:rsidRDefault="00322108" w:rsidP="00C97220">
      <w:pPr>
        <w:pStyle w:val="NormalWeb"/>
        <w:spacing w:before="0" w:beforeAutospacing="0" w:after="0" w:afterAutospacing="0" w:line="480" w:lineRule="atLeast"/>
        <w:ind w:left="720" w:hanging="720"/>
        <w:rPr>
          <w:rFonts w:asciiTheme="minorHAnsi" w:hAnsiTheme="minorHAnsi" w:cstheme="minorHAnsi"/>
        </w:rPr>
      </w:pPr>
    </w:p>
    <w:p w14:paraId="53128A1D" w14:textId="2EA336D6" w:rsidR="00322108" w:rsidRPr="00AD3266" w:rsidRDefault="00322108" w:rsidP="00322108">
      <w:pPr>
        <w:pStyle w:val="NormalWeb"/>
        <w:spacing w:before="0" w:beforeAutospacing="0" w:after="0" w:afterAutospacing="0" w:line="480" w:lineRule="atLeast"/>
        <w:ind w:left="720" w:hanging="720"/>
        <w:rPr>
          <w:rFonts w:asciiTheme="minorHAnsi" w:hAnsiTheme="minorHAnsi" w:cstheme="minorHAnsi"/>
          <w:color w:val="000000"/>
        </w:rPr>
      </w:pPr>
      <w:r w:rsidRPr="00AD3266">
        <w:rPr>
          <w:rFonts w:asciiTheme="minorHAnsi" w:hAnsiTheme="minorHAnsi" w:cstheme="minorHAnsi"/>
          <w:i/>
          <w:iCs/>
          <w:color w:val="000000"/>
        </w:rPr>
        <w:t>Best Practices for Telling Great Stories</w:t>
      </w:r>
      <w:r w:rsidRPr="00AD3266">
        <w:rPr>
          <w:rFonts w:asciiTheme="minorHAnsi" w:hAnsiTheme="minorHAnsi" w:cstheme="minorHAnsi"/>
          <w:color w:val="000000"/>
        </w:rPr>
        <w:t xml:space="preserve">. (2021, April). Tableau. </w:t>
      </w:r>
      <w:hyperlink r:id="rId10" w:history="1">
        <w:r w:rsidRPr="00AD3266">
          <w:rPr>
            <w:rStyle w:val="Hyperlink"/>
            <w:rFonts w:asciiTheme="minorHAnsi" w:hAnsiTheme="minorHAnsi" w:cstheme="minorHAnsi"/>
          </w:rPr>
          <w:t>https://help.tableau.com/current/pro/desktop/en-us/story_best_practices.htm</w:t>
        </w:r>
      </w:hyperlink>
    </w:p>
    <w:p w14:paraId="52E5A31F" w14:textId="77777777" w:rsidR="00322108" w:rsidRPr="00AD3266" w:rsidRDefault="00322108" w:rsidP="00322108">
      <w:pPr>
        <w:pStyle w:val="NormalWeb"/>
        <w:spacing w:before="0" w:beforeAutospacing="0" w:after="0" w:afterAutospacing="0" w:line="480" w:lineRule="atLeast"/>
        <w:ind w:left="720" w:hanging="720"/>
        <w:rPr>
          <w:rFonts w:asciiTheme="minorHAnsi" w:hAnsiTheme="minorHAnsi" w:cstheme="minorHAnsi"/>
          <w:color w:val="000000"/>
        </w:rPr>
      </w:pPr>
    </w:p>
    <w:sectPr w:rsidR="00322108" w:rsidRPr="00AD32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C7437" w14:textId="77777777" w:rsidR="00736BC1" w:rsidRDefault="00736BC1" w:rsidP="005C6282">
      <w:pPr>
        <w:spacing w:after="0" w:line="240" w:lineRule="auto"/>
      </w:pPr>
      <w:r>
        <w:separator/>
      </w:r>
    </w:p>
  </w:endnote>
  <w:endnote w:type="continuationSeparator" w:id="0">
    <w:p w14:paraId="406099CF" w14:textId="77777777" w:rsidR="00736BC1" w:rsidRDefault="00736BC1" w:rsidP="005C6282">
      <w:pPr>
        <w:spacing w:after="0" w:line="240" w:lineRule="auto"/>
      </w:pPr>
      <w:r>
        <w:continuationSeparator/>
      </w:r>
    </w:p>
  </w:endnote>
  <w:endnote w:type="continuationNotice" w:id="1">
    <w:p w14:paraId="0277E334" w14:textId="77777777" w:rsidR="00736BC1" w:rsidRDefault="00736B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57AA0" w14:textId="77777777" w:rsidR="00736BC1" w:rsidRDefault="00736BC1" w:rsidP="005C6282">
      <w:pPr>
        <w:spacing w:after="0" w:line="240" w:lineRule="auto"/>
      </w:pPr>
      <w:r>
        <w:separator/>
      </w:r>
    </w:p>
  </w:footnote>
  <w:footnote w:type="continuationSeparator" w:id="0">
    <w:p w14:paraId="4B16FFD3" w14:textId="77777777" w:rsidR="00736BC1" w:rsidRDefault="00736BC1" w:rsidP="005C6282">
      <w:pPr>
        <w:spacing w:after="0" w:line="240" w:lineRule="auto"/>
      </w:pPr>
      <w:r>
        <w:continuationSeparator/>
      </w:r>
    </w:p>
  </w:footnote>
  <w:footnote w:type="continuationNotice" w:id="1">
    <w:p w14:paraId="4296D765" w14:textId="77777777" w:rsidR="00736BC1" w:rsidRDefault="00736B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4DC9"/>
    <w:multiLevelType w:val="hybridMultilevel"/>
    <w:tmpl w:val="4146B0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D15BF"/>
    <w:multiLevelType w:val="hybridMultilevel"/>
    <w:tmpl w:val="AA8E82F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D9034C"/>
    <w:multiLevelType w:val="hybridMultilevel"/>
    <w:tmpl w:val="4532FD9C"/>
    <w:lvl w:ilvl="0" w:tplc="3F6A40F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F426B0"/>
    <w:multiLevelType w:val="hybridMultilevel"/>
    <w:tmpl w:val="1F2C25FA"/>
    <w:lvl w:ilvl="0" w:tplc="310AB4A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701043"/>
    <w:multiLevelType w:val="hybridMultilevel"/>
    <w:tmpl w:val="A178201E"/>
    <w:lvl w:ilvl="0" w:tplc="7B9EC1FE">
      <w:start w:val="1"/>
      <w:numFmt w:val="decimal"/>
      <w:lvlText w:val="%1."/>
      <w:lvlJc w:val="left"/>
      <w:pPr>
        <w:ind w:left="720" w:hanging="360"/>
      </w:pPr>
      <w:rPr>
        <w:rFonts w:asciiTheme="minorHAnsi" w:eastAsia="Times New Roman" w:hAnsiTheme="minorHAnsi" w:cstheme="minorHAnsi"/>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DD453B"/>
    <w:multiLevelType w:val="hybridMultilevel"/>
    <w:tmpl w:val="E5A8E290"/>
    <w:lvl w:ilvl="0" w:tplc="7ADE2F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F25B0F"/>
    <w:multiLevelType w:val="hybridMultilevel"/>
    <w:tmpl w:val="ABE4CA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ED4662"/>
    <w:multiLevelType w:val="hybridMultilevel"/>
    <w:tmpl w:val="AC363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C06EA4"/>
    <w:multiLevelType w:val="hybridMultilevel"/>
    <w:tmpl w:val="8E6892AC"/>
    <w:lvl w:ilvl="0" w:tplc="08090001">
      <w:start w:val="1"/>
      <w:numFmt w:val="bullet"/>
      <w:lvlText w:val=""/>
      <w:lvlJc w:val="left"/>
      <w:pPr>
        <w:ind w:left="1728" w:hanging="360"/>
      </w:pPr>
      <w:rPr>
        <w:rFonts w:ascii="Symbol" w:hAnsi="Symbol" w:hint="default"/>
      </w:rPr>
    </w:lvl>
    <w:lvl w:ilvl="1" w:tplc="08090003">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9" w15:restartNumberingAfterBreak="0">
    <w:nsid w:val="48221622"/>
    <w:multiLevelType w:val="hybridMultilevel"/>
    <w:tmpl w:val="992C9274"/>
    <w:lvl w:ilvl="0" w:tplc="116CA5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6F129D"/>
    <w:multiLevelType w:val="hybridMultilevel"/>
    <w:tmpl w:val="08423AEE"/>
    <w:lvl w:ilvl="0" w:tplc="08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0809000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7F401903"/>
    <w:multiLevelType w:val="hybridMultilevel"/>
    <w:tmpl w:val="1B641B76"/>
    <w:lvl w:ilvl="0" w:tplc="0172E9FE">
      <w:start w:val="1"/>
      <w:numFmt w:val="decimal"/>
      <w:lvlText w:val="%1."/>
      <w:lvlJc w:val="left"/>
      <w:pPr>
        <w:ind w:left="720" w:hanging="360"/>
      </w:pPr>
      <w:rPr>
        <w:rFonts w:asciiTheme="minorHAnsi" w:eastAsia="Times New Roman" w:hAnsiTheme="minorHAnsi" w:cstheme="minorHAnsi"/>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1"/>
  </w:num>
  <w:num w:numId="5">
    <w:abstractNumId w:val="7"/>
  </w:num>
  <w:num w:numId="6">
    <w:abstractNumId w:val="11"/>
  </w:num>
  <w:num w:numId="7">
    <w:abstractNumId w:val="3"/>
  </w:num>
  <w:num w:numId="8">
    <w:abstractNumId w:val="2"/>
  </w:num>
  <w:num w:numId="9">
    <w:abstractNumId w:val="4"/>
  </w:num>
  <w:num w:numId="10">
    <w:abstractNumId w:val="10"/>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82"/>
    <w:rsid w:val="00011F62"/>
    <w:rsid w:val="0002174F"/>
    <w:rsid w:val="00031A8D"/>
    <w:rsid w:val="0003283A"/>
    <w:rsid w:val="00035313"/>
    <w:rsid w:val="00044BD2"/>
    <w:rsid w:val="000630F0"/>
    <w:rsid w:val="000712C5"/>
    <w:rsid w:val="00076FC1"/>
    <w:rsid w:val="000839BF"/>
    <w:rsid w:val="00085365"/>
    <w:rsid w:val="00097417"/>
    <w:rsid w:val="000B20F0"/>
    <w:rsid w:val="000B7BB1"/>
    <w:rsid w:val="000C6D5E"/>
    <w:rsid w:val="000E08C1"/>
    <w:rsid w:val="000E2658"/>
    <w:rsid w:val="000F3836"/>
    <w:rsid w:val="000F518F"/>
    <w:rsid w:val="000F64DE"/>
    <w:rsid w:val="00111666"/>
    <w:rsid w:val="00124CDC"/>
    <w:rsid w:val="00125733"/>
    <w:rsid w:val="001459AB"/>
    <w:rsid w:val="0016087D"/>
    <w:rsid w:val="0019100B"/>
    <w:rsid w:val="001A666C"/>
    <w:rsid w:val="001C7270"/>
    <w:rsid w:val="001D1322"/>
    <w:rsid w:val="001D4C0D"/>
    <w:rsid w:val="002020A8"/>
    <w:rsid w:val="00234515"/>
    <w:rsid w:val="00234CED"/>
    <w:rsid w:val="00241DC1"/>
    <w:rsid w:val="002654E4"/>
    <w:rsid w:val="0027170A"/>
    <w:rsid w:val="002814D2"/>
    <w:rsid w:val="00296FD8"/>
    <w:rsid w:val="002C0F99"/>
    <w:rsid w:val="002D325E"/>
    <w:rsid w:val="002D49BE"/>
    <w:rsid w:val="002E4CFC"/>
    <w:rsid w:val="002E4F65"/>
    <w:rsid w:val="002E55D5"/>
    <w:rsid w:val="00301620"/>
    <w:rsid w:val="00322108"/>
    <w:rsid w:val="00341FFC"/>
    <w:rsid w:val="00381497"/>
    <w:rsid w:val="00385FDF"/>
    <w:rsid w:val="003866DA"/>
    <w:rsid w:val="003B0ECA"/>
    <w:rsid w:val="003B766B"/>
    <w:rsid w:val="003C379E"/>
    <w:rsid w:val="003D59E8"/>
    <w:rsid w:val="003E1BEA"/>
    <w:rsid w:val="003E360E"/>
    <w:rsid w:val="0041252A"/>
    <w:rsid w:val="004677D0"/>
    <w:rsid w:val="00476A6A"/>
    <w:rsid w:val="00483F2D"/>
    <w:rsid w:val="00484B89"/>
    <w:rsid w:val="00490B95"/>
    <w:rsid w:val="004A56DB"/>
    <w:rsid w:val="004B295C"/>
    <w:rsid w:val="004B3707"/>
    <w:rsid w:val="004B7693"/>
    <w:rsid w:val="004C43F8"/>
    <w:rsid w:val="004C7254"/>
    <w:rsid w:val="004C7FF8"/>
    <w:rsid w:val="004D2089"/>
    <w:rsid w:val="004F31F8"/>
    <w:rsid w:val="005068DF"/>
    <w:rsid w:val="00515B2A"/>
    <w:rsid w:val="005170BB"/>
    <w:rsid w:val="005365DE"/>
    <w:rsid w:val="00565705"/>
    <w:rsid w:val="005668EE"/>
    <w:rsid w:val="0057451A"/>
    <w:rsid w:val="005842F0"/>
    <w:rsid w:val="00586CB8"/>
    <w:rsid w:val="00590DB5"/>
    <w:rsid w:val="005A65AE"/>
    <w:rsid w:val="005B61A7"/>
    <w:rsid w:val="005B6A29"/>
    <w:rsid w:val="005C6282"/>
    <w:rsid w:val="005D64F6"/>
    <w:rsid w:val="00601E3D"/>
    <w:rsid w:val="0060683B"/>
    <w:rsid w:val="00612C3A"/>
    <w:rsid w:val="00643D1D"/>
    <w:rsid w:val="0064507F"/>
    <w:rsid w:val="006469AA"/>
    <w:rsid w:val="00653B48"/>
    <w:rsid w:val="00660BDC"/>
    <w:rsid w:val="00664330"/>
    <w:rsid w:val="00673FE5"/>
    <w:rsid w:val="00674BF7"/>
    <w:rsid w:val="00694063"/>
    <w:rsid w:val="006A3FB4"/>
    <w:rsid w:val="006A7640"/>
    <w:rsid w:val="006B0FA1"/>
    <w:rsid w:val="006D67C5"/>
    <w:rsid w:val="00705015"/>
    <w:rsid w:val="0070544E"/>
    <w:rsid w:val="00706050"/>
    <w:rsid w:val="0071446B"/>
    <w:rsid w:val="00736BC1"/>
    <w:rsid w:val="0073726B"/>
    <w:rsid w:val="00742F6D"/>
    <w:rsid w:val="00751959"/>
    <w:rsid w:val="00752C5B"/>
    <w:rsid w:val="007662E0"/>
    <w:rsid w:val="00771D7E"/>
    <w:rsid w:val="00774655"/>
    <w:rsid w:val="00790E40"/>
    <w:rsid w:val="007A4B73"/>
    <w:rsid w:val="007B134A"/>
    <w:rsid w:val="007D265F"/>
    <w:rsid w:val="007E518D"/>
    <w:rsid w:val="007F2A29"/>
    <w:rsid w:val="007F4145"/>
    <w:rsid w:val="007F5B3A"/>
    <w:rsid w:val="00807BE5"/>
    <w:rsid w:val="00820E98"/>
    <w:rsid w:val="00854908"/>
    <w:rsid w:val="00856C24"/>
    <w:rsid w:val="00863DE7"/>
    <w:rsid w:val="008653A7"/>
    <w:rsid w:val="0088141B"/>
    <w:rsid w:val="00897C20"/>
    <w:rsid w:val="008A1FD9"/>
    <w:rsid w:val="008A6D20"/>
    <w:rsid w:val="008B2DF2"/>
    <w:rsid w:val="008B7DB1"/>
    <w:rsid w:val="008C29C9"/>
    <w:rsid w:val="008C6CC5"/>
    <w:rsid w:val="008C7976"/>
    <w:rsid w:val="008D2F38"/>
    <w:rsid w:val="008D53E1"/>
    <w:rsid w:val="008F2810"/>
    <w:rsid w:val="0090641C"/>
    <w:rsid w:val="009177BF"/>
    <w:rsid w:val="00921549"/>
    <w:rsid w:val="00943538"/>
    <w:rsid w:val="00957084"/>
    <w:rsid w:val="0097119A"/>
    <w:rsid w:val="009932B0"/>
    <w:rsid w:val="00994493"/>
    <w:rsid w:val="009A0EFD"/>
    <w:rsid w:val="009B09C4"/>
    <w:rsid w:val="009E3836"/>
    <w:rsid w:val="00A0000A"/>
    <w:rsid w:val="00A20FA0"/>
    <w:rsid w:val="00A25314"/>
    <w:rsid w:val="00A2632E"/>
    <w:rsid w:val="00A34415"/>
    <w:rsid w:val="00A47D81"/>
    <w:rsid w:val="00A651D5"/>
    <w:rsid w:val="00A77596"/>
    <w:rsid w:val="00A87C22"/>
    <w:rsid w:val="00AB771A"/>
    <w:rsid w:val="00AC7FE8"/>
    <w:rsid w:val="00AD2C2F"/>
    <w:rsid w:val="00AD3266"/>
    <w:rsid w:val="00AD5044"/>
    <w:rsid w:val="00AE312A"/>
    <w:rsid w:val="00B0686A"/>
    <w:rsid w:val="00B320A4"/>
    <w:rsid w:val="00B64760"/>
    <w:rsid w:val="00B77C69"/>
    <w:rsid w:val="00B86152"/>
    <w:rsid w:val="00BA21E1"/>
    <w:rsid w:val="00BB4F62"/>
    <w:rsid w:val="00BD68D3"/>
    <w:rsid w:val="00BF0882"/>
    <w:rsid w:val="00C30ACD"/>
    <w:rsid w:val="00C46641"/>
    <w:rsid w:val="00C616BD"/>
    <w:rsid w:val="00C712E6"/>
    <w:rsid w:val="00C90DF8"/>
    <w:rsid w:val="00C97220"/>
    <w:rsid w:val="00CA508E"/>
    <w:rsid w:val="00CA6708"/>
    <w:rsid w:val="00CB5BA5"/>
    <w:rsid w:val="00CB7491"/>
    <w:rsid w:val="00CC2A7A"/>
    <w:rsid w:val="00CD03F2"/>
    <w:rsid w:val="00CD2F54"/>
    <w:rsid w:val="00CD39C9"/>
    <w:rsid w:val="00D016EC"/>
    <w:rsid w:val="00D04192"/>
    <w:rsid w:val="00D05B53"/>
    <w:rsid w:val="00D12CA0"/>
    <w:rsid w:val="00D2251F"/>
    <w:rsid w:val="00D31873"/>
    <w:rsid w:val="00D34573"/>
    <w:rsid w:val="00D43CAA"/>
    <w:rsid w:val="00D53B10"/>
    <w:rsid w:val="00D743B3"/>
    <w:rsid w:val="00D76925"/>
    <w:rsid w:val="00D8127B"/>
    <w:rsid w:val="00D82A15"/>
    <w:rsid w:val="00D86129"/>
    <w:rsid w:val="00D917C6"/>
    <w:rsid w:val="00D922B9"/>
    <w:rsid w:val="00DC3A4C"/>
    <w:rsid w:val="00DC7BA0"/>
    <w:rsid w:val="00DE0F88"/>
    <w:rsid w:val="00E05355"/>
    <w:rsid w:val="00E112A2"/>
    <w:rsid w:val="00E11D97"/>
    <w:rsid w:val="00E25C9B"/>
    <w:rsid w:val="00E369AE"/>
    <w:rsid w:val="00E5095B"/>
    <w:rsid w:val="00E50CB8"/>
    <w:rsid w:val="00E53EF1"/>
    <w:rsid w:val="00E56403"/>
    <w:rsid w:val="00E83FE7"/>
    <w:rsid w:val="00E84806"/>
    <w:rsid w:val="00E869B6"/>
    <w:rsid w:val="00E86D22"/>
    <w:rsid w:val="00EA1435"/>
    <w:rsid w:val="00EB7976"/>
    <w:rsid w:val="00EC02D0"/>
    <w:rsid w:val="00ED60F5"/>
    <w:rsid w:val="00EE0763"/>
    <w:rsid w:val="00EE4F21"/>
    <w:rsid w:val="00EE7D0D"/>
    <w:rsid w:val="00F044E3"/>
    <w:rsid w:val="00F17B08"/>
    <w:rsid w:val="00F2430D"/>
    <w:rsid w:val="00F33BA4"/>
    <w:rsid w:val="00F544F3"/>
    <w:rsid w:val="00F62F4B"/>
    <w:rsid w:val="00F8239E"/>
    <w:rsid w:val="00F87FF6"/>
    <w:rsid w:val="00FB1C95"/>
    <w:rsid w:val="00FB714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E2CF1"/>
  <w15:chartTrackingRefBased/>
  <w15:docId w15:val="{89356E3B-8AE6-4CC2-B94E-AA3465AD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2F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2F54"/>
    <w:rPr>
      <w:b/>
      <w:bCs/>
    </w:rPr>
  </w:style>
  <w:style w:type="character" w:styleId="Emphasis">
    <w:name w:val="Emphasis"/>
    <w:basedOn w:val="DefaultParagraphFont"/>
    <w:uiPriority w:val="20"/>
    <w:qFormat/>
    <w:rsid w:val="00CD2F54"/>
    <w:rPr>
      <w:i/>
      <w:iCs/>
    </w:rPr>
  </w:style>
  <w:style w:type="paragraph" w:styleId="Header">
    <w:name w:val="header"/>
    <w:basedOn w:val="Normal"/>
    <w:link w:val="HeaderChar"/>
    <w:uiPriority w:val="99"/>
    <w:unhideWhenUsed/>
    <w:rsid w:val="008D53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3E1"/>
  </w:style>
  <w:style w:type="paragraph" w:styleId="Footer">
    <w:name w:val="footer"/>
    <w:basedOn w:val="Normal"/>
    <w:link w:val="FooterChar"/>
    <w:uiPriority w:val="99"/>
    <w:unhideWhenUsed/>
    <w:rsid w:val="008D53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3E1"/>
  </w:style>
  <w:style w:type="paragraph" w:styleId="ListParagraph">
    <w:name w:val="List Paragraph"/>
    <w:basedOn w:val="Normal"/>
    <w:uiPriority w:val="34"/>
    <w:qFormat/>
    <w:rsid w:val="00DC7BA0"/>
    <w:pPr>
      <w:ind w:left="720"/>
      <w:contextualSpacing/>
    </w:pPr>
  </w:style>
  <w:style w:type="character" w:customStyle="1" w:styleId="apple-converted-space">
    <w:name w:val="apple-converted-space"/>
    <w:basedOn w:val="DefaultParagraphFont"/>
    <w:rsid w:val="00B64760"/>
  </w:style>
  <w:style w:type="character" w:styleId="Hyperlink">
    <w:name w:val="Hyperlink"/>
    <w:basedOn w:val="DefaultParagraphFont"/>
    <w:uiPriority w:val="99"/>
    <w:unhideWhenUsed/>
    <w:rsid w:val="00322108"/>
    <w:rPr>
      <w:color w:val="0563C1" w:themeColor="hyperlink"/>
      <w:u w:val="single"/>
    </w:rPr>
  </w:style>
  <w:style w:type="character" w:styleId="UnresolvedMention">
    <w:name w:val="Unresolved Mention"/>
    <w:basedOn w:val="DefaultParagraphFont"/>
    <w:uiPriority w:val="99"/>
    <w:semiHidden/>
    <w:unhideWhenUsed/>
    <w:rsid w:val="00322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20652">
      <w:bodyDiv w:val="1"/>
      <w:marLeft w:val="0"/>
      <w:marRight w:val="0"/>
      <w:marTop w:val="0"/>
      <w:marBottom w:val="0"/>
      <w:divBdr>
        <w:top w:val="none" w:sz="0" w:space="0" w:color="auto"/>
        <w:left w:val="none" w:sz="0" w:space="0" w:color="auto"/>
        <w:bottom w:val="none" w:sz="0" w:space="0" w:color="auto"/>
        <w:right w:val="none" w:sz="0" w:space="0" w:color="auto"/>
      </w:divBdr>
      <w:divsChild>
        <w:div w:id="905383016">
          <w:marLeft w:val="0"/>
          <w:marRight w:val="0"/>
          <w:marTop w:val="0"/>
          <w:marBottom w:val="0"/>
          <w:divBdr>
            <w:top w:val="none" w:sz="0" w:space="0" w:color="auto"/>
            <w:left w:val="none" w:sz="0" w:space="0" w:color="auto"/>
            <w:bottom w:val="none" w:sz="0" w:space="0" w:color="auto"/>
            <w:right w:val="none" w:sz="0" w:space="0" w:color="auto"/>
          </w:divBdr>
          <w:divsChild>
            <w:div w:id="589508169">
              <w:marLeft w:val="0"/>
              <w:marRight w:val="0"/>
              <w:marTop w:val="0"/>
              <w:marBottom w:val="0"/>
              <w:divBdr>
                <w:top w:val="none" w:sz="0" w:space="0" w:color="auto"/>
                <w:left w:val="none" w:sz="0" w:space="0" w:color="auto"/>
                <w:bottom w:val="none" w:sz="0" w:space="0" w:color="auto"/>
                <w:right w:val="none" w:sz="0" w:space="0" w:color="auto"/>
              </w:divBdr>
              <w:divsChild>
                <w:div w:id="628438521">
                  <w:marLeft w:val="0"/>
                  <w:marRight w:val="0"/>
                  <w:marTop w:val="0"/>
                  <w:marBottom w:val="0"/>
                  <w:divBdr>
                    <w:top w:val="none" w:sz="0" w:space="0" w:color="auto"/>
                    <w:left w:val="none" w:sz="0" w:space="0" w:color="auto"/>
                    <w:bottom w:val="none" w:sz="0" w:space="0" w:color="auto"/>
                    <w:right w:val="none" w:sz="0" w:space="0" w:color="auto"/>
                  </w:divBdr>
                  <w:divsChild>
                    <w:div w:id="18350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145988">
      <w:bodyDiv w:val="1"/>
      <w:marLeft w:val="0"/>
      <w:marRight w:val="0"/>
      <w:marTop w:val="0"/>
      <w:marBottom w:val="0"/>
      <w:divBdr>
        <w:top w:val="none" w:sz="0" w:space="0" w:color="auto"/>
        <w:left w:val="none" w:sz="0" w:space="0" w:color="auto"/>
        <w:bottom w:val="none" w:sz="0" w:space="0" w:color="auto"/>
        <w:right w:val="none" w:sz="0" w:space="0" w:color="auto"/>
      </w:divBdr>
    </w:div>
    <w:div w:id="709375035">
      <w:bodyDiv w:val="1"/>
      <w:marLeft w:val="0"/>
      <w:marRight w:val="0"/>
      <w:marTop w:val="0"/>
      <w:marBottom w:val="0"/>
      <w:divBdr>
        <w:top w:val="none" w:sz="0" w:space="0" w:color="auto"/>
        <w:left w:val="none" w:sz="0" w:space="0" w:color="auto"/>
        <w:bottom w:val="none" w:sz="0" w:space="0" w:color="auto"/>
        <w:right w:val="none" w:sz="0" w:space="0" w:color="auto"/>
      </w:divBdr>
    </w:div>
    <w:div w:id="712389839">
      <w:bodyDiv w:val="1"/>
      <w:marLeft w:val="0"/>
      <w:marRight w:val="0"/>
      <w:marTop w:val="0"/>
      <w:marBottom w:val="0"/>
      <w:divBdr>
        <w:top w:val="none" w:sz="0" w:space="0" w:color="auto"/>
        <w:left w:val="none" w:sz="0" w:space="0" w:color="auto"/>
        <w:bottom w:val="none" w:sz="0" w:space="0" w:color="auto"/>
        <w:right w:val="none" w:sz="0" w:space="0" w:color="auto"/>
      </w:divBdr>
      <w:divsChild>
        <w:div w:id="865287260">
          <w:marLeft w:val="0"/>
          <w:marRight w:val="0"/>
          <w:marTop w:val="0"/>
          <w:marBottom w:val="0"/>
          <w:divBdr>
            <w:top w:val="none" w:sz="0" w:space="0" w:color="auto"/>
            <w:left w:val="none" w:sz="0" w:space="0" w:color="auto"/>
            <w:bottom w:val="none" w:sz="0" w:space="0" w:color="auto"/>
            <w:right w:val="none" w:sz="0" w:space="0" w:color="auto"/>
          </w:divBdr>
          <w:divsChild>
            <w:div w:id="1038899604">
              <w:marLeft w:val="0"/>
              <w:marRight w:val="0"/>
              <w:marTop w:val="0"/>
              <w:marBottom w:val="0"/>
              <w:divBdr>
                <w:top w:val="none" w:sz="0" w:space="0" w:color="auto"/>
                <w:left w:val="none" w:sz="0" w:space="0" w:color="auto"/>
                <w:bottom w:val="none" w:sz="0" w:space="0" w:color="auto"/>
                <w:right w:val="none" w:sz="0" w:space="0" w:color="auto"/>
              </w:divBdr>
              <w:divsChild>
                <w:div w:id="450709801">
                  <w:marLeft w:val="0"/>
                  <w:marRight w:val="0"/>
                  <w:marTop w:val="0"/>
                  <w:marBottom w:val="0"/>
                  <w:divBdr>
                    <w:top w:val="none" w:sz="0" w:space="0" w:color="auto"/>
                    <w:left w:val="none" w:sz="0" w:space="0" w:color="auto"/>
                    <w:bottom w:val="none" w:sz="0" w:space="0" w:color="auto"/>
                    <w:right w:val="none" w:sz="0" w:space="0" w:color="auto"/>
                  </w:divBdr>
                  <w:divsChild>
                    <w:div w:id="12899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16320">
      <w:bodyDiv w:val="1"/>
      <w:marLeft w:val="0"/>
      <w:marRight w:val="0"/>
      <w:marTop w:val="0"/>
      <w:marBottom w:val="0"/>
      <w:divBdr>
        <w:top w:val="none" w:sz="0" w:space="0" w:color="auto"/>
        <w:left w:val="none" w:sz="0" w:space="0" w:color="auto"/>
        <w:bottom w:val="none" w:sz="0" w:space="0" w:color="auto"/>
        <w:right w:val="none" w:sz="0" w:space="0" w:color="auto"/>
      </w:divBdr>
    </w:div>
    <w:div w:id="1609045244">
      <w:bodyDiv w:val="1"/>
      <w:marLeft w:val="0"/>
      <w:marRight w:val="0"/>
      <w:marTop w:val="0"/>
      <w:marBottom w:val="0"/>
      <w:divBdr>
        <w:top w:val="none" w:sz="0" w:space="0" w:color="auto"/>
        <w:left w:val="none" w:sz="0" w:space="0" w:color="auto"/>
        <w:bottom w:val="none" w:sz="0" w:space="0" w:color="auto"/>
        <w:right w:val="none" w:sz="0" w:space="0" w:color="auto"/>
      </w:divBdr>
    </w:div>
    <w:div w:id="193889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tensis.com/blog/how-to-design-for-color-blindness" TargetMode="External"/><Relationship Id="rId3" Type="http://schemas.openxmlformats.org/officeDocument/2006/relationships/settings" Target="settings.xml"/><Relationship Id="rId7" Type="http://schemas.openxmlformats.org/officeDocument/2006/relationships/hyperlink" Target="https://www.tableau.com/en-gb/about/blog/examining-data-viz-rules-dont-use-red-green-togeth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elp.tableau.com/current/pro/desktop/en-us/story_best_practices.htm" TargetMode="External"/><Relationship Id="rId4" Type="http://schemas.openxmlformats.org/officeDocument/2006/relationships/webSettings" Target="webSettings.xml"/><Relationship Id="rId9" Type="http://schemas.openxmlformats.org/officeDocument/2006/relationships/hyperlink" Target="https://help.tableau.com/current/pro/desktop/en-us/accessibility_best_practi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3151</TotalTime>
  <Pages>1</Pages>
  <Words>1048</Words>
  <Characters>5975</Characters>
  <Application>Microsoft Office Word</Application>
  <DocSecurity>4</DocSecurity>
  <Lines>49</Lines>
  <Paragraphs>14</Paragraphs>
  <ScaleCrop>false</ScaleCrop>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Zaheer</dc:creator>
  <cp:keywords/>
  <dc:description/>
  <cp:lastModifiedBy>ali Zaheer</cp:lastModifiedBy>
  <cp:revision>224</cp:revision>
  <dcterms:created xsi:type="dcterms:W3CDTF">2022-03-14T03:15:00Z</dcterms:created>
  <dcterms:modified xsi:type="dcterms:W3CDTF">2022-03-23T16:40:00Z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2022-03-13T13:15:49Z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e9b259dd-a9f0-4270-84e7-5687c16bedf9</vt:lpwstr>
  </property>
  <property fmtid="{D5CDD505-2E9C-101B-9397-08002B2CF9AE}" pid="8" name="MSIP_Label_5fae8262-b78e-4366-8929-a5d6aac95320_ContentBits">
    <vt:lpwstr>0</vt:lpwstr>
  </property>
</Properties>
</file>