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widowControl/>
              <w:spacing w:after="20" w:before="0" w:lineRule="atLeast" w:line="250"/>
              <w:jc w:val="start"/>
              <w:bidi w:val="0"/>
            </w:pPr>
            <w:r>
              <w:rPr>
                <w:rFonts w:ascii="Calibri" w:hAnsi="Calibri" w:cs="Calibri" w:eastAsia="Calibri"/>
                <w:b/>
                <w:color w:val="21313F"/>
                <w:sz w:val="30"/>
                <w:szCs w:val="30"/>
                <w:lang w:val="en-GB" w:bidi="ar-SA"/>
              </w:rPr>
              <w:t>I. Introduction to Islam</w:t>
            </w:r>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30"/>
                <w:szCs w:val="30"/>
                <w:lang w:val="ur-PK" w:bidi="ur-PK"/>
                <w:rtl w:val="1"/>
                <w:bCs/>
              </w:rPr>
              <w:t>باب اوّل: تعارفِ اسلام</w:t>
            </w:r>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widowControl/>
              <w:spacing w:after="20" w:before="0" w:lineRule="atLeast" w:line="250"/>
              <w:jc w:val="start"/>
              <w:bidi w:val="0"/>
            </w:pPr>
            <w:r>
              <w:rPr>
                <w:rFonts w:ascii="Calibri" w:hAnsi="Calibri" w:cs="Calibri" w:eastAsia="Calibri"/>
                <w:b/>
                <w:color w:val="21313F"/>
                <w:sz w:val="25"/>
                <w:szCs w:val="25"/>
                <w:lang w:val="en-GB" w:bidi="ar-SA"/>
              </w:rPr>
              <w:t>Islamic Studies Reference Bank</w:t>
            </w:r>
          </w:p>
        </w:tc>
        <w:tc>
          <w:tcPr>
            <w:tcW w:type="dxa" w:w="5148"/>
            <w:vAlign w:val="top"/>
          </w:tcPr>
          <w:p>
            <w:pPr>
              <w:keepNext/>
              <w:widowControl/>
              <w:spacing w:after="20" w:before="0" w:lineRule="atLeast" w:line="300"/>
              <w:jc w:val="start"/>
              <w:bidi w:val="1"/>
            </w:pPr>
            <w:r>
              <w:rPr>
                <w:rFonts w:ascii="Noto Naskh Arabic" w:hAnsi="Noto Naskh Arabic" w:cs="Noto Naskh Arabic" w:eastAsia="Noto Naskh Arabic"/>
                <w:b/>
                <w:color w:val="21313F"/>
                <w:sz w:val="25"/>
                <w:szCs w:val="25"/>
                <w:lang w:val="ur-PK" w:bidi="ur-PK"/>
                <w:rtl w:val="1"/>
                <w:bCs/>
              </w:rPr>
              <w:t>اسلامیات کا ذخیرۂ حوالہ جات</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225 distinct source-checked references</w:t>
              <w:br/>
              <w:t>Expanded edition: 75 additional references</w:t>
              <w:br/>
              <w:t>Arabic texts • Published translation excerpts • Topic-linked scholarship</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225 منفرد، ماخذ سے جانچے گئے حوالے</w:t>
              <w:br/>
              <w:t>توسیعی نسخہ: 75 اضافی حوالے</w:t>
              <w:br/>
              <w:t>عربی متون • مطبوعہ تراجم کے اقتباسات • موضوع سے مربوط علمی مباحث</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widowControl/>
              <w:spacing w:after="20" w:before="0" w:lineRule="atLeast" w:line="250"/>
              <w:jc w:val="start"/>
              <w:bidi w:val="0"/>
            </w:pPr>
            <w:r>
              <w:rPr>
                <w:rFonts w:ascii="Calibri" w:hAnsi="Calibri" w:cs="Calibri" w:eastAsia="Calibri"/>
                <w:b/>
                <w:color w:val="21313F"/>
                <w:sz w:val="23"/>
                <w:szCs w:val="23"/>
                <w:lang w:val="en-GB" w:bidi="ar-SA"/>
              </w:rPr>
              <w:t>Chapter scope supplied by the reader</w:t>
            </w:r>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3"/>
                <w:szCs w:val="23"/>
                <w:lang w:val="ur-PK" w:bidi="ur-PK"/>
                <w:rtl w:val="1"/>
                <w:bCs/>
              </w:rPr>
              <w:t>فراہم کردہ باب کا دائرۂ کار</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Concept of Islam</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تصورِ اسلام</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Importance of Din in human life</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انسانی زندگی میں دین کی اہمیت</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Difference between Din and religion</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دین اور مذہب کے درمیان فرق</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Distinctive aspects of Islam</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اسلام کی امتیازی خصوصیات</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Islamic beliefs, their impact on individual and society, and the fundamentals of Islam</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اسلامی عقائد، فرد و معاشرے پر ان کے اثرات، اور اسلام کے بنیادی ارکان</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Islamic worship: spiritual, moral and social impact</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اسلامی عبادات: روحانی، اخلاقی اور معاشرتی اثرات</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widowControl/>
              <w:spacing w:after="20" w:before="0" w:lineRule="atLeast" w:line="250"/>
              <w:jc w:val="start"/>
              <w:bidi w:val="0"/>
            </w:pPr>
            <w:r>
              <w:rPr>
                <w:rFonts w:ascii="Calibri" w:hAnsi="Calibri" w:cs="Calibri" w:eastAsia="Calibri"/>
                <w:b/>
                <w:color w:val="21313F"/>
                <w:sz w:val="23"/>
                <w:szCs w:val="23"/>
                <w:lang w:val="en-GB" w:bidi="ar-SA"/>
              </w:rPr>
              <w:t>Evidence and use</w:t>
            </w:r>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3"/>
                <w:szCs w:val="23"/>
                <w:lang w:val="ur-PK" w:bidi="ur-PK"/>
                <w:rtl w:val="1"/>
                <w:bCs/>
              </w:rPr>
              <w:t>شواہد اور استعمال</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This is a reference bank, not an essay or a complete manual of doctrine or ritual law. Each numbered entry identifies a distinct source passage, supplies a concise use-note and preserves its evidentiary category.</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یہ حوالہ جاتی ذخیرہ ہے، مضمون یا عقائد و فقہِ عبادات کی مکمل کتاب نہیں۔ ہر شمار شدہ اندراج ایک مستقل ماخذی مقام، مختصر توضیحِ استعمال اور اس کی نوعیت واضح کرتا ہے۔</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“Source-checked” means that the cited passage was inspected in the linked digital text or scan. It does not mean new manuscript collation, a new Hadith-chain grading, universal scholarly agreement, or empirical proof of every claimed social effect.</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«ماخذ سے جانچا گیا» سے مراد متعلقہ برقی متن یا اسکین میں مذکورہ مقام کا معائنہ ہے۔ اس سے مخطوطات کا نیا تقابل، سند کی نئی تحقیق، علمی اجماع یا ہر معاشرتی اثر کا تجرباتی ثبوت مراد نہیں۔</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Expanded edition: 18 September 2026. References 001–150 retain the earlier edition’s verification record; References 151–225 were checked and added for this revision. The full register was checked for numbering and duplication. Missing translations and access limits are stated, not filled by conjecture.</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توسیعی نسخہ: 18 ستمبر 2026۔ حوالہ 001 تا 150 کے ساتھ سابقہ نسخے کا تصدیقی ریکارڈ برقرار ہے؛ حوالہ 151 تا 225 اس ترمیم میں جانچ کر شامل کیے گئے۔ پورے رجسٹر کی ترقیم اور تکرار دیکھی گئی ہے۔ غیر دستیاب تراجم اور رسائی کی حدود قیاس سے پُر کرنے کے بجائے واضح ہیں۔</w:t>
            </w:r>
          </w:p>
        </w:tc>
      </w:tr>
    </w:tbl>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widowControl/>
              <w:spacing w:after="20" w:before="0" w:lineRule="atLeast" w:line="250"/>
              <w:jc w:val="start"/>
              <w:bidi w:val="0"/>
            </w:pPr>
            <w:r>
              <w:rPr>
                <w:rFonts w:ascii="Calibri" w:hAnsi="Calibri" w:cs="Calibri" w:eastAsia="Calibri"/>
                <w:b/>
                <w:color w:val="21313F"/>
                <w:sz w:val="26"/>
                <w:szCs w:val="26"/>
                <w:lang w:val="en-GB" w:bidi="ar-SA"/>
              </w:rPr>
              <w:t>Thematic navigation and scope map</w:t>
            </w:r>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6"/>
                <w:szCs w:val="26"/>
                <w:lang w:val="ur-PK" w:bidi="ur-PK"/>
                <w:rtl w:val="1"/>
                <w:bCs/>
              </w:rPr>
              <w:t>موضوعاتی رہنمائی اور نقشۂ دائرہ</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01  Concept of Islam: submission, faith and excellence</w:t>
            </w:r>
          </w:p>
          <w:p>
            <w:pPr>
              <w:keepNext w:val="0"/>
              <w:widowControl/>
              <w:spacing w:after="0" w:before="0" w:lineRule="atLeast" w:line="250"/>
              <w:jc w:val="start"/>
              <w:bidi w:val="0"/>
            </w:pPr>
            <w:hyperlink w:anchor="topic_1">
              <w:r>
                <w:rPr>
                  <w:color w:val="245C7C"/>
                  <w:u w:val="single"/>
                  <w:rFonts w:ascii="Calibri" w:hAnsi="Calibri" w:cs="Calibri"/>
                  <w:sz w:val="18"/>
                  <w:szCs w:val="18"/>
                </w:rPr>
                <w:t>References 001–012</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01  تصورِ اسلام: اطاعت، ایمان اور احسان</w:t>
            </w:r>
          </w:p>
          <w:p>
            <w:pPr>
              <w:keepNext w:val="0"/>
              <w:widowControl/>
              <w:spacing w:after="0" w:before="0" w:lineRule="atLeast" w:line="300"/>
              <w:jc w:val="start"/>
              <w:bidi w:val="1"/>
            </w:pPr>
            <w:hyperlink w:anchor="topic_1">
              <w:r>
                <w:rPr>
                  <w:color w:val="245C7C"/>
                  <w:u w:val="single"/>
                  <w:rFonts w:ascii="Noto Naskh Arabic" w:hAnsi="Noto Naskh Arabic" w:cs="Noto Naskh Arabic"/>
                  <w:sz w:val="21"/>
                  <w:szCs w:val="21"/>
                  <w:rtl/>
                </w:rPr>
                <w:t>حوالے 001–012</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02  Importance of Din in human life</w:t>
            </w:r>
          </w:p>
          <w:p>
            <w:pPr>
              <w:keepNext w:val="0"/>
              <w:widowControl/>
              <w:spacing w:after="0" w:before="0" w:lineRule="atLeast" w:line="250"/>
              <w:jc w:val="start"/>
              <w:bidi w:val="0"/>
            </w:pPr>
            <w:hyperlink w:anchor="topic_2">
              <w:r>
                <w:rPr>
                  <w:color w:val="245C7C"/>
                  <w:u w:val="single"/>
                  <w:rFonts w:ascii="Calibri" w:hAnsi="Calibri" w:cs="Calibri"/>
                  <w:sz w:val="18"/>
                  <w:szCs w:val="18"/>
                </w:rPr>
                <w:t>References 013–027</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02  انسانی زندگی میں دین کی اہمیت</w:t>
            </w:r>
          </w:p>
          <w:p>
            <w:pPr>
              <w:keepNext w:val="0"/>
              <w:widowControl/>
              <w:spacing w:after="0" w:before="0" w:lineRule="atLeast" w:line="300"/>
              <w:jc w:val="start"/>
              <w:bidi w:val="1"/>
            </w:pPr>
            <w:hyperlink w:anchor="topic_2">
              <w:r>
                <w:rPr>
                  <w:color w:val="245C7C"/>
                  <w:u w:val="single"/>
                  <w:rFonts w:ascii="Noto Naskh Arabic" w:hAnsi="Noto Naskh Arabic" w:cs="Noto Naskh Arabic"/>
                  <w:sz w:val="21"/>
                  <w:szCs w:val="21"/>
                  <w:rtl/>
                </w:rPr>
                <w:t>حوالے 013–027</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03  Din and religion: meanings, scope and comparison</w:t>
            </w:r>
          </w:p>
          <w:p>
            <w:pPr>
              <w:keepNext w:val="0"/>
              <w:widowControl/>
              <w:spacing w:after="0" w:before="0" w:lineRule="atLeast" w:line="250"/>
              <w:jc w:val="start"/>
              <w:bidi w:val="0"/>
            </w:pPr>
            <w:hyperlink w:anchor="topic_3">
              <w:r>
                <w:rPr>
                  <w:color w:val="245C7C"/>
                  <w:u w:val="single"/>
                  <w:rFonts w:ascii="Calibri" w:hAnsi="Calibri" w:cs="Calibri"/>
                  <w:sz w:val="18"/>
                  <w:szCs w:val="18"/>
                </w:rPr>
                <w:t>References 028–035</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03  دین اور مذہب: مفہوم، دائرہ اور تقابل</w:t>
            </w:r>
          </w:p>
          <w:p>
            <w:pPr>
              <w:keepNext w:val="0"/>
              <w:widowControl/>
              <w:spacing w:after="0" w:before="0" w:lineRule="atLeast" w:line="300"/>
              <w:jc w:val="start"/>
              <w:bidi w:val="1"/>
            </w:pPr>
            <w:hyperlink w:anchor="topic_3">
              <w:r>
                <w:rPr>
                  <w:color w:val="245C7C"/>
                  <w:u w:val="single"/>
                  <w:rFonts w:ascii="Noto Naskh Arabic" w:hAnsi="Noto Naskh Arabic" w:cs="Noto Naskh Arabic"/>
                  <w:sz w:val="21"/>
                  <w:szCs w:val="21"/>
                  <w:rtl/>
                </w:rPr>
                <w:t>حوالے 028–035</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04  Distinctive aspects: universality, mercy, justice and balance</w:t>
            </w:r>
          </w:p>
          <w:p>
            <w:pPr>
              <w:keepNext w:val="0"/>
              <w:widowControl/>
              <w:spacing w:after="0" w:before="0" w:lineRule="atLeast" w:line="250"/>
              <w:jc w:val="start"/>
              <w:bidi w:val="0"/>
            </w:pPr>
            <w:hyperlink w:anchor="topic_4">
              <w:r>
                <w:rPr>
                  <w:color w:val="245C7C"/>
                  <w:u w:val="single"/>
                  <w:rFonts w:ascii="Calibri" w:hAnsi="Calibri" w:cs="Calibri"/>
                  <w:sz w:val="18"/>
                  <w:szCs w:val="18"/>
                </w:rPr>
                <w:t>References 036–055</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04  اسلام کی امتیازی خصوصیات: عالمگیریت، رحمت، عدل اور توازن</w:t>
            </w:r>
          </w:p>
          <w:p>
            <w:pPr>
              <w:keepNext w:val="0"/>
              <w:widowControl/>
              <w:spacing w:after="0" w:before="0" w:lineRule="atLeast" w:line="300"/>
              <w:jc w:val="start"/>
              <w:bidi w:val="1"/>
            </w:pPr>
            <w:hyperlink w:anchor="topic_4">
              <w:r>
                <w:rPr>
                  <w:color w:val="245C7C"/>
                  <w:u w:val="single"/>
                  <w:rFonts w:ascii="Noto Naskh Arabic" w:hAnsi="Noto Naskh Arabic" w:cs="Noto Naskh Arabic"/>
                  <w:sz w:val="21"/>
                  <w:szCs w:val="21"/>
                  <w:rtl/>
                </w:rPr>
                <w:t>حوالے 036–055</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05  Islamic beliefs and their individual and social implications</w:t>
            </w:r>
          </w:p>
          <w:p>
            <w:pPr>
              <w:keepNext w:val="0"/>
              <w:widowControl/>
              <w:spacing w:after="0" w:before="0" w:lineRule="atLeast" w:line="250"/>
              <w:jc w:val="start"/>
              <w:bidi w:val="0"/>
            </w:pPr>
            <w:hyperlink w:anchor="topic_5">
              <w:r>
                <w:rPr>
                  <w:color w:val="245C7C"/>
                  <w:u w:val="single"/>
                  <w:rFonts w:ascii="Calibri" w:hAnsi="Calibri" w:cs="Calibri"/>
                  <w:sz w:val="18"/>
                  <w:szCs w:val="18"/>
                </w:rPr>
                <w:t>References 056–076</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05  اسلامی عقائد اور ان کے انفرادی و معاشرتی اثرات</w:t>
            </w:r>
          </w:p>
          <w:p>
            <w:pPr>
              <w:keepNext w:val="0"/>
              <w:widowControl/>
              <w:spacing w:after="0" w:before="0" w:lineRule="atLeast" w:line="300"/>
              <w:jc w:val="start"/>
              <w:bidi w:val="1"/>
            </w:pPr>
            <w:hyperlink w:anchor="topic_5">
              <w:r>
                <w:rPr>
                  <w:color w:val="245C7C"/>
                  <w:u w:val="single"/>
                  <w:rFonts w:ascii="Noto Naskh Arabic" w:hAnsi="Noto Naskh Arabic" w:cs="Noto Naskh Arabic"/>
                  <w:sz w:val="21"/>
                  <w:szCs w:val="21"/>
                  <w:rtl/>
                </w:rPr>
                <w:t>حوالے 056–076</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06  Fundamentals of Islam: pillars, intention and responsibility</w:t>
            </w:r>
          </w:p>
          <w:p>
            <w:pPr>
              <w:keepNext w:val="0"/>
              <w:widowControl/>
              <w:spacing w:after="0" w:before="0" w:lineRule="atLeast" w:line="250"/>
              <w:jc w:val="start"/>
              <w:bidi w:val="0"/>
            </w:pPr>
            <w:hyperlink w:anchor="topic_6">
              <w:r>
                <w:rPr>
                  <w:color w:val="245C7C"/>
                  <w:u w:val="single"/>
                  <w:rFonts w:ascii="Calibri" w:hAnsi="Calibri" w:cs="Calibri"/>
                  <w:sz w:val="18"/>
                  <w:szCs w:val="18"/>
                </w:rPr>
                <w:t>References 077–085</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06  اسلام کے بنیادی ارکان: نیت اور ذمہ داری</w:t>
            </w:r>
          </w:p>
          <w:p>
            <w:pPr>
              <w:keepNext w:val="0"/>
              <w:widowControl/>
              <w:spacing w:after="0" w:before="0" w:lineRule="atLeast" w:line="300"/>
              <w:jc w:val="start"/>
              <w:bidi w:val="1"/>
            </w:pPr>
            <w:hyperlink w:anchor="topic_6">
              <w:r>
                <w:rPr>
                  <w:color w:val="245C7C"/>
                  <w:u w:val="single"/>
                  <w:rFonts w:ascii="Noto Naskh Arabic" w:hAnsi="Noto Naskh Arabic" w:cs="Noto Naskh Arabic"/>
                  <w:sz w:val="21"/>
                  <w:szCs w:val="21"/>
                  <w:rtl/>
                </w:rPr>
                <w:t>حوالے 077–085</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07  Prayer, purification and remembrance</w:t>
            </w:r>
          </w:p>
          <w:p>
            <w:pPr>
              <w:keepNext w:val="0"/>
              <w:widowControl/>
              <w:spacing w:after="0" w:before="0" w:lineRule="atLeast" w:line="250"/>
              <w:jc w:val="start"/>
              <w:bidi w:val="0"/>
            </w:pPr>
            <w:hyperlink w:anchor="topic_7">
              <w:r>
                <w:rPr>
                  <w:color w:val="245C7C"/>
                  <w:u w:val="single"/>
                  <w:rFonts w:ascii="Calibri" w:hAnsi="Calibri" w:cs="Calibri"/>
                  <w:sz w:val="18"/>
                  <w:szCs w:val="18"/>
                </w:rPr>
                <w:t>References 086–100</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07  نماز، طہارت اور ذکر</w:t>
            </w:r>
          </w:p>
          <w:p>
            <w:pPr>
              <w:keepNext w:val="0"/>
              <w:widowControl/>
              <w:spacing w:after="0" w:before="0" w:lineRule="atLeast" w:line="300"/>
              <w:jc w:val="start"/>
              <w:bidi w:val="1"/>
            </w:pPr>
            <w:hyperlink w:anchor="topic_7">
              <w:r>
                <w:rPr>
                  <w:color w:val="245C7C"/>
                  <w:u w:val="single"/>
                  <w:rFonts w:ascii="Noto Naskh Arabic" w:hAnsi="Noto Naskh Arabic" w:cs="Noto Naskh Arabic"/>
                  <w:sz w:val="21"/>
                  <w:szCs w:val="21"/>
                  <w:rtl/>
                </w:rPr>
                <w:t>حوالے 086–100</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08  Fasting: spiritual and moral formation</w:t>
            </w:r>
          </w:p>
          <w:p>
            <w:pPr>
              <w:keepNext w:val="0"/>
              <w:widowControl/>
              <w:spacing w:after="0" w:before="0" w:lineRule="atLeast" w:line="250"/>
              <w:jc w:val="start"/>
              <w:bidi w:val="0"/>
            </w:pPr>
            <w:hyperlink w:anchor="topic_8">
              <w:r>
                <w:rPr>
                  <w:color w:val="245C7C"/>
                  <w:u w:val="single"/>
                  <w:rFonts w:ascii="Calibri" w:hAnsi="Calibri" w:cs="Calibri"/>
                  <w:sz w:val="18"/>
                  <w:szCs w:val="18"/>
                </w:rPr>
                <w:t>References 101–107</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08  روزہ: روحانی اور اخلاقی تربیت</w:t>
            </w:r>
          </w:p>
          <w:p>
            <w:pPr>
              <w:keepNext w:val="0"/>
              <w:widowControl/>
              <w:spacing w:after="0" w:before="0" w:lineRule="atLeast" w:line="300"/>
              <w:jc w:val="start"/>
              <w:bidi w:val="1"/>
            </w:pPr>
            <w:hyperlink w:anchor="topic_8">
              <w:r>
                <w:rPr>
                  <w:color w:val="245C7C"/>
                  <w:u w:val="single"/>
                  <w:rFonts w:ascii="Noto Naskh Arabic" w:hAnsi="Noto Naskh Arabic" w:cs="Noto Naskh Arabic"/>
                  <w:sz w:val="21"/>
                  <w:szCs w:val="21"/>
                  <w:rtl/>
                </w:rPr>
                <w:t>حوالے 101–107</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09  Zakat and charity: social responsibility</w:t>
            </w:r>
          </w:p>
          <w:p>
            <w:pPr>
              <w:keepNext w:val="0"/>
              <w:widowControl/>
              <w:spacing w:after="0" w:before="0" w:lineRule="atLeast" w:line="250"/>
              <w:jc w:val="start"/>
              <w:bidi w:val="0"/>
            </w:pPr>
            <w:hyperlink w:anchor="topic_9">
              <w:r>
                <w:rPr>
                  <w:color w:val="245C7C"/>
                  <w:u w:val="single"/>
                  <w:rFonts w:ascii="Calibri" w:hAnsi="Calibri" w:cs="Calibri"/>
                  <w:sz w:val="18"/>
                  <w:szCs w:val="18"/>
                </w:rPr>
                <w:t>References 108–119</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09  زکوٰۃ اور صدقات: معاشرتی ذمہ داری</w:t>
            </w:r>
          </w:p>
          <w:p>
            <w:pPr>
              <w:keepNext w:val="0"/>
              <w:widowControl/>
              <w:spacing w:after="0" w:before="0" w:lineRule="atLeast" w:line="300"/>
              <w:jc w:val="start"/>
              <w:bidi w:val="1"/>
            </w:pPr>
            <w:hyperlink w:anchor="topic_9">
              <w:r>
                <w:rPr>
                  <w:color w:val="245C7C"/>
                  <w:u w:val="single"/>
                  <w:rFonts w:ascii="Noto Naskh Arabic" w:hAnsi="Noto Naskh Arabic" w:cs="Noto Naskh Arabic"/>
                  <w:sz w:val="21"/>
                  <w:szCs w:val="21"/>
                  <w:rtl/>
                </w:rPr>
                <w:t>حوالے 108–119</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10  Hajj and sacrifice: devotion, equality and community</w:t>
            </w:r>
          </w:p>
          <w:p>
            <w:pPr>
              <w:keepNext w:val="0"/>
              <w:widowControl/>
              <w:spacing w:after="0" w:before="0" w:lineRule="atLeast" w:line="250"/>
              <w:jc w:val="start"/>
              <w:bidi w:val="0"/>
            </w:pPr>
            <w:hyperlink w:anchor="topic_10">
              <w:r>
                <w:rPr>
                  <w:color w:val="245C7C"/>
                  <w:u w:val="single"/>
                  <w:rFonts w:ascii="Calibri" w:hAnsi="Calibri" w:cs="Calibri"/>
                  <w:sz w:val="18"/>
                  <w:szCs w:val="18"/>
                </w:rPr>
                <w:t>References 120–126</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10  حج اور قربانی: بندگی، مساوات اور اجتماعیت</w:t>
            </w:r>
          </w:p>
          <w:p>
            <w:pPr>
              <w:keepNext w:val="0"/>
              <w:widowControl/>
              <w:spacing w:after="0" w:before="0" w:lineRule="atLeast" w:line="300"/>
              <w:jc w:val="start"/>
              <w:bidi w:val="1"/>
            </w:pPr>
            <w:hyperlink w:anchor="topic_10">
              <w:r>
                <w:rPr>
                  <w:color w:val="245C7C"/>
                  <w:u w:val="single"/>
                  <w:rFonts w:ascii="Noto Naskh Arabic" w:hAnsi="Noto Naskh Arabic" w:cs="Noto Naskh Arabic"/>
                  <w:sz w:val="21"/>
                  <w:szCs w:val="21"/>
                  <w:rtl/>
                </w:rPr>
                <w:t>حوالے 120–126</w:t>
              </w:r>
            </w:hyperlink>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0" w:before="0" w:lineRule="atLeast" w:line="250"/>
              <w:jc w:val="start"/>
              <w:bidi w:val="0"/>
            </w:pPr>
            <w:r>
              <w:rPr>
                <w:rFonts w:ascii="Calibri" w:hAnsi="Calibri" w:cs="Calibri" w:eastAsia="Calibri"/>
                <w:b/>
                <w:color w:val="21313F"/>
                <w:sz w:val="20"/>
                <w:szCs w:val="20"/>
                <w:lang w:val="en-GB" w:bidi="ar-SA"/>
              </w:rPr>
              <w:t>11  Worship in conduct: family, society and practical precedents</w:t>
            </w:r>
          </w:p>
          <w:p>
            <w:pPr>
              <w:keepNext w:val="0"/>
              <w:widowControl/>
              <w:spacing w:after="0" w:before="0" w:lineRule="atLeast" w:line="250"/>
              <w:jc w:val="start"/>
              <w:bidi w:val="0"/>
            </w:pPr>
            <w:hyperlink w:anchor="topic_11">
              <w:r>
                <w:rPr>
                  <w:color w:val="245C7C"/>
                  <w:u w:val="single"/>
                  <w:rFonts w:ascii="Calibri" w:hAnsi="Calibri" w:cs="Calibri"/>
                  <w:sz w:val="18"/>
                  <w:szCs w:val="18"/>
                </w:rPr>
                <w:t>References 127–150</w:t>
              </w:r>
            </w:hyperlink>
          </w:p>
        </w:tc>
        <w:tc>
          <w:tcPr>
            <w:tcW w:type="dxa" w:w="5148"/>
            <w:vAlign w:val="top"/>
          </w:tcPr>
          <w:p>
            <w:pPr>
              <w:keepNext w:val="0"/>
              <w:widowControl/>
              <w:spacing w:after="0" w:before="0" w:lineRule="atLeast" w:line="300"/>
              <w:jc w:val="start"/>
              <w:bidi w:val="1"/>
            </w:pPr>
            <w:r>
              <w:rPr>
                <w:rFonts w:ascii="Noto Naskh Arabic" w:hAnsi="Noto Naskh Arabic" w:cs="Noto Naskh Arabic" w:eastAsia="Noto Naskh Arabic"/>
                <w:b/>
                <w:color w:val="21313F"/>
                <w:sz w:val="22"/>
                <w:szCs w:val="22"/>
                <w:lang w:val="ur-PK" w:bidi="ur-PK"/>
                <w:rtl w:val="1"/>
                <w:bCs/>
              </w:rPr>
              <w:t>11  عبادت کے عملی تقاضے: خاندان، معاشرہ اور واقعاتی شواہد</w:t>
            </w:r>
          </w:p>
          <w:p>
            <w:pPr>
              <w:keepNext w:val="0"/>
              <w:widowControl/>
              <w:spacing w:after="0" w:before="0" w:lineRule="atLeast" w:line="300"/>
              <w:jc w:val="start"/>
              <w:bidi w:val="1"/>
            </w:pPr>
            <w:hyperlink w:anchor="topic_11">
              <w:r>
                <w:rPr>
                  <w:color w:val="245C7C"/>
                  <w:u w:val="single"/>
                  <w:rFonts w:ascii="Noto Naskh Arabic" w:hAnsi="Noto Naskh Arabic" w:cs="Noto Naskh Arabic"/>
                  <w:sz w:val="21"/>
                  <w:szCs w:val="21"/>
                  <w:rtl/>
                </w:rPr>
                <w:t>حوالے 127–150</w:t>
              </w:r>
            </w:hyperlink>
          </w:p>
        </w:tc>
      </w:tr>
    </w:tbl>
    <w:p>
      <w:pPr>
        <w:spacing w:before="0" w:after="80" w:line="20" w:lineRule="exact"/>
      </w:pPr>
      <w:r>
        <w:rPr>
          <w:rFonts w:ascii="Calibri" w:hAnsi="Calibri" w:cs="Calibri" w:eastAsia="Calibri"/>
          <w:b w:val="0"/>
          <w:color w:val="21313F"/>
          <w:sz w:val="2"/>
          <w:szCs w:val="2"/>
          <w:lang w:val="en-GB" w:bidi="ar-SA"/>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12  More on Islam, Din and purposeful human life</w:t>
              <w:br/>
              <w:t>References 151–164</w:t>
            </w:r>
          </w:p>
          <w:p>
            <w:pPr>
              <w:keepNext w:val="0"/>
              <w:widowControl w:val="1"/>
              <w:bidi w:val="0"/>
              <w:jc w:val="start"/>
              <w:spacing w:before="0" w:after="0" w:line="250" w:lineRule="atLeast"/>
            </w:pPr>
            <w:hyperlink w:anchor="theme_12">
              <w:r>
                <w:rPr>
                  <w:rFonts w:ascii="Calibri" w:hAnsi="Calibri" w:cs="Calibri" w:eastAsia="Calibri"/>
                  <w:sz w:val="18"/>
                  <w:szCs w:val="18"/>
                  <w:b w:val="0"/>
                  <w:bCs w:val="0"/>
                  <w:color w:val="244B62"/>
                  <w:lang w:val="en-GB" w:bidi="en-GB"/>
                  <w:rtl w:val="0"/>
                  <w:u w:val="single"/>
                </w:rPr>
                <w:t>Go to section</w:t>
              </w:r>
            </w:hyperlink>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12  اسلام، دین اور بامقصد انسانی زندگی کی مزید بنیادیں</w:t>
              <w:br/>
              <w:t>حوالے 151–164</w:t>
            </w:r>
          </w:p>
          <w:p>
            <w:pPr>
              <w:keepNext w:val="0"/>
              <w:widowControl w:val="1"/>
              <w:bidi w:val="1"/>
              <w:jc w:val="start"/>
              <w:spacing w:before="0" w:after="0" w:line="300" w:lineRule="atLeast"/>
            </w:pPr>
            <w:hyperlink w:anchor="theme_12">
              <w:r>
                <w:rPr>
                  <w:rFonts w:ascii="Noto Naskh Arabic" w:hAnsi="Noto Naskh Arabic" w:cs="Noto Naskh Arabic" w:eastAsia="Noto Naskh Arabic"/>
                  <w:sz w:val="20"/>
                  <w:szCs w:val="20"/>
                  <w:b w:val="0"/>
                  <w:bCs w:val="0"/>
                  <w:color w:val="244B62"/>
                  <w:lang w:val="ur-PK" w:bidi="ur-PK"/>
                  <w:rtl w:val="1"/>
                  <w:u w:val="single"/>
                </w:rPr>
                <w:t>متعلقہ حصہ کھولیے</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13  Distinctive values: knowledge, dignity and social dealings</w:t>
              <w:br/>
              <w:t>References 165–177</w:t>
            </w:r>
          </w:p>
          <w:p>
            <w:pPr>
              <w:keepNext w:val="0"/>
              <w:widowControl w:val="1"/>
              <w:bidi w:val="0"/>
              <w:jc w:val="start"/>
              <w:spacing w:before="0" w:after="0" w:line="250" w:lineRule="atLeast"/>
            </w:pPr>
            <w:hyperlink w:anchor="theme_13">
              <w:r>
                <w:rPr>
                  <w:rFonts w:ascii="Calibri" w:hAnsi="Calibri" w:cs="Calibri" w:eastAsia="Calibri"/>
                  <w:sz w:val="18"/>
                  <w:szCs w:val="18"/>
                  <w:b w:val="0"/>
                  <w:bCs w:val="0"/>
                  <w:color w:val="244B62"/>
                  <w:lang w:val="en-GB" w:bidi="en-GB"/>
                  <w:rtl w:val="0"/>
                  <w:u w:val="single"/>
                </w:rPr>
                <w:t>Go to section</w:t>
              </w:r>
            </w:hyperlink>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13  امتیازی اقدار: علم، انسانی وقار اور معاشرتی معاملات</w:t>
              <w:br/>
              <w:t>حوالے 165–177</w:t>
            </w:r>
          </w:p>
          <w:p>
            <w:pPr>
              <w:keepNext w:val="0"/>
              <w:widowControl w:val="1"/>
              <w:bidi w:val="1"/>
              <w:jc w:val="start"/>
              <w:spacing w:before="0" w:after="0" w:line="300" w:lineRule="atLeast"/>
            </w:pPr>
            <w:hyperlink w:anchor="theme_13">
              <w:r>
                <w:rPr>
                  <w:rFonts w:ascii="Noto Naskh Arabic" w:hAnsi="Noto Naskh Arabic" w:cs="Noto Naskh Arabic" w:eastAsia="Noto Naskh Arabic"/>
                  <w:sz w:val="20"/>
                  <w:szCs w:val="20"/>
                  <w:b w:val="0"/>
                  <w:bCs w:val="0"/>
                  <w:color w:val="244B62"/>
                  <w:lang w:val="ur-PK" w:bidi="ur-PK"/>
                  <w:rtl w:val="1"/>
                  <w:u w:val="single"/>
                </w:rPr>
                <w:t>متعلقہ حصہ کھولیے</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14  Belief, accountability and intellectual reflection</w:t>
              <w:br/>
              <w:t>References 178–193</w:t>
            </w:r>
          </w:p>
          <w:p>
            <w:pPr>
              <w:keepNext w:val="0"/>
              <w:widowControl w:val="1"/>
              <w:bidi w:val="0"/>
              <w:jc w:val="start"/>
              <w:spacing w:before="0" w:after="0" w:line="250" w:lineRule="atLeast"/>
            </w:pPr>
            <w:hyperlink w:anchor="theme_14">
              <w:r>
                <w:rPr>
                  <w:rFonts w:ascii="Calibri" w:hAnsi="Calibri" w:cs="Calibri" w:eastAsia="Calibri"/>
                  <w:sz w:val="18"/>
                  <w:szCs w:val="18"/>
                  <w:b w:val="0"/>
                  <w:bCs w:val="0"/>
                  <w:color w:val="244B62"/>
                  <w:lang w:val="en-GB" w:bidi="en-GB"/>
                  <w:rtl w:val="0"/>
                  <w:u w:val="single"/>
                </w:rPr>
                <w:t>Go to section</w:t>
              </w:r>
            </w:hyperlink>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14  ایمان، جواب دہی اور فکری غور</w:t>
              <w:br/>
              <w:t>حوالے 178–193</w:t>
            </w:r>
          </w:p>
          <w:p>
            <w:pPr>
              <w:keepNext w:val="0"/>
              <w:widowControl w:val="1"/>
              <w:bidi w:val="1"/>
              <w:jc w:val="start"/>
              <w:spacing w:before="0" w:after="0" w:line="300" w:lineRule="atLeast"/>
            </w:pPr>
            <w:hyperlink w:anchor="theme_14">
              <w:r>
                <w:rPr>
                  <w:rFonts w:ascii="Noto Naskh Arabic" w:hAnsi="Noto Naskh Arabic" w:cs="Noto Naskh Arabic" w:eastAsia="Noto Naskh Arabic"/>
                  <w:sz w:val="20"/>
                  <w:szCs w:val="20"/>
                  <w:b w:val="0"/>
                  <w:bCs w:val="0"/>
                  <w:color w:val="244B62"/>
                  <w:lang w:val="ur-PK" w:bidi="ur-PK"/>
                  <w:rtl w:val="1"/>
                  <w:u w:val="single"/>
                </w:rPr>
                <w:t>متعلقہ حصہ کھولیے</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15  Fundamentals expressed in sustained conduct</w:t>
              <w:br/>
              <w:t>References 194–203</w:t>
            </w:r>
          </w:p>
          <w:p>
            <w:pPr>
              <w:keepNext w:val="0"/>
              <w:widowControl w:val="1"/>
              <w:bidi w:val="0"/>
              <w:jc w:val="start"/>
              <w:spacing w:before="0" w:after="0" w:line="250" w:lineRule="atLeast"/>
            </w:pPr>
            <w:hyperlink w:anchor="theme_15">
              <w:r>
                <w:rPr>
                  <w:rFonts w:ascii="Calibri" w:hAnsi="Calibri" w:cs="Calibri" w:eastAsia="Calibri"/>
                  <w:sz w:val="18"/>
                  <w:szCs w:val="18"/>
                  <w:b w:val="0"/>
                  <w:bCs w:val="0"/>
                  <w:color w:val="244B62"/>
                  <w:lang w:val="en-GB" w:bidi="en-GB"/>
                  <w:rtl w:val="0"/>
                  <w:u w:val="single"/>
                </w:rPr>
                <w:t>Go to section</w:t>
              </w:r>
            </w:hyperlink>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15  بنیادی تعلیمات کا مسلسل کردار میں اظہار</w:t>
              <w:br/>
              <w:t>حوالے 194–203</w:t>
            </w:r>
          </w:p>
          <w:p>
            <w:pPr>
              <w:keepNext w:val="0"/>
              <w:widowControl w:val="1"/>
              <w:bidi w:val="1"/>
              <w:jc w:val="start"/>
              <w:spacing w:before="0" w:after="0" w:line="300" w:lineRule="atLeast"/>
            </w:pPr>
            <w:hyperlink w:anchor="theme_15">
              <w:r>
                <w:rPr>
                  <w:rFonts w:ascii="Noto Naskh Arabic" w:hAnsi="Noto Naskh Arabic" w:cs="Noto Naskh Arabic" w:eastAsia="Noto Naskh Arabic"/>
                  <w:sz w:val="20"/>
                  <w:szCs w:val="20"/>
                  <w:b w:val="0"/>
                  <w:bCs w:val="0"/>
                  <w:color w:val="244B62"/>
                  <w:lang w:val="ur-PK" w:bidi="ur-PK"/>
                  <w:rtl w:val="1"/>
                  <w:u w:val="single"/>
                </w:rPr>
                <w:t>متعلقہ حصہ کھولیے</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16  Worship in practice: spiritual, moral and social effects</w:t>
              <w:br/>
              <w:t>References 204–225</w:t>
            </w:r>
          </w:p>
          <w:p>
            <w:pPr>
              <w:keepNext w:val="0"/>
              <w:widowControl w:val="1"/>
              <w:bidi w:val="0"/>
              <w:jc w:val="start"/>
              <w:spacing w:before="0" w:after="0" w:line="250" w:lineRule="atLeast"/>
            </w:pPr>
            <w:hyperlink w:anchor="theme_16">
              <w:r>
                <w:rPr>
                  <w:rFonts w:ascii="Calibri" w:hAnsi="Calibri" w:cs="Calibri" w:eastAsia="Calibri"/>
                  <w:sz w:val="18"/>
                  <w:szCs w:val="18"/>
                  <w:b w:val="0"/>
                  <w:bCs w:val="0"/>
                  <w:color w:val="244B62"/>
                  <w:lang w:val="en-GB" w:bidi="en-GB"/>
                  <w:rtl w:val="0"/>
                  <w:u w:val="single"/>
                </w:rPr>
                <w:t>Go to section</w:t>
              </w:r>
            </w:hyperlink>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16  عبادات کا عملی اظہار: روحانی، اخلاقی اور سماجی اثرات</w:t>
              <w:br/>
              <w:t>حوالے 204–225</w:t>
            </w:r>
          </w:p>
          <w:p>
            <w:pPr>
              <w:keepNext w:val="0"/>
              <w:widowControl w:val="1"/>
              <w:bidi w:val="1"/>
              <w:jc w:val="start"/>
              <w:spacing w:before="0" w:after="0" w:line="300" w:lineRule="atLeast"/>
            </w:pPr>
            <w:hyperlink w:anchor="theme_16">
              <w:r>
                <w:rPr>
                  <w:rFonts w:ascii="Noto Naskh Arabic" w:hAnsi="Noto Naskh Arabic" w:cs="Noto Naskh Arabic" w:eastAsia="Noto Naskh Arabic"/>
                  <w:sz w:val="20"/>
                  <w:szCs w:val="20"/>
                  <w:b w:val="0"/>
                  <w:bCs w:val="0"/>
                  <w:color w:val="244B62"/>
                  <w:lang w:val="ur-PK" w:bidi="ur-PK"/>
                  <w:rtl w:val="1"/>
                  <w:u w:val="single"/>
                </w:rPr>
                <w:t>متعلقہ حصہ کھولیے</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widowControl/>
              <w:spacing w:after="20" w:before="0" w:lineRule="atLeast" w:line="250"/>
              <w:jc w:val="start"/>
              <w:bidi w:val="0"/>
            </w:pPr>
            <w:r>
              <w:rPr>
                <w:rFonts w:ascii="Calibri" w:hAnsi="Calibri" w:cs="Calibri" w:eastAsia="Calibri"/>
                <w:b/>
                <w:color w:val="21313F"/>
                <w:sz w:val="23"/>
                <w:szCs w:val="23"/>
                <w:lang w:val="en-GB" w:bidi="ar-SA"/>
              </w:rPr>
              <w:t>How to read an entry</w:t>
            </w:r>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3"/>
                <w:szCs w:val="23"/>
                <w:lang w:val="ur-PK" w:bidi="ur-PK"/>
                <w:rtl w:val="1"/>
                <w:bCs/>
              </w:rPr>
              <w:t>اندراج پڑھنے کا طریقہ</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Each Arabic block belongs to the reference number in the paired heading immediately above it. Qur’anic and Hadith translations are checked full verses or clearly marked contiguous excerpts, not reconstructed translations. The Arabic selection and each translation excerpt may differ in length; use the links for the full passage and context.</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ہر عربی خانہ فوراً اوپر کے دو لسانی عنوان میں موجود حوالہ نمبر سے متعلق ہے۔ قرآنی و حدیثی تراجم جانچی گئی مکمل آیت یا واضح مسلسل اقتباس ہیں، خودساختہ تراجم نہیں۔ عربی انتخاب اور دونوں تراجم کے اقتباسات کی طوالت مختلف ہو سکتی ہے؛ مکمل مقام اور سیاق کے لیے روابط دیکھیے۔</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Scholarly summaries are explicitly labelled. A quotation embedded in a Tafsir or ethical work is not automatically a sound Hadith. Links and repeated material in the two languages do not create additional references.</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علمی خلاصوں کی نوعیت واضح ہے۔ تفسیر یا اخلاقی کتاب میں نقل ہونے سے کوئی قول خودبخود صحیح حدیث نہیں بنتا۔ روابط اور دو زبانوں میں تکرار الگ حوالے نہیں بناتے۔</w:t>
            </w:r>
          </w:p>
        </w:tc>
      </w:tr>
    </w:tbl>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 w:name="topic_1"/>
            <w:pPr>
              <w:keepNext/>
              <w:widowControl/>
              <w:spacing w:after="20" w:before="0" w:lineRule="atLeast" w:line="250"/>
              <w:jc w:val="start"/>
              <w:bidi w:val="0"/>
            </w:pPr>
            <w:r>
              <w:rPr>
                <w:rFonts w:ascii="Calibri" w:hAnsi="Calibri" w:cs="Calibri" w:eastAsia="Calibri"/>
                <w:b/>
                <w:color w:val="21313F"/>
                <w:sz w:val="24"/>
                <w:szCs w:val="25"/>
                <w:lang w:val="en-GB" w:bidi="ar-SA"/>
              </w:rPr>
              <w:t>01  Concept of Islam: submission, faith and excellence</w:t>
            </w:r>
            <w:bookmarkEnd w:id="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01  تصورِ اسلام: اطاعت، ایمان اور احسان</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001–012</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001–012</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 w:name="ref_001"/>
            <w:pPr>
              <w:keepNext/>
              <w:widowControl/>
              <w:spacing w:after="20" w:before="0" w:lineRule="atLeast" w:line="250"/>
              <w:jc w:val="start"/>
              <w:bidi w:val="0"/>
            </w:pPr>
            <w:r>
              <w:rPr>
                <w:rFonts w:ascii="Calibri" w:hAnsi="Calibri" w:cs="Calibri" w:eastAsia="Calibri"/>
                <w:b/>
                <w:color w:val="21313F"/>
                <w:sz w:val="20"/>
                <w:szCs w:val="20"/>
                <w:lang w:val="en-GB" w:bidi="ar-SA"/>
              </w:rPr>
              <w:t>Reference 001  |  Islam as submission to God</w:t>
            </w:r>
            <w:bookmarkEnd w:id="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001  |  اسلام: اللہ کے سامنے تسلیم و رضا</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 الدِّينَ عِندَ اللَّهِ الْإِسْلَامُ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“Lo! religion with Allah (is) the Surrender (to His Will and Guidance).”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 Imran (3), ayah 19.</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opening clause identifies Islam as the accepted din. The remainder concerns disagreement after knowledge; it is not reproduced here.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«دین تو خدا کے نزدیک اسلام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آل عمران (3)، آیت 19۔</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ابتدائی فقرہ اسلام کو مقبول دین قرار دیتا ہے۔ باقی آیت علم کے بعد اختلاف کا ذکر کرتی ہے، جسے یہاں نقل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 w:name="ref_002"/>
            <w:pPr>
              <w:keepNext/>
              <w:widowControl/>
              <w:spacing w:after="20" w:before="0" w:lineRule="atLeast" w:line="250"/>
              <w:jc w:val="start"/>
              <w:bidi w:val="0"/>
            </w:pPr>
            <w:r>
              <w:rPr>
                <w:rFonts w:ascii="Calibri" w:hAnsi="Calibri" w:cs="Calibri" w:eastAsia="Calibri"/>
                <w:b/>
                <w:color w:val="21313F"/>
                <w:sz w:val="20"/>
                <w:szCs w:val="20"/>
                <w:lang w:val="en-GB" w:bidi="ar-SA"/>
              </w:rPr>
              <w:t>Reference 002  |  Theological claim of acceptance</w:t>
            </w:r>
            <w:bookmarkEnd w:id="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002  |  دین کی قبولیت کا اعتقادی بیان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وَمَن يَبْتَغِ غَيْرَ الْإِسْلَامِ دِينًا فَلَن يُقْبَلَ مِنْهُ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whoso seeketh as religion other than the Surrender (to Allah) it will not be accepted from him,”</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 Imran (3), ayah 85.</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Records the Quranic claim about religious acceptance. It is a theological statement, not an instruction to coerce belief.</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3">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4">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جو شخص اسلام کے سوا کسی اور دین کا طالب ہوگا وہ اس سے ہرگز قبول نہیں کیا جائے گا»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آل عمران (3)، آیت 85۔</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دینی قبولیت کے متعلق قرآنی بیان ہے؛ کسی کو عقیدہ اختیار کرنے پر مجبور کرنے کا حکم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3">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4">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 w:name="ref_003"/>
            <w:pPr>
              <w:keepNext/>
              <w:widowControl/>
              <w:spacing w:after="20" w:before="0" w:lineRule="atLeast" w:line="250"/>
              <w:jc w:val="start"/>
              <w:bidi w:val="0"/>
            </w:pPr>
            <w:r>
              <w:rPr>
                <w:rFonts w:ascii="Calibri" w:hAnsi="Calibri" w:cs="Calibri" w:eastAsia="Calibri"/>
                <w:b/>
                <w:color w:val="21313F"/>
                <w:sz w:val="20"/>
                <w:szCs w:val="20"/>
                <w:lang w:val="en-GB" w:bidi="ar-SA"/>
              </w:rPr>
              <w:t>Reference 003  |  Abraham’s response of submission</w:t>
            </w:r>
            <w:bookmarkEnd w:id="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003  |  ابراہیم علیہ السلام کا اقرارِ اطاعت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قَالَ أَسْلَمْتُ لِرَبِّ الْعَالَمِينَ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“he said: I have surrendered to the Lord of the Worlds.”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131.</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Gives a Quranic example of submission preceding the final Prophetic community; useful for Islam’s Abrahamic continuity.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5">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6">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«تو انہوں نے عرض کی کہ میں رب العالمین کے آگے سر اطاعت خم کرتا ہوں»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131۔</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آخری امت سے پہلے اطاعت کی قرآنی مثال ہے؛ اسلام کے ابراہیمی تسلسل کی وضاحت میں مفید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5">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6">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 w:name="ref_004"/>
            <w:pPr>
              <w:keepNext/>
              <w:widowControl/>
              <w:spacing w:after="20" w:before="0" w:lineRule="atLeast" w:line="250"/>
              <w:jc w:val="start"/>
              <w:bidi w:val="0"/>
            </w:pPr>
            <w:r>
              <w:rPr>
                <w:rFonts w:ascii="Calibri" w:hAnsi="Calibri" w:cs="Calibri" w:eastAsia="Calibri"/>
                <w:b/>
                <w:color w:val="21313F"/>
                <w:sz w:val="20"/>
                <w:szCs w:val="20"/>
                <w:lang w:val="en-GB" w:bidi="ar-SA"/>
              </w:rPr>
              <w:t>Reference 004  |  Submission joined to doing good</w:t>
            </w:r>
            <w:bookmarkEnd w:id="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004  |  اطاعت کے ساتھ نیکوکاری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وَمَنْ أَحْسَنُ دِينًا مِّمَّنْ أَسْلَمَ وَجْهَهُ لِلَّهِ وَهُوَ مُحْسِنٌ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“Who is better in religion than he who surrendereth his purpose to Allah while doing good (to men)”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Al-Nisa (4), ayah 125.</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Links surrender to moral excellence rather than a merely verbal religious identity. The verse continues with Abraham’s example.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7">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8">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اس شخص سے کس کا دین اچھا ہوسکتا ہے جس نے حکم خدا کو قبول کیا اور وہ نیکوکار بھی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النساء (4)، آیت 125۔</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محض زبانی شناخت کے بجائے اطاعت کو نیکوکاری سے جوڑتی ہے۔ آگے آیت میں ابراہیم علیہ السلام کی مثال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7">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8">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 w:name="ref_005"/>
            <w:pPr>
              <w:keepNext/>
              <w:widowControl/>
              <w:spacing w:after="20" w:before="0" w:lineRule="atLeast" w:line="250"/>
              <w:jc w:val="start"/>
              <w:bidi w:val="0"/>
            </w:pPr>
            <w:r>
              <w:rPr>
                <w:rFonts w:ascii="Calibri" w:hAnsi="Calibri" w:cs="Calibri" w:eastAsia="Calibri"/>
                <w:b/>
                <w:color w:val="21313F"/>
                <w:sz w:val="20"/>
                <w:szCs w:val="20"/>
                <w:lang w:val="en-GB" w:bidi="ar-SA"/>
              </w:rPr>
              <w:t>Reference 005  |  Continuity of prophetic religion</w:t>
            </w:r>
            <w:bookmarkEnd w:id="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005  |  انبیاء کے دین کا تسلسل</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أَنْ أَقِيمُوا الدِّينَ وَلَا تَتَفَرَّقُوا فِيهِ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“Establish the religion, and be not divided therein.”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Al-Shura (42), ayah 13.</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surrounding passage names Noah, Abraham, Moses and Jesus. The command presents continuity and unity; detailed institutional applications require further argument.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«(وہ یہ) کہ دین کو قائم رکھنا اور اس میں پھوٹ نہ ڈالنا۔»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الشوریٰ (42)، آیت 13۔</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آیت کے سیاق میں نوح، ابراہیم، موسیٰ اور عیسیٰ علیہم السلام مذکور ہیں۔ حکم تسلسل اور وحدت بیان کرتا ہے؛ تفصیلی ادارہ جاتی اطلاق الگ استدلال چاہتا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 w:name="ref_006"/>
            <w:pPr>
              <w:keepNext/>
              <w:widowControl/>
              <w:spacing w:after="20" w:before="0" w:lineRule="atLeast" w:line="250"/>
              <w:jc w:val="start"/>
              <w:bidi w:val="0"/>
            </w:pPr>
            <w:r>
              <w:rPr>
                <w:rFonts w:ascii="Calibri" w:hAnsi="Calibri" w:cs="Calibri" w:eastAsia="Calibri"/>
                <w:b/>
                <w:color w:val="21313F"/>
                <w:sz w:val="20"/>
                <w:szCs w:val="20"/>
                <w:lang w:val="en-GB" w:bidi="ar-SA"/>
              </w:rPr>
              <w:t>Reference 006  |  Outward submission and inward faith</w:t>
            </w:r>
            <w:bookmarkEnd w:id="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006  |  ظاہری اسلام اور باطنی ایمان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وَلَمَّا يَدْخُلِ الْإِيمَانُ فِي قُلُوبِكُمْ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“for the faith hath not yet entered into your hearts.”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Al-Hujurat (49), ayah 14.</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In addressing these Bedouins, the verse distinguishes a claim of faith from submission. General theological relations between iman and Islam require the wider textual evidence.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ایمان تو ہنوز تمہارے دلوں میں داخل ہی نہیں ہوا۔»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الحجرات (49)، آیت 14۔</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ان اعراب کے خطاب میں دعوائے ایمان اور اسلام کا فرق بیان ہوا ہے۔ ایمان و اسلام کے عمومی کلامی تعلق کے لیے دوسرے نصوص بھی درکار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 w:name="ref_007"/>
            <w:pPr>
              <w:keepNext/>
              <w:widowControl/>
              <w:spacing w:after="20" w:before="0" w:lineRule="atLeast" w:line="250"/>
              <w:jc w:val="start"/>
              <w:bidi w:val="0"/>
            </w:pPr>
            <w:r>
              <w:rPr>
                <w:rFonts w:ascii="Calibri" w:hAnsi="Calibri" w:cs="Calibri" w:eastAsia="Calibri"/>
                <w:b/>
                <w:color w:val="21313F"/>
                <w:sz w:val="20"/>
                <w:szCs w:val="20"/>
                <w:lang w:val="en-GB" w:bidi="ar-SA"/>
              </w:rPr>
              <w:t>Reference 007  |  Islam, faith and ihsan in the Hadith of Gabriel</w:t>
            </w:r>
            <w:bookmarkEnd w:id="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007  |  حدیثِ جبریل میں اسلام، ایمان اور احسان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أَنْ تَعْبُدَ اللَّهَ كَأَنَّكَ تَرَاهُ فَإِنْ لَمْ تَكُنْ تَرَاهُ فَإِنَّهُ يَرَاكَ</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“That you worship Allah as if you are seeing Him, for though you don't see Him, He, verily, sees you.”</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Muslim, The Book of Faith, hadith 8a; numbering: Sunnah.com. Narrator: Umar ibn al-Khattab.</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complete report distinguishes Islam’s acts, faith in Allah, angels, books, messengers, the Last Day and decree, and ihsan. The excerpt concerns ihsan; the episode is identified as teaching din.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Muslim; text and locator checked. This is not a new independent isnad grading. Urdu translation not verified.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3">
              <w:r>
                <w:rPr>
                  <w:color w:val="245C7C"/>
                  <w:u w:val="single"/>
                  <w:rFonts w:ascii="Calibri" w:hAnsi="Calibri" w:cs="Calibri"/>
                  <w:sz w:val="18"/>
                  <w:szCs w:val="18"/>
                </w:rPr>
                <w:t>Arabic / 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اندراج کے لیے کسی مطبوعہ اردو ترجمے کے الفاظ کی تصدیق نہیں ہو سکی؛ خودساختہ ترجمہ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مسلم، کتاب الایمان، حدیث 8a؛ ترقیم: سنہ ڈاٹ کام۔ راوی: عمر بن خطاب۔</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مطبوعہ اردو ترجمہ: غیر مصدقہ / دستیاب اقتباس نقل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پوری روایت میں اسلام کے اعمال، اللہ، فرشتوں، کتابوں، رسولوں، آخرت اور تقدیر پر ایمان، اور احسان الگ بیان ہوتے ہیں۔ اقتباس احسان کے متعلق ہے؛ واقعے کو دین کی تعلیم کہا گیا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مسلم میں مروی؛ متن اور حوالہ جانچا گیا۔ یہ سند کی نئی مستقل تحقیق نہیں۔ اردو ترجمہ غیر مصدقہ ہے۔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3">
              <w:r>
                <w:rPr>
                  <w:color w:val="245C7C"/>
                  <w:u w:val="single"/>
                  <w:rFonts w:ascii="Noto Naskh Arabic" w:hAnsi="Noto Naskh Arabic" w:cs="Noto Naskh Arabic"/>
                  <w:sz w:val="21"/>
                  <w:szCs w:val="21"/>
                  <w:rtl/>
                </w:rPr>
                <w:t>عربی / 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 w:name="ref_008"/>
            <w:pPr>
              <w:keepNext/>
              <w:widowControl/>
              <w:spacing w:after="20" w:before="0" w:lineRule="atLeast" w:line="250"/>
              <w:jc w:val="start"/>
              <w:bidi w:val="0"/>
            </w:pPr>
            <w:r>
              <w:rPr>
                <w:rFonts w:ascii="Calibri" w:hAnsi="Calibri" w:cs="Calibri" w:eastAsia="Calibri"/>
                <w:b/>
                <w:color w:val="21313F"/>
                <w:sz w:val="20"/>
                <w:szCs w:val="20"/>
                <w:lang w:val="en-GB" w:bidi="ar-SA"/>
              </w:rPr>
              <w:t>Reference 008  |  Religious identity and freedom from harm</w:t>
            </w:r>
            <w:bookmarkEnd w:id="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008  |  دینی شناخت اور ضرر سے حفاظت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الْمُسْلِمُ مَنْ سَلِمَ الْمُسْلِمُونَ مِنْ لِسَانِهِ وَيَدِهِ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 Muslim is the one who avoids harming Muslims with his tongue and hands.”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Belief, hadith 10; numbering: Sunnah.com. Narrator: Abdullah ibn Amr.</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Connects being Muslim with accountable speech and action. The wording does not itself license harm to non-Muslims; the continuation describes abandoning prohibited acts as migration.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4">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5">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«مسلمان وہ ہے جس کی زبان اور ہاتھ سے مسلمان بچے رہیں»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الایمان، حدیث 10؛ ترقیم: سنہ ڈاٹ کام۔ راوی: عبداللہ بن عمرو۔</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مسلمان ہونے کو ذمہ دار زبان اور عمل سے جوڑتی ہے۔ اس عبارت سے غیر مسلم کو نقصان کی اجازت نہیں نکلتی؛ آگے ممنوع اعمال چھوڑنے کو ہجرت کہا گیا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4">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5">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 w:name="ref_009"/>
            <w:pPr>
              <w:keepNext/>
              <w:widowControl/>
              <w:spacing w:after="20" w:before="0" w:lineRule="atLeast" w:line="250"/>
              <w:jc w:val="start"/>
              <w:bidi w:val="0"/>
            </w:pPr>
            <w:r>
              <w:rPr>
                <w:rFonts w:ascii="Calibri" w:hAnsi="Calibri" w:cs="Calibri" w:eastAsia="Calibri"/>
                <w:b/>
                <w:color w:val="21313F"/>
                <w:sz w:val="20"/>
                <w:szCs w:val="20"/>
                <w:lang w:val="en-GB" w:bidi="ar-SA"/>
              </w:rPr>
              <w:t>Reference 009  |  Din as sincerity and faithful concern</w:t>
            </w:r>
            <w:bookmarkEnd w:id="1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009  |  دین بطور اخلاص و خیر خواہی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الدِّينُ النَّصِيحَةُ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 Religion is sincerity.”</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Muslim, Faith, hadith 55a; numbering: Sunnah.com. Narrator: Tamim al-Dari.</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explanation within the report names Allah, His Book, His Messenger, Muslim leaders and ordinary Muslims. Nasihah is therefore broader than merely offering occasional advice.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Muslim;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6">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7">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«دین خیر خواہی کا نام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مسلم، کتاب الایمان، حدیث 55a؛ ترقیم: سنہ ڈاٹ کام۔ راوی: تمیم داری۔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ترجمہ شدہ احادیث نبویہ کا انسائیکلوپیڈیا (حدیث اِنک)، متعلقہ اردو حدیث کا متن یا عنوان؛ فردِ مترجم کی نسبت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کی اپنی وضاحت میں اللہ، اس کی کتاب، رسول، مسلمانوں کے قائدین اور عام مسلمان مذکور ہیں۔ نصیحت کا مفہوم اس لیے کبھی کبھار مشورہ دینے سے وسیع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مسلم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6">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7">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 w:name="ref_010"/>
            <w:pPr>
              <w:keepNext/>
              <w:widowControl/>
              <w:spacing w:after="20" w:before="0" w:lineRule="atLeast" w:line="250"/>
              <w:jc w:val="start"/>
              <w:bidi w:val="0"/>
            </w:pPr>
            <w:r>
              <w:rPr>
                <w:rFonts w:ascii="Calibri" w:hAnsi="Calibri" w:cs="Calibri" w:eastAsia="Calibri"/>
                <w:b/>
                <w:color w:val="21313F"/>
                <w:sz w:val="20"/>
                <w:szCs w:val="20"/>
                <w:lang w:val="en-GB" w:bidi="ar-SA"/>
              </w:rPr>
              <w:t>Reference 010  |  Islam and iman in a particular Quranic context</w:t>
            </w:r>
            <w:bookmarkEnd w:id="1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010  |  ایک قرآنی سیاق میں اسلام اور ایمان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reads iman here as more specific than outward Islam. He considers these Bedouins Muslims whose faith was not yet firmly established, rather than necessarily hypocrites; he records a different reading attributed to al-Bukhari.</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49:14.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Useful for distinguishing religious identity from inward conviction. The diagnosis is contextual, not a licence to judge unseen intentions.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8">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یہاں ایمان کو ظاہری اسلام سے خاص تر سمجھتے ہیں۔ ان کے نزدیک ان بدویوں کا ایمان ابھی پختہ نہیں ہوا تھا، مگر وہ لازماً منافق نہیں تھے۔ وہ امام بخاری سے منسوب مختلف تعبیر بھی ذکر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49:14۔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دینی شناخت اور باطنی یقین کا فرق واضح ہوتا ہے۔ یہ سیاقی تعبیر ہے، پوشیدہ نیتوں کا فیصلہ کرنے کی اجازت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8">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 w:name="ref_011"/>
            <w:pPr>
              <w:keepNext/>
              <w:widowControl/>
              <w:spacing w:after="20" w:before="0" w:lineRule="atLeast" w:line="250"/>
              <w:jc w:val="start"/>
              <w:bidi w:val="0"/>
            </w:pPr>
            <w:r>
              <w:rPr>
                <w:rFonts w:ascii="Calibri" w:hAnsi="Calibri" w:cs="Calibri" w:eastAsia="Calibri"/>
                <w:b/>
                <w:color w:val="21313F"/>
                <w:sz w:val="20"/>
                <w:szCs w:val="20"/>
                <w:lang w:val="en-GB" w:bidi="ar-SA"/>
              </w:rPr>
              <w:t>Reference 011  |  Submission and an integrated religious life</w:t>
            </w:r>
            <w:bookmarkEnd w:id="1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011  |  اطاعت اور مربوط دینی زندگی</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Maududi explains Islam in terms of recognising God as Lord, directing worship to Him, and following the guidance conveyed by His messengers. This is his interpretive account of the verse, not a separate Quranic translation.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Sayyid Abul Ala Maududi, Tafhim al-Quran / Towards Understanding the Quran, commentary on 3:19, note 16; English text at IslamicStudies.info.</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Contributes an explicitly attributed modern exposition of the concept of Islam.</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9">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مودودی اسلام کی توضیح اللہ کو رب ماننے، اسی کی عبادت کرنے اور اس کے رسولوں کی لائی ہوئی ہدایت کی پیروی سے کرتے ہیں۔ یہ آیت کی ان کی تفسیری توضیح ہے، مستقل قرآنی ترجمہ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سید ابوالاعلیٰ مودودی، تفہیم القرآن / Towards Understanding the Quran، آیت 3:19، حاشیہ 16؛ معائنہ شدہ انگریزی متن: اسلامک اسٹڈیز ڈاٹ انفو۔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تصورِ اسلام کی واضح نسبت کے ساتھ جدید تفسیری توضیح فراہم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9">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 w:name="ref_012"/>
            <w:pPr>
              <w:keepNext/>
              <w:widowControl/>
              <w:spacing w:after="20" w:before="0" w:lineRule="atLeast" w:line="250"/>
              <w:jc w:val="start"/>
              <w:bidi w:val="0"/>
            </w:pPr>
            <w:r>
              <w:rPr>
                <w:rFonts w:ascii="Calibri" w:hAnsi="Calibri" w:cs="Calibri" w:eastAsia="Calibri"/>
                <w:b/>
                <w:color w:val="21313F"/>
                <w:sz w:val="20"/>
                <w:szCs w:val="20"/>
                <w:lang w:val="en-GB" w:bidi="ar-SA"/>
              </w:rPr>
              <w:t>Reference 012  |  Worship includes inward and outward obedience</w:t>
            </w:r>
            <w:bookmarkEnd w:id="1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012  |  عبادت میں باطنی اور ظاہری اطاعت شامل ہے</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العبادة هي اسم جامع لكل ما يحبه الله ويرضاه من الأقوال والأعمال الباطنة والظاهرة.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Taymiyyah includes approved inward and outward words and deeds within worship. His examples join ritual duties with honesty, trusts, family care, neighbourliness, patience and gratitude.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Ahmad ibn Abd al-Halim Ibn Taymiyyah, Al-Ubudiyyah, opening answer to the question “What is worship?”; Arabic digital transcription on Wikisource.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Arabic sentence is an exact scholarly quotation, not a Hadith. The bilingual explanations are paraphrases; the transcription was not collated with a print edition.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Opening wording and attribution checked in the digital transcription; no claim of manuscript or critical-edition collation.</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30">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تیمیہ عبادت میں پسندیدہ باطنی و ظاہری اقوال اور اعمال کو شامل کرتے ہیں۔ ان کی مثالوں میں رسمی عبادات کے ساتھ سچائی، امانت، خاندان و ہمسایوں کی نگہداشت، صبر اور شکر بھی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احمد بن عبد الحلیم ابن تیمیہ، العبودیہ، سوال «عبادت کیا ہے؟» کا ابتدائی جواب؛ ویکی مصدر پر عربی برقی نقل۔</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عربی جملہ عالم کے اصل الفاظ کا اقتباس ہے، حدیث نہیں۔ دو لسانی توضیحات مفہومی خلاصے ہیں؛ برقی نقل کا مطبوعہ نسخے سے مقابلہ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ابتدائی عبارت اور نسبت برقی نقل میں جانچی گئی؛ مخطوطے یا محقق مطبوعہ نسخے سے مقابلے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30">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 w:name="topic_2"/>
            <w:pPr>
              <w:keepNext/>
              <w:widowControl/>
              <w:spacing w:after="20" w:before="0" w:lineRule="atLeast" w:line="250"/>
              <w:jc w:val="start"/>
              <w:bidi w:val="0"/>
            </w:pPr>
            <w:r>
              <w:rPr>
                <w:rFonts w:ascii="Calibri" w:hAnsi="Calibri" w:cs="Calibri" w:eastAsia="Calibri"/>
                <w:b/>
                <w:color w:val="21313F"/>
                <w:sz w:val="24"/>
                <w:szCs w:val="25"/>
                <w:lang w:val="en-GB" w:bidi="ar-SA"/>
              </w:rPr>
              <w:t>02  Importance of Din in human life</w:t>
            </w:r>
            <w:bookmarkEnd w:id="1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02  انسانی زندگی میں دین کی اہمیت</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013–027</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013–027</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 w:name="ref_013"/>
            <w:pPr>
              <w:keepNext/>
              <w:widowControl/>
              <w:spacing w:after="20" w:before="0" w:lineRule="atLeast" w:line="250"/>
              <w:jc w:val="start"/>
              <w:bidi w:val="0"/>
            </w:pPr>
            <w:r>
              <w:rPr>
                <w:rFonts w:ascii="Calibri" w:hAnsi="Calibri" w:cs="Calibri" w:eastAsia="Calibri"/>
                <w:b/>
                <w:color w:val="21313F"/>
                <w:sz w:val="20"/>
                <w:szCs w:val="20"/>
                <w:lang w:val="en-GB" w:bidi="ar-SA"/>
              </w:rPr>
              <w:t>Reference 013  |  A God-directed whole life</w:t>
            </w:r>
            <w:bookmarkEnd w:id="1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013  |  پوری زندگی کا رخ اللہ کی طرف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قُلْ إِنَّ صَلَاتِي وَنُسُكِي وَمَحْيَايَ وَمَمَاتِي لِلَّهِ رَبِّ الْعَالَمِينَ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“Say: Lo! my worship and my sacrifice and my living and my dying are for Allah, Lord of the Worlds.”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Al-Anam (6), ayah 162.</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Directly brings worship, life and death under devotion to God; supports an integrated account of religious purpose.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3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3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«(یہ بھی) کہہ دو کہ میری نماز اور میری عبادت اور میرا جینا اور میرا مرنا سب خدائے رب العالمین ہی کے لیے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الانعام (6)، آیت 162۔</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عبادت، زندگی اور موت کو براہِ راست اللہ کی بندگی سے وابستہ کرتی ہے؛ زندگی کے جامع دینی مقصد کی دلیل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3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3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6" w:name="ref_014"/>
            <w:pPr>
              <w:keepNext/>
              <w:widowControl/>
              <w:spacing w:after="20" w:before="0" w:lineRule="atLeast" w:line="250"/>
              <w:jc w:val="start"/>
              <w:bidi w:val="0"/>
            </w:pPr>
            <w:r>
              <w:rPr>
                <w:rFonts w:ascii="Calibri" w:hAnsi="Calibri" w:cs="Calibri" w:eastAsia="Calibri"/>
                <w:b/>
                <w:color w:val="21313F"/>
                <w:sz w:val="20"/>
                <w:szCs w:val="20"/>
                <w:lang w:val="en-GB" w:bidi="ar-SA"/>
              </w:rPr>
              <w:t>Reference 014  |  Fitrah and religious orientation</w:t>
            </w:r>
            <w:bookmarkEnd w:id="1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014  |  فطرت اور دینی رخ</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فِطْرَتَ اللَّهِ الَّتِي فَطَرَ النَّاسَ عَلَيْهَا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 nature (framed) of Allah, in which He hath created man.”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Al-Rum (30), ayah 30.</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Provides the scriptural basis for discussing fitrah. The precise relation of natural disposition to acquired belief requires interpretation.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33">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34">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خدا کی فطرت کو جس پر اُس نے لوگوں کو پیدا کیا ہے (اختیار کئے رہو)»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الروم (30)، آیت 30۔</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فطرت کی بحث کی نصی بنیاد ہے۔ فطری استعداد اور اختیار کردہ عقیدے کے باہمی تعلق کی تعیین تفسیری بحث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33">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34">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7" w:name="ref_015"/>
            <w:pPr>
              <w:keepNext/>
              <w:widowControl/>
              <w:spacing w:after="20" w:before="0" w:lineRule="atLeast" w:line="250"/>
              <w:jc w:val="start"/>
              <w:bidi w:val="0"/>
            </w:pPr>
            <w:r>
              <w:rPr>
                <w:rFonts w:ascii="Calibri" w:hAnsi="Calibri" w:cs="Calibri" w:eastAsia="Calibri"/>
                <w:b/>
                <w:color w:val="21313F"/>
                <w:sz w:val="20"/>
                <w:szCs w:val="20"/>
                <w:lang w:val="en-GB" w:bidi="ar-SA"/>
              </w:rPr>
              <w:t>Reference 015  |  The purpose of creation</w:t>
            </w:r>
            <w:bookmarkEnd w:id="1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015  |  تخلیق کا مقصد</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وَمَا خَلَقْتُ الْجِنَّ وَالْإِنسَ إِلَّا لِيَعْبُدُونِ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 created the jinn and humankind only that they might worship Me.”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Al-Dhariyat (51), ayah 56.</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States worship as the purpose of human and jinn creation. Whether a particular everyday action counts as worship depends on further criteria.</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35">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36">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میں نے جنوں اور انسانوں کو اس لئے پیدا کیا ہے کہ میری عبادت کریں»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الذاریات (51)، آیت 56۔</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جن و انسان کی تخلیق کا مقصد عبادت بیان کرتی ہے۔ کسی خاص روزمرہ عمل کا عبادت ہونا مزید شرائط سے متعلق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35">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36">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8" w:name="ref_016"/>
            <w:pPr>
              <w:keepNext/>
              <w:widowControl/>
              <w:spacing w:after="20" w:before="0" w:lineRule="atLeast" w:line="250"/>
              <w:jc w:val="start"/>
              <w:bidi w:val="0"/>
            </w:pPr>
            <w:r>
              <w:rPr>
                <w:rFonts w:ascii="Calibri" w:hAnsi="Calibri" w:cs="Calibri" w:eastAsia="Calibri"/>
                <w:b/>
                <w:color w:val="21313F"/>
                <w:sz w:val="20"/>
                <w:szCs w:val="20"/>
                <w:lang w:val="en-GB" w:bidi="ar-SA"/>
              </w:rPr>
              <w:t>Reference 016  |  Good in this world and the Hereafter</w:t>
            </w:r>
            <w:bookmarkEnd w:id="1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016  |  دنیا اور آخرت کی بھلائی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رَبَّنَا آتِنَا فِي الدُّنْيَا حَسَنَةً وَفِي الْآخِرَةِ حَسَنَةً وَقِنَا عَذَابَ النَّارِ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“Our Lord! Give unto us in the world that which is good and in the Hereafter that which is good, and guard us from the doom of Fire.”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201.</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supplication combines worldly and ultimate well-being; it does not equate worldly success with divine approval.</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37">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38">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«پروردگار ہم کو دنیا میں بھی نعمت عطا فرما اور آخرت میں بھی نعمت بخشیو اور دوزخ کے عذاب سے محفوظ رکھیو»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201۔</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دعا دنیا اور آخرت دونوں کی بھلائی کو جمع کرتی ہے؛ دنیاوی کامیابی کو لازماً رضائے الٰہی کے برابر نہیں قرار دیتی۔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37">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38">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9" w:name="ref_017"/>
            <w:pPr>
              <w:keepNext/>
              <w:widowControl/>
              <w:spacing w:after="20" w:before="0" w:lineRule="atLeast" w:line="250"/>
              <w:jc w:val="start"/>
              <w:bidi w:val="0"/>
            </w:pPr>
            <w:r>
              <w:rPr>
                <w:rFonts w:ascii="Calibri" w:hAnsi="Calibri" w:cs="Calibri" w:eastAsia="Calibri"/>
                <w:b/>
                <w:color w:val="21313F"/>
                <w:sz w:val="20"/>
                <w:szCs w:val="20"/>
                <w:lang w:val="en-GB" w:bidi="ar-SA"/>
              </w:rPr>
              <w:t>Reference 017  |  Turning away from divine reminder</w:t>
            </w:r>
            <w:bookmarkEnd w:id="1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017  |  یادِ الٰہی سے اعراض</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وَمَنْ أَعْرَضَ عَن ذِكْرِي فَإِنَّ لَهُ مَعِيشَةً ضَنكًا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“But he who turneth away from remembrance of Me, his will be a narrow life,”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Ta-Ha (20), ayah 124.</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warning about estrangement from divine guidance. Its application must not become a diagnosis of another person’s poverty or illness.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3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4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جو میری نصیحت سے منہ پھیرے گا اس کی زندگی تنگ ہوجائے گی»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طٰہٰ (20)، آیت 124۔</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ہدایتِ الٰہی سے دوری کی تنبیہ ہے۔ اسے کسی دوسرے شخص کی غربت یا بیماری کی تشخیص نہ بنایا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3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4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0" w:name="ref_018"/>
            <w:pPr>
              <w:keepNext/>
              <w:widowControl/>
              <w:spacing w:after="20" w:before="0" w:lineRule="atLeast" w:line="250"/>
              <w:jc w:val="start"/>
              <w:bidi w:val="0"/>
            </w:pPr>
            <w:r>
              <w:rPr>
                <w:rFonts w:ascii="Calibri" w:hAnsi="Calibri" w:cs="Calibri" w:eastAsia="Calibri"/>
                <w:b/>
                <w:color w:val="21313F"/>
                <w:sz w:val="20"/>
                <w:szCs w:val="20"/>
                <w:lang w:val="en-GB" w:bidi="ar-SA"/>
              </w:rPr>
              <w:t>Reference 018  |  The promise of a good life</w:t>
            </w:r>
            <w:bookmarkEnd w:id="2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018  |  پاکیزہ زندگی کا وعدہ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فَلَنُحْيِيَنَّهُ حَيَاةً طَيِّبَةً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“him verily we shall quicken with good life,”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Al-Nahl (16), ayah 97.</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preceding condition is righteous action with faith, whether the person is male or female. The promise should be read with that condition.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4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4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«تو ہم اس کو (دنیا میں) پاک (اور آرام کی) زندگی سے زندہ رکھیں گے»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النحل (16)، آیت 97۔</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اس سے پہلے شرط ایمان کے ساتھ نیک عمل ہے، خواہ عمل کرنے والا مرد ہو یا عورت۔ وعدے کو اسی شرط کے ساتھ پڑھا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4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4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1" w:name="ref_019"/>
            <w:pPr>
              <w:keepNext/>
              <w:widowControl/>
              <w:spacing w:after="20" w:before="0" w:lineRule="atLeast" w:line="250"/>
              <w:jc w:val="start"/>
              <w:bidi w:val="0"/>
            </w:pPr>
            <w:r>
              <w:rPr>
                <w:rFonts w:ascii="Calibri" w:hAnsi="Calibri" w:cs="Calibri" w:eastAsia="Calibri"/>
                <w:b/>
                <w:color w:val="21313F"/>
                <w:sz w:val="20"/>
                <w:szCs w:val="20"/>
                <w:lang w:val="en-GB" w:bidi="ar-SA"/>
              </w:rPr>
              <w:t>Reference 019  |  Hope and the possibility of return</w:t>
            </w:r>
            <w:bookmarkEnd w:id="2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019  |  امید اور رجوع کا امکان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لَا تَقْنَطُوا مِن رَّحْمَةِ اللَّهِ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“Despair not of the mercy of Allah,”</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Al-Zumar (39), ayah 53.</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text of hope addressed to those who have wronged themselves. It should be read with the call to return to God, not as permission to persist in wrongdoing.</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43">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44">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«خدا کی رحمت سے ناامید نہ ہونا۔»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الزمر (39)، آیت 53۔</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اپنے اوپر زیادتی کرنے والوں کے لیے امید کا بیان ہے۔ اسے اللہ کی طرف رجوع کی دعوت کے ساتھ پڑھا جائے، برائی پر قائم رہنے کی اجازت نہ سمجھا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43">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44">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2" w:name="ref_020"/>
            <w:pPr>
              <w:keepNext/>
              <w:widowControl/>
              <w:spacing w:after="20" w:before="0" w:lineRule="atLeast" w:line="250"/>
              <w:jc w:val="start"/>
              <w:bidi w:val="0"/>
            </w:pPr>
            <w:r>
              <w:rPr>
                <w:rFonts w:ascii="Calibri" w:hAnsi="Calibri" w:cs="Calibri" w:eastAsia="Calibri"/>
                <w:b/>
                <w:color w:val="21313F"/>
                <w:sz w:val="20"/>
                <w:szCs w:val="20"/>
                <w:lang w:val="en-GB" w:bidi="ar-SA"/>
              </w:rPr>
              <w:t>Reference 020  |  Human creation and moral potential</w:t>
            </w:r>
            <w:bookmarkEnd w:id="2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020  |  انسانی تخلیق اور اخلاقی استعداد</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لَقَدْ خَلَقْنَا الْإِنسَانَ فِي أَحْسَنِ تَقْوِيمٍ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“Surely We created man of the best stature”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Al-Tin (95), ayah 4.</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Introduces human endowment. The succeeding contrast with decline and believing action prevents reading it as unconditional moral superiority.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45">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46">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«کہ ہم نے انسان کو بہت اچھی صورت میں پیدا کیا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التین (95)، آیت 4۔</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انسانی ساخت کی خوبی بیان کرتی ہے۔ آگے پستی اور ایمان و عمل کا تقابل اسے غیر مشروط اخلاقی برتری سمجھنے سے روکتا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45">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46">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3" w:name="ref_021"/>
            <w:pPr>
              <w:keepNext/>
              <w:widowControl/>
              <w:spacing w:after="20" w:before="0" w:lineRule="atLeast" w:line="250"/>
              <w:jc w:val="start"/>
              <w:bidi w:val="0"/>
            </w:pPr>
            <w:r>
              <w:rPr>
                <w:rFonts w:ascii="Calibri" w:hAnsi="Calibri" w:cs="Calibri" w:eastAsia="Calibri"/>
                <w:b/>
                <w:color w:val="21313F"/>
                <w:sz w:val="20"/>
                <w:szCs w:val="20"/>
                <w:lang w:val="en-GB" w:bidi="ar-SA"/>
              </w:rPr>
              <w:t>Reference 021  |  Understanding din as a blessing</w:t>
            </w:r>
            <w:bookmarkEnd w:id="2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021  |  دین کی سمجھ بطور نعمت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مَنْ يُرِدِ اللَّهُ بِهِ خَيْرًا يُفَقِّهْهُ فِي الدِّينِ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“If Allah wants to do good to a person, He makes him comprehend the religion.”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Knowledge, hadith 71; numbering: Sunnah.com. Narrator: Muawiyah ibn Abi Sufyan.</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Supports informed religious understanding rather than unexamined affiliation. The excerpt is a statement about understanding din, not a restriction of all useful knowledge to one discipline.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47">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48">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«اللہ تعالیٰ جس کے ساتھ بھلائی چاہتا ہے اسے دین کی سمجھ عنایت کر دیتا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العلم، حدیث 71؛ ترقیم: سنہ ڈاٹ کام۔ راوی: معاویہ بن ابی سفیان۔</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غیر تنقیدی وابستگی کے بجائے دینی فہم کی اہمیت واضح ہوتی ہے۔ اقتباس دین کی سمجھ کے بارے میں ہے، ہر مفید علم کو ایک شعبے تک محدود نہیں کرتا۔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47">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48">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4" w:name="ref_022"/>
            <w:pPr>
              <w:keepNext/>
              <w:widowControl/>
              <w:spacing w:after="20" w:before="0" w:lineRule="atLeast" w:line="250"/>
              <w:jc w:val="start"/>
              <w:bidi w:val="0"/>
            </w:pPr>
            <w:r>
              <w:rPr>
                <w:rFonts w:ascii="Calibri" w:hAnsi="Calibri" w:cs="Calibri" w:eastAsia="Calibri"/>
                <w:b/>
                <w:color w:val="21313F"/>
                <w:sz w:val="20"/>
                <w:szCs w:val="20"/>
                <w:lang w:val="en-GB" w:bidi="ar-SA"/>
              </w:rPr>
              <w:t>Reference 022  |  Fitrah and formative surroundings</w:t>
            </w:r>
            <w:bookmarkEnd w:id="2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022  |  فطرت اور تربیتی ماحول</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مَا مِنْ مَوْلُودٍ إِلاَّ يُولَدُ عَلَى الْفِطْرَةِ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“Every child is born with a true faith (i.e. to worship none but Allah Alone)”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Funerals, hadith 1358; numbering: Sunnah.com. Narrator: Abu Hurayrah; report introduced by Ibn Shihab.</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continuation refers to parents shaping religious affiliation. The displayed English expands fitrah interpretively; Ibn Shihab’s preliminary funeral ruling is not the Prophet’s quoted speech.</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49">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50">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«ہر بچہ فطرت (اسلام) پر پیدا ہوتا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الجنائز، حدیث 1358؛ ترقیم: سنہ ڈاٹ کام۔ راوی: ابوہریرہ؛ ابتدائی فقہی بیان ابن شہاب کا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آگے والدین کے ذریعے دینی شناخت کی تشکیل کا ذکر ہے۔ پیش کردہ انگریزی ترجمہ فطرت کی تشریح بھی کرتا ہے؛ ابن شہاب کا ابتدائی حکمِ جنازہ نبوی اقتباس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49">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50">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5" w:name="ref_023"/>
            <w:pPr>
              <w:keepNext/>
              <w:widowControl/>
              <w:spacing w:after="20" w:before="0" w:lineRule="atLeast" w:line="250"/>
              <w:jc w:val="start"/>
              <w:bidi w:val="0"/>
            </w:pPr>
            <w:r>
              <w:rPr>
                <w:rFonts w:ascii="Calibri" w:hAnsi="Calibri" w:cs="Calibri" w:eastAsia="Calibri"/>
                <w:b/>
                <w:color w:val="21313F"/>
                <w:sz w:val="20"/>
                <w:szCs w:val="20"/>
                <w:lang w:val="en-GB" w:bidi="ar-SA"/>
              </w:rPr>
              <w:t>Reference 023  |  Fitrah as a religious orientation</w:t>
            </w:r>
            <w:bookmarkEnd w:id="2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023  |  فطرت بطور دینی استعداد</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Al-Tabari explains the command as directing worship and obedience to God. He records interpretations of fitrah as Islam and reads the prohibition of alteration in relation to God’s religion; other explanations are also transmitted.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Jafar al-Tabari, Jami al-bayan; commentary on 30:30.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Provides an attributed account of religious disposition, not an experimentally demonstrated claim about every newborn’s explicit beliefs.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51">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طبری اس حکم کو عبادت اور اطاعت کا رخ اللہ کی طرف رکھنے سے تعبیر کرتے ہیں۔ وہ فطرت کی تفسیر اسلام سے نقل کرتے اور تبدیلی کی نفی کو دینِ الٰہی سے متعلق سمجھتے ہیں؛ دیگر اقوال بھی مذکور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جعفر طبری، جامع البیان؛ تفسیرِ آیت 30:30۔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دینی استعداد کی منسوب تفسیری توضیح ہے، ہر نومولود کے واضح عقائد کے متعلق تجرباتی دعویٰ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51">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6" w:name="ref_024"/>
            <w:pPr>
              <w:keepNext/>
              <w:widowControl/>
              <w:spacing w:after="20" w:before="0" w:lineRule="atLeast" w:line="250"/>
              <w:jc w:val="start"/>
              <w:bidi w:val="0"/>
            </w:pPr>
            <w:r>
              <w:rPr>
                <w:rFonts w:ascii="Calibri" w:hAnsi="Calibri" w:cs="Calibri" w:eastAsia="Calibri"/>
                <w:b/>
                <w:color w:val="21313F"/>
                <w:sz w:val="20"/>
                <w:szCs w:val="20"/>
                <w:lang w:val="en-GB" w:bidi="ar-SA"/>
              </w:rPr>
              <w:t>Reference 024  |  A good life is not reducible to wealth</w:t>
            </w:r>
            <w:bookmarkEnd w:id="2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024  |  پاکیزہ زندگی صرف دولت کا نام نہیں</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records explanations including lawful provision, contentment, happiness and delight in obedience, and understands the good life broadly. He retains the verse’s conditions of faith and righteous action for men and women.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16:97.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Supports an account of well-being that cannot simply be measured by material prosperity.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52">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حلال رزق، قناعت، سعادت اور اطاعت میں انشراح جیسی توضیحات نقل کرکے پاکیزہ زندگی کا وسیع مفہوم لیتے ہیں۔ وہ مرد و عورت دونوں کے لیے ایمان اور عملِ صالح کی قرآنی شرط برقرار رکھتے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16:97۔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ایسی فلاح کی توضیح کرتا ہے جسے صرف مادی خوش حالی سے نہیں ناپا جا سکتا۔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52">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7" w:name="ref_025"/>
            <w:pPr>
              <w:keepNext/>
              <w:widowControl/>
              <w:spacing w:after="20" w:before="0" w:lineRule="atLeast" w:line="250"/>
              <w:jc w:val="start"/>
              <w:bidi w:val="0"/>
            </w:pPr>
            <w:r>
              <w:rPr>
                <w:rFonts w:ascii="Calibri" w:hAnsi="Calibri" w:cs="Calibri" w:eastAsia="Calibri"/>
                <w:b/>
                <w:color w:val="21313F"/>
                <w:sz w:val="20"/>
                <w:szCs w:val="20"/>
                <w:lang w:val="en-GB" w:bidi="ar-SA"/>
              </w:rPr>
              <w:t>Reference 025  |  Worship is a human duty, not a divine need</w:t>
            </w:r>
            <w:bookmarkEnd w:id="2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025  |  عبادت انسانی ذمہ داری ہے، الٰہی احتیاج نہیں</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explains creation for worship as creation to be commanded to worship, not because God needs His creatures. He also records other early formulations of the verse’s meaning.</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51:56.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Clarifies why worship matters for human orientation without implying dependence or benefit accruing to God.</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53">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تخلیق برائے عبادت کی توضیح یہ کرتے ہیں کہ مخلوق کو عبادت کا حکم دیا جائے، نہ یہ کہ اللہ کو ان کی حاجت ہے۔ وہ آیت کے مفہوم کی دوسری ابتدائی تعبیرات بھی نقل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51:56۔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واضح کرتا ہے کہ عبادت انسانی سمتِ حیات کے لیے کیوں اہم ہے، جبکہ اللہ کی محتاجی یا اسے فائدہ پہنچنے کا مفہوم لازم نہیں آتا۔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53">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8" w:name="ref_026"/>
            <w:pPr>
              <w:keepNext/>
              <w:widowControl/>
              <w:spacing w:after="20" w:before="0" w:lineRule="atLeast" w:line="250"/>
              <w:jc w:val="start"/>
              <w:bidi w:val="0"/>
            </w:pPr>
            <w:r>
              <w:rPr>
                <w:rFonts w:ascii="Calibri" w:hAnsi="Calibri" w:cs="Calibri" w:eastAsia="Calibri"/>
                <w:b/>
                <w:color w:val="21313F"/>
                <w:sz w:val="20"/>
                <w:szCs w:val="20"/>
                <w:lang w:val="en-GB" w:bidi="ar-SA"/>
              </w:rPr>
              <w:t>Reference 026  |  Faith, thought and the direction of life</w:t>
            </w:r>
            <w:bookmarkEnd w:id="2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026  |  ایمان، فکر اور سمتِ حیات</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Iqbal argues that faith contains a cognitive element and that religion aims to transform both inward and outward life. He therefore treats the rational examination of religious principles as important rather than opposing all reasoning to faith.</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Muhammad Iqbal, The Reconstruction of Religious Thought in Islam, Lecture I, “Knowledge and Religious Experience”; opening discussion, paragraphs on faith and rational foundation. International Iqbal Society digital transcription.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modern philosophical position, not an independently authenticated statement from revelation.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54">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اقبال کے مطابق ایمان میں علمی عنصر موجود ہے اور دین باطنی و ظاہری زندگی کی تبدیلی چاہتا ہے۔ اسی لیے وہ دینی اصولوں کی عقلی جانچ کو اہم سمجھتے ہیں، نہ کہ ہر استدلال کو ایمان کے خلاف قرار دیتے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محمد اقبال، تشکیلِ جدید الٰہیاتِ اسلامیہ (The Reconstruction of Religious Thought in Islam)، خطبہ I، «علم اور مذہبی تجربہ»؛ ابتدائی بحث: ایمان اور عقلی بنیاد کے متعلق پیراگراف۔ انٹرنیشنل اقبال سوسائٹی کا برقی متن۔</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جدید فلسفیانہ مؤقف ہے، وحی کی طرف منسوب مستقل مصدقہ قول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54">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29" w:name="ref_027"/>
            <w:pPr>
              <w:keepNext/>
              <w:widowControl/>
              <w:spacing w:after="20" w:before="0" w:lineRule="atLeast" w:line="250"/>
              <w:jc w:val="start"/>
              <w:bidi w:val="0"/>
            </w:pPr>
            <w:r>
              <w:rPr>
                <w:rFonts w:ascii="Calibri" w:hAnsi="Calibri" w:cs="Calibri" w:eastAsia="Calibri"/>
                <w:b/>
                <w:color w:val="21313F"/>
                <w:sz w:val="20"/>
                <w:szCs w:val="20"/>
                <w:lang w:val="en-GB" w:bidi="ar-SA"/>
              </w:rPr>
              <w:t>Reference 027  |  Reasoned discussion of belief according to need</w:t>
            </w:r>
            <w:bookmarkEnd w:id="2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027  |  ضرورت کے مطابق عقائد کی استدلالی بحث</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Al-Ghazali rejects both unconditional praise and unconditional condemnation of scholastic theology. He weighs its possible help against its potential to provoke confusion and recommends addressing doubt with kindness and appropriately limited arguments.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Hamid al-Ghazali, Ihya, Book 2, Kitab Qawaid al-Aqaid; The Foundations of the Articles of Faith, trans. Nabih Amin Faris, Sh. Muhammad Ashraf, Lahore, 1999 reprint; section II, discussion of the benefits and harms of kalam.</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contextual educational position; it should not be converted into a general claim that all questioning is forbidden or that every debate is beneficial.</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55">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غزالی علمِ کلام کی مطلق مدح اور مطلق مذمت دونوں کو رد کرتے ہیں۔ وہ اس کے فائدے اور الجھن پیدا کرنے کے امکان کو پرکھتے اور شبہے کا جواب نرمی اور ضرورت کے مطابق محدود دلائل سے دینے کی تاکید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حامد غزالی، احیاء، کتاب 2، کتاب قواعد العقائد؛ The Foundations of the Articles of Faith، مترجم نبیہ امین فارِس، شیخ محمد اشرف، لاہور، اعادۂ اشاعت 1999؛ حصہ دوم، علمِ کلام کے فوائد و مضار کی بحث۔</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سیاقی تعلیمی مؤقف ہے؛ اس سے نہ ہر سوال ممنوع قرار پاتا ہے، نہ ہر مناظرہ مفید۔</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55">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0" w:name="topic_3"/>
            <w:pPr>
              <w:keepNext/>
              <w:widowControl/>
              <w:spacing w:after="20" w:before="0" w:lineRule="atLeast" w:line="250"/>
              <w:jc w:val="start"/>
              <w:bidi w:val="0"/>
            </w:pPr>
            <w:r>
              <w:rPr>
                <w:rFonts w:ascii="Calibri" w:hAnsi="Calibri" w:cs="Calibri" w:eastAsia="Calibri"/>
                <w:b/>
                <w:color w:val="21313F"/>
                <w:sz w:val="24"/>
                <w:szCs w:val="25"/>
                <w:lang w:val="en-GB" w:bidi="ar-SA"/>
              </w:rPr>
              <w:t>03  Din and religion: meanings, scope and comparison</w:t>
            </w:r>
            <w:bookmarkEnd w:id="3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03  دین اور مذہب: مفہوم، دائرہ اور تقابل</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028–035</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028–035</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Comparison guide: read din in its textual context—recompense, belief or normative order. The modern category “religion” is itself contested; see Reference 035. A private/public contrast is not a universal dictionary distinction.</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تقابلی رہنمائی: دین کو اس کے سیاق میں پڑھیے—جزا، عقیدہ یا ضابطہ۔ جدید زمرۂ «مذہب» کی تعریف بھی اختلافی ہے؛ دیکھیے حوالہ 035۔ نجی و اجتماعی کا تقابل آفاقی لغوی فرق نہیں۔</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1" w:name="ref_028"/>
            <w:pPr>
              <w:keepNext/>
              <w:widowControl/>
              <w:spacing w:after="20" w:before="0" w:lineRule="atLeast" w:line="250"/>
              <w:jc w:val="start"/>
              <w:bidi w:val="0"/>
            </w:pPr>
            <w:r>
              <w:rPr>
                <w:rFonts w:ascii="Calibri" w:hAnsi="Calibri" w:cs="Calibri" w:eastAsia="Calibri"/>
                <w:b/>
                <w:color w:val="21313F"/>
                <w:sz w:val="20"/>
                <w:szCs w:val="20"/>
                <w:lang w:val="en-GB" w:bidi="ar-SA"/>
              </w:rPr>
              <w:t>Reference 028  |  Din used in the sense of law</w:t>
            </w:r>
            <w:bookmarkEnd w:id="3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028  |  دین کا استعمال بمعنی قانون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مَا كَانَ لِيَأْخُذَ أَخَاهُ فِي دِينِ الْمَلِكِ إِلَّا أَن يَشَاءَ اللَّهُ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“He could not have taken his brother according to the king's law unless Allah willed.”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Yusuf (12), ayah 76.</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Here din is translated as the king’s law. This contextual usage does not make one English equivalent adequate for every occurrence of din.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56">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57">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«(ورنہ) بادشاہ کے قانون کے مطابق وہ مشیتِ خدا کے سوا اپنے بھائی کو لے نہیں سکتے تھے۔»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یوسف (12)، آیت 76۔</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یہاں دین کا ترجمہ بادشاہ کا قانون کیا گیا ہے۔ یہ سیاقی استعمال لفظ دین کے ہر مقام کے لیے ایک ہی ترجمہ کافی نہیں بناتا۔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56">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57">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2" w:name="ref_029"/>
            <w:pPr>
              <w:keepNext/>
              <w:widowControl/>
              <w:spacing w:after="20" w:before="0" w:lineRule="atLeast" w:line="250"/>
              <w:jc w:val="start"/>
              <w:bidi w:val="0"/>
            </w:pPr>
            <w:r>
              <w:rPr>
                <w:rFonts w:ascii="Calibri" w:hAnsi="Calibri" w:cs="Calibri" w:eastAsia="Calibri"/>
                <w:b/>
                <w:color w:val="21313F"/>
                <w:sz w:val="20"/>
                <w:szCs w:val="20"/>
                <w:lang w:val="en-GB" w:bidi="ar-SA"/>
              </w:rPr>
              <w:t>Reference 029  |  Din as the religion of differing communities</w:t>
            </w:r>
            <w:bookmarkEnd w:id="3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029  |  مختلف جماعتوں کے دین کا ذکر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لَكُمْ دِينُكُمْ وَلِيَ دِينِ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“Unto you your religion, and unto me my religion.”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Al-Kafirun (109), ayah 6.</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addressees’ religion is also called din. The statement marks a distinction of worship, not an assertion that contradictory beliefs are identical.</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58">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59">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«تم اپنے دین پر میں اپنے دین پر»</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الکافرون (109)، آیت 6۔</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مخاطبین کے مذہب کے لیے بھی دین کا لفظ آیا ہے۔ یہ عبادت کے امتیاز کا بیان ہے، متضاد عقائد کو یکساں قرار دینا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58">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59">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3" w:name="ref_030"/>
            <w:pPr>
              <w:keepNext/>
              <w:widowControl/>
              <w:spacing w:after="20" w:before="0" w:lineRule="atLeast" w:line="250"/>
              <w:jc w:val="start"/>
              <w:bidi w:val="0"/>
            </w:pPr>
            <w:r>
              <w:rPr>
                <w:rFonts w:ascii="Calibri" w:hAnsi="Calibri" w:cs="Calibri" w:eastAsia="Calibri"/>
                <w:b/>
                <w:color w:val="21313F"/>
                <w:sz w:val="20"/>
                <w:szCs w:val="20"/>
                <w:lang w:val="en-GB" w:bidi="ar-SA"/>
              </w:rPr>
              <w:t>Reference 030  |  Din in the expression Day of Judgment</w:t>
            </w:r>
            <w:bookmarkEnd w:id="3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030  |  یوم الدین میں دین کا مفہوم</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مَالِكِ يَوْمِ الدِّينِ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“Master of the Day of Judgment,”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Al-Fatihah (1), ayah 4.</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This usage concerns judgment or recompense, demonstrating the need for context when comparing din and religion.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60">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61">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«انصاف کے دن کا حاکم»</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الفاتحہ (1)، آیت 4۔</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استعمال جزا اور حساب سے متعلق ہے؛ دین اور مذہب کے تقابل میں سیاق کی ضرورت واضح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60">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61">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4" w:name="ref_031"/>
            <w:pPr>
              <w:keepNext/>
              <w:widowControl/>
              <w:spacing w:after="20" w:before="0" w:lineRule="atLeast" w:line="250"/>
              <w:jc w:val="start"/>
              <w:bidi w:val="0"/>
            </w:pPr>
            <w:r>
              <w:rPr>
                <w:rFonts w:ascii="Calibri" w:hAnsi="Calibri" w:cs="Calibri" w:eastAsia="Calibri"/>
                <w:b/>
                <w:color w:val="21313F"/>
                <w:sz w:val="20"/>
                <w:szCs w:val="20"/>
                <w:lang w:val="en-GB" w:bidi="ar-SA"/>
              </w:rPr>
              <w:t>Reference 031  |  Din, belief and disputed scope of non-coercion</w:t>
            </w:r>
            <w:bookmarkEnd w:id="3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031  |  دین، اعتقاد اور عدمِ اکراہ کے دائرے کا اختلاف</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Al-Qurtubi glosses din here as belief and religious affiliation. He records six explanations of the verse, including disagreement over abrogation and interpretations linked to particular communities; he does not present a single undisputed historical reading.</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Al-Qurtubi, Al-Jami li-ahkam al-Quran; commentary on 2:256.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Prevents both reducing din to one fixed meaning and concealing classical disagreement about the verse’s application.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62">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قرطبی یہاں دین کی توضیح اعتقاد اور ملت سے کرتے ہیں۔ وہ آیت کی چھ توضیحات نقل کرتے ہیں، جن میں نسخ کا اختلاف اور مخصوص جماعتوں سے متعلق تعبیرات شامل ہیں؛ صرف ایک متفقہ تاریخی تعبیر پیش نہیں کرتے۔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قرطبی، الجامع لأحکام القرآن؛ تفسیرِ آیت 2:256۔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دین کو ہر مقام پر ایک ہی معنی میں محدود کرنے اور آیت کے اطلاق میں قدیم اختلاف چھپانے سے بچاتا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62">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5" w:name="ref_032"/>
            <w:pPr>
              <w:keepNext/>
              <w:widowControl/>
              <w:spacing w:after="20" w:before="0" w:lineRule="atLeast" w:line="250"/>
              <w:jc w:val="start"/>
              <w:bidi w:val="0"/>
            </w:pPr>
            <w:r>
              <w:rPr>
                <w:rFonts w:ascii="Calibri" w:hAnsi="Calibri" w:cs="Calibri" w:eastAsia="Calibri"/>
                <w:b/>
                <w:color w:val="21313F"/>
                <w:sz w:val="20"/>
                <w:szCs w:val="20"/>
                <w:lang w:val="en-GB" w:bidi="ar-SA"/>
              </w:rPr>
              <w:t>Reference 032  |  Din as law: a modern interpretive discussion</w:t>
            </w:r>
            <w:bookmarkEnd w:id="3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032  |  دین بمعنی قانون: جدید تفسیری بحث</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Maududi discusses din as a legal order in Joseph’s story and argues for a particular reading of why Joseph could not take his brother under the king’s law. He explicitly differs from the explanation he attributes to earlier commentators.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Sayyid Abul Ala Maududi, Tafhim al-Quran / Towards Understanding the Quran, commentary on 12:76, notes 59–60; English digital text.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Useful for a comparison with al-Tabari; the disputed explanation must not be presented as the only lexical meaning of din.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63">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مودودی قصۂ یوسف میں دین کو قانونی نظام کے مفہوم میں زیرِ بحث لاتے ہیں اور بادشاہ کے قانون کے تحت بھائی کو روک نہ سکنے کی خاص تعبیر پیش کرتے ہیں۔ وہ سابق مفسرین سے منسوب توضیح سے صریح اختلاف بھی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سید ابوالاعلیٰ مودودی، تفہیم القرآن / Towards Understanding the Quran، آیت 12:76، حواشی 59–60؛ معائنہ شدہ برقی متن انگریزی میں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طبری کی تفسیر سے تقابل میں مفید ہے؛ اختلافی توضیح کو دین کا واحد لغوی مفہوم نہ بنایا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63">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6" w:name="ref_033"/>
            <w:pPr>
              <w:keepNext/>
              <w:widowControl/>
              <w:spacing w:after="20" w:before="0" w:lineRule="atLeast" w:line="250"/>
              <w:jc w:val="start"/>
              <w:bidi w:val="0"/>
            </w:pPr>
            <w:r>
              <w:rPr>
                <w:rFonts w:ascii="Calibri" w:hAnsi="Calibri" w:cs="Calibri" w:eastAsia="Calibri"/>
                <w:b/>
                <w:color w:val="21313F"/>
                <w:sz w:val="20"/>
                <w:szCs w:val="20"/>
                <w:lang w:val="en-GB" w:bidi="ar-SA"/>
              </w:rPr>
              <w:t>Reference 033  |  Din as judgement and recompense</w:t>
            </w:r>
            <w:bookmarkEnd w:id="3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033  |  دین بمعنی حساب اور جزا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Al-Tabari explicitly explains din in this verse as accounting and recompense for deeds, then notes that the Arabic word also has other meanings in other contexts.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Jafar al-Tabari, Jami al-bayan; commentary on 1:4.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An essential lexical control: translating din mechanically as a complete social system in every occurrence is inaccurate.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64">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طبری صراحت کرتے ہیں کہ اس آیت میں دین کا مفہوم اعمال کا حساب اور بدلہ ہے، پھر واضح کرتے ہیں کہ عربی میں دوسرے سیاقوں کے لحاظ سے اس لفظ کے اور معنی بھی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جعفر طبری، جامع البیان؛ تفسیرِ آیت 1:4۔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لغوی احتیاط کی بنیادی دلیل ہے: ہر مقام پر دین کو لازماً مکمل سماجی نظام ترجمہ کرنا درست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64">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7" w:name="ref_034"/>
            <w:pPr>
              <w:keepNext/>
              <w:widowControl/>
              <w:spacing w:after="20" w:before="0" w:lineRule="atLeast" w:line="250"/>
              <w:jc w:val="start"/>
              <w:bidi w:val="0"/>
            </w:pPr>
            <w:r>
              <w:rPr>
                <w:rFonts w:ascii="Calibri" w:hAnsi="Calibri" w:cs="Calibri" w:eastAsia="Calibri"/>
                <w:b/>
                <w:color w:val="21313F"/>
                <w:sz w:val="20"/>
                <w:szCs w:val="20"/>
                <w:lang w:val="en-GB" w:bidi="ar-SA"/>
              </w:rPr>
              <w:t>Reference 034  |  Din as the king’s rule and judgement</w:t>
            </w:r>
            <w:bookmarkEnd w:id="3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034  |  دین بمعنی بادشاہ کا قانون اور فیصلہ</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Al-Tabari explains the king’s din as his rule, judgement and authority. He regards the transmitted formulations as close in meaning and connects the word’s underlying sense with obedience.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Jafar al-Tabari, Jami al-bayan; commentary on 12:76.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passage supplies contextual evidence for a legal usage without proving that every use of religion or din has identical scope.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65">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طبری بادشاہ کے دین سے اس کا قانون، فیصلہ اور اقتدار مراد لیتے ہیں۔ وہ منقول تعبیرات کو معنی کے اعتبار سے قریب سمجھتے اور لفظ کی اصل دلالت کو اطاعت سے متعلق قرار دیتے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جعفر طبری، جامع البیان؛ تفسیرِ آیت 12:76۔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مقام قانونی استعمال کی سیاقی دلیل ہے، اس بات کی دلیل نہیں کہ مذہب یا دین کے ہر استعمال کا دائرہ ایک جیسا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65">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8" w:name="ref_035"/>
            <w:pPr>
              <w:keepNext/>
              <w:widowControl/>
              <w:spacing w:after="20" w:before="0" w:lineRule="atLeast" w:line="250"/>
              <w:jc w:val="start"/>
              <w:bidi w:val="0"/>
            </w:pPr>
            <w:r>
              <w:rPr>
                <w:rFonts w:ascii="Calibri" w:hAnsi="Calibri" w:cs="Calibri" w:eastAsia="Calibri"/>
                <w:b/>
                <w:color w:val="21313F"/>
                <w:sz w:val="20"/>
                <w:szCs w:val="20"/>
                <w:lang w:val="en-GB" w:bidi="ar-SA"/>
              </w:rPr>
              <w:t>Reference 035  |  Religion is a contested comparative category</w:t>
            </w:r>
            <w:bookmarkEnd w:id="3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035  |  مذہب ایک اختلافی تقابلی زمرہ ہے</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Academic reference work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Schilbrack traces changing meanings of religion and distinguishes substantive definitions from functional ones, including approaches concerned with moral community and orientation of life. There is no single definition accepted across the field.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Kevin Schilbrack, “The Concept of Religion,” Stanford Encyclopedia of Philosophy; first published 28 March 2022, section 1 and section 2.1.</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Consequently, “din is comprehensive, religion is only private ritual” should be qualified as a particular contrast, not a universal definition.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66">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جامعاتی علمی ماخذ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شل بریک مذہب کے بدلتے مفاہیم کا سراغ لگاتے اور ماہیتی تعریفوں کو فعلی تعریفوں سے ممتاز کرتے ہیں، جن میں اخلاقی جماعت اور سمتِ حیات سے متعلق طریقے بھی ہیں۔ پورے شعبے میں ایک ہی متفقہ تعریف موجود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کیون شل بریک، «The Concept of Religion»، اسٹینفورڈ انسائیکلوپیڈیا آف فلاسفی؛ پہلی اشاعت 28 مارچ 2022، حصہ 1 اور حصہ 2.1۔</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لہٰذا «دین جامع ہے، مذہب صرف نجی رسم ہے» کو خاص تقابل کی حیثیت سے مقید کیا جائے، آفاقی تعریف نہ سمجھا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66">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39" w:name="topic_4"/>
            <w:pPr>
              <w:keepNext/>
              <w:widowControl/>
              <w:spacing w:after="20" w:before="0" w:lineRule="atLeast" w:line="250"/>
              <w:jc w:val="start"/>
              <w:bidi w:val="0"/>
            </w:pPr>
            <w:r>
              <w:rPr>
                <w:rFonts w:ascii="Calibri" w:hAnsi="Calibri" w:cs="Calibri" w:eastAsia="Calibri"/>
                <w:b/>
                <w:color w:val="21313F"/>
                <w:sz w:val="24"/>
                <w:szCs w:val="25"/>
                <w:lang w:val="en-GB" w:bidi="ar-SA"/>
              </w:rPr>
              <w:t>04  Distinctive aspects: universality, mercy, justice and balance</w:t>
            </w:r>
            <w:bookmarkEnd w:id="3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04  اسلام کی امتیازی خصوصیات: عالمگیریت، رحمت، عدل اور توازن</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036–055</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036–055</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0" w:name="ref_036"/>
            <w:pPr>
              <w:keepNext/>
              <w:widowControl/>
              <w:spacing w:after="20" w:before="0" w:lineRule="atLeast" w:line="250"/>
              <w:jc w:val="start"/>
              <w:bidi w:val="0"/>
            </w:pPr>
            <w:r>
              <w:rPr>
                <w:rFonts w:ascii="Calibri" w:hAnsi="Calibri" w:cs="Calibri" w:eastAsia="Calibri"/>
                <w:b/>
                <w:color w:val="21313F"/>
                <w:sz w:val="20"/>
                <w:szCs w:val="20"/>
                <w:lang w:val="en-GB" w:bidi="ar-SA"/>
              </w:rPr>
              <w:t>Reference 036  |  Completion of the religion</w:t>
            </w:r>
            <w:bookmarkEnd w:id="4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036  |  تکمیلِ دین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الْيَوْمَ أَكْمَلْتُ لَكُمْ دِينَكُمْ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“This day have I perfected your religion for you”</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Al-Maidah (5), ayah 3.</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foundational text for the completion of revealed religion. This clause alone does not settle every later juristic question.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67">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68">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آج ہم نے تمہارے لئے تمہارا دین کامل کر 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المائدہ (5)، آیت 3۔</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دین کی تکمیل کا بنیادی نصی حوالہ ہے۔ صرف یہ فقرہ بعد کے ہر فقہی مسئلے کا تفصیلی فیصلہ نہیں کرتا۔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67">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68">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1" w:name="ref_037"/>
            <w:pPr>
              <w:keepNext/>
              <w:widowControl/>
              <w:spacing w:after="20" w:before="0" w:lineRule="atLeast" w:line="250"/>
              <w:jc w:val="start"/>
              <w:bidi w:val="0"/>
            </w:pPr>
            <w:r>
              <w:rPr>
                <w:rFonts w:ascii="Calibri" w:hAnsi="Calibri" w:cs="Calibri" w:eastAsia="Calibri"/>
                <w:b/>
                <w:color w:val="21313F"/>
                <w:sz w:val="20"/>
                <w:szCs w:val="20"/>
                <w:lang w:val="en-GB" w:bidi="ar-SA"/>
              </w:rPr>
              <w:t>Reference 037  |  No compulsion in religion</w:t>
            </w:r>
            <w:bookmarkEnd w:id="4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037  |  دین میں جبر نہیں</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لَا إِكْرَاهَ فِي الدِّينِ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“There is no compulsion in religion.”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256.</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central text in discussions of religious coercion. Its exegetical and juristic applications should be distinguished from the wording itself.</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6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7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«دین (اسلام) میں زبردستی نہیں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256۔</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دینی جبر کی بحث کا بنیادی نصی حوالہ ہے۔ اس کے تفسیری اور فقہی اطلاقات کو اصل الفاظ سے الگ رکھا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6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7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2" w:name="ref_038"/>
            <w:pPr>
              <w:keepNext/>
              <w:widowControl/>
              <w:spacing w:after="20" w:before="0" w:lineRule="atLeast" w:line="250"/>
              <w:jc w:val="start"/>
              <w:bidi w:val="0"/>
            </w:pPr>
            <w:r>
              <w:rPr>
                <w:rFonts w:ascii="Calibri" w:hAnsi="Calibri" w:cs="Calibri" w:eastAsia="Calibri"/>
                <w:b/>
                <w:color w:val="21313F"/>
                <w:sz w:val="20"/>
                <w:szCs w:val="20"/>
                <w:lang w:val="en-GB" w:bidi="ar-SA"/>
              </w:rPr>
              <w:t>Reference 038  |  Justice, kindness and kinship assistance</w:t>
            </w:r>
            <w:bookmarkEnd w:id="4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038  |  عدل، احسان اور قرابت داروں کی مدد</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 اللَّهَ يَأْمُرُ بِالْعَدْلِ وَالْإِحْسَانِ وَإِيتَاءِ ذِي الْقُرْبَىٰ</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“Lo! Allah enjoineth justice and kindness, and giving to kinsfolk,”</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Al-Nahl (16), ayah 90.</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Connects religious obligation with public ethics and family assistance. The remainder prohibits indecency, wrongdoing and transgression.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7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7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«خدا تم کو انصاف اور احسان کرنے اور رشتہ داروں کو (خرچ سے مدد) دینے کا حکم دیتا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النحل (16)، آیت 90۔</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دینی ذمہ داری کو اجتماعی اخلاق اور خاندانی مدد سے جوڑتی ہے۔ باقی آیت بےحیائی، برائی اور سرکشی سے روکتی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7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7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3" w:name="ref_039"/>
            <w:pPr>
              <w:keepNext/>
              <w:widowControl/>
              <w:spacing w:after="20" w:before="0" w:lineRule="atLeast" w:line="250"/>
              <w:jc w:val="start"/>
              <w:bidi w:val="0"/>
            </w:pPr>
            <w:r>
              <w:rPr>
                <w:rFonts w:ascii="Calibri" w:hAnsi="Calibri" w:cs="Calibri" w:eastAsia="Calibri"/>
                <w:b/>
                <w:color w:val="21313F"/>
                <w:sz w:val="20"/>
                <w:szCs w:val="20"/>
                <w:lang w:val="en-GB" w:bidi="ar-SA"/>
              </w:rPr>
              <w:t>Reference 039  |  Mercy as a prophetic purpose</w:t>
            </w:r>
            <w:bookmarkEnd w:id="4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039  |  رحمت: بعثت کا مقصد</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وَمَا أَرْسَلْنَاكَ إِلَّا رَحْمَةً لِّلْعَالَمِينَ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“We sent thee not save as a mercy for the peoples.”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Al-Anbiya (21), ayah 107.</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normative description of the Prophetic mission. It does not establish that every historical act by Muslims embodied this purpose.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73">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74">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(اے محمدﷺ) ہم نے تم کو تمام جہان کے لئے رحمت (بنا کر) بھیجا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الانبیاء (21)، آیت 107۔</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رسالت کے مقصد کا معیاری بیان ہے۔ اس سے یہ ثابت نہیں ہوتا کہ مسلمانوں کا ہر تاریخی عمل اس مقصد کا مظہر تھا۔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73">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74">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4" w:name="ref_040"/>
            <w:pPr>
              <w:keepNext/>
              <w:widowControl/>
              <w:spacing w:after="20" w:before="0" w:lineRule="atLeast" w:line="250"/>
              <w:jc w:val="start"/>
              <w:bidi w:val="0"/>
            </w:pPr>
            <w:r>
              <w:rPr>
                <w:rFonts w:ascii="Calibri" w:hAnsi="Calibri" w:cs="Calibri" w:eastAsia="Calibri"/>
                <w:b/>
                <w:color w:val="21313F"/>
                <w:sz w:val="20"/>
                <w:szCs w:val="20"/>
                <w:lang w:val="en-GB" w:bidi="ar-SA"/>
              </w:rPr>
              <w:t>Reference 040  |  Universal scope of the mission</w:t>
            </w:r>
            <w:bookmarkEnd w:id="4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040  |  رسالت کا عالمگیر دائرہ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وَمَا أَرْسَلْنَاكَ إِلَّا كَافَّةً لِّلنَّاسِ بَشِيرًا وَنَذِيرًا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We have not sent thee (O Muhammad) save as a bringer of good tidings and a warner unto all mankind;”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Saba (34), ayah 28.</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Explicit evidence for a mission addressed to humanity, not confined to one ethnic community.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75">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76">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(اے محمدﷺ) ہم نے تم کو تمام لوگوں کے لئے خوشخبری سنانے والا اور ڈرانے والا بنا کر بھیجا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سبا (34)، آیت 28۔</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رسالت کے خطاب کو ایک نسلی جماعت تک محدود نہ رکھنے کی صریح دلیل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75">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76">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5" w:name="ref_041"/>
            <w:pPr>
              <w:keepNext/>
              <w:widowControl/>
              <w:spacing w:after="20" w:before="0" w:lineRule="atLeast" w:line="250"/>
              <w:jc w:val="start"/>
              <w:bidi w:val="0"/>
            </w:pPr>
            <w:r>
              <w:rPr>
                <w:rFonts w:ascii="Calibri" w:hAnsi="Calibri" w:cs="Calibri" w:eastAsia="Calibri"/>
                <w:b/>
                <w:color w:val="21313F"/>
                <w:sz w:val="20"/>
                <w:szCs w:val="20"/>
                <w:lang w:val="en-GB" w:bidi="ar-SA"/>
              </w:rPr>
              <w:t>Reference 041  |  Moral worth rather than lineage</w:t>
            </w:r>
            <w:bookmarkEnd w:id="4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041  |  نسب کے بجائے تقویٰ کا معیار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 أَكْرَمَكُمْ عِندَ اللَّهِ أَتْقَاكُمْ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“Lo! the noblest of you, in the sight of Allah, is the best in conduct.”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Al-Hujurat (49), ayah 13.</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whole verse also mentions common origin and human diversity. The cited clause locates divine honour in moral God-consciousness.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77">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78">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خدا کے نزدیک تم میں زیادہ عزت والا وہ ہے جو زیادہ پرہیزگار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الحجرات (49)، آیت 13۔</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پوری آیت مشترک انسانی اصل اور تنوع بھی بیان کرتی ہے۔ نقل کردہ فقرہ اللہ کے ہاں عزت کو تقویٰ سے وابستہ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77">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78">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6" w:name="ref_042"/>
            <w:pPr>
              <w:keepNext/>
              <w:widowControl/>
              <w:spacing w:after="20" w:before="0" w:lineRule="atLeast" w:line="250"/>
              <w:jc w:val="start"/>
              <w:bidi w:val="0"/>
            </w:pPr>
            <w:r>
              <w:rPr>
                <w:rFonts w:ascii="Calibri" w:hAnsi="Calibri" w:cs="Calibri" w:eastAsia="Calibri"/>
                <w:b/>
                <w:color w:val="21313F"/>
                <w:sz w:val="20"/>
                <w:szCs w:val="20"/>
                <w:lang w:val="en-GB" w:bidi="ar-SA"/>
              </w:rPr>
              <w:t>Reference 042  |  Impartial testimony</w:t>
            </w:r>
            <w:bookmarkEnd w:id="4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042  |  غیر جانب دار گواہی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كُونُوا قَوَّامِينَ بِالْقِسْطِ شُهَدَاءَ لِلَّهِ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“Be ye staunch in justice, witnesses for Allah,”</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Al-Nisa (4), ayah 135.</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continuation requires justice even against oneself and relatives and rejects wealth-based partiality. This note summarises that context, not an additional quotation.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7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8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«انصاف پر قائم رہو اور خدا کے لئے سچی گواہی دو»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النساء (4)، آیت 135۔</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آگے اپنے اور اقربا کے خلاف بھی عدل کا تقاضا ہے اور دولت کی بنیاد پر جانب داری کی نفی ہے۔ یہ سیاق کا خلاصہ ہے، اضافی اقتباس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7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8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7" w:name="ref_043"/>
            <w:pPr>
              <w:keepNext/>
              <w:widowControl/>
              <w:spacing w:after="20" w:before="0" w:lineRule="atLeast" w:line="250"/>
              <w:jc w:val="start"/>
              <w:bidi w:val="0"/>
            </w:pPr>
            <w:r>
              <w:rPr>
                <w:rFonts w:ascii="Calibri" w:hAnsi="Calibri" w:cs="Calibri" w:eastAsia="Calibri"/>
                <w:b/>
                <w:color w:val="21313F"/>
                <w:sz w:val="20"/>
                <w:szCs w:val="20"/>
                <w:lang w:val="en-GB" w:bidi="ar-SA"/>
              </w:rPr>
              <w:t>Reference 043  |  A middle community and moral witness</w:t>
            </w:r>
            <w:bookmarkEnd w:id="4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043  |  امتِ وسط اور اخلاقی شہادت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وَكَذَٰلِكَ جَعَلْنَاكُمْ أُمَّةً وَسَطًا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“Thus We have appointed you a middle nation,”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143.</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continuation links this description with witness over humanity. Wasat requires contextual interpretation; it is not simply a modern political midpoint.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8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8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اسی طرح ہم نے تم کو امتِ معتدل بنایا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143۔</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آگے اس وصف کو انسانیت پر شہادت سے جوڑا گیا ہے۔ وسط کا مفہوم سیاق سے متعین ہوگا؛ یہ محض جدید سیاسی درمیانی مقام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8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8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8" w:name="ref_044"/>
            <w:pPr>
              <w:keepNext/>
              <w:widowControl/>
              <w:spacing w:after="20" w:before="0" w:lineRule="atLeast" w:line="250"/>
              <w:jc w:val="start"/>
              <w:bidi w:val="0"/>
            </w:pPr>
            <w:r>
              <w:rPr>
                <w:rFonts w:ascii="Calibri" w:hAnsi="Calibri" w:cs="Calibri" w:eastAsia="Calibri"/>
                <w:b/>
                <w:color w:val="21313F"/>
                <w:sz w:val="20"/>
                <w:szCs w:val="20"/>
                <w:lang w:val="en-GB" w:bidi="ar-SA"/>
              </w:rPr>
              <w:t>Reference 044  |  Justice despite hostility</w:t>
            </w:r>
            <w:bookmarkEnd w:id="4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044  |  دشمنی کے باوجود عدل</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وَلَا يَجْرِمَنَّكُمْ شَنَآنُ قَوْمٍ عَلَىٰ أَلَّا تَعْدِلُوا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let not hatred of any people seduce you that ye deal not justly.”</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Al-Maidah (5), ayah 8.</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Distinct from testimony against relatives: this passage expressly addresses the danger of injustice toward a disliked group.</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83">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84">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لوگوں کی دشمنی تم کو اس بات پر آمادہ نہ کرے کہ انصاف چھوڑ دو۔»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المائدہ (5)، آیت 8۔</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اقربا کے خلاف گواہی سے الگ، یہ عبارت ناپسندیدہ جماعت کے ساتھ ناانصافی کے خطرے کو صراحت سے بیان کرتی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83">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84">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49" w:name="ref_045"/>
            <w:pPr>
              <w:keepNext/>
              <w:widowControl/>
              <w:spacing w:after="20" w:before="0" w:lineRule="atLeast" w:line="250"/>
              <w:jc w:val="start"/>
              <w:bidi w:val="0"/>
            </w:pPr>
            <w:r>
              <w:rPr>
                <w:rFonts w:ascii="Calibri" w:hAnsi="Calibri" w:cs="Calibri" w:eastAsia="Calibri"/>
                <w:b/>
                <w:color w:val="21313F"/>
                <w:sz w:val="20"/>
                <w:szCs w:val="20"/>
                <w:lang w:val="en-GB" w:bidi="ar-SA"/>
              </w:rPr>
              <w:t>Reference 045  |  Human faculties and gratitude</w:t>
            </w:r>
            <w:bookmarkEnd w:id="4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045  |  انسانی صلاحیتیں اور شکر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وَجَعَلَ لَكُمُ السَّمْعَ وَالْأَبْصَارَ وَالْأَفْئِدَةَ ۙ لَعَلَّكُمْ تَشْكُرُونَ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gave you hearing and sight and hearts that haply ye might give thanks.”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Al-Nahl (16), ayah 78.</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Links the faculties used in learning with gratitude. The surrounding verse begins with human lack of acquired knowledge at birth.</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85">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86">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اس نے تم کو کان اور آنکھیں اور دل (اور اُن کے علاوہ اور) اعضا بخشے تاکہ تم شکر کرو»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النحل (16)، آیت 78۔</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علم حاصل کرنے کی صلاحیتوں کو شکر سے جوڑتی ہے۔ آیت کی ابتدا پیدائش کے وقت حاصل شدہ علم نہ ہونے کے ذکر سے ہوتی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85">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86">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0" w:name="ref_046"/>
            <w:pPr>
              <w:keepNext/>
              <w:widowControl/>
              <w:spacing w:after="20" w:before="0" w:lineRule="atLeast" w:line="250"/>
              <w:jc w:val="start"/>
              <w:bidi w:val="0"/>
            </w:pPr>
            <w:r>
              <w:rPr>
                <w:rFonts w:ascii="Calibri" w:hAnsi="Calibri" w:cs="Calibri" w:eastAsia="Calibri"/>
                <w:b/>
                <w:color w:val="21313F"/>
                <w:sz w:val="20"/>
                <w:szCs w:val="20"/>
                <w:lang w:val="en-GB" w:bidi="ar-SA"/>
              </w:rPr>
              <w:t>Reference 046  |  Revelation and the command to read</w:t>
            </w:r>
            <w:bookmarkEnd w:id="5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046  |  وحی اور حکمِ قراءت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اقْرَأْ بِاسْمِ رَبِّكَ الَّذِي خَلَقَ</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“Read: In the name of thy Lord Who createth,”</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Al-Alaq (96), ayah 1.</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Connects reading or recitation with recognition of the Creator; wider educational applications are applications, not additional literal wording.</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87">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88">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«(اے محمدﷺ) اپنے پروردگار کا نام لے کر پڑھو جس نے (عالم کو) پیدا کیا»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العلق (96)، آیت 1۔</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قراءت کو خالق کے اقرار سے وابستہ کرتی ہے؛ وسیع تعلیمی نتائج اطلاق ہیں، آیت کے اضافی لفظی مطالب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87">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88">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1" w:name="ref_047"/>
            <w:pPr>
              <w:keepNext/>
              <w:widowControl/>
              <w:spacing w:after="20" w:before="0" w:lineRule="atLeast" w:line="250"/>
              <w:jc w:val="start"/>
              <w:bidi w:val="0"/>
            </w:pPr>
            <w:r>
              <w:rPr>
                <w:rFonts w:ascii="Calibri" w:hAnsi="Calibri" w:cs="Calibri" w:eastAsia="Calibri"/>
                <w:b/>
                <w:color w:val="21313F"/>
                <w:sz w:val="20"/>
                <w:szCs w:val="20"/>
                <w:lang w:val="en-GB" w:bidi="ar-SA"/>
              </w:rPr>
              <w:t>Reference 047  |  Responsibility for claims of knowledge</w:t>
            </w:r>
            <w:bookmarkEnd w:id="5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047  |  علمی دعووں کی جواب دہی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وَلَا تَقْفُ مَا لَيْسَ لَكَ بِهِ عِلْمٌ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“(O man), follow not that whereof thou hast no knowledge.”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Al-Isra (17), ayah 36.</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Provides an ethical basis for checking claims and avoiding unsupported assertions, including religious quotations.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8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9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(اے بندے) جس چیز کا تجھے علم نہیں اس کے پیچھے نہ پڑ۔»</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الاسراء (17)، آیت 36۔</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دعووں کی تحقیق اور بےدلیل باتوں، بشمول دینی اقتباسات، سے اجتناب کی اخلاقی بنیاد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8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9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2" w:name="ref_048"/>
            <w:pPr>
              <w:keepNext/>
              <w:widowControl/>
              <w:spacing w:after="20" w:before="0" w:lineRule="atLeast" w:line="250"/>
              <w:jc w:val="start"/>
              <w:bidi w:val="0"/>
            </w:pPr>
            <w:r>
              <w:rPr>
                <w:rFonts w:ascii="Calibri" w:hAnsi="Calibri" w:cs="Calibri" w:eastAsia="Calibri"/>
                <w:b/>
                <w:color w:val="21313F"/>
                <w:sz w:val="20"/>
                <w:szCs w:val="20"/>
                <w:lang w:val="en-GB" w:bidi="ar-SA"/>
              </w:rPr>
              <w:t>Reference 048  |  Duty proportionate to capacity</w:t>
            </w:r>
            <w:bookmarkEnd w:id="5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048  |  استطاعت کے مطابق ذمہ داری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لَا يُكَلِّفُ اللَّهُ نَفْسًا إِلَّا وُسْعَهَا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“Allah tasketh not a soul beyond its scope.”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286.</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foundational limit on religious obligation. Specific concessions in worship are established through their own texts and juristic rules.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9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9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«خدا کسی شخص کو اس کی طاقت سے زیادہ تکلیف نہیں دیتا۔»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286۔</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دینی ذمہ داری کی ایک بنیادی حد ہے۔ عبادات کی خاص رخصتیں اپنے نصوص اور فقہی قواعد سے متعین ہوتی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9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9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3" w:name="ref_049"/>
            <w:pPr>
              <w:keepNext/>
              <w:widowControl/>
              <w:spacing w:after="20" w:before="0" w:lineRule="atLeast" w:line="250"/>
              <w:jc w:val="start"/>
              <w:bidi w:val="0"/>
            </w:pPr>
            <w:r>
              <w:rPr>
                <w:rFonts w:ascii="Calibri" w:hAnsi="Calibri" w:cs="Calibri" w:eastAsia="Calibri"/>
                <w:b/>
                <w:color w:val="21313F"/>
                <w:sz w:val="20"/>
                <w:szCs w:val="20"/>
                <w:lang w:val="en-GB" w:bidi="ar-SA"/>
              </w:rPr>
              <w:t>Reference 049  |  Ease rather than unsustainable excess</w:t>
            </w:r>
            <w:bookmarkEnd w:id="5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049  |  آسانی، ناقابلِ دوام غلو نہیں</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 الدِّينَ يُسْرٌ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“Religion is very easy”</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Belief, hadith 39;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remainder warns against overburdening oneself and encourages measured, sustained worship. Ease is not presented as abolition of obligations.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93">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94">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«بیشک دین آسان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الایمان، حدیث 39؛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باقی روایت خود پر حد سے زیادہ بوجھ ڈالنے سے روکتی اور معتدل، مسلسل عبادت کی ترغیب دیتی ہے۔ آسانی فرائض کے خاتمے کے طور پر بیان نہیں ہوئی۔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93">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94">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4" w:name="ref_050"/>
            <w:pPr>
              <w:keepNext/>
              <w:widowControl/>
              <w:spacing w:after="20" w:before="0" w:lineRule="atLeast" w:line="250"/>
              <w:jc w:val="start"/>
              <w:bidi w:val="0"/>
            </w:pPr>
            <w:r>
              <w:rPr>
                <w:rFonts w:ascii="Calibri" w:hAnsi="Calibri" w:cs="Calibri" w:eastAsia="Calibri"/>
                <w:b/>
                <w:color w:val="21313F"/>
                <w:sz w:val="20"/>
                <w:szCs w:val="20"/>
                <w:lang w:val="en-GB" w:bidi="ar-SA"/>
              </w:rPr>
              <w:t>Reference 050  |  Character as a criterion of excellence</w:t>
            </w:r>
            <w:bookmarkEnd w:id="5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050  |  حسنِ اخلاق بطور معیارِ فضیلت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 مِنْ خِيَارِكُمْ أَحْسَنَكُمْ أَخْلاَقًا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 best amongst you are those who have the best manners and character.”</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Virtues and Merits, hadith 3559; numbering: Sunnah.com. Narrator: Abdullah ibn Amr.</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narrator’s description of the Prophet’s speech accompanies the saying. The Arabic and first Urdu rendering establish Ibn Amr, despite a name error in another Urdu rendering on the access page.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95">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96">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«تم میں سب سے بہتر وہ شخص ہے جس کے اخلاق سب سے اچھے ہوں»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المناقب، حدیث 3559؛ ترقیم: سنہ ڈاٹ کام۔ راوی: عبداللہ بن عمرو۔</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راوی کی بیان کردہ نبوی خوش گفتاری اس قول کے ساتھ ہے۔ عربی اور پہلے اردو متن سے ابن عمرو ثابت ہیں، اگرچہ اسی صفحے کے دوسرے اردو متن میں نام کی غلطی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95">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96">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5" w:name="ref_051"/>
            <w:pPr>
              <w:keepNext/>
              <w:widowControl/>
              <w:spacing w:after="20" w:before="0" w:lineRule="atLeast" w:line="250"/>
              <w:jc w:val="start"/>
              <w:bidi w:val="0"/>
            </w:pPr>
            <w:r>
              <w:rPr>
                <w:rFonts w:ascii="Calibri" w:hAnsi="Calibri" w:cs="Calibri" w:eastAsia="Calibri"/>
                <w:b/>
                <w:color w:val="21313F"/>
                <w:sz w:val="20"/>
                <w:szCs w:val="20"/>
                <w:lang w:val="en-GB" w:bidi="ar-SA"/>
              </w:rPr>
              <w:t>Reference 051  |  Considerate religious teaching</w:t>
            </w:r>
            <w:bookmarkEnd w:id="5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051  |  رعایت پر مبنی دینی تعلیم</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يَسِّرُوا وَلاَ تُعَسِّرُوا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“Facilitate things to people (concerning religious matters), and do not make it hard for them”</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Knowledge, hadith 69; numbering: Sunnah.com. Narrator: Anas ibn Malik.</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continuation joins good tidings with avoiding alienation. It is a teaching principle, distinct from the personal overburdening discussed in Bukhari 39.</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Urdu translation not verified.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97">
              <w:r>
                <w:rPr>
                  <w:color w:val="245C7C"/>
                  <w:u w:val="single"/>
                  <w:rFonts w:ascii="Calibri" w:hAnsi="Calibri" w:cs="Calibri"/>
                  <w:sz w:val="18"/>
                  <w:szCs w:val="18"/>
                </w:rPr>
                <w:t>Arabic / 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اندراج کے لیے کسی مطبوعہ اردو ترجمے کے الفاظ کی تصدیق نہیں ہو سکی؛ خودساختہ ترجمہ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العلم، حدیث 69؛ ترقیم: سنہ ڈاٹ کام۔ راوی: انس بن مالک۔</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مطبوعہ اردو ترجمہ: غیر مصدقہ / دستیاب اقتباس نقل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آگے خوش خبری دینے اور متنفر نہ کرنے کا ذکر ہے۔ یہ تعلیم کا اصول ہے، جبکہ بخاری ۳۹ فرد کے خود کو حد سے زیادہ مشقت میں ڈالنے سے متعلق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اردو ترجمہ غیر مصدقہ ہے۔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97">
              <w:r>
                <w:rPr>
                  <w:color w:val="245C7C"/>
                  <w:u w:val="single"/>
                  <w:rFonts w:ascii="Noto Naskh Arabic" w:hAnsi="Noto Naskh Arabic" w:cs="Noto Naskh Arabic"/>
                  <w:sz w:val="21"/>
                  <w:szCs w:val="21"/>
                  <w:rtl/>
                </w:rPr>
                <w:t>عربی / 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6" w:name="ref_052"/>
            <w:pPr>
              <w:keepNext/>
              <w:widowControl/>
              <w:spacing w:after="20" w:before="0" w:lineRule="atLeast" w:line="250"/>
              <w:jc w:val="start"/>
              <w:bidi w:val="0"/>
            </w:pPr>
            <w:r>
              <w:rPr>
                <w:rFonts w:ascii="Calibri" w:hAnsi="Calibri" w:cs="Calibri" w:eastAsia="Calibri"/>
                <w:b/>
                <w:color w:val="21313F"/>
                <w:sz w:val="20"/>
                <w:szCs w:val="20"/>
                <w:lang w:val="en-GB" w:bidi="ar-SA"/>
              </w:rPr>
              <w:t>Reference 052  |  Wasat: justice, excellence and testimony</w:t>
            </w:r>
            <w:bookmarkEnd w:id="5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052  |  وسط: عدل، فضیلت اور شہادت</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explains wasat through excellence and justice, connecting the community’s description with its witness concerning the messengers. His discussion also places the verse in the change-of-qiblah context.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2:143.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text is not a rule that the numerical midpoint between any two opinions is automatically correct.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98">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وسط کی توضیح فضیلت اور عدل سے کرتے اور امت کے وصف کو رسولوں کے بارے میں اس کی شہادت سے جوڑتے ہیں۔ ان کی بحث میں تبدیلیِ قبلہ کا سیاق بھی برقرار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2:143۔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ہر دو آرا کے عددی درمیانی مقام کو خودبخود درست قرار دینے کا اصول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98">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7" w:name="ref_053"/>
            <w:pPr>
              <w:keepNext/>
              <w:widowControl/>
              <w:spacing w:after="20" w:before="0" w:lineRule="atLeast" w:line="250"/>
              <w:jc w:val="start"/>
              <w:bidi w:val="0"/>
            </w:pPr>
            <w:r>
              <w:rPr>
                <w:rFonts w:ascii="Calibri" w:hAnsi="Calibri" w:cs="Calibri" w:eastAsia="Calibri"/>
                <w:b/>
                <w:color w:val="21313F"/>
                <w:sz w:val="20"/>
                <w:szCs w:val="20"/>
                <w:lang w:val="en-GB" w:bidi="ar-SA"/>
              </w:rPr>
              <w:t>Reference 053  |  Hope is joined to repentance</w:t>
            </w:r>
            <w:bookmarkEnd w:id="5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053  |  امید کا تعلق توبہ سے</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understands the verse as inviting all sinners to repentance and return. He explicitly rejects reading its comprehensive promise of forgiveness as a promise detached from repentance, especially concerning unrepented association of partners with God.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39:53.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Keeps the message of hope intact without presenting forgiveness as permission to persist in wrongdoing.</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99">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آیت کو تمام گناہ گاروں کے لیے توبہ اور رجوع کی دعوت سمجھتے ہیں۔ وہ تمام گناہوں کی مغفرت کے وعدے کو توبہ سے الگ کرنے کی نفی کرتے ہیں، بالخصوص ایسے شرک کے بارے میں جس سے توبہ نہ کی گئی ہو۔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39:53۔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امید کا پیغام برقرار رکھتا ہے، مگر مغفرت کو برائی پر اصرار کی اجازت نہیں بناتا۔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99">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8" w:name="ref_054"/>
            <w:pPr>
              <w:keepNext/>
              <w:widowControl/>
              <w:spacing w:after="20" w:before="0" w:lineRule="atLeast" w:line="250"/>
              <w:jc w:val="start"/>
              <w:bidi w:val="0"/>
            </w:pPr>
            <w:r>
              <w:rPr>
                <w:rFonts w:ascii="Calibri" w:hAnsi="Calibri" w:cs="Calibri" w:eastAsia="Calibri"/>
                <w:b/>
                <w:color w:val="21313F"/>
                <w:sz w:val="20"/>
                <w:szCs w:val="20"/>
                <w:lang w:val="en-GB" w:bidi="ar-SA"/>
              </w:rPr>
              <w:t>Reference 054  |  Consultation, reconciliation and a Prophetic example</w:t>
            </w:r>
            <w:bookmarkEnd w:id="5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054  |  مشاورت، تالیفِ قلب اور نبوی نمونہ</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Al-Tabari records several explanations of consultation. His preferred account combines drawing the Companions together in difficult affairs with setting an example for later believers, while retaining the Prophet’s distinctive relation to revelation.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Jafar al-Tabari, Jami al-bayan; commentary on 3:159.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An attributed historical-exegetical discussion, not a direct specification of a modern governmental model.</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00">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طبری مشاورت کی کئی توضیحات نقل کرتے ہیں۔ ان کی ترجیحی تعبیر مشکل امور میں صحابہ کی تالیفِ قلب اور بعد کے اہلِ ایمان کے لیے نمونہ قائم کرنے کو جمع کرتی ہے، جبکہ نبی کے وحی سے خاص تعلق کو برقرار رکھتی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جعفر طبری، جامع البیان؛ تفسیرِ آیت 3:159۔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منسوب تاریخی و تفسیری بحث ہے، کسی جدید حکومتی نمونے کی براہِ راست تعیین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00">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59" w:name="ref_055"/>
            <w:pPr>
              <w:keepNext/>
              <w:widowControl/>
              <w:spacing w:after="20" w:before="0" w:lineRule="atLeast" w:line="250"/>
              <w:jc w:val="start"/>
              <w:bidi w:val="0"/>
            </w:pPr>
            <w:r>
              <w:rPr>
                <w:rFonts w:ascii="Calibri" w:hAnsi="Calibri" w:cs="Calibri" w:eastAsia="Calibri"/>
                <w:b/>
                <w:color w:val="21313F"/>
                <w:sz w:val="20"/>
                <w:szCs w:val="20"/>
                <w:lang w:val="en-GB" w:bidi="ar-SA"/>
              </w:rPr>
              <w:t>Reference 055  |  Nature and history as sources of knowledge</w:t>
            </w:r>
            <w:bookmarkEnd w:id="5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055  |  فطرت اور تاریخ بطور ذرائعِ علم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Iqbal identifies nature and history, alongside inward experience, as sources of knowledge emphasised by the Quran. He argues that reflective attention to concrete signs belongs to the intellectual orientation of Muslim culture.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Muhammad Iqbal, The Reconstruction of Religious Thought in Islam, Lecture V, “The Spirit of Muslim Culture”; paragraph beginning “But inner experience is only one source”. International Iqbal Society digital transcription.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Cites Iqbal’s interpretation without reproducing his broader historical judgements as uncontested facts.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01">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اقبال باطنی تجربے کے ساتھ فطرت اور تاریخ کو قرآنی تاکید کے حامل ذرائعِ علم قرار دیتے ہیں۔ ان کے مطابق محسوس نشانیوں پر غور و فکر مسلم تہذیب کے فکری رجحان کا حصہ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محمد اقبال، تشکیلِ جدید الٰہیاتِ اسلامیہ (The Reconstruction of Religious Thought in Islam)، خطبہ V، «مسلم تہذیب کی روح»؛ پیراگراف کا آغاز: But inner experience is only one source۔ انٹرنیشنل اقبال سوسائٹی کا برقی متن۔</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اقبال کی تعبیر کا حوالہ ہے؛ ان کے وسیع تاریخی فیصلوں کو غیر اختلافی حقائق کے طور پر نہیں دہرایا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01">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0" w:name="topic_5"/>
            <w:pPr>
              <w:keepNext/>
              <w:widowControl/>
              <w:spacing w:after="20" w:before="0" w:lineRule="atLeast" w:line="250"/>
              <w:jc w:val="start"/>
              <w:bidi w:val="0"/>
            </w:pPr>
            <w:r>
              <w:rPr>
                <w:rFonts w:ascii="Calibri" w:hAnsi="Calibri" w:cs="Calibri" w:eastAsia="Calibri"/>
                <w:b/>
                <w:color w:val="21313F"/>
                <w:sz w:val="24"/>
                <w:szCs w:val="25"/>
                <w:lang w:val="en-GB" w:bidi="ar-SA"/>
              </w:rPr>
              <w:t>05  Islamic beliefs and their individual and social implications</w:t>
            </w:r>
            <w:bookmarkEnd w:id="6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05  اسلامی عقائد اور ان کے انفرادی و معاشرتی اثرات</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056–076</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056–076</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Articles of faith: the Gabriel report identifies Allah, angels, books, messengers, the Last Day and decree (Reference 007). The entries here explore selected textual and ethical implications; theological schools do not explain every detail identically.</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ارکانِ ایمان: حدیثِ جبریل میں اللہ، فرشتوں، کتابوں، رسولوں، آخرت اور تقدیر کا ذکر ہے (حوالہ 007)۔ یہاں منتخب نصوص اور اخلاقی تقاضے جمع ہیں؛ تمام مکاتب ہر جزئیے کی یکساں تعبیر نہیں کرتے۔</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1" w:name="ref_056"/>
            <w:pPr>
              <w:keepNext/>
              <w:widowControl/>
              <w:spacing w:after="20" w:before="0" w:lineRule="atLeast" w:line="250"/>
              <w:jc w:val="start"/>
              <w:bidi w:val="0"/>
            </w:pPr>
            <w:r>
              <w:rPr>
                <w:rFonts w:ascii="Calibri" w:hAnsi="Calibri" w:cs="Calibri" w:eastAsia="Calibri"/>
                <w:b/>
                <w:color w:val="21313F"/>
                <w:sz w:val="20"/>
                <w:szCs w:val="20"/>
                <w:lang w:val="en-GB" w:bidi="ar-SA"/>
              </w:rPr>
              <w:t>Reference 056  |  Tawhid: the oneness of Allah</w:t>
            </w:r>
            <w:bookmarkEnd w:id="6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056  |  توحید: اللہ کی یکتائی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قُلْ هُوَ اللَّهُ أَحَدٌ</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“Say: He is Allah, the One!”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Al-Ikhlas (112), ayah 1.</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concise confessional text of divine oneness. Social implications such as accountability to one God are interpretive applications, not the ayah’s literal wording.</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02">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03">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«کہو کہ وہ (ذات پاک جس کا نام) الله (ہے) ایک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الاخلاص (112)، آیت 1۔</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اللہ کی وحدانیت کا مختصر اعتقادی بیان ہے۔ ایک خدا کے سامنے جواب دہی جیسے معاشرتی نتائج تفسیری اطلاقات ہیں، آیت کے لفظی متن کا حصہ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02">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03">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2" w:name="ref_057"/>
            <w:pPr>
              <w:keepNext/>
              <w:widowControl/>
              <w:spacing w:after="20" w:before="0" w:lineRule="atLeast" w:line="250"/>
              <w:jc w:val="start"/>
              <w:bidi w:val="0"/>
            </w:pPr>
            <w:r>
              <w:rPr>
                <w:rFonts w:ascii="Calibri" w:hAnsi="Calibri" w:cs="Calibri" w:eastAsia="Calibri"/>
                <w:b/>
                <w:color w:val="21313F"/>
                <w:sz w:val="20"/>
                <w:szCs w:val="20"/>
                <w:lang w:val="en-GB" w:bidi="ar-SA"/>
              </w:rPr>
              <w:t>Reference 057  |  Divine life and sustaining sovereignty</w:t>
            </w:r>
            <w:bookmarkEnd w:id="6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057  |  اللہ کی حیات اور قیومیت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اللَّهُ لَا إِلَٰهَ إِلَّا هُوَ الْحَيُّ الْقَيُّومُ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“Allah! There is no deity save Him, the Alive, the Eternal.”</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255.</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opening of Ayat al-Kursi combines exclusive worship with divine life and self-subsistence. Later clauses develop knowledge and preservation.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04">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05">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«خدا (وہ معبود برحق ہے کہ) اس کے سوا کوئی عبادت کے لائق نہیں زندہ ہمیشہ رہنے والا»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255۔</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آیت الکرسی کی ابتدا عبادت کی یکتائی کو حیات اور قیومیت کے ساتھ جمع کرتی ہے۔ اگلے فقروں میں علم اور حفاظت کی تفصیل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04">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05">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3" w:name="ref_058"/>
            <w:pPr>
              <w:keepNext/>
              <w:widowControl/>
              <w:spacing w:after="20" w:before="0" w:lineRule="atLeast" w:line="250"/>
              <w:jc w:val="start"/>
              <w:bidi w:val="0"/>
            </w:pPr>
            <w:r>
              <w:rPr>
                <w:rFonts w:ascii="Calibri" w:hAnsi="Calibri" w:cs="Calibri" w:eastAsia="Calibri"/>
                <w:b/>
                <w:color w:val="21313F"/>
                <w:sz w:val="20"/>
                <w:szCs w:val="20"/>
                <w:lang w:val="en-GB" w:bidi="ar-SA"/>
              </w:rPr>
              <w:t>Reference 058  |  Transcendence without denying divine attributes</w:t>
            </w:r>
            <w:bookmarkEnd w:id="6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058  |  صفات کے اثبات کے ساتھ تنزیہ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لَيْسَ كَمِثْلِهِ شَيْءٌ ۖ وَهُوَ السَّمِيعُ الْبَصِيرُ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“Naught is as His likeness; and He is the Hearer, the Seer.”</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Al-Shura (42), ayah 11.</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Affirms divine incomparability together with hearing and seeing. Theological schools differ over some explanatory terminology; no school-specific mechanism is inserted here.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06">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07">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جیسی کوئی چیز نہیں۔ اور وہ دیکھتا سنتا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الشوریٰ (42)، آیت 11۔</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اللہ کی بےمثالی کے ساتھ سمع و بصر کا اثبات ہے۔ بعض توضیحی اصطلاحات میں کلامی مکاتب کا اختلاف ہے؛ یہاں کسی مکتب کی خاص کیفیت شامل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06">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07">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4" w:name="ref_059"/>
            <w:pPr>
              <w:keepNext/>
              <w:widowControl/>
              <w:spacing w:after="20" w:before="0" w:lineRule="atLeast" w:line="250"/>
              <w:jc w:val="start"/>
              <w:bidi w:val="0"/>
            </w:pPr>
            <w:r>
              <w:rPr>
                <w:rFonts w:ascii="Calibri" w:hAnsi="Calibri" w:cs="Calibri" w:eastAsia="Calibri"/>
                <w:b/>
                <w:color w:val="21313F"/>
                <w:sz w:val="20"/>
                <w:szCs w:val="20"/>
                <w:lang w:val="en-GB" w:bidi="ar-SA"/>
              </w:rPr>
              <w:t>Reference 059  |  God, angels, scriptures and messengers</w:t>
            </w:r>
            <w:bookmarkEnd w:id="6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059  |  اللہ، فرشتوں، کتابوں اور رسولوں پر ایمان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كُلٌّ آمَنَ بِاللَّهِ وَمَلَائِكَتِهِ وَكُتُبِهِ وَرُسُلِهِ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“Each one believeth in Allah and His angels and His scriptures and His messengers”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285.</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compact list of four interconnected objects of faith. The continuation links belief with hearing, obedience and seeking forgiveness.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08">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09">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«سب خدا پر اور اس کے فرشتوں پر اور اس کی کتابوں پر اور اس کے پیغمبروں پر ایمان رکھتے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285۔</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ایمان کے چار باہم متعلق ارکان کی جامع فہرست ہے۔ آگے ایمان کے ساتھ سننا، اطاعت اور مغفرت طلب کرنا مذکور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08">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09">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5" w:name="ref_060"/>
            <w:pPr>
              <w:keepNext/>
              <w:widowControl/>
              <w:spacing w:after="20" w:before="0" w:lineRule="atLeast" w:line="250"/>
              <w:jc w:val="start"/>
              <w:bidi w:val="0"/>
            </w:pPr>
            <w:r>
              <w:rPr>
                <w:rFonts w:ascii="Calibri" w:hAnsi="Calibri" w:cs="Calibri" w:eastAsia="Calibri"/>
                <w:b/>
                <w:color w:val="21313F"/>
                <w:sz w:val="20"/>
                <w:szCs w:val="20"/>
                <w:lang w:val="en-GB" w:bidi="ar-SA"/>
              </w:rPr>
              <w:t>Reference 060  |  Consequences of denying foundational beliefs</w:t>
            </w:r>
            <w:bookmarkEnd w:id="6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060  |  بنیادی عقائد کے انکار کا نتیجہ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فَقَدْ ضَلَّ ضَلَالًا بَعِيدًا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“he verily hath wandered far astray.”</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Al-Nisa (4), ayah 136.</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condition is denial of Allah, His angels, scriptures, messengers or the Last Day. The earlier address also commands fidelity to revelation, including earlier scripture.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10">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11">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«وہ رستے سے بھٹک کر دور جا پڑا»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النساء (4)، آیت 136۔</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شرط اللہ، فرشتوں، کتابوں، رسولوں یا آخرت کا انکار ہے۔ ابتدائی خطاب میں سابقہ کتابوں سمیت وحی پر ایمان کی تاکید بھی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10">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11">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6" w:name="ref_061"/>
            <w:pPr>
              <w:keepNext/>
              <w:widowControl/>
              <w:spacing w:after="20" w:before="0" w:lineRule="atLeast" w:line="250"/>
              <w:jc w:val="start"/>
              <w:bidi w:val="0"/>
            </w:pPr>
            <w:r>
              <w:rPr>
                <w:rFonts w:ascii="Calibri" w:hAnsi="Calibri" w:cs="Calibri" w:eastAsia="Calibri"/>
                <w:b/>
                <w:color w:val="21313F"/>
                <w:sz w:val="20"/>
                <w:szCs w:val="20"/>
                <w:lang w:val="en-GB" w:bidi="ar-SA"/>
              </w:rPr>
              <w:t>Reference 061  |  Muhammad as the Seal of the Prophets</w:t>
            </w:r>
            <w:bookmarkEnd w:id="6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061  |  محمد ﷺ خاتم النبیین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وَلَٰكِن رَّسُولَ اللَّهِ وَخَاتَمَ النَّبِيِّينَ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“but he is the messenger of Allah and the Seal of the Prophets;”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Al-Ahzab (33), ayah 40.</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foundational passage for the doctrine of finality of prophethood; its immediate setting also concerns the Prophet’s relation to adult men in the community.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12">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13">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«بلکہ خدا کے پیغمبر اور نبیوں (کی نبوت) کی مہر (یعنی اس کو ختم کردینے والے)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الاحزاب (33)، آیت 40۔</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ختمِ نبوت کے عقیدے کا بنیادی حوالہ ہے؛ قریبی سیاق میں جماعت کے بالغ مردوں کے ساتھ نبی ﷺ کی نسبت کا ذکر بھی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12">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13">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7" w:name="ref_062"/>
            <w:pPr>
              <w:keepNext/>
              <w:widowControl/>
              <w:spacing w:after="20" w:before="0" w:lineRule="atLeast" w:line="250"/>
              <w:jc w:val="start"/>
              <w:bidi w:val="0"/>
            </w:pPr>
            <w:r>
              <w:rPr>
                <w:rFonts w:ascii="Calibri" w:hAnsi="Calibri" w:cs="Calibri" w:eastAsia="Calibri"/>
                <w:b/>
                <w:color w:val="21313F"/>
                <w:sz w:val="20"/>
                <w:szCs w:val="20"/>
                <w:lang w:val="en-GB" w:bidi="ar-SA"/>
              </w:rPr>
              <w:t>Reference 062  |  The moral weight of small actions</w:t>
            </w:r>
            <w:bookmarkEnd w:id="6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062  |  چھوٹے اعمال کی اخلاقی اہمیت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فَمَن يَعْمَلْ مِثْقَالَ ذَرَّةٍ خَيْرًا يَرَهُ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whoso doeth good an atom's weight will see it then,”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Al-Zalzalah (99), ayah 7.</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Connects accountability in the Hereafter with the smallest good deed; an argument for taking apparently minor conduct seriously.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14">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15">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«تو جس نے ذرہ بھر نیکی کی ہو گی وہ اس کو دیکھ لے گا»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الزلزال (99)، آیت 7۔</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آخرت کی جواب دہی کو معمولی نیکی سے بھی جوڑتی ہے؛ بظاہر چھوٹے اخلاقی عمل کو اہم سمجھنے کی دلیل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14">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15">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8" w:name="ref_063"/>
            <w:pPr>
              <w:keepNext/>
              <w:widowControl/>
              <w:spacing w:after="20" w:before="0" w:lineRule="atLeast" w:line="250"/>
              <w:jc w:val="start"/>
              <w:bidi w:val="0"/>
            </w:pPr>
            <w:r>
              <w:rPr>
                <w:rFonts w:ascii="Calibri" w:hAnsi="Calibri" w:cs="Calibri" w:eastAsia="Calibri"/>
                <w:b/>
                <w:color w:val="21313F"/>
                <w:sz w:val="20"/>
                <w:szCs w:val="20"/>
                <w:lang w:val="en-GB" w:bidi="ar-SA"/>
              </w:rPr>
              <w:t>Reference 063  |  Divine knowledge and the record of affliction</w:t>
            </w:r>
            <w:bookmarkEnd w:id="6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063  |  علمِ الٰہی اور مصیبت کا نوشتہ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إِلَّا فِي كِتَابٍ مِّن قَبْلِ أَن نَّبْرَأَهَا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“but it is in a Book before we bring it into being”</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Al-Hadid (57), ayah 22.</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subject is affliction on earth or in oneself. The passage grounds belief in divine prior knowledge; it does not cancel human responsibility or preventive action.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16">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17">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«مگر پیشتر اس کے کہ ہم اس کو پیدا کریں ایک کتاب میں (لکھی ہوئی)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الحدید (57)، آیت 22۔</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مراد زمین یا انسان کی ذات پر آنے والی مصیبت ہے۔ عبارت سابق علمِ الٰہی کی بنیاد فراہم کرتی ہے؛ انسانی ذمہ داری یا حفاظتی تدبیر منسوخ نہیں کرتی۔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16">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17">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69" w:name="ref_064"/>
            <w:pPr>
              <w:keepNext/>
              <w:widowControl/>
              <w:spacing w:after="20" w:before="0" w:lineRule="atLeast" w:line="250"/>
              <w:jc w:val="start"/>
              <w:bidi w:val="0"/>
            </w:pPr>
            <w:r>
              <w:rPr>
                <w:rFonts w:ascii="Calibri" w:hAnsi="Calibri" w:cs="Calibri" w:eastAsia="Calibri"/>
                <w:b/>
                <w:color w:val="21313F"/>
                <w:sz w:val="20"/>
                <w:szCs w:val="20"/>
                <w:lang w:val="en-GB" w:bidi="ar-SA"/>
              </w:rPr>
              <w:t>Reference 064  |  Collective change and human agency</w:t>
            </w:r>
            <w:bookmarkEnd w:id="6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064  |  اجتماعی تبدیلی اور انسانی کردار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 اللَّهَ لَا يُغَيِّرُ مَا بِقَوْمٍ حَتَّىٰ يُغَيِّرُوا مَا بِأَنفُسِهِمْ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“Lo! Allah changeth not the condition of a folk until they (first) change that which is in their hearts;”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Al-Rad (13), ayah 11.</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Read alongside divine decree, this text prevents a purely passive account of human conduct. The translators’ differing renderings of the condition should be retained, not silently harmonised.</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18">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19">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«خدا اس (نعمت) کو جو کسی قوم کو (حاصل) ہے نہیں بدلتا جب تک کہ وہ اپنی حالت کو نہ بدلے۔»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الرعد (13)، آیت 11۔</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تقدیر کے ساتھ پڑھنے سے یہ حوالہ انسانی عمل کی محض بےعمل تعبیر سے روکتا ہے۔ حالت کے بارے میں مترجمین کے مختلف الفاظ برقرار رکھے جائیں، خاموشی سے یکساں نہ کیے جائیں۔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18">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19">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0" w:name="ref_065"/>
            <w:pPr>
              <w:keepNext/>
              <w:widowControl/>
              <w:spacing w:after="20" w:before="0" w:lineRule="atLeast" w:line="250"/>
              <w:jc w:val="start"/>
              <w:bidi w:val="0"/>
            </w:pPr>
            <w:r>
              <w:rPr>
                <w:rFonts w:ascii="Calibri" w:hAnsi="Calibri" w:cs="Calibri" w:eastAsia="Calibri"/>
                <w:b/>
                <w:color w:val="21313F"/>
                <w:sz w:val="20"/>
                <w:szCs w:val="20"/>
                <w:lang w:val="en-GB" w:bidi="ar-SA"/>
              </w:rPr>
              <w:t>Reference 065  |  Revelation, growing faith and reliance</w:t>
            </w:r>
            <w:bookmarkEnd w:id="7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065  |  وحی، افزائشِ ایمان اور توکل</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وَإِذَا تُلِيَتْ عَلَيْهِمْ آيَاتُهُ زَادَتْهُمْ إِيمَانًا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when His revelations are recited unto them they increase their faith,”</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Al-Anfal (8), ayah 2.</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Describes responsiveness to revelation rather than belief as an inert label. The verse also associates this response with awe and reliance on God.</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20">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21">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جب انہیں اس کی آیتیں پڑھ کر سنائی جاتی ہیں تو ان کا ایمان اور بڑھ جاتا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الانفال (8)، آیت 2۔</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ایمان کو غیر متحرک شناخت کے بجائے وحی سے متاثر ہونے والی کیفیت کے طور پر بیان کرتی ہے۔ آیت خشیت اور توکل بھی ساتھ ذکر کرتی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20">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21">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1" w:name="ref_066"/>
            <w:pPr>
              <w:keepNext/>
              <w:widowControl/>
              <w:spacing w:after="20" w:before="0" w:lineRule="atLeast" w:line="250"/>
              <w:jc w:val="start"/>
              <w:bidi w:val="0"/>
            </w:pPr>
            <w:r>
              <w:rPr>
                <w:rFonts w:ascii="Calibri" w:hAnsi="Calibri" w:cs="Calibri" w:eastAsia="Calibri"/>
                <w:b/>
                <w:color w:val="21313F"/>
                <w:sz w:val="20"/>
                <w:szCs w:val="20"/>
                <w:lang w:val="en-GB" w:bidi="ar-SA"/>
              </w:rPr>
              <w:t>Reference 066  |  Faith as love and moral allegiance</w:t>
            </w:r>
            <w:bookmarkEnd w:id="7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066  |  ایمان بطور محبت اور اخلاقی وابستگی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أَنْ يَكُونَ اللَّهُ وَرَسُولُهُ أَحَبَّ إِلَيْهِ مِمَّا سِوَاهُمَا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 one to whom Allah and His Apostle becomes dearer than anything else.”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Belief, hadith 16; numbering: Sunnah.com. Narrator: Anas ibn Malik.</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One of three qualities linked with the sweetness of faith; the others concern loving for Allah and aversion to return to disbelief.</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22">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23">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«اول یہ کہ اللہ اور اس کا رسول اس کے نزدیک سب سے زیادہ محبوب بن جائیں،»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الایمان، حدیث 16؛ ترقیم: سنہ ڈاٹ کام۔ راوی: انس بن مالک۔</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حلاوتِ ایمان سے متعلق تین اوصاف میں سے ایک ہے؛ باقی اللہ کے لیے محبت اور کفر کی طرف لوٹنے سے نفرت کے بارے میں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22">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23">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2" w:name="ref_067"/>
            <w:pPr>
              <w:keepNext/>
              <w:widowControl/>
              <w:spacing w:after="20" w:before="0" w:lineRule="atLeast" w:line="250"/>
              <w:jc w:val="start"/>
              <w:bidi w:val="0"/>
            </w:pPr>
            <w:r>
              <w:rPr>
                <w:rFonts w:ascii="Calibri" w:hAnsi="Calibri" w:cs="Calibri" w:eastAsia="Calibri"/>
                <w:b/>
                <w:color w:val="21313F"/>
                <w:sz w:val="20"/>
                <w:szCs w:val="20"/>
                <w:lang w:val="en-GB" w:bidi="ar-SA"/>
              </w:rPr>
              <w:t>Reference 067  |  Belief in the Last Day and social restraint</w:t>
            </w:r>
            <w:bookmarkEnd w:id="7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067  |  آخرت پر ایمان اور معاشرتی ضبط</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مَنْ كَانَ يُؤْمِنُ بِاللَّهِ وَالْيَوْمِ الآخِرِ فَلاَ يُؤْذِ جَارَهُ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“Anybody who believes in Allah and the Last Day should not harm his neighbor,”</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Good Manners, hadith 6018;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same report adds hospitality and good speech or silence. It explicitly connects creed with observable treatment of others.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24">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25">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«جو کوئی اللہ اور آخرت کے دن پر ایمان رکھتا ہو وہ اپنے پڑوسی کو تکلیف نہ پہنچائے»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الادب، حدیث 6018؛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اسی روایت میں مہمان نوازی اور اچھی بات یا خاموشی بھی ہیں۔ عقیدے کو دوسروں کے ساتھ قابلِ مشاہدہ برتاؤ سے براہِ راست جوڑا گیا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24">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25">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3" w:name="ref_068"/>
            <w:pPr>
              <w:keepNext/>
              <w:widowControl/>
              <w:spacing w:after="20" w:before="0" w:lineRule="atLeast" w:line="250"/>
              <w:jc w:val="start"/>
              <w:bidi w:val="0"/>
            </w:pPr>
            <w:r>
              <w:rPr>
                <w:rFonts w:ascii="Calibri" w:hAnsi="Calibri" w:cs="Calibri" w:eastAsia="Calibri"/>
                <w:b/>
                <w:color w:val="21313F"/>
                <w:sz w:val="20"/>
                <w:szCs w:val="20"/>
                <w:lang w:val="en-GB" w:bidi="ar-SA"/>
              </w:rPr>
              <w:t>Reference 068  |  Faith expressed through public benefit</w:t>
            </w:r>
            <w:bookmarkEnd w:id="7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068  |  ایمان کا نفعِ عام میں اظہار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وَأَدْنَاهَا إِمَاطَةُ الأَذَى عَنِ الطَّرِيقِ</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the humblest of which is the, removal of what is injurious from the path:”</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Muslim, Faith, hadith 35b;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places testimony of divine unity, removing harm and modesty among faith’s branches. The variant “over seventy or over sixty” is preserved rather than forced into one exact number.</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Muslim;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26">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27">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سب سے کم راستے سے کسی تکلیف دہ چیز کو ہٹانا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مسلم، کتاب الایمان، حدیث 35b؛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ترجمہ شدہ احادیث نبویہ کا انسائیکلوپیڈیا (حدیث اِنک)، متعلقہ اردو حدیث کا متن یا عنوان؛ فردِ مترجم کی نسبت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توحید کی شہادت، اذیت دور کرنے اور حیا کو ایمان کے شعبوں میں رکھتی ہے۔ ستر سے زائد یا ساٹھ سے زائد کی روایت محفوظ رکھی گئی ہے، ایک قطعی عدد نہیں بنایا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مسلم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26">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27">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4" w:name="ref_069"/>
            <w:pPr>
              <w:keepNext/>
              <w:widowControl/>
              <w:spacing w:after="20" w:before="0" w:lineRule="atLeast" w:line="250"/>
              <w:jc w:val="start"/>
              <w:bidi w:val="0"/>
            </w:pPr>
            <w:r>
              <w:rPr>
                <w:rFonts w:ascii="Calibri" w:hAnsi="Calibri" w:cs="Calibri" w:eastAsia="Calibri"/>
                <w:b/>
                <w:color w:val="21313F"/>
                <w:sz w:val="20"/>
                <w:szCs w:val="20"/>
                <w:lang w:val="en-GB" w:bidi="ar-SA"/>
              </w:rPr>
              <w:t>Reference 069  |  Divine decree without abandonment of effort</w:t>
            </w:r>
            <w:bookmarkEnd w:id="7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069  |  ترکِ کوشش کے بغیر ایمان بالقدر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وَفِي كُلٍّ خَيْرٌ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there is good in everyone,”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Muslim, Destiny, hadith 2664;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contrasts stronger and weaker believers while affirming good in both; it then commands pursuit of benefit and divine help before acceptance of what occurs. Qadar is not presented as inactivity.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Muslim;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28">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29">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«تاہم خیر تو دونوں ہی میں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مسلم، کتاب القدر، حدیث 2664؛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ترجمہ شدہ احادیث نبویہ کا انسائیکلوپیڈیا (حدیث اِنک)، متعلقہ اردو حدیث کا متن یا عنوان؛ فردِ مترجم کی نسبت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قوی اور کمزور مومن کا تقابل کرتے ہوئے دونوں میں خیر مانتی ہے؛ پھر مفید کوشش اور مددِ الٰہی طلب کرنے کے ساتھ واقع شدہ تقدیر قبول کرنے کی تعلیم دیتی ہے۔ تقدیر بے عملی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مسلم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28">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29">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5" w:name="ref_070"/>
            <w:pPr>
              <w:keepNext/>
              <w:widowControl/>
              <w:spacing w:after="20" w:before="0" w:lineRule="atLeast" w:line="250"/>
              <w:jc w:val="start"/>
              <w:bidi w:val="0"/>
            </w:pPr>
            <w:r>
              <w:rPr>
                <w:rFonts w:ascii="Calibri" w:hAnsi="Calibri" w:cs="Calibri" w:eastAsia="Calibri"/>
                <w:b/>
                <w:color w:val="21313F"/>
                <w:sz w:val="20"/>
                <w:szCs w:val="20"/>
                <w:lang w:val="en-GB" w:bidi="ar-SA"/>
              </w:rPr>
              <w:t>Reference 070  |  Gratitude and patience across circumstances</w:t>
            </w:r>
            <w:bookmarkEnd w:id="7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070  |  مختلف حالات میں شکر اور صبر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 أَمْرَهُ كُلَّهُ خَيْرٌ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“for there is good in every affair of his”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Muslim, Asceticism and Softening of Hearts, hadith 2999; numbering: Sunnah.com. Narrator: Suhayb.</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explains its claim through gratitude in prosperity and patience in adversity. It describes a faithful response, not an assertion that every painful event is pleasant.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Muslim;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30">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31">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کے ہر کام میں اس کے لیے خیر ہی خیر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مسلم، کتاب الزہد والرقائق، حدیث 2999؛ ترقیم: سنہ ڈاٹ کام۔ راوی: صہیب۔</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ترجمہ شدہ احادیث نبویہ کا انسائیکلوپیڈیا (حدیث اِنک)، متعلقہ اردو حدیث کا متن یا عنوان؛ فردِ مترجم کی نسبت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خوش حالی میں شکر اور مصیبت میں صبر کے ذریعے اپنا مفہوم واضح کرتی ہے۔ یہ ایمانی ردعمل کا بیان ہے، ہر تکلیف دہ واقعے کو خوش گوار کہنے کا دعویٰ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مسلم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30">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31">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6" w:name="ref_071"/>
            <w:pPr>
              <w:keepNext/>
              <w:widowControl/>
              <w:spacing w:after="20" w:before="0" w:lineRule="atLeast" w:line="250"/>
              <w:jc w:val="start"/>
              <w:bidi w:val="0"/>
            </w:pPr>
            <w:r>
              <w:rPr>
                <w:rFonts w:ascii="Calibri" w:hAnsi="Calibri" w:cs="Calibri" w:eastAsia="Calibri"/>
                <w:b/>
                <w:color w:val="21313F"/>
                <w:sz w:val="20"/>
                <w:szCs w:val="20"/>
                <w:lang w:val="en-GB" w:bidi="ar-SA"/>
              </w:rPr>
              <w:t>Reference 071  |  Hearts and deeds rather than appearance</w:t>
            </w:r>
            <w:bookmarkEnd w:id="7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071  |  ظاہری صورت کے بجائے دل اور اعمال</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وَلَكِنْ يَنْظُرُ إِلَى قُلُوبِكُمْ وَأَعْمَالِكُمْ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“but He looks to your heart and to your deeds.”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Muslim, Virtue and Maintaining Kinship, hadith 2564c;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opening contrasts appearance and wealth with hearts and deeds. The passage does not make outward conduct irrelevant, because deeds are expressly included.</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Muslim;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32">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33">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«بلکہ وہ تمھارے دلوں اور اعمال کو دیکھتا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مسلم، کتاب البر والصلۃ والآداب، حدیث 2564c؛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ترجمہ شدہ احادیث نبویہ کا انسائیکلوپیڈیا (حدیث اِنک)، متعلقہ اردو حدیث کا متن یا عنوان؛ فردِ مترجم کی نسبت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ابتدا میں صورت اور مال کا تقابل دل اور عمل سے ہے۔ ظاہر کا عمل غیر متعلق نہیں قرار پاتا، کیونکہ اعمال صراحت سے شامل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مسلم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32">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33">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7" w:name="ref_072"/>
            <w:pPr>
              <w:keepNext/>
              <w:widowControl/>
              <w:spacing w:after="20" w:before="0" w:lineRule="atLeast" w:line="250"/>
              <w:jc w:val="start"/>
              <w:bidi w:val="0"/>
            </w:pPr>
            <w:r>
              <w:rPr>
                <w:rFonts w:ascii="Calibri" w:hAnsi="Calibri" w:cs="Calibri" w:eastAsia="Calibri"/>
                <w:b/>
                <w:color w:val="21313F"/>
                <w:sz w:val="20"/>
                <w:szCs w:val="20"/>
                <w:lang w:val="en-GB" w:bidi="ar-SA"/>
              </w:rPr>
              <w:t>Reference 072  |  Change, moral responsibility and report criticism</w:t>
            </w:r>
            <w:bookmarkEnd w:id="7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072  |  تبدیلی، اخلاقی ذمہ داری اور نقدِ روایت</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connects the change of a community’s condition with a change in obedience and conduct through transmitted explanations. He explicitly calls one raised report unusual and states that its chain contains a person unknown to him.</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13:11.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interpretive connection is usable; the flagged report is not added to the authenticated Hadith count.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34">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منقول توضیحات کے ذریعے قوم کی حالت کی تبدیلی کو اطاعت اور طرزِ عمل کی تبدیلی سے متعلق کرتے ہیں۔ ایک مرفوع روایت کو وہ غریب کہتے اور اس کی سند میں اپنے لیے نامعلوم راوی کی نشاندہی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13:11۔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تفسیری ربط قابلِ استعمال ہے؛ مذکورہ معلول روایت کو صحیح احادیث کی تعداد میں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34">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8" w:name="ref_073"/>
            <w:pPr>
              <w:keepNext/>
              <w:widowControl/>
              <w:spacing w:after="20" w:before="0" w:lineRule="atLeast" w:line="250"/>
              <w:jc w:val="start"/>
              <w:bidi w:val="0"/>
            </w:pPr>
            <w:r>
              <w:rPr>
                <w:rFonts w:ascii="Calibri" w:hAnsi="Calibri" w:cs="Calibri" w:eastAsia="Calibri"/>
                <w:b/>
                <w:color w:val="21313F"/>
                <w:sz w:val="20"/>
                <w:szCs w:val="20"/>
                <w:lang w:val="en-GB" w:bidi="ar-SA"/>
              </w:rPr>
              <w:t>Reference 073  |  Divine attributes without resemblance to creation</w:t>
            </w:r>
            <w:bookmarkEnd w:id="7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073  |  مخلوق سے مماثلت کے بغیر صفاتِ الٰہی</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Al-Qurtubi argues that shared words used for God and creatures do not imply identity in the reality of their attributes. His exposition maintains divine transcendence while affirming the revealed names and attributes.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Al-Qurtubi, Al-Jami li-ahkam al-Quran; commentary on 42:11.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An attributed theological interpretation; it should not erase differences of method among Muslim theological schools.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35">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قرطبی استدلال کرتے ہیں کہ اللہ اور مخلوق کے لیے مشترک الفاظ کا استعمال صفات کی حقیقت میں یکسانیت لازم نہیں کرتا۔ ان کی توضیح اسماء و صفات کے اثبات کے ساتھ تنزیہِ الٰہی برقرار رکھتی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قرطبی، الجامع لأحکام القرآن؛ تفسیرِ آیت 42:11۔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منسوب اعتقادی تعبیر ہے؛ مسلم مکاتبِ کلام کے منہجی اختلافات کو اس سے مٹایا نہ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35">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79" w:name="ref_074"/>
            <w:pPr>
              <w:keepNext/>
              <w:widowControl/>
              <w:spacing w:after="20" w:before="0" w:lineRule="atLeast" w:line="250"/>
              <w:jc w:val="start"/>
              <w:bidi w:val="0"/>
            </w:pPr>
            <w:r>
              <w:rPr>
                <w:rFonts w:ascii="Calibri" w:hAnsi="Calibri" w:cs="Calibri" w:eastAsia="Calibri"/>
                <w:b/>
                <w:color w:val="21313F"/>
                <w:sz w:val="20"/>
                <w:szCs w:val="20"/>
                <w:lang w:val="en-GB" w:bidi="ar-SA"/>
              </w:rPr>
              <w:t>Reference 074  |  Belief, obedience, forgiveness and return</w:t>
            </w:r>
            <w:bookmarkEnd w:id="7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074  |  ایمان، اطاعت، مغفرت اور بازگشت</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Al-Sadi links belief in God, angels, scriptures and messengers with hearing and obeying. He explains the request for forgiveness through human shortcoming and the return to God through recompense for deeds.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Abd al-Rahman al-Sadi, Taysir al-Karim al-Rahman; commentary on 2:285.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Connects the articles of faith to humility and accountability rather than treating them as an isolated list.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36">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سعدی اللہ، فرشتوں، کتابوں اور رسولوں پر ایمان کو سننے اور اطاعت کرنے سے جوڑتے ہیں۔ درخواستِ مغفرت کو انسانی کوتاہی اور اللہ کی طرف واپسی کو اعمال کی جزا سے متعلق سمجھتے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عبد الرحمن سعدی، تیسیر الکریم الرحمن؛ تفسیرِ آیت 2:285۔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ارکانِ ایمان کو الگ تھلگ فہرست کے بجائے عاجزی اور جواب دہی سے متعلق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36">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0" w:name="ref_075"/>
            <w:pPr>
              <w:keepNext/>
              <w:widowControl/>
              <w:spacing w:after="20" w:before="0" w:lineRule="atLeast" w:line="250"/>
              <w:jc w:val="start"/>
              <w:bidi w:val="0"/>
            </w:pPr>
            <w:r>
              <w:rPr>
                <w:rFonts w:ascii="Calibri" w:hAnsi="Calibri" w:cs="Calibri" w:eastAsia="Calibri"/>
                <w:b/>
                <w:color w:val="21313F"/>
                <w:sz w:val="20"/>
                <w:szCs w:val="20"/>
                <w:lang w:val="en-GB" w:bidi="ar-SA"/>
              </w:rPr>
              <w:t>Reference 075  |  Decree as a framework for understanding events</w:t>
            </w:r>
            <w:bookmarkEnd w:id="8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075  |  تقدیر بطور فہمِ واقعات کی بنیاد</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Al-Sadi reads the verse as teaching the comprehensiveness of divine decree and the prior recording of events. God makes this known so people can interpret what befalls them within that belief.</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Abd al-Rahman al-Sadi, Taysir al-Karim al-Rahman; commentary on 57:22.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This passage establishes the belief’s interpretive function; it does not itself instruct people to abandon effort.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37">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سعدی آیت کو قضا و قدر کی جامعیت اور واقعات کے پہلے سے لکھے ہونے کا بیان سمجھتے ہیں۔ اللہ یہ حقیقت اس لیے بتاتا ہے کہ لوگ پیش آنے والے حالات کو اس اعتقاد کی روشنی میں سمجھیں۔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عبد الرحمن سعدی، تیسیر الکریم الرحمن؛ تفسیرِ آیت 57:22۔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مقام عقیدے کی فکری کارکردگی واضح کرتا ہے؛ اس میں کوشش ترک کرنے کا حکم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37">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1" w:name="ref_076"/>
            <w:pPr>
              <w:keepNext/>
              <w:widowControl/>
              <w:spacing w:after="20" w:before="0" w:lineRule="atLeast" w:line="250"/>
              <w:jc w:val="start"/>
              <w:bidi w:val="0"/>
            </w:pPr>
            <w:r>
              <w:rPr>
                <w:rFonts w:ascii="Calibri" w:hAnsi="Calibri" w:cs="Calibri" w:eastAsia="Calibri"/>
                <w:b/>
                <w:color w:val="21313F"/>
                <w:sz w:val="20"/>
                <w:szCs w:val="20"/>
                <w:lang w:val="en-GB" w:bidi="ar-SA"/>
              </w:rPr>
              <w:t>Reference 076  |  Human agency and disciplined freedom</w:t>
            </w:r>
            <w:bookmarkEnd w:id="8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076  |  انسانی اختیار اور تربیت یافتہ آزادی</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Iqbal defends the ego’s capacity for directed, responsible action against a purely mechanical account of consciousness. He relates regular prayer to the renewal of self-possession amid habit and daily business.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Muhammad Iqbal, The Reconstruction of Religious Thought in Islam, Lecture IV, “The Human Ego—His Freedom and Immortality”; discussion of ego-activity, freedom and daily prayer. International Iqbal Society digital transcription.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His philosophical treatment of agency is not a claim that all Muslim theological schools formulate free will identically.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38">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اقبال شعور کی محض میکانکی توضیح کے مقابل خودی کی باارادہ اور ذمہ دار عمل کی صلاحیت کا دفاع کرتے ہیں۔ وہ باقاعدہ نماز کو عادت اور روزمرہ مصروفیت کے درمیان خود آگہی کی تجدید سے متعلق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محمد اقبال، تشکیلِ جدید الٰہیاتِ اسلامیہ (The Reconstruction of Religious Thought in Islam)، خطبہ IV، «انسانی خودی: آزادی اور بقا»؛ فعالیتِ خودی، آزادی اور روزانہ نماز کی بحث۔ انٹرنیشنل اقبال سوسائٹی کا برقی متن۔</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اختیار کی یہ فلسفیانہ تعبیر اس دعوے کے برابر نہیں کہ تمام مسلم مکاتب اختیار کی یکساں توضیح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38">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2" w:name="topic_6"/>
            <w:pPr>
              <w:keepNext/>
              <w:widowControl/>
              <w:spacing w:after="20" w:before="0" w:lineRule="atLeast" w:line="250"/>
              <w:jc w:val="start"/>
              <w:bidi w:val="0"/>
            </w:pPr>
            <w:r>
              <w:rPr>
                <w:rFonts w:ascii="Calibri" w:hAnsi="Calibri" w:cs="Calibri" w:eastAsia="Calibri"/>
                <w:b/>
                <w:color w:val="21313F"/>
                <w:sz w:val="24"/>
                <w:szCs w:val="25"/>
                <w:lang w:val="en-GB" w:bidi="ar-SA"/>
              </w:rPr>
              <w:t>06  Fundamentals of Islam: pillars, intention and responsibility</w:t>
            </w:r>
            <w:bookmarkEnd w:id="8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06  اسلام کے بنیادی ارکان: نیت اور ذمہ داری</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077–085</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077–085</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3" w:name="ref_077"/>
            <w:pPr>
              <w:keepNext/>
              <w:widowControl/>
              <w:spacing w:after="20" w:before="0" w:lineRule="atLeast" w:line="250"/>
              <w:jc w:val="start"/>
              <w:bidi w:val="0"/>
            </w:pPr>
            <w:r>
              <w:rPr>
                <w:rFonts w:ascii="Calibri" w:hAnsi="Calibri" w:cs="Calibri" w:eastAsia="Calibri"/>
                <w:b/>
                <w:color w:val="21313F"/>
                <w:sz w:val="20"/>
                <w:szCs w:val="20"/>
                <w:lang w:val="en-GB" w:bidi="ar-SA"/>
              </w:rPr>
              <w:t>Reference 077  |  Righteousness beyond ritual direction alone</w:t>
            </w:r>
            <w:bookmarkEnd w:id="8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077  |  نیکی محض ظاہری رخ کا نام نہیں</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لَّيْسَ الْبِرَّ أَن تُوَلُّوا وُجُوهَكُمْ قِبَلَ الْمَشْرِقِ وَالْمَغْرِبِ</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“It is not righteousness that ye turn your faces to the East and the West;”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177.</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full passage joins belief, giving, prayer, zakat, fidelity and endurance. It criticises reduction to outward direction, not prayer itself.</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3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4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«نیکی یہی نہیں کہ تم مشرق یا مغرب کو (قبلہ سمجھ کر ان) کی طرف منہ کرلو»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177۔</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پوری آیت ایمان، انفاق، نماز، زکوٰۃ، عہد کی پاس داری اور صبر کو جمع کرتی ہے۔ تنقید نیکی کو ظاہری رخ تک محدود کرنے پر ہے، خود نماز پر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3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4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4" w:name="ref_078"/>
            <w:pPr>
              <w:keepNext/>
              <w:widowControl/>
              <w:spacing w:after="20" w:before="0" w:lineRule="atLeast" w:line="250"/>
              <w:jc w:val="start"/>
              <w:bidi w:val="0"/>
            </w:pPr>
            <w:r>
              <w:rPr>
                <w:rFonts w:ascii="Calibri" w:hAnsi="Calibri" w:cs="Calibri" w:eastAsia="Calibri"/>
                <w:b/>
                <w:color w:val="21313F"/>
                <w:sz w:val="20"/>
                <w:szCs w:val="20"/>
                <w:lang w:val="en-GB" w:bidi="ar-SA"/>
              </w:rPr>
              <w:t>Reference 078  |  The five pillars</w:t>
            </w:r>
            <w:bookmarkEnd w:id="8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078  |  اسلام کے پانچ ارکان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بُنِيَ الإِسْلاَمُ عَلَى خَمْسٍ</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“Islam is based on (the following) five (principles):”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Belief, hadith 8; numbering: Sunnah.com. Narrator: Abdullah ibn Umar. Parallel: Sahih Muslim, Faith, 16c (Sunnah.com numbering); related wording, not a second reference.</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continuation enumerates testimony, prayer, zakat, Hajj and Ramadan fasting. The opening metaphor identifies foundations, not an exhaustive catalogue of every ethical duty.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Corresponding report in both Sahih collections inspected; the reproduced wording remains that of al-Bukhari.</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41">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42">
              <w:r>
                <w:rPr>
                  <w:color w:val="245C7C"/>
                  <w:u w:val="single"/>
                  <w:rFonts w:ascii="Calibri" w:hAnsi="Calibri" w:cs="Calibri"/>
                  <w:sz w:val="18"/>
                  <w:szCs w:val="18"/>
                </w:rPr>
                <w:t>Urdu</w:t>
              </w:r>
            </w:hyperlink>
            <w:r>
              <w:rPr>
                <w:rFonts w:ascii="Calibri" w:hAnsi="Calibri" w:cs="Calibri" w:eastAsia="Calibri"/>
                <w:b w:val="0"/>
                <w:color w:val="21313F"/>
                <w:sz w:val="18"/>
                <w:szCs w:val="18"/>
                <w:lang w:val="en-GB" w:bidi="ar-SA"/>
              </w:rPr>
              <w:t xml:space="preserve">  ·  </w:t>
            </w:r>
            <w:hyperlink r:id="rId143">
              <w:r>
                <w:rPr>
                  <w:color w:val="245C7C"/>
                  <w:u w:val="single"/>
                  <w:rFonts w:ascii="Calibri" w:hAnsi="Calibri" w:cs="Calibri"/>
                  <w:sz w:val="18"/>
                  <w:szCs w:val="18"/>
                </w:rPr>
                <w:t>Parallel: Muslim 16c</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«اسلام کی بنیاد پانچ چیزوں پر قائم کی گئی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الایمان، حدیث 8؛ ترقیم: سنہ ڈاٹ کام۔ راوی: عبداللہ بن عمر۔ متوازی حوالہ: صحیح مسلم، کتاب الایمان، 16c؛ ترقیم سنہ ڈاٹ کام۔ متعلقہ الفاظ ہیں، الگ شمار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آگے شہادت، نماز، زکوٰۃ، حج اور رمضان کے روزے گنوائے گئے ہیں۔ ابتدائی تمثیل بنیادیں بتاتی ہے، تمام اخلاقی فرائض کی مکمل فہرست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دونوں صحیح مجموعوں میں متعلقہ روایت دیکھی گئی؛ نقل کردہ الفاظ بخاری ہی کے 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41">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42">
              <w:r>
                <w:rPr>
                  <w:color w:val="245C7C"/>
                  <w:u w:val="single"/>
                  <w:rFonts w:ascii="Noto Naskh Arabic" w:hAnsi="Noto Naskh Arabic" w:cs="Noto Naskh Arabic"/>
                  <w:sz w:val="21"/>
                  <w:szCs w:val="21"/>
                  <w:rtl/>
                </w:rPr>
                <w:t>اردو</w:t>
              </w:r>
            </w:hyperlink>
            <w:r>
              <w:rPr>
                <w:rFonts w:ascii="Noto Naskh Arabic" w:hAnsi="Noto Naskh Arabic" w:cs="Noto Naskh Arabic" w:eastAsia="Noto Naskh Arabic"/>
                <w:b w:val="0"/>
                <w:color w:val="21313F"/>
                <w:sz w:val="20"/>
                <w:szCs w:val="20"/>
                <w:lang w:val="ur-PK" w:bidi="ur-PK"/>
                <w:rtl w:val="1"/>
              </w:rPr>
              <w:t xml:space="preserve">  ·  </w:t>
            </w:r>
            <w:hyperlink r:id="rId143">
              <w:r>
                <w:rPr>
                  <w:color w:val="245C7C"/>
                  <w:u w:val="single"/>
                  <w:rFonts w:ascii="Noto Naskh Arabic" w:hAnsi="Noto Naskh Arabic" w:cs="Noto Naskh Arabic"/>
                  <w:sz w:val="21"/>
                  <w:szCs w:val="21"/>
                  <w:rtl/>
                </w:rPr>
                <w:t>متوازی مسلم 16c</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5" w:name="ref_079"/>
            <w:pPr>
              <w:keepNext/>
              <w:widowControl/>
              <w:spacing w:after="20" w:before="0" w:lineRule="atLeast" w:line="250"/>
              <w:jc w:val="start"/>
              <w:bidi w:val="0"/>
            </w:pPr>
            <w:r>
              <w:rPr>
                <w:rFonts w:ascii="Calibri" w:hAnsi="Calibri" w:cs="Calibri" w:eastAsia="Calibri"/>
                <w:b/>
                <w:color w:val="21313F"/>
                <w:sz w:val="20"/>
                <w:szCs w:val="20"/>
                <w:lang w:val="en-GB" w:bidi="ar-SA"/>
              </w:rPr>
              <w:t>Reference 079  |  Intention and the value of action</w:t>
            </w:r>
            <w:bookmarkEnd w:id="8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079  |  نیت اور عمل کی قدر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إِنَّمَا الأَعْمَالُ بِالنِّيَّاتِ</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 reward of deeds depends upon the intentions”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Revelation, hadith 1; numbering: Sunnah.com. Narrator: Umar ibn al-Khattab. Parallel: Sahih Muslim, Government, 1907a (Sunnah.com numbering); related wording, not a second reference.</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full report illustrates the principle through migration for worldly gain or marriage. A pious intention alone is not here declared sufficient to make a prohibited act lawful.</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Corresponding report in both Sahih collections inspected; the reproduced wording remains that of al-Bukhari.</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44">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45">
              <w:r>
                <w:rPr>
                  <w:color w:val="245C7C"/>
                  <w:u w:val="single"/>
                  <w:rFonts w:ascii="Calibri" w:hAnsi="Calibri" w:cs="Calibri"/>
                  <w:sz w:val="18"/>
                  <w:szCs w:val="18"/>
                </w:rPr>
                <w:t>Urdu</w:t>
              </w:r>
            </w:hyperlink>
            <w:r>
              <w:rPr>
                <w:rFonts w:ascii="Calibri" w:hAnsi="Calibri" w:cs="Calibri" w:eastAsia="Calibri"/>
                <w:b w:val="0"/>
                <w:color w:val="21313F"/>
                <w:sz w:val="18"/>
                <w:szCs w:val="18"/>
                <w:lang w:val="en-GB" w:bidi="ar-SA"/>
              </w:rPr>
              <w:t xml:space="preserve">  ·  </w:t>
            </w:r>
            <w:hyperlink r:id="rId146">
              <w:r>
                <w:rPr>
                  <w:color w:val="245C7C"/>
                  <w:u w:val="single"/>
                  <w:rFonts w:ascii="Calibri" w:hAnsi="Calibri" w:cs="Calibri"/>
                  <w:sz w:val="18"/>
                  <w:szCs w:val="18"/>
                </w:rPr>
                <w:t>Parallel: Muslim 1907a</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«تمام اعمال کا دارومدار نیت پر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بدء الوحی، حدیث 1؛ ترقیم: سنہ ڈاٹ کام۔ راوی: عمر بن خطاب۔ متوازی حوالہ: صحیح مسلم، کتاب الامارۃ، 1907a؛ ترقیم سنہ ڈاٹ کام۔ متعلقہ الفاظ ہیں، الگ شمار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پوری روایت دنیاوی مفاد یا نکاح کے لیے ہجرت کی مثال دیتی ہے۔ یہاں صرف اچھی نیت کو ممنوع عمل جائز بنانے کے لیے کافی نہیں کہا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دونوں صحیح مجموعوں میں متعلقہ روایت دیکھی گئی؛ نقل کردہ الفاظ بخاری ہی کے 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44">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45">
              <w:r>
                <w:rPr>
                  <w:color w:val="245C7C"/>
                  <w:u w:val="single"/>
                  <w:rFonts w:ascii="Noto Naskh Arabic" w:hAnsi="Noto Naskh Arabic" w:cs="Noto Naskh Arabic"/>
                  <w:sz w:val="21"/>
                  <w:szCs w:val="21"/>
                  <w:rtl/>
                </w:rPr>
                <w:t>اردو</w:t>
              </w:r>
            </w:hyperlink>
            <w:r>
              <w:rPr>
                <w:rFonts w:ascii="Noto Naskh Arabic" w:hAnsi="Noto Naskh Arabic" w:cs="Noto Naskh Arabic" w:eastAsia="Noto Naskh Arabic"/>
                <w:b w:val="0"/>
                <w:color w:val="21313F"/>
                <w:sz w:val="20"/>
                <w:szCs w:val="20"/>
                <w:lang w:val="ur-PK" w:bidi="ur-PK"/>
                <w:rtl w:val="1"/>
              </w:rPr>
              <w:t xml:space="preserve">  ·  </w:t>
            </w:r>
            <w:hyperlink r:id="rId146">
              <w:r>
                <w:rPr>
                  <w:color w:val="245C7C"/>
                  <w:u w:val="single"/>
                  <w:rFonts w:ascii="Noto Naskh Arabic" w:hAnsi="Noto Naskh Arabic" w:cs="Noto Naskh Arabic"/>
                  <w:sz w:val="21"/>
                  <w:szCs w:val="21"/>
                  <w:rtl/>
                </w:rPr>
                <w:t>متوازی مسلم 1907a</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6" w:name="ref_080"/>
            <w:pPr>
              <w:keepNext/>
              <w:widowControl/>
              <w:spacing w:after="20" w:before="0" w:lineRule="atLeast" w:line="250"/>
              <w:jc w:val="start"/>
              <w:bidi w:val="0"/>
            </w:pPr>
            <w:r>
              <w:rPr>
                <w:rFonts w:ascii="Calibri" w:hAnsi="Calibri" w:cs="Calibri" w:eastAsia="Calibri"/>
                <w:b/>
                <w:color w:val="21313F"/>
                <w:sz w:val="20"/>
                <w:szCs w:val="20"/>
                <w:lang w:val="en-GB" w:bidi="ar-SA"/>
              </w:rPr>
              <w:t>Reference 080  |  Moral caution in doubtful matters</w:t>
            </w:r>
            <w:bookmarkEnd w:id="8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080  |  مشتبہ معاملات میں اخلاقی احتیاط</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فَمَنِ اتَّقَى الْمُشَبَّهَاتِ اسْتَبْرَأَ لِدِيِنِهِ وَعِرْضِهِ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“So whoever saves himself from these suspicious things saves his religion and his honor.”</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Belief, hadith 52; numbering: Sunnah.com. Narrator: al-Numan ibn Bashir.</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distinguishes clear lawful and unlawful matters from disputed or unclear cases, and ends with the heart’s moral centrality. It is not permission to invent prohibitions.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47">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48">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«پھر جو کوئی شبہ کی چیزوں سے بھی بچ گیا اس نے اپنے دین اور عزت کو بچا لیا»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الایمان، حدیث 52؛ ترقیم: سنہ ڈاٹ کام۔ راوی: نعمان بن بشیر۔</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واضح حلال و حرام کو مشتبہ امور سے الگ کرتی اور آخر میں دل کی اخلاقی مرکزیت بتاتی ہے۔ اس سے نئی خودساختہ حرمتیں بنانے کی اجازت نہیں ملتی۔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47">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48">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7" w:name="ref_081"/>
            <w:pPr>
              <w:keepNext/>
              <w:widowControl/>
              <w:spacing w:after="20" w:before="0" w:lineRule="atLeast" w:line="250"/>
              <w:jc w:val="start"/>
              <w:bidi w:val="0"/>
            </w:pPr>
            <w:r>
              <w:rPr>
                <w:rFonts w:ascii="Calibri" w:hAnsi="Calibri" w:cs="Calibri" w:eastAsia="Calibri"/>
                <w:b/>
                <w:color w:val="21313F"/>
                <w:sz w:val="20"/>
                <w:szCs w:val="20"/>
                <w:lang w:val="en-GB" w:bidi="ar-SA"/>
              </w:rPr>
              <w:t>Reference 081  |  Conformity to the revealed religion</w:t>
            </w:r>
            <w:bookmarkEnd w:id="8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081  |  دین کے اصولوں کی پابندی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مَنْ أَحْدَثَ فِي أَمْرِنَا هَذَا مَا لَيْسَ فِيهِ فَهُوَ رَدٌّ</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“If somebody innovates something which is not in harmony with the principles of our religion, that thing is rejected.”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Peacemaking, hadith 2697; numbering: Sunnah.com. Narrator: Aishah.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Provides a criterion for rejecting additions foreign to the religious norm. Which particular practices fall within it is a further juristic question, not settled by a slogan.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Urdu translation not verified.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49">
              <w:r>
                <w:rPr>
                  <w:color w:val="245C7C"/>
                  <w:u w:val="single"/>
                  <w:rFonts w:ascii="Calibri" w:hAnsi="Calibri" w:cs="Calibri"/>
                  <w:sz w:val="18"/>
                  <w:szCs w:val="18"/>
                </w:rPr>
                <w:t>Arabic / 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اندراج کے لیے کسی مطبوعہ اردو ترجمے کے الفاظ کی تصدیق نہیں ہو سکی؛ خودساختہ ترجمہ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الصلح، حدیث 2697؛ ترقیم: سنہ ڈاٹ کام۔ راوی: عائشہ۔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مطبوعہ اردو ترجمہ: غیر مصدقہ / دستیاب اقتباس نقل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دینی معیار سے غیر متعلق اضافے رد کرنے کا اصول ہے۔ کون سا خاص عمل اس کے تحت آتا ہے، یہ مزید فقہی مسئلہ ہے، صرف نعرے سے طے نہیں ہوتا۔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اردو ترجمہ غیر مصدقہ ہے۔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49">
              <w:r>
                <w:rPr>
                  <w:color w:val="245C7C"/>
                  <w:u w:val="single"/>
                  <w:rFonts w:ascii="Noto Naskh Arabic" w:hAnsi="Noto Naskh Arabic" w:cs="Noto Naskh Arabic"/>
                  <w:sz w:val="21"/>
                  <w:szCs w:val="21"/>
                  <w:rtl/>
                </w:rPr>
                <w:t>عربی / 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8" w:name="ref_082"/>
            <w:pPr>
              <w:keepNext/>
              <w:widowControl/>
              <w:spacing w:after="20" w:before="0" w:lineRule="atLeast" w:line="250"/>
              <w:jc w:val="start"/>
              <w:bidi w:val="0"/>
            </w:pPr>
            <w:r>
              <w:rPr>
                <w:rFonts w:ascii="Calibri" w:hAnsi="Calibri" w:cs="Calibri" w:eastAsia="Calibri"/>
                <w:b/>
                <w:color w:val="21313F"/>
                <w:sz w:val="20"/>
                <w:szCs w:val="20"/>
                <w:lang w:val="en-GB" w:bidi="ar-SA"/>
              </w:rPr>
              <w:t>Reference 082  |  Sustained deeds within capacity</w:t>
            </w:r>
            <w:bookmarkEnd w:id="8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082  |  استطاعت کے مطابق مستقل عمل</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أَدْوَمُهَا وَإِنْ قَلَّ</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 most regular constant deeds even though they may be few.”</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Softening of the Hearts, hadith 6465; numbering: Sunnah.com. Narrator: Aishah.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This answers which deeds Allah loves most; the continuation advises taking on deeds within one’s ability. Regularity, not sheer quantity, is the point.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Urdu translation not verified.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Definition / argument</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50">
              <w:r>
                <w:rPr>
                  <w:color w:val="245C7C"/>
                  <w:u w:val="single"/>
                  <w:rFonts w:ascii="Calibri" w:hAnsi="Calibri" w:cs="Calibri"/>
                  <w:sz w:val="18"/>
                  <w:szCs w:val="18"/>
                </w:rPr>
                <w:t>Arabic / 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اندراج کے لیے کسی مطبوعہ اردو ترجمے کے الفاظ کی تصدیق نہیں ہو سکی؛ خودساختہ ترجمہ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الرقاق، حدیث 6465؛ ترقیم: سنہ ڈاٹ کام۔ راوی: عائشہ۔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مطبوعہ اردو ترجمہ: غیر مصدقہ / دستیاب اقتباس نقل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اللہ کو سب سے زیادہ پسند اعمال کے سوال کا جواب ہے؛ آگے استطاعت کے مطابق عمل اختیار کرنے کی ہدایت ہے۔ اصل نکتہ پابندی ہے، محض کثرت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اردو ترجمہ غیر مصدقہ ہے۔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تعریف / استدلال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50">
              <w:r>
                <w:rPr>
                  <w:color w:val="245C7C"/>
                  <w:u w:val="single"/>
                  <w:rFonts w:ascii="Noto Naskh Arabic" w:hAnsi="Noto Naskh Arabic" w:cs="Noto Naskh Arabic"/>
                  <w:sz w:val="21"/>
                  <w:szCs w:val="21"/>
                  <w:rtl/>
                </w:rPr>
                <w:t>عربی / 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89" w:name="ref_083"/>
            <w:pPr>
              <w:keepNext/>
              <w:widowControl/>
              <w:spacing w:after="20" w:before="0" w:lineRule="atLeast" w:line="250"/>
              <w:jc w:val="start"/>
              <w:bidi w:val="0"/>
            </w:pPr>
            <w:r>
              <w:rPr>
                <w:rFonts w:ascii="Calibri" w:hAnsi="Calibri" w:cs="Calibri" w:eastAsia="Calibri"/>
                <w:b/>
                <w:color w:val="21313F"/>
                <w:sz w:val="20"/>
                <w:szCs w:val="20"/>
                <w:lang w:val="en-GB" w:bidi="ar-SA"/>
              </w:rPr>
              <w:t>Reference 083  |  Righteousness integrates belief and conduct</w:t>
            </w:r>
            <w:bookmarkEnd w:id="8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083  |  نیکی میں عقیدہ اور عمل کا اجتماع</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treats this verse as gathering major principles of faith and righteous conduct. Facing a direction is not righteousness independently of obedience to God; the verse integrates faith, giving, prayer, covenant-keeping and patience.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2:177.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interpretation does not abolish the prescribed qiblah or replace ritual obligations with ethics.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51">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اس آیت کو ایمان اور عملِ صالح کے بڑے اصولوں کا جامع بیان سمجھتے ہیں۔ محض کسی سمت رخ کرنا اطاعتِ الٰہی سے الگ نیکی نہیں؛ آیت ایمان، انفاق، نماز، وفائے عہد اور صبر کو جمع کرتی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2:177۔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اس تفسیر سے مقررہ قبلہ منسوخ نہیں ہوتا اور اخلاق، فرائضِ عبادت کا بدل نہیں بنتے۔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51">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0" w:name="ref_084"/>
            <w:pPr>
              <w:keepNext/>
              <w:widowControl/>
              <w:spacing w:after="20" w:before="0" w:lineRule="atLeast" w:line="250"/>
              <w:jc w:val="start"/>
              <w:bidi w:val="0"/>
            </w:pPr>
            <w:r>
              <w:rPr>
                <w:rFonts w:ascii="Calibri" w:hAnsi="Calibri" w:cs="Calibri" w:eastAsia="Calibri"/>
                <w:b/>
                <w:color w:val="21313F"/>
                <w:sz w:val="20"/>
                <w:szCs w:val="20"/>
                <w:lang w:val="en-GB" w:bidi="ar-SA"/>
              </w:rPr>
              <w:t>Reference 084  |  The pillars and the wider content of faith</w:t>
            </w:r>
            <w:bookmarkEnd w:id="9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084  |  ارکان اور ایمان کا وسیع مفہوم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commentary / juristic discussion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Al-Hammad explains that the five-pillar report does not separately enumerate every belief: accepting the Messenger entails accepting the other prophets and angels. His treatment connects the pillars with the wider content of faith.</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Abd al-Sattar al-Hammad, Hidayat al-Qari Sharh Sahih al-Bukhari, commentary under hadith 8, discussion 2; digital reproduction on Islamic Urdu Books.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commentary passage, not another count of the five-pillar Hadith itself.</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42">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شرحِ حدیث / فقہی بحث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حماد واضح کرتے ہیں کہ پانچ ارکان کی روایت ہر عقیدے کو الگ نہیں گنواتی: رسول کی تصدیق میں دیگر انبیاء اور فرشتوں کی تصدیق بھی شامل ہے۔ ان کی شرح ارکان کو ایمان کے وسیع مفہوم سے جوڑتی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عبد الستار الحماد، ہدایۃ القاری شرح صحیح البخاری، حدیث 8 کے تحت، بحث 2؛ اسلامک اردو بکس پر برقی نقل۔</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شرح کا مستقل مقام ہے؛ پانچ ارکان کی حدیث کو دوبارہ شمار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42">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1" w:name="ref_085"/>
            <w:pPr>
              <w:keepNext/>
              <w:widowControl/>
              <w:spacing w:after="20" w:before="0" w:lineRule="atLeast" w:line="250"/>
              <w:jc w:val="start"/>
              <w:bidi w:val="0"/>
            </w:pPr>
            <w:r>
              <w:rPr>
                <w:rFonts w:ascii="Calibri" w:hAnsi="Calibri" w:cs="Calibri" w:eastAsia="Calibri"/>
                <w:b/>
                <w:color w:val="21313F"/>
                <w:sz w:val="20"/>
                <w:szCs w:val="20"/>
                <w:lang w:val="en-GB" w:bidi="ar-SA"/>
              </w:rPr>
              <w:t>Reference 085  |  Intention does not replace the lawfulness of an act</w:t>
            </w:r>
            <w:bookmarkEnd w:id="9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085  |  نیت عمل کے جائز ہونے کا بدل نہیں</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commentary / juristic discussion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Al-Hammad distinguishes ritual acts from ordinary habits by intention. He also requires the act itself to be lawful: a good purpose alone does not make an unprescribed religious act valid.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Abd al-Sattar al-Hammad, Hidayat al-Qari, commentary under Bukhari 54, discussions of intention and lawful action; displayed on the access page for hadith 1.</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Distinguishes sincerity from legal validity; particular applications still require juristic analysis.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45">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شرحِ حدیث / فقہی بحث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حماد نیت کے ذریعے عبادت اور عام عادت میں فرق کرتے ہیں۔ وہ خود عمل کے جائز ہونے کو بھی ضروری قرار دیتے ہیں: صرف اچھا مقصد غیر مشروع دینی عمل کو درست نہیں بنا دیتا۔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عبد الستار الحماد، ہدایۃ القاری، بخاری 54 کے تحت نیت اور جائز عمل کی بحث؛ حدیث 1 کے رسائی صفحے پر موجود۔</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اخلاص اور فقہی صحت میں فرق کرتا ہے؛ خاص صورتوں پر اطلاق مزید فقہی تحقیق چاہتا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45">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2" w:name="topic_7"/>
            <w:pPr>
              <w:keepNext/>
              <w:widowControl/>
              <w:spacing w:after="20" w:before="0" w:lineRule="atLeast" w:line="250"/>
              <w:jc w:val="start"/>
              <w:bidi w:val="0"/>
            </w:pPr>
            <w:r>
              <w:rPr>
                <w:rFonts w:ascii="Calibri" w:hAnsi="Calibri" w:cs="Calibri" w:eastAsia="Calibri"/>
                <w:b/>
                <w:color w:val="21313F"/>
                <w:sz w:val="24"/>
                <w:szCs w:val="25"/>
                <w:lang w:val="en-GB" w:bidi="ar-SA"/>
              </w:rPr>
              <w:t>07  Prayer, purification and remembrance</w:t>
            </w:r>
            <w:bookmarkEnd w:id="9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07  نماز، طہارت اور ذکر</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086–100</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086–100</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Spiritual and social effects below are textual aims or attributed interpretations unless expressly identified otherwise; they are not presented as measured outcomes for every worshipper.</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ذیل کے روحانی و معاشرتی اثرات نصوص کے مقاصد یا منسوب تعبیرات ہیں، جب تک اس کے خلاف صراحت نہ ہو؛ انہیں ہر عبادت گزار میں ناپے گئے نتائج نہیں کہا گیا۔</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3" w:name="ref_086"/>
            <w:pPr>
              <w:keepNext/>
              <w:widowControl/>
              <w:spacing w:after="20" w:before="0" w:lineRule="atLeast" w:line="250"/>
              <w:jc w:val="start"/>
              <w:bidi w:val="0"/>
            </w:pPr>
            <w:r>
              <w:rPr>
                <w:rFonts w:ascii="Calibri" w:hAnsi="Calibri" w:cs="Calibri" w:eastAsia="Calibri"/>
                <w:b/>
                <w:color w:val="21313F"/>
                <w:sz w:val="20"/>
                <w:szCs w:val="20"/>
                <w:lang w:val="en-GB" w:bidi="ar-SA"/>
              </w:rPr>
              <w:t>Reference 086  |  Remembrance and inward rest</w:t>
            </w:r>
            <w:bookmarkEnd w:id="9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086  |  ذکر اور اطمینانِ قلب</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أَلَا بِذِكْرِ اللَّهِ تَطْمَئِنُّ الْقُلُوبُ</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“Verily in the remembrance of Allah do hearts find rest!”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Al-Rad (13), ayah 28.</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direct spiritual benefit of remembrance. This is not a clinical claim that believers cannot experience psychological distress.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52">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53">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سن رکھو کہ خدا کی یاد سے دل آرام پاتے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الرعد (13)، آیت 28۔</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ذکر کا براہِ راست روحانی فائدہ بیان ہوا ہے۔ اس سے یہ طبی دعویٰ اخذ نہیں ہوتا کہ اہلِ ایمان نفسیاتی تکلیف کا سامنا نہیں کر سکتے۔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52">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53">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4" w:name="ref_087"/>
            <w:pPr>
              <w:keepNext/>
              <w:widowControl/>
              <w:spacing w:after="20" w:before="0" w:lineRule="atLeast" w:line="250"/>
              <w:jc w:val="start"/>
              <w:bidi w:val="0"/>
            </w:pPr>
            <w:r>
              <w:rPr>
                <w:rFonts w:ascii="Calibri" w:hAnsi="Calibri" w:cs="Calibri" w:eastAsia="Calibri"/>
                <w:b/>
                <w:color w:val="21313F"/>
                <w:sz w:val="20"/>
                <w:szCs w:val="20"/>
                <w:lang w:val="en-GB" w:bidi="ar-SA"/>
              </w:rPr>
              <w:t>Reference 087  |  Humility within prayer</w:t>
            </w:r>
            <w:bookmarkEnd w:id="9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087  |  نماز میں خشوع</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الَّذِينَ هُمْ فِي صَلَاتِهِمْ خَاشِعُونَ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“Who are humble in their prayers,”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Al-Muminun (23), ayah 2.</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quality of the successful believers described at the beginning of the surah; supports attention to inward posture alongside outward performance.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54">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55">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«جو نماز میں عجزو نیاز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المؤمنون (23)، آیت 2۔</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سورت کے آغاز میں کامیاب اہلِ ایمان کی صفت ہے؛ ظاہری ادائیگی کے ساتھ باطنی کیفیت کی اہمیت کی دلیل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54">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55">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5" w:name="ref_088"/>
            <w:pPr>
              <w:keepNext/>
              <w:widowControl/>
              <w:spacing w:after="20" w:before="0" w:lineRule="atLeast" w:line="250"/>
              <w:jc w:val="start"/>
              <w:bidi w:val="0"/>
            </w:pPr>
            <w:r>
              <w:rPr>
                <w:rFonts w:ascii="Calibri" w:hAnsi="Calibri" w:cs="Calibri" w:eastAsia="Calibri"/>
                <w:b/>
                <w:color w:val="21313F"/>
                <w:sz w:val="20"/>
                <w:szCs w:val="20"/>
                <w:lang w:val="en-GB" w:bidi="ar-SA"/>
              </w:rPr>
              <w:t>Reference 088  |  Prayer and restraint from wrongdoing</w:t>
            </w:r>
            <w:bookmarkEnd w:id="9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088  |  نماز اور برائی سے روک</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 الصَّلَاةَ تَنْهَىٰ عَنِ الْفَحْشَاءِ وَالْمُنكَرِ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“Lo! worship preserveth from lewdness and iniquity,”</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Al-Ankabut (29), ayah 45.</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An explicit moral purpose of prayer. Evaluating why particular worshippers act wrongly requires care; the verse is not a measured claim about every individual’s behaviour.</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56">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57">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«کچھ شک نہیں کہ نماز بےحیائی اور بری باتوں سے روکتی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العنکبوت (29)، آیت 45۔</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نماز کا صریح اخلاقی مقصد بیان ہوا ہے۔ بعض نمازیوں کے غلط رویے کی توضیح احتیاط چاہتی ہے؛ آیت ہر فرد کے رویے کی مقداری تحقیق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56">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57">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6" w:name="ref_089"/>
            <w:pPr>
              <w:keepNext/>
              <w:widowControl/>
              <w:spacing w:after="20" w:before="0" w:lineRule="atLeast" w:line="250"/>
              <w:jc w:val="start"/>
              <w:bidi w:val="0"/>
            </w:pPr>
            <w:r>
              <w:rPr>
                <w:rFonts w:ascii="Calibri" w:hAnsi="Calibri" w:cs="Calibri" w:eastAsia="Calibri"/>
                <w:b/>
                <w:color w:val="21313F"/>
                <w:sz w:val="20"/>
                <w:szCs w:val="20"/>
                <w:lang w:val="en-GB" w:bidi="ar-SA"/>
              </w:rPr>
              <w:t>Reference 089  |  Purification without intended hardship</w:t>
            </w:r>
            <w:bookmarkEnd w:id="9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089  |  طہارت، مقصود مشقت نہیں</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مَا يُرِيدُ اللَّهُ لِيَجْعَلَ عَلَيْكُم مِّنْ حَرَجٍ وَلَٰكِن يُرِيدُ لِيُطَهِّرَكُمْ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“Allah would not place a burden on you, but He would purify you”</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Al-Maidah (5), ayah 6.</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This purpose clause follows ablution, bathing and tayammum provisions. Ritual purification is not reducible to a claim about medical hygiene alone.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58">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59">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«خدا تم پر کسی طرح کی تنگی نہیں کرنا چاہتا بلکہ یہ چاہتا ہے کہ تمہیں پاک کرے»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المائدہ (5)، آیت 6۔</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مقصد وضو، غسل اور تیمم کے احکام کے بعد بیان ہوا ہے۔ شرعی طہارت کو محض طبی صفائی کا دعویٰ قرار نہیں دیا جا سکتا۔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58">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59">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7" w:name="ref_090"/>
            <w:pPr>
              <w:keepNext/>
              <w:widowControl/>
              <w:spacing w:after="20" w:before="0" w:lineRule="atLeast" w:line="250"/>
              <w:jc w:val="start"/>
              <w:bidi w:val="0"/>
            </w:pPr>
            <w:r>
              <w:rPr>
                <w:rFonts w:ascii="Calibri" w:hAnsi="Calibri" w:cs="Calibri" w:eastAsia="Calibri"/>
                <w:b/>
                <w:color w:val="21313F"/>
                <w:sz w:val="20"/>
                <w:szCs w:val="20"/>
                <w:lang w:val="en-GB" w:bidi="ar-SA"/>
              </w:rPr>
              <w:t>Reference 090  |  Congregational remembrance and economic routine</w:t>
            </w:r>
            <w:bookmarkEnd w:id="9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090  |  اجتماعی ذکر اور معاشی معمول</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فَاسْعَوْا إِلَىٰ ذِكْرِ اللَّهِ وَذَرُوا الْبَيْعَ</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“haste unto remembrance of Allah and leave your trading.”</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Al-Jumuah (62), ayah 9.</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setting is the Friday prayer call. It gives collective worship priority at that time, not a general prohibition of trade.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60">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61">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«تو خدا کی یاد (یعنی نماز) کے لئے جلدی کرو اور (خریدو) فروخت ترک کردو۔»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الجمعہ (62)، آیت 9۔</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سیاق جمعے کی نماز کی اذان ہے۔ اس وقت اجتماعی عبادت کو ترجیح دی گئی ہے، تجارت کی عمومی ممانعت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60">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61">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8" w:name="ref_091"/>
            <w:pPr>
              <w:keepNext/>
              <w:widowControl/>
              <w:spacing w:after="20" w:before="0" w:lineRule="atLeast" w:line="250"/>
              <w:jc w:val="start"/>
              <w:bidi w:val="0"/>
            </w:pPr>
            <w:r>
              <w:rPr>
                <w:rFonts w:ascii="Calibri" w:hAnsi="Calibri" w:cs="Calibri" w:eastAsia="Calibri"/>
                <w:b/>
                <w:color w:val="21313F"/>
                <w:sz w:val="20"/>
                <w:szCs w:val="20"/>
                <w:lang w:val="en-GB" w:bidi="ar-SA"/>
              </w:rPr>
              <w:t>Reference 091  |  Remembrance and gratitude</w:t>
            </w:r>
            <w:bookmarkEnd w:id="9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091  |  ذکر اور شکر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فَاذْكُرُونِي أَذْكُرْكُمْ وَاشْكُرُوا لِي وَلَا تَكْفُرُونِ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“Therefore remember Me, I will remember you. Give thanks to Me, and reject not Me.”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152.</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Unites remembrance with grateful response; complements prayer’s moral purpose without treating remembrance as a merely verbal exercise.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62">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63">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«سو تم مجھے یاد کرو۔ میں تمہیں یاد کیا کروں گا۔ اور میرے احسان مانتے رہنا اور ناشکری نہ کرنا»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152۔</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ذکر کو شکر گزار جواب کے ساتھ جمع کرتی ہے؛ ذکر کو محض زبانی مشق سمجھے بغیر نماز کے اخلاقی مقصد کی تکمیل کرتی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62">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63">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99" w:name="ref_092"/>
            <w:pPr>
              <w:keepNext/>
              <w:widowControl/>
              <w:spacing w:after="20" w:before="0" w:lineRule="atLeast" w:line="250"/>
              <w:jc w:val="start"/>
              <w:bidi w:val="0"/>
            </w:pPr>
            <w:r>
              <w:rPr>
                <w:rFonts w:ascii="Calibri" w:hAnsi="Calibri" w:cs="Calibri" w:eastAsia="Calibri"/>
                <w:b/>
                <w:color w:val="21313F"/>
                <w:sz w:val="20"/>
                <w:szCs w:val="20"/>
                <w:lang w:val="en-GB" w:bidi="ar-SA"/>
              </w:rPr>
              <w:t>Reference 092  |  Repeated prayer and cleansing from sins</w:t>
            </w:r>
            <w:bookmarkEnd w:id="9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092  |  مسلسل نماز اور گناہوں سے پاکی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فَذَلِكَ مِثْلُ الصَّلَوَاتِ الْخَمْسِ، يَمْحُو اللَّهُ بِهَا الْخَطَايَا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“That is the example of the five prayers with which Allah blots out (annuls) evil deeds.”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Times of the Prayers, hadith 528;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comparison is bathing five times daily in a river. The imagery explains moral-spiritual cleansing; other texts qualify expiation and duties owed to people.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Urdu translation not verified.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64">
              <w:r>
                <w:rPr>
                  <w:color w:val="245C7C"/>
                  <w:u w:val="single"/>
                  <w:rFonts w:ascii="Calibri" w:hAnsi="Calibri" w:cs="Calibri"/>
                  <w:sz w:val="18"/>
                  <w:szCs w:val="18"/>
                </w:rPr>
                <w:t>Arabic / 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اندراج کے لیے کسی مطبوعہ اردو ترجمے کے الفاظ کی تصدیق نہیں ہو سکی؛ خودساختہ ترجمہ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مواقیت الصلاۃ، حدیث 528؛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مطبوعہ اردو ترجمہ: غیر مصدقہ / دستیاب اقتباس نقل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تمثیل روزانہ پانچ مرتبہ نہر میں غسل کی ہے۔ مقصد اخلاقی و روحانی پاکی کی وضاحت ہے؛ کفارے کی شرائط اور حقوق العباد دوسری نصوص سے واضح ہوتے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اردو ترجمہ غیر مصدقہ ہے۔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64">
              <w:r>
                <w:rPr>
                  <w:color w:val="245C7C"/>
                  <w:u w:val="single"/>
                  <w:rFonts w:ascii="Noto Naskh Arabic" w:hAnsi="Noto Naskh Arabic" w:cs="Noto Naskh Arabic"/>
                  <w:sz w:val="21"/>
                  <w:szCs w:val="21"/>
                  <w:rtl/>
                </w:rPr>
                <w:t>عربی / 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0" w:name="ref_093"/>
            <w:pPr>
              <w:keepNext/>
              <w:widowControl/>
              <w:spacing w:after="20" w:before="0" w:lineRule="atLeast" w:line="250"/>
              <w:jc w:val="start"/>
              <w:bidi w:val="0"/>
            </w:pPr>
            <w:r>
              <w:rPr>
                <w:rFonts w:ascii="Calibri" w:hAnsi="Calibri" w:cs="Calibri" w:eastAsia="Calibri"/>
                <w:b/>
                <w:color w:val="21313F"/>
                <w:sz w:val="20"/>
                <w:szCs w:val="20"/>
                <w:lang w:val="en-GB" w:bidi="ar-SA"/>
              </w:rPr>
              <w:t>Reference 093  |  Congregational prayer</w:t>
            </w:r>
            <w:bookmarkEnd w:id="10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093  |  باجماعت نماز</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صَلاَةُ الْجَمَاعَةِ تَفْضُلُ صَلاَةَ الْفَذِّ بِسَبْعٍ وَعِشْرِينَ دَرَجَةً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 prayer in congregation is twenty seven times superior to the prayer offered by person alone.”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Call to Prayers, hadith 645; numbering: Sunnah.com. Narrator: Abdullah ibn Umar.</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assigns additional religious merit to collective prayer. The numerical reward is not an empirical measure of its social effects.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65">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66">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«نماز باجماعت، اکیلے شخص کی نماز سے ستائیس درجے زیادہ فضیلت رکھتی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الاذان، حدیث 645؛ ترقیم: سنہ ڈاٹ کام۔ راوی: عبداللہ بن عمر۔</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اجتماعی نماز کی اضافی دینی فضیلت بیان کرتی ہے۔ اجر کی یہ تعداد معاشرتی اثرات کی تجرباتی پیمائش نہیں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65">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66">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1" w:name="ref_094"/>
            <w:pPr>
              <w:keepNext/>
              <w:widowControl/>
              <w:spacing w:after="20" w:before="0" w:lineRule="atLeast" w:line="250"/>
              <w:jc w:val="start"/>
              <w:bidi w:val="0"/>
            </w:pPr>
            <w:r>
              <w:rPr>
                <w:rFonts w:ascii="Calibri" w:hAnsi="Calibri" w:cs="Calibri" w:eastAsia="Calibri"/>
                <w:b/>
                <w:color w:val="21313F"/>
                <w:sz w:val="20"/>
                <w:szCs w:val="20"/>
                <w:lang w:val="en-GB" w:bidi="ar-SA"/>
              </w:rPr>
              <w:t>Reference 094  |  Learning worship through Prophetic practice</w:t>
            </w:r>
            <w:bookmarkEnd w:id="10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094  |  نبوی عمل سے عبادت سیکھنا</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وَصَلُّوا كَمَا رَأَيْتُمُونِي أُصَلِّي</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“Pray as you have seen me praying”</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Call to Prayers, hadith 631; numbering: Sunnah.com. Narrator: Malik.</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Young visitors were sent home to teach their families after observing the Prophet. The account joins practical instruction with consideration for family ties.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Urdu translation not verified.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67">
              <w:r>
                <w:rPr>
                  <w:color w:val="245C7C"/>
                  <w:u w:val="single"/>
                  <w:rFonts w:ascii="Calibri" w:hAnsi="Calibri" w:cs="Calibri"/>
                  <w:sz w:val="18"/>
                  <w:szCs w:val="18"/>
                </w:rPr>
                <w:t>Arabic / 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اندراج کے لیے کسی مطبوعہ اردو ترجمے کے الفاظ کی تصدیق نہیں ہو سکی؛ خودساختہ ترجمہ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الاذان، حدیث 631؛ ترقیم: سنہ ڈاٹ کام۔ راوی: مالک۔</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مطبوعہ اردو ترجمہ: غیر مصدقہ / دستیاب اقتباس نقل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نوجوان زائرین کو نبوی عمل دیکھنے کے بعد اپنے گھر والوں کو تعلیم دینے کے لیے واپس بھیجا گیا۔ واقعہ عملی تعلیم اور خاندانی تعلقات کی رعایت کو جمع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اردو ترجمہ غیر مصدقہ ہے۔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67">
              <w:r>
                <w:rPr>
                  <w:color w:val="245C7C"/>
                  <w:u w:val="single"/>
                  <w:rFonts w:ascii="Noto Naskh Arabic" w:hAnsi="Noto Naskh Arabic" w:cs="Noto Naskh Arabic"/>
                  <w:sz w:val="21"/>
                  <w:szCs w:val="21"/>
                  <w:rtl/>
                </w:rPr>
                <w:t>عربی / 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2" w:name="ref_095"/>
            <w:pPr>
              <w:keepNext/>
              <w:widowControl/>
              <w:spacing w:after="20" w:before="0" w:lineRule="atLeast" w:line="250"/>
              <w:jc w:val="start"/>
              <w:bidi w:val="0"/>
            </w:pPr>
            <w:r>
              <w:rPr>
                <w:rFonts w:ascii="Calibri" w:hAnsi="Calibri" w:cs="Calibri" w:eastAsia="Calibri"/>
                <w:b/>
                <w:color w:val="21313F"/>
                <w:sz w:val="20"/>
                <w:szCs w:val="20"/>
                <w:lang w:val="en-GB" w:bidi="ar-SA"/>
              </w:rPr>
              <w:t>Reference 095  |  Purification and faith</w:t>
            </w:r>
            <w:bookmarkEnd w:id="10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095  |  طہارت اور ایمان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الطُّهُورُ شَطْرُ الإِيمَانِ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“Cleanliness is half of faith”</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Muslim, Purification, hadith 223; numbering: Sunnah.com. Narrator: Abu Malik al-Ashari.</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same report connects remembrance, prayer, charity and patience with faith and accountability. The term tuhur belongs to a ritual and moral context, not merely modern hygiene.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Muslim;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68">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69">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«پاکیزگی نصف ایمان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مسلم، کتاب الطہارۃ، حدیث 223؛ ترقیم: سنہ ڈاٹ کام۔ راوی: ابومالک اشعری۔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ترجمہ شدہ احادیث نبویہ کا انسائیکلوپیڈیا (حدیث اِنک)، متعلقہ اردو حدیث کا متن یا عنوان؛ فردِ مترجم کی نسبت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اسی روایت میں ذکر، نماز، صدقہ اور صبر کو ایمان اور جواب دہی سے جوڑا گیا ہے۔ طہور کا لفظ عبادتی اور اخلاقی سیاق رکھتا ہے، صرف جدید حفظانِ صحت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مسلم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68">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69">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3" w:name="ref_096"/>
            <w:pPr>
              <w:keepNext/>
              <w:widowControl/>
              <w:spacing w:after="20" w:before="0" w:lineRule="atLeast" w:line="250"/>
              <w:jc w:val="start"/>
              <w:bidi w:val="0"/>
            </w:pPr>
            <w:r>
              <w:rPr>
                <w:rFonts w:ascii="Calibri" w:hAnsi="Calibri" w:cs="Calibri" w:eastAsia="Calibri"/>
                <w:b/>
                <w:color w:val="21313F"/>
                <w:sz w:val="20"/>
                <w:szCs w:val="20"/>
                <w:lang w:val="en-GB" w:bidi="ar-SA"/>
              </w:rPr>
              <w:t>Reference 096  |  Prayer’s purpose and careful attribution</w:t>
            </w:r>
            <w:bookmarkEnd w:id="10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096  |  نماز کا مقصد اور محتاط نسبت</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links regular prayer with leaving indecency and wrongdoing. In discussing related admonitions, he prefers Companion-level attributions for several reports rather than treating all of them as established Prophetic statements.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29:45.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Useful both for prayer’s moral aim and for explaining why a popular saying must not automatically be quoted as Sahih Hadith.</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70">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نماز کی پابندی کو بے حیائی اور برائی کے ترک سے جوڑتے ہیں۔ اس ضمن کی متعدد تنبیہی روایات میں وہ سب کو ثابت شدہ نبوی اقوال ماننے کے بجائے صحابہ تک موقوف نسبت کو ترجیح دیتے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29:45۔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نماز کے اخلاقی مقصد اور اس اصول کے لیے مفید ہے کہ معروف قول کو خودبخود صحیح حدیث نہیں کہا جا سکتا۔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70">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4" w:name="ref_097"/>
            <w:pPr>
              <w:keepNext/>
              <w:widowControl/>
              <w:spacing w:after="20" w:before="0" w:lineRule="atLeast" w:line="250"/>
              <w:jc w:val="start"/>
              <w:bidi w:val="0"/>
            </w:pPr>
            <w:r>
              <w:rPr>
                <w:rFonts w:ascii="Calibri" w:hAnsi="Calibri" w:cs="Calibri" w:eastAsia="Calibri"/>
                <w:b/>
                <w:color w:val="21313F"/>
                <w:sz w:val="20"/>
                <w:szCs w:val="20"/>
                <w:lang w:val="en-GB" w:bidi="ar-SA"/>
              </w:rPr>
              <w:t>Reference 097  |  Khushu: inner attention and outward discipline</w:t>
            </w:r>
            <w:bookmarkEnd w:id="10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097  |  خشوع: باطنی توجہ اور ظاہری ضبط</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Maududi explains khushu as involving the heart and bodily comportment. Prescribed prayer manners support attention; involuntary distracting thoughts call for gently returning attention to prayer, not assuming the worshipper has no faith.</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Sayyid Abul Ala Maududi, Tafhim al-Quran / Towards Understanding the Quran, 23:2, note 3; English digital text.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commentator’s analysis is cited; the beard-playing report mentioned on the page is not admitted as authenticated Hadith.</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71">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مودودی خشوع کو دل اور جسمانی حالت دونوں سے متعلق سمجھتے ہیں۔ نماز کے مقررہ آداب توجہ میں مدد دیتے ہیں؛ بلااختیار آنے والے خیالات پر توجہ نماز کی طرف لوٹائی جائے، نہ یہ فرض کیا جائے کہ نمازی ایمان سے خالی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سید ابوالاعلیٰ مودودی، تفہیم القرآن / Towards Understanding the Quran، آیت 23:2، حاشیہ 3؛ معائنہ شدہ برقی متن انگریزی میں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مفسر کی توضیح حوالہ ہے؛ صفحے پر مذکور داڑھی سے کھیلنے کی روایت کو صحیح حدیث کی حیثیت سے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71">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5" w:name="ref_098"/>
            <w:pPr>
              <w:keepNext/>
              <w:widowControl/>
              <w:spacing w:after="20" w:before="0" w:lineRule="atLeast" w:line="250"/>
              <w:jc w:val="start"/>
              <w:bidi w:val="0"/>
            </w:pPr>
            <w:r>
              <w:rPr>
                <w:rFonts w:ascii="Calibri" w:hAnsi="Calibri" w:cs="Calibri" w:eastAsia="Calibri"/>
                <w:b/>
                <w:color w:val="21313F"/>
                <w:sz w:val="20"/>
                <w:szCs w:val="20"/>
                <w:lang w:val="en-GB" w:bidi="ar-SA"/>
              </w:rPr>
              <w:t>Reference 098  |  Congregational prayer and human association</w:t>
            </w:r>
            <w:bookmarkEnd w:id="10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098  |  باجماعت نماز اور انسانی اجتماع</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Iqbal interprets congregational worship as intensifying shared aspiration and widening human association, from daily prayer to the annual pilgrimage. He links common direction and form with a sense of equality among worshippers.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Muhammad Iqbal, The Reconstruction of Religious Thought in Islam, Lecture III, “The Conception of God and the Meaning of Prayer”; closing paragraphs beginning “The real object of prayer”. International Iqbal Society digital transcription.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philosophical account of intended effects, not evidence that every congregation actually eliminates inequality.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72">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اقبال اجتماعی عبادت کو مشترک آرزو کی تقویت اور روزانہ نماز سے سالانہ حج تک انسانی اجتماع کی توسیع سمجھتے ہیں۔ وہ مشترک سمت اور صورتِ عبادت کو عبادت گزاروں میں مساوات کے احساس سے جوڑتے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محمد اقبال، تشکیلِ جدید الٰہیاتِ اسلامیہ (The Reconstruction of Religious Thought in Islam)، خطبہ III، «تصورِ خدا اور معنیِ نماز»؛ آخری پیراگراف، آغاز: The real object of prayer۔ انٹرنیشنل اقبال سوسائٹی کا برقی متن۔</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مقصود اثرات کی فلسفیانہ توضیح ہے، یہ تجرباتی ثبوت نہیں کہ ہر جماعت بالفعل عدمِ مساوات ختم کر دیتی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72">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6" w:name="ref_099"/>
            <w:pPr>
              <w:keepNext/>
              <w:widowControl/>
              <w:spacing w:after="20" w:before="0" w:lineRule="atLeast" w:line="250"/>
              <w:jc w:val="start"/>
              <w:bidi w:val="0"/>
            </w:pPr>
            <w:r>
              <w:rPr>
                <w:rFonts w:ascii="Calibri" w:hAnsi="Calibri" w:cs="Calibri" w:eastAsia="Calibri"/>
                <w:b/>
                <w:color w:val="21313F"/>
                <w:sz w:val="20"/>
                <w:szCs w:val="20"/>
                <w:lang w:val="en-GB" w:bidi="ar-SA"/>
              </w:rPr>
              <w:t>Reference 099  |  Purification of conduct and the heart</w:t>
            </w:r>
            <w:bookmarkEnd w:id="10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099  |  کردار اور دل کی پاکیزگی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المرتبة الثانية تطهير الجوارح عن الجرائم والآثام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Al-Ghazali distinguishes outward cleanliness, restraint of bodily actions from sins, cleansing the heart of vices, and inward devotion to God. Outer purification is therefore one level within a wider ethical discipline.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Hamid al-Ghazali, Ihya Ulum al-Din, Book 3, Kitab Asrar al-Taharah, introductory account of four levels. Arabic Wikisource text; corresponding Faris translation, The Mysteries of Purity, p. 4, also inspected.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An ethical framework from the author; reports quoted nearby are not separately admitted as authenticated evidence.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passage inspected; corresponding discussion checked in the scanned English translation. The quotation is scholarly, not Prophetic.</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73">
              <w:r>
                <w:rPr>
                  <w:color w:val="245C7C"/>
                  <w:u w:val="single"/>
                  <w:rFonts w:ascii="Calibri" w:hAnsi="Calibri" w:cs="Calibri"/>
                  <w:sz w:val="18"/>
                  <w:szCs w:val="18"/>
                </w:rPr>
                <w:t>Source passage</w:t>
              </w:r>
            </w:hyperlink>
            <w:r>
              <w:rPr>
                <w:rFonts w:ascii="Calibri" w:hAnsi="Calibri" w:cs="Calibri" w:eastAsia="Calibri"/>
                <w:b w:val="0"/>
                <w:color w:val="21313F"/>
                <w:sz w:val="18"/>
                <w:szCs w:val="18"/>
                <w:lang w:val="en-GB" w:bidi="ar-SA"/>
              </w:rPr>
              <w:t xml:space="preserve">  ·  </w:t>
            </w:r>
            <w:hyperlink r:id="rId174">
              <w:r>
                <w:rPr>
                  <w:color w:val="245C7C"/>
                  <w:u w:val="single"/>
                  <w:rFonts w:ascii="Calibri" w:hAnsi="Calibri" w:cs="Calibri"/>
                  <w:sz w:val="18"/>
                  <w:szCs w:val="18"/>
                </w:rPr>
                <w:t>Scanned translation</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غزالی ظاہری صفائی، اعضاء کو گناہوں سے بچانے، دل کو رذائل سے پاک کرنے اور باطن کی توجہ اللہ کے لیے خالص کرنے میں فرق کرتے ہیں۔ یوں ظاہری طہارت وسیع اخلاقی تربیت کا ایک درجہ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حامد غزالی، احیاء علوم الدین، کتاب 3، کتاب اسرار الطہارة، مقدمے میں چار مراتب کی بحث۔ ویکی مصدر کا عربی متن؛ متعلقہ فارِس ترجمہ The Mysteries of Purity، صفحہ 4 بھی دیکھا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مصنف کا اخلاقی خاکہ ہے؛ قریب نقل شدہ روایات کو الگ صحیح شواہد کی حیثیت سے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مقام دیکھا گیا؛ متعلقہ بحث انگریزی ترجمے کے اسکین میں بھی جانچی گئی۔ اقتباس علمی قول ہے، نبوی حدیث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73">
              <w:r>
                <w:rPr>
                  <w:color w:val="245C7C"/>
                  <w:u w:val="single"/>
                  <w:rFonts w:ascii="Noto Naskh Arabic" w:hAnsi="Noto Naskh Arabic" w:cs="Noto Naskh Arabic"/>
                  <w:sz w:val="21"/>
                  <w:szCs w:val="21"/>
                  <w:rtl/>
                </w:rPr>
                <w:t>اصل ماخذی مقام</w:t>
              </w:r>
            </w:hyperlink>
            <w:r>
              <w:rPr>
                <w:rFonts w:ascii="Noto Naskh Arabic" w:hAnsi="Noto Naskh Arabic" w:cs="Noto Naskh Arabic" w:eastAsia="Noto Naskh Arabic"/>
                <w:b w:val="0"/>
                <w:color w:val="21313F"/>
                <w:sz w:val="20"/>
                <w:szCs w:val="20"/>
                <w:lang w:val="ur-PK" w:bidi="ur-PK"/>
                <w:rtl w:val="1"/>
              </w:rPr>
              <w:t xml:space="preserve">  ·  </w:t>
            </w:r>
            <w:hyperlink r:id="rId174">
              <w:r>
                <w:rPr>
                  <w:color w:val="245C7C"/>
                  <w:u w:val="single"/>
                  <w:rFonts w:ascii="Noto Naskh Arabic" w:hAnsi="Noto Naskh Arabic" w:cs="Noto Naskh Arabic"/>
                  <w:sz w:val="21"/>
                  <w:szCs w:val="21"/>
                  <w:rtl/>
                </w:rPr>
                <w:t>ترجمے کا اسکین</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7" w:name="ref_100"/>
            <w:pPr>
              <w:keepNext/>
              <w:widowControl/>
              <w:spacing w:after="20" w:before="0" w:lineRule="atLeast" w:line="250"/>
              <w:jc w:val="start"/>
              <w:bidi w:val="0"/>
            </w:pPr>
            <w:r>
              <w:rPr>
                <w:rFonts w:ascii="Calibri" w:hAnsi="Calibri" w:cs="Calibri" w:eastAsia="Calibri"/>
                <w:b/>
                <w:color w:val="21313F"/>
                <w:sz w:val="20"/>
                <w:szCs w:val="20"/>
                <w:lang w:val="en-GB" w:bidi="ar-SA"/>
              </w:rPr>
              <w:t>Reference 100  |  Presence of heart and prayer’s inner life</w:t>
            </w:r>
            <w:bookmarkEnd w:id="10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100  |  حضورِ قلب اور نماز کی باطنی زندگی</w:t>
            </w:r>
          </w:p>
        </w:tc>
      </w:tr>
      <w:tr>
        <w:trPr>
          <w:cantSplit/>
        </w:trPr>
        <w:tc>
          <w:tcPr>
            <w:tcW w:type="dxa" w:w="10296"/>
            <w:gridSpan w:val="2"/>
            <w:shd w:fill="F8FAFB"/>
            <w:vAlign w:val="top"/>
          </w:tcPr>
          <w:p>
            <w:pPr>
              <w:keepNext/>
              <w:widowControl/>
              <w:spacing w:after="0" w:before="0" w:lineRule="atLeast" w:line="250"/>
              <w:jc w:val="center"/>
              <w:bidi w:val="0"/>
            </w:pPr>
            <w:r>
              <w:rPr>
                <w:rFonts w:ascii="Calibri" w:hAnsi="Calibri" w:cs="Calibri" w:eastAsia="Calibri"/>
                <w:b w:val="0"/>
                <w:color w:val="21313F"/>
                <w:sz w:val="21"/>
                <w:szCs w:val="21"/>
                <w:lang w:val="en-GB" w:bidi="ar-SA"/>
              </w:rPr>
              <w:t>“the presence of the heart is the spirit of the Worship”</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Al-Ghazali distinguishes legal sufficiency from prayer’s inward fulfilment. He treats attentive understanding, reverence, awe, hope and awareness of one’s shortcomings as qualities that animate the prescribed acts.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Hamid al-Ghazali, Ihya, Book 4; The Mysteries of Worship in Islam, trans. Edwin Elliot Calverley, Kitab Bhavan, New Delhi, first Indian edition 1992, chapter 3, “Inward Stipulations,” especially the discussion and six inner qualities (digital page markers 43–45).</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His spiritual analysis is not a ruling that every distracting thought invalidates prayer.</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Chapter text, translator and displayed edition details checked; page markers are those of the HTML transcription, not an inspected scan.</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75">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غزالی نماز کی فقہی صحت اور اس کی باطنی تکمیل میں فرق کرتے ہیں۔ ان کے نزدیک توجہ و فہم، تعظیم، ہیبت، امید اور اپنی کوتاہی کا احساس مقررہ افعال میں باطنی زندگی پیدا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حامد غزالی، احیاء، کتاب 4؛ The Mysteries of Worship in Islam، مترجم ایڈون ایلیٹ کیلورلی، کتاب بھون، نئی دہلی، پہلی ہندوستانی اشاعت 1992؛ باب 3، باطنی شرائط، بالخصوص بحث اور چھ باطنی اوصاف؛ برقی متن کے صفحاتی نشانات 43–45۔</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روحانی تجزیہ ہر غیر متعلق خیال کے باعث نماز باطل ہونے کا حکم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باب، مترجم اور درج اشاعتی معلومات جانچی گئیں؛ صفحاتی نشانات برقی نقل کے ہیں، معائنہ شدہ اسکین کے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75">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8" w:name="topic_8"/>
            <w:pPr>
              <w:keepNext/>
              <w:widowControl/>
              <w:spacing w:after="20" w:before="0" w:lineRule="atLeast" w:line="250"/>
              <w:jc w:val="start"/>
              <w:bidi w:val="0"/>
            </w:pPr>
            <w:r>
              <w:rPr>
                <w:rFonts w:ascii="Calibri" w:hAnsi="Calibri" w:cs="Calibri" w:eastAsia="Calibri"/>
                <w:b/>
                <w:color w:val="21313F"/>
                <w:sz w:val="24"/>
                <w:szCs w:val="25"/>
                <w:lang w:val="en-GB" w:bidi="ar-SA"/>
              </w:rPr>
              <w:t>08  Fasting: spiritual and moral formation</w:t>
            </w:r>
            <w:bookmarkEnd w:id="10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08  روزہ: روحانی اور اخلاقی تربیت</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101–107</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101–107</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Spiritual and social effects below are textual aims or attributed interpretations unless expressly identified otherwise; they are not presented as measured outcomes for every worshipper.</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ذیل کے روحانی و معاشرتی اثرات نصوص کے مقاصد یا منسوب تعبیرات ہیں، جب تک اس کے خلاف صراحت نہ ہو؛ انہیں ہر عبادت گزار میں ناپے گئے نتائج نہیں کہا گیا۔</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09" w:name="ref_101"/>
            <w:pPr>
              <w:keepNext/>
              <w:widowControl/>
              <w:spacing w:after="20" w:before="0" w:lineRule="atLeast" w:line="250"/>
              <w:jc w:val="start"/>
              <w:bidi w:val="0"/>
            </w:pPr>
            <w:r>
              <w:rPr>
                <w:rFonts w:ascii="Calibri" w:hAnsi="Calibri" w:cs="Calibri" w:eastAsia="Calibri"/>
                <w:b/>
                <w:color w:val="21313F"/>
                <w:sz w:val="20"/>
                <w:szCs w:val="20"/>
                <w:lang w:val="en-GB" w:bidi="ar-SA"/>
              </w:rPr>
              <w:t>Reference 101  |  Fasting prescribed for taqwa</w:t>
            </w:r>
            <w:bookmarkEnd w:id="10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101  |  تقویٰ کے لیے فرضیتِ روزہ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يَا أَيُّهَا الَّذِينَ آمَنُوا كُتِبَ عَلَيْكُمُ الصِّيَامُ كَمَا كُتِبَ عَلَى الَّذِينَ مِن قَبْلِكُمْ لَعَلَّكُمْ تَتَّقُونَ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“O ye who believe! Fasting is prescribed for you, even as it was prescribed for those before you, that ye may ward off (evil);”</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183.</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States obligation, continuity with earlier communities and an intended ethical-spiritual outcome in one verse.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76">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77">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«مومنو! تم پر روزے فرض کئے گئے ہیں۔ جس طرح تم سے پہلے لوگوں پر فرض کئے گئے تھے تاکہ تم پرہیزگار بنو»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183۔</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ایک ہی آیت میں فرضیت، سابقہ امتوں سے تسلسل اور مطلوب اخلاقی و روحانی نتیجہ بیان ہوا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76">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77">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0" w:name="ref_102"/>
            <w:pPr>
              <w:keepNext/>
              <w:widowControl/>
              <w:spacing w:after="20" w:before="0" w:lineRule="atLeast" w:line="250"/>
              <w:jc w:val="start"/>
              <w:bidi w:val="0"/>
            </w:pPr>
            <w:r>
              <w:rPr>
                <w:rFonts w:ascii="Calibri" w:hAnsi="Calibri" w:cs="Calibri" w:eastAsia="Calibri"/>
                <w:b/>
                <w:color w:val="21313F"/>
                <w:sz w:val="20"/>
                <w:szCs w:val="20"/>
                <w:lang w:val="en-GB" w:bidi="ar-SA"/>
              </w:rPr>
              <w:t>Reference 102  |  Fasting and abandoning falsehood</w:t>
            </w:r>
            <w:bookmarkEnd w:id="11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102  |  روزہ اور جھوٹ سے اجتناب</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فَلَيْسَ لِلَّهِ حَاجَةٌ فِي أَنْ يَدَعَ طَعَامَهُ وَشَرَابَهُ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“Allah is not in need of his leaving his food and drink”</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Fasting, hadith 1903;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opening condition is failure to abandon false speech and wrongdoing. The warning concerns fasting’s moral purpose; it is not a permission to stop fasting.</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78">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79">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«تو اللہ تعالیٰ کو اس کی کوئی ضرورت نہیں کہ وہ اپنا کھانا پینا چھوڑ دے۔»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الصوم، حدیث 1903؛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ابتدائی شرط جھوٹ اور برے عمل کو نہ چھوڑنا ہے۔ تنبیہ روزے کے اخلاقی مقصد سے متعلق ہے، روزہ چھوڑنے کی اجازت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78">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79">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1" w:name="ref_103"/>
            <w:pPr>
              <w:keepNext/>
              <w:widowControl/>
              <w:spacing w:after="20" w:before="0" w:lineRule="atLeast" w:line="250"/>
              <w:jc w:val="start"/>
              <w:bidi w:val="0"/>
            </w:pPr>
            <w:r>
              <w:rPr>
                <w:rFonts w:ascii="Calibri" w:hAnsi="Calibri" w:cs="Calibri" w:eastAsia="Calibri"/>
                <w:b/>
                <w:color w:val="21313F"/>
                <w:sz w:val="20"/>
                <w:szCs w:val="20"/>
                <w:lang w:val="en-GB" w:bidi="ar-SA"/>
              </w:rPr>
              <w:t>Reference 103  |  Fasting as protection and restraint</w:t>
            </w:r>
            <w:bookmarkEnd w:id="11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103  |  روزہ بطور حفاظت اور ضبط</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وَالصِّيَامُ جُنَّةٌ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“Fasting is a shield or protection from the fire and from committing sins.”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Fasting, hadith 1904;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same report instructs the fasting person to avoid quarrelling and respond to provocation by identifying as fasting. The two joys of fasting are part of this single report, not extra references.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80">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81">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«روزہ ایک ڈھال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الصوم، حدیث 1904؛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اسی روایت میں روزہ دار کو جھگڑے سے بچنے اور اشتعال کے جواب میں اپنا روزہ بتانے کی تعلیم ہے۔ روزے کی دو خوشیاں بھی اسی روایت کا حصہ ہیں، الگ حوالے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80">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81">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2" w:name="ref_104"/>
            <w:pPr>
              <w:keepNext/>
              <w:widowControl/>
              <w:spacing w:after="20" w:before="0" w:lineRule="atLeast" w:line="250"/>
              <w:jc w:val="start"/>
              <w:bidi w:val="0"/>
            </w:pPr>
            <w:r>
              <w:rPr>
                <w:rFonts w:ascii="Calibri" w:hAnsi="Calibri" w:cs="Calibri" w:eastAsia="Calibri"/>
                <w:b/>
                <w:color w:val="21313F"/>
                <w:sz w:val="20"/>
                <w:szCs w:val="20"/>
                <w:lang w:val="en-GB" w:bidi="ar-SA"/>
              </w:rPr>
              <w:t>Reference 104  |  The blessing of the pre-dawn meal</w:t>
            </w:r>
            <w:bookmarkEnd w:id="11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104  |  سحری کی برکت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تَسَحَّرُوا فَإِنَّ فِي السَّحُورِ بَرَكَةً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“Take Suhur as there is a blessing in it.”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Fasting, hadith 1923; numbering: Sunnah.com. Narrator: Anas ibn Malik.</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practical Prophetic encouragement accompanying fasting. The text asserts blessing; it does not supply a quantified nutritional or medical claim.</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Urdu translation not verified.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82">
              <w:r>
                <w:rPr>
                  <w:color w:val="245C7C"/>
                  <w:u w:val="single"/>
                  <w:rFonts w:ascii="Calibri" w:hAnsi="Calibri" w:cs="Calibri"/>
                  <w:sz w:val="18"/>
                  <w:szCs w:val="18"/>
                </w:rPr>
                <w:t>Arabic / 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اندراج کے لیے کسی مطبوعہ اردو ترجمے کے الفاظ کی تصدیق نہیں ہو سکی؛ خودساختہ ترجمہ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الصوم، حدیث 1923؛ ترقیم: سنہ ڈاٹ کام۔ راوی: انس بن مالک۔</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مطبوعہ اردو ترجمہ: غیر مصدقہ / دستیاب اقتباس نقل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روزے کے ساتھ عملی نبوی ترغیب ہے۔ نص برکت بیان کرتی ہے، غذائی یا طبی اثر کی مقداری تحقیق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اردو ترجمہ غیر مصدقہ ہے۔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82">
              <w:r>
                <w:rPr>
                  <w:color w:val="245C7C"/>
                  <w:u w:val="single"/>
                  <w:rFonts w:ascii="Noto Naskh Arabic" w:hAnsi="Noto Naskh Arabic" w:cs="Noto Naskh Arabic"/>
                  <w:sz w:val="21"/>
                  <w:szCs w:val="21"/>
                  <w:rtl/>
                </w:rPr>
                <w:t>عربی / 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3" w:name="ref_105"/>
            <w:pPr>
              <w:keepNext/>
              <w:widowControl/>
              <w:spacing w:after="20" w:before="0" w:lineRule="atLeast" w:line="250"/>
              <w:jc w:val="start"/>
              <w:bidi w:val="0"/>
            </w:pPr>
            <w:r>
              <w:rPr>
                <w:rFonts w:ascii="Calibri" w:hAnsi="Calibri" w:cs="Calibri" w:eastAsia="Calibri"/>
                <w:b/>
                <w:color w:val="21313F"/>
                <w:sz w:val="20"/>
                <w:szCs w:val="20"/>
                <w:lang w:val="en-GB" w:bidi="ar-SA"/>
              </w:rPr>
              <w:t>Reference 105  |  Faith and intention in Ramadan fasting</w:t>
            </w:r>
            <w:bookmarkEnd w:id="11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105  |  رمضان کے روزے میں ایمان اور نیت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غُفِرَ لَهُ مَا تَقَدَّمَ مِنْ ذَنْبِهِ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“then all his past sins will be forgiven.”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Belief, hadith 38;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promise follows the condition of observing Ramadan with faith and seeking divine reward. The quoted consequence must not be detached from those conditions.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83">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84">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کے پچھلے گناہ بخش دیئے گئے۔»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الایمان، حدیث 38؛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مولانا داود راز کا ترجمہ؛ رسائی: اسلامی اردو بکس، صحیح بخاری ۳۸۔</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وعدہ ایمان اور طلبِ اجر کے ساتھ رمضان کے روزے رکھنے کی شرط کے بعد ہے۔ نقل کردہ نتیجے کو ان شرائط سے جدا نہ کیا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83">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84">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4" w:name="ref_106"/>
            <w:pPr>
              <w:keepNext/>
              <w:widowControl/>
              <w:spacing w:after="20" w:before="0" w:lineRule="atLeast" w:line="250"/>
              <w:jc w:val="start"/>
              <w:bidi w:val="0"/>
            </w:pPr>
            <w:r>
              <w:rPr>
                <w:rFonts w:ascii="Calibri" w:hAnsi="Calibri" w:cs="Calibri" w:eastAsia="Calibri"/>
                <w:b/>
                <w:color w:val="21313F"/>
                <w:sz w:val="20"/>
                <w:szCs w:val="20"/>
                <w:lang w:val="en-GB" w:bidi="ar-SA"/>
              </w:rPr>
              <w:t>Reference 106  |  Legal fasting and ethical completion</w:t>
            </w:r>
            <w:bookmarkEnd w:id="11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106  |  روزے کی شرعی حقیقت اور اخلاقی تکمیل</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Al-Qurtubi distinguishes fasting’s legal abstention with intention from its fuller ethical discipline of avoiding prohibited conduct. He also discusses its hidden character and the restraint of appetite as explanations of its special devotional significance.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Al-Qurtubi, Al-Jami li-ahkam al-Quran; commentary on 2:183.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Connects ritual validity with moral purpose without treating a spiritual argument as medical evidence.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85">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قرطبی نیت کے ساتھ شرعی امساک کو ممنوع افعال سے بچنے کی کامل اخلاقی تربیت سے ممتاز کرتے ہیں۔ وہ روزے کی پوشیدگی اور خواہش کی روک تھام کو اس کی خاص عبادتی اہمیت کی توضیح میں بھی بیان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قرطبی، الجامع لأحکام القرآن؛ تفسیرِ آیت 2:183۔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روحانی استدلال کو طبی شہادت بنائے بغیر عبادت کی صحت اور اخلاقی مقصد کا تعلق واضح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85">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5" w:name="ref_107"/>
            <w:pPr>
              <w:keepNext/>
              <w:widowControl/>
              <w:spacing w:after="20" w:before="0" w:lineRule="atLeast" w:line="250"/>
              <w:jc w:val="start"/>
              <w:bidi w:val="0"/>
            </w:pPr>
            <w:r>
              <w:rPr>
                <w:rFonts w:ascii="Calibri" w:hAnsi="Calibri" w:cs="Calibri" w:eastAsia="Calibri"/>
                <w:b/>
                <w:color w:val="21313F"/>
                <w:sz w:val="20"/>
                <w:szCs w:val="20"/>
                <w:lang w:val="en-GB" w:bidi="ar-SA"/>
              </w:rPr>
              <w:t>Reference 107  |  Levels of fasting and restraint after sunset</w:t>
            </w:r>
            <w:bookmarkEnd w:id="11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107  |  روزے کے مراتب اور افطار کے بعد ضبط</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Al-Ghazali distinguishes bodily abstention from guarding the senses and disciplining inward concern. He warns that overeating at the fast’s end frustrates its training in restraint.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Hamid al-Ghazali, Ihya, Book 6, Kitab Asrar al-Sawm; The Mysteries of Fasting, trans. Nabih Amin Faris, Sh. Muhammad Ashraf, Lahore, 1992 reprint, section II, pp. 23–27 (PDF leaves 11–13).</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These are the author’s spiritual grades, not additional universally agreed legal conditions. No medical outcome is inferred.</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Title and reprint details, section heading and cited pages visually inspected in the scan; no separate authentication of embedded reports claimed.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86">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غزالی جسمانی امساک، حواس کی حفاظت اور باطنی توجہ کی تربیت کو ممتاز کرتے ہیں۔ وہ متنبہ کرتے ہیں کہ افطار پر حد سے زیادہ کھانا ضبط کی تربیت کو نقصان پہنچاتا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حامد غزالی، احیاء، کتاب 6، کتاب اسرار الصوم؛ The Mysteries of Fasting، مترجم نبیہ امین فارِس، شیخ محمد اشرف، لاہور، اعادۂ اشاعت 1992، حصہ دوم، صفحات 23–27؛ پی ڈی ایف ورق 11–13۔</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مصنف کے روحانی مراتب ہیں، اضافی متفقہ قانونی شرائط نہیں۔ کوئی طبی نتیجہ اخذ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اسکین میں عنوان، اعادۂ اشاعت، حصے کا عنوان اور متعلقہ صفحات دیکھے گئے؛ ضمنی روایات کی الگ تصحیح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86">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6" w:name="topic_9"/>
            <w:pPr>
              <w:keepNext/>
              <w:widowControl/>
              <w:spacing w:after="20" w:before="0" w:lineRule="atLeast" w:line="250"/>
              <w:jc w:val="start"/>
              <w:bidi w:val="0"/>
            </w:pPr>
            <w:r>
              <w:rPr>
                <w:rFonts w:ascii="Calibri" w:hAnsi="Calibri" w:cs="Calibri" w:eastAsia="Calibri"/>
                <w:b/>
                <w:color w:val="21313F"/>
                <w:sz w:val="24"/>
                <w:szCs w:val="25"/>
                <w:lang w:val="en-GB" w:bidi="ar-SA"/>
              </w:rPr>
              <w:t>09  Zakat and charity: social responsibility</w:t>
            </w:r>
            <w:bookmarkEnd w:id="11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09  زکوٰۃ اور صدقات: معاشرتی ذمہ داری</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108–119</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108–119</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Spiritual and social effects below are textual aims or attributed interpretations unless expressly identified otherwise; they are not presented as measured outcomes for every worshipper.</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ذیل کے روحانی و معاشرتی اثرات نصوص کے مقاصد یا منسوب تعبیرات ہیں، جب تک اس کے خلاف صراحت نہ ہو؛ انہیں ہر عبادت گزار میں ناپے گئے نتائج نہیں کہا گیا۔</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7" w:name="ref_108"/>
            <w:pPr>
              <w:keepNext/>
              <w:widowControl/>
              <w:spacing w:after="20" w:before="0" w:lineRule="atLeast" w:line="250"/>
              <w:jc w:val="start"/>
              <w:bidi w:val="0"/>
            </w:pPr>
            <w:r>
              <w:rPr>
                <w:rFonts w:ascii="Calibri" w:hAnsi="Calibri" w:cs="Calibri" w:eastAsia="Calibri"/>
                <w:b/>
                <w:color w:val="21313F"/>
                <w:sz w:val="20"/>
                <w:szCs w:val="20"/>
                <w:lang w:val="en-GB" w:bidi="ar-SA"/>
              </w:rPr>
              <w:t>Reference 108  |  Giving as purification and growth</w:t>
            </w:r>
            <w:bookmarkEnd w:id="11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108  |  انفاق سے تطہیر و تزکیہ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تُطَهِّرُهُمْ وَتُزَكِّيهِم بِهَا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“wherewith thou mayst purify them and mayst make them grow,”</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Al-Tawbah (9), ayah 103.</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pronoun refers to the alms collected from their wealth. The verse relates economic giving to the giver’s spiritual formation.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87">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88">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«کہ اس سے تم ان کو (ظاہر میں بھی) پاک اور (باطن میں بھی) پاکیزہ کرتے ہو»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التوبہ (9)، آیت 103۔</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ضمیر ان کے مال سے لیے جانے والے صدقے کی طرف ہے۔ آیت مالی انفاق کو دینے والے کی روحانی تربیت سے متعلق کرتی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87">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88">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8" w:name="ref_109"/>
            <w:pPr>
              <w:keepNext/>
              <w:widowControl/>
              <w:spacing w:after="20" w:before="0" w:lineRule="atLeast" w:line="250"/>
              <w:jc w:val="start"/>
              <w:bidi w:val="0"/>
            </w:pPr>
            <w:r>
              <w:rPr>
                <w:rFonts w:ascii="Calibri" w:hAnsi="Calibri" w:cs="Calibri" w:eastAsia="Calibri"/>
                <w:b/>
                <w:color w:val="21313F"/>
                <w:sz w:val="20"/>
                <w:szCs w:val="20"/>
                <w:lang w:val="en-GB" w:bidi="ar-SA"/>
              </w:rPr>
              <w:t>Reference 109  |  Defined recipients of zakat</w:t>
            </w:r>
            <w:bookmarkEnd w:id="11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109  |  زکوٰۃ کے متعین مصارف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إِنَّمَا الصَّدَقَاتُ لِلْفُقَرَاءِ وَالْمَسَاكِينِ وَالْعَامِلِينَ عَلَيْهَا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 alms are only for the poor and the needy, and those who collect them,”</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Al-Tawbah (9), ayah 60.</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excerpt names the first three categories. The full verse also includes reconciliation of hearts, emancipation, debtors, God’s cause and travellers; precise applications are juristic questions.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8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9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«صدقات (یعنی زکوٰة وخیرات) تو مفلسوں اور محتاجوں اور کارکنان صدقات کا حق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التوبہ (9)، آیت 60۔</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اقتباس میں ابتدائی تین مصارف ہیں۔ پوری آیت میں تالیفِ قلوب، آزادی، قرض دار، فی سبیل اللہ اور مسافر بھی شامل ہیں؛ تفصیلی اطلاقات فقہی مسائل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8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9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19" w:name="ref_110"/>
            <w:pPr>
              <w:keepNext/>
              <w:widowControl/>
              <w:spacing w:after="20" w:before="0" w:lineRule="atLeast" w:line="250"/>
              <w:jc w:val="start"/>
              <w:bidi w:val="0"/>
            </w:pPr>
            <w:r>
              <w:rPr>
                <w:rFonts w:ascii="Calibri" w:hAnsi="Calibri" w:cs="Calibri" w:eastAsia="Calibri"/>
                <w:b/>
                <w:color w:val="21313F"/>
                <w:sz w:val="20"/>
                <w:szCs w:val="20"/>
                <w:lang w:val="en-GB" w:bidi="ar-SA"/>
              </w:rPr>
              <w:t>Reference 110  |  Distribution beyond an exclusive wealthy circuit</w:t>
            </w:r>
            <w:bookmarkEnd w:id="11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110  |  مال کی تقسیم، صرف دولت مندوں تک محدود نہیں</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كَيْ لَا يَكُونَ دُولَةً بَيْنَ الْأَغْنِيَاءِ مِنكُمْ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“that it become not a commodity between the rich among you.”</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Al-Hashr (59), ayah 7.</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immediate subject is fay revenue, not zakat. Broader economic applications must be labelled as inference rather than replacing the original fiscal context.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9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19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«تاکہ جو لوگ تم میں دولت مند ہیں ان ہی کے ہاتھوں میں نہ پھرتا رہے۔»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الحشر (59)، آیت 7۔</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فوری موضوع مالِ فَے ہے، زکوٰۃ نہیں۔ وسیع معاشی اطلاق کو استنباط کہا جائے اور اصل مالی سیاق برقرار رکھا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9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19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0" w:name="ref_111"/>
            <w:pPr>
              <w:keepNext/>
              <w:widowControl/>
              <w:spacing w:after="20" w:before="0" w:lineRule="atLeast" w:line="250"/>
              <w:jc w:val="start"/>
              <w:bidi w:val="0"/>
            </w:pPr>
            <w:r>
              <w:rPr>
                <w:rFonts w:ascii="Calibri" w:hAnsi="Calibri" w:cs="Calibri" w:eastAsia="Calibri"/>
                <w:b/>
                <w:color w:val="21313F"/>
                <w:sz w:val="20"/>
                <w:szCs w:val="20"/>
                <w:lang w:val="en-GB" w:bidi="ar-SA"/>
              </w:rPr>
              <w:t>Reference 111  |  Zakat in the mission to Muadh</w:t>
            </w:r>
            <w:bookmarkEnd w:id="12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111  |  معاذ رضی اللہ عنہ کی ماموریت میں زکوٰۃ</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تُؤْخَذُ مِنْ أَغْنِيَائِهِمْ وَتُرَدُّ عَلَى فُقَرَائِهِمْ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it is to be taken from the wealthy among them and given to the poor.”</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Zakat, hadith 1395; numbering: Sunnah.com. Narrator: Ibn Abbas.</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instructions for the Yemen mission proceed from testimony of faith to five prayers and obligatory almsgiving. This clause identifies a concrete redistributive function.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93">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94">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«جو ان کے مالدار لوگوں سے لے کر انہیں کے محتاجوں میں لوٹا دیا جائے گا۔»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الزکاۃ، حدیث 1395؛ ترقیم: سنہ ڈاٹ کام۔ راوی: ابن عباس۔</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یمن کی ماموریت کی ہدایات شہادتِ ایمان، پانچ نمازوں اور فرض مالی ادائیگی کی ترتیب بیان کرتی ہیں۔ یہ فقرہ دولت کی تقسیمِ نو کا عملی پہلو واضح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93">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94">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1" w:name="ref_112"/>
            <w:pPr>
              <w:keepNext/>
              <w:widowControl/>
              <w:spacing w:after="20" w:before="0" w:lineRule="atLeast" w:line="250"/>
              <w:jc w:val="start"/>
              <w:bidi w:val="0"/>
            </w:pPr>
            <w:r>
              <w:rPr>
                <w:rFonts w:ascii="Calibri" w:hAnsi="Calibri" w:cs="Calibri" w:eastAsia="Calibri"/>
                <w:b/>
                <w:color w:val="21313F"/>
                <w:sz w:val="20"/>
                <w:szCs w:val="20"/>
                <w:lang w:val="en-GB" w:bidi="ar-SA"/>
              </w:rPr>
              <w:t>Reference 112  |  Charity despite limited means</w:t>
            </w:r>
            <w:bookmarkEnd w:id="12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112  |  کم وسائل کے باوجود صدقہ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اتَّقُوا النَّارَ وَلَوْ بِشِقِّ تَمْرَةٍ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“Save yourself from Hell-fire even by giving half a date-fruit in charity.”</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Zakat, hadith 1417; numbering: Sunnah.com. Narrator: Adi ibn Hatim.</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Small resources do not exclude a person from voluntary charity. This is an exhortation, not a replacement for zakat’s distinct legal rules.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95">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96">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«جہنم کی آگ سے بچو اگرچہ تمہیں کھجور کا ایک ٹکڑا ہی صدقہ کرنا پڑے۔»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الزکاۃ، حدیث 1417؛ ترقیم: سنہ ڈاٹ کام۔ راوی: عدی بن حاتم۔</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کم وسائل نفلی صدقے میں شرکت سے مانع نہیں۔ یہ ترغیب ہے، زکوٰۃ کے جداگانہ قانونی احکام کا بدل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95">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96">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2" w:name="ref_113"/>
            <w:pPr>
              <w:keepNext/>
              <w:widowControl/>
              <w:spacing w:after="20" w:before="0" w:lineRule="atLeast" w:line="250"/>
              <w:jc w:val="start"/>
              <w:bidi w:val="0"/>
            </w:pPr>
            <w:r>
              <w:rPr>
                <w:rFonts w:ascii="Calibri" w:hAnsi="Calibri" w:cs="Calibri" w:eastAsia="Calibri"/>
                <w:b/>
                <w:color w:val="21313F"/>
                <w:sz w:val="20"/>
                <w:szCs w:val="20"/>
                <w:lang w:val="en-GB" w:bidi="ar-SA"/>
              </w:rPr>
              <w:t>Reference 113  |  Discretion in charitable giving</w:t>
            </w:r>
            <w:bookmarkEnd w:id="12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113  |  صدقے میں اخفا</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حَتَّى لاَ تَعْلَمَ شِمَالُهُ مَا تُنْفِقُ يَمِينُهُ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“that his left hand does not know what his right hand has given”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Zakat, hadith 1423;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preceding clause describes a person concealing charity, one of seven promised shade. The image emphasizes sincerity and discretion rather than a literal separation of knowledge between hands.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97">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198">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«کہ بائیں ہاتھ کو بھی خبر نہ ہو کہ داہنے ہاتھ نے کیا خرچ کیا»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الزکاۃ، حدیث 1423؛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اس سے پہلے پوشیدہ صدقہ کرنے والے شخص کا ذکر ہے، جو سایے کے وعدے والے سات افراد میں شامل ہے۔ تمثیل اخلاص اور اخفا کی تاکید ہے، ہاتھوں کے علم کی حقیقی تقسیم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97">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198">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3" w:name="ref_114"/>
            <w:pPr>
              <w:keepNext/>
              <w:widowControl/>
              <w:spacing w:after="20" w:before="0" w:lineRule="atLeast" w:line="250"/>
              <w:jc w:val="start"/>
              <w:bidi w:val="0"/>
            </w:pPr>
            <w:r>
              <w:rPr>
                <w:rFonts w:ascii="Calibri" w:hAnsi="Calibri" w:cs="Calibri" w:eastAsia="Calibri"/>
                <w:b/>
                <w:color w:val="21313F"/>
                <w:sz w:val="20"/>
                <w:szCs w:val="20"/>
                <w:lang w:val="en-GB" w:bidi="ar-SA"/>
              </w:rPr>
              <w:t>Reference 114  |  Fitr charity before the Eid prayer</w:t>
            </w:r>
            <w:bookmarkEnd w:id="12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114  |  نمازِ عید سے پہلے صدقۂ فطر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وَأَمَرَ بِهَا أَنْ تُؤَدَّى قَبْلَ خُرُوجِ النَّاسِ إِلَى الصَّلاَةِ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he ordered that it be paid before the people went out to offer the `Id prayer.”</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Zakat, hadith 1503; numbering: Sunnah.com. Narrator: Ibn Umar.</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also specifies a sa of dates or barley and the Muslim persons covered. Modern kilogram equivalents and cash-payment rulings are not part of the Arabic report.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99">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00">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«نماز (عید) کے لیے جانے سے پہلے یہ صدقہ ادا کر دیا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الزکاۃ، حدیث 1503؛ ترقیم: سنہ ڈاٹ کام۔ راوی: ابن عمر۔</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کھجور یا جو کا ایک صاع اور متعلقہ مسلمان افراد بھی بیان کرتی ہے۔ جدید کلوگرام کی مقدار اور نقد ادائیگی کے احکام عربی روایت کا حصہ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99">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00">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4" w:name="ref_115"/>
            <w:pPr>
              <w:keepNext/>
              <w:widowControl/>
              <w:spacing w:after="20" w:before="0" w:lineRule="atLeast" w:line="250"/>
              <w:jc w:val="start"/>
              <w:bidi w:val="0"/>
            </w:pPr>
            <w:r>
              <w:rPr>
                <w:rFonts w:ascii="Calibri" w:hAnsi="Calibri" w:cs="Calibri" w:eastAsia="Calibri"/>
                <w:b/>
                <w:color w:val="21313F"/>
                <w:sz w:val="20"/>
                <w:szCs w:val="20"/>
                <w:lang w:val="en-GB" w:bidi="ar-SA"/>
              </w:rPr>
              <w:t>Reference 115  |  Abu Bakr’s argument about zakat</w:t>
            </w:r>
            <w:bookmarkEnd w:id="12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115  |  زکوٰۃ کے متعلق ابوبکر رضی اللہ عنہ کا استدلال</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فَإِنَّ الزَّكَاةَ حَقُّ الْمَالِ</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“as Zakat is the compulsory right to be taken from the property (according to Allah's orders)”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Book of Zakat, combined report 1399–1400 in Sunnah.com numbering. Narrator: Abu Hurayrah; quoted speaker: Abu Bakr. Urdu continuation: IslamicUrduBooks 1400.</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records a post-Prophetic dispute over fighting groups withholding zakat, including Umar’s initial objection. It documents early public enforcement, not permission for private violence or an automatic modern analogy.</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01">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02">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«کیونکہ زکوٰۃ مال کا حق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الزکاۃ، سنہ ڈاٹ کام کی مشترک روایت ۱۳۹۹–۱۴۰۰۔ راوی: ابوہریرہ؛ نقل کردہ کلام ابوبکر رضی اللہ عنہ کا ہے۔ اردو تسلسل: اسلامی اردو بکس ۱۴۰۰۔</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وفاتِ نبوی کے بعد زکوٰۃ روکنے والے گروہوں سے قتال کی بحث اور عمر رضی اللہ عنہ کا ابتدائی اعتراض بیان کرتی ہے۔ یہ ابتدائی سرکاری نفاذ کا تاریخی بیان ہے، نجی تشدد یا خودکار جدید قیاس کی اجازت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01">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02">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5" w:name="ref_116"/>
            <w:pPr>
              <w:keepNext/>
              <w:widowControl/>
              <w:spacing w:after="20" w:before="0" w:lineRule="atLeast" w:line="250"/>
              <w:jc w:val="start"/>
              <w:bidi w:val="0"/>
            </w:pPr>
            <w:r>
              <w:rPr>
                <w:rFonts w:ascii="Calibri" w:hAnsi="Calibri" w:cs="Calibri" w:eastAsia="Calibri"/>
                <w:b/>
                <w:color w:val="21313F"/>
                <w:sz w:val="20"/>
                <w:szCs w:val="20"/>
                <w:lang w:val="en-GB" w:bidi="ar-SA"/>
              </w:rPr>
              <w:t>Reference 116  |  Umar’s endowment: preserving capital, sharing benefit</w:t>
            </w:r>
            <w:bookmarkEnd w:id="12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116  |  عمر رضی اللہ عنہ کا وقف: اصل محفوظ، فائدہ تقسیم</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 شِئْتَ حَبَسْتَ أَصْلَهَا، وَتَصَدَّقْتَ بِهَا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“If you like you can give the land as endowment and give its fruits in charity.”</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Conditions, hadith 2737; numbering: Sunnah.com. Narrator: Ibn Umar.</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Umar’s implementation prevents sale, gift and inheritance of the endowed property and directs its yield to named beneficiaries. This is an authenticated precedent for waqf, distinct from obligatory zakat.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03">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04">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«اگر جی چاہے تو اصل زمین اپنے ملکیت میں باقی رکھ اور پیداوار صدقہ کر دے۔»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الشروط، حدیث 2737؛ ترقیم: سنہ ڈاٹ کام۔ راوی: ابن عمر۔</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عمر رضی اللہ عنہ کے عملی وقف میں اصل کی فروخت، ہبہ اور وراثت روکی گئی اور آمدنی مخصوص مستحقین کے لیے رکھی گئی۔ یہ وقف کی صحیح روایت پر مبنی مثال ہے، فرض زکوٰۃ سے الگ۔</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03">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04">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6" w:name="ref_117"/>
            <w:pPr>
              <w:keepNext/>
              <w:widowControl/>
              <w:spacing w:after="20" w:before="0" w:lineRule="atLeast" w:line="250"/>
              <w:jc w:val="start"/>
              <w:bidi w:val="0"/>
            </w:pPr>
            <w:r>
              <w:rPr>
                <w:rFonts w:ascii="Calibri" w:hAnsi="Calibri" w:cs="Calibri" w:eastAsia="Calibri"/>
                <w:b/>
                <w:color w:val="21313F"/>
                <w:sz w:val="20"/>
                <w:szCs w:val="20"/>
                <w:lang w:val="en-GB" w:bidi="ar-SA"/>
              </w:rPr>
              <w:t>Reference 117  |  Zakat recipients and distribution: juristic disagreement</w:t>
            </w:r>
            <w:bookmarkEnd w:id="12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117  |  مصارفِ زکوٰۃ اور تقسیم: فقہی اختلاف</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In the second discussion, al-Qurtubi contrasts the position allowing distribution within the listed eligible categories with al-Shafii’s insistence on allocation among the named categories. Eligibility and the method of distribution are distinct juristic questions.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Al-Qurtubi, Al-Jami li-ahkam al-Quran; commentary on 9:60.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Shows that a clear scriptural list can still generate detailed legal disagreement; this is not a personalised zakat ruling.</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05">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دوسرے مسئلے میں قرطبی درج شدہ مستحق اصناف کے اندر تقسیم کی گنجائش والے مؤقف کا امام شافعی کے اصناف میں حصہ رسانی پر اصرار سے تقابل کرتے ہیں۔ استحقاق اور طریقۂ تقسیم دو مختلف فقہی سوال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قرطبی، الجامع لأحکام القرآن؛ تفسیرِ آیت 9:60۔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واضح نصی فہرست کے باوجود تفصیلی فقہی اختلاف کی مثال ہے؛ یہ کسی فرد کے لیے زکوٰۃ کا فتویٰ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05">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7" w:name="ref_118"/>
            <w:pPr>
              <w:keepNext/>
              <w:widowControl/>
              <w:spacing w:after="20" w:before="0" w:lineRule="atLeast" w:line="250"/>
              <w:jc w:val="start"/>
              <w:bidi w:val="0"/>
            </w:pPr>
            <w:r>
              <w:rPr>
                <w:rFonts w:ascii="Calibri" w:hAnsi="Calibri" w:cs="Calibri" w:eastAsia="Calibri"/>
                <w:b/>
                <w:color w:val="21313F"/>
                <w:sz w:val="20"/>
                <w:szCs w:val="20"/>
                <w:lang w:val="en-GB" w:bidi="ar-SA"/>
              </w:rPr>
              <w:t>Reference 118  |  Local distribution and transfer of zakat</w:t>
            </w:r>
            <w:bookmarkEnd w:id="12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118  |  مقامی تقسیم اور زکوٰۃ کی منتقلی</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commentary / juristic discussion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Al-Hammad prefers distributing zakat among the poor of the collection area in ordinary circumstances, while allowing transfer for need or a relevant benefit. He discusses differing readings of al-Bukhari’s chapter arrangement.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Abd al-Sattar al-Hammad, Hidayat al-Qari, under Bukhari 1496, points 1–2; displayed on the access page for hadith 1395.</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An attributed juristic discussion of delivery priorities, not a universal ban on transferring zakat.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194">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شرحِ حدیث / فقہی بحث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حماد عام حالات میں زکوٰۃ اسی علاقے کے فقراء میں تقسیم کرنے کو بہتر سمجھتے ہیں جہاں سے وصول ہوئی، مگر ضرورت یا مصلحت کے لیے منتقلی کی گنجائش دیتے ہیں۔ وہ بخاری کی تبویب کی مختلف تعبیرات بھی بیان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عبد الستار الحماد، ہدایۃ القاری، بخاری 1496 کے تحت، نکات 1–2؛ حدیث 1395 کے رسائی صفحے پر موجود۔</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تقسیم کی ترجیحات پر منسوب فقہی بحث ہے، منتقلی کی مطلق ممانعت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194">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8" w:name="ref_119"/>
            <w:pPr>
              <w:keepNext/>
              <w:widowControl/>
              <w:spacing w:after="20" w:before="0" w:lineRule="atLeast" w:line="250"/>
              <w:jc w:val="start"/>
              <w:bidi w:val="0"/>
            </w:pPr>
            <w:r>
              <w:rPr>
                <w:rFonts w:ascii="Calibri" w:hAnsi="Calibri" w:cs="Calibri" w:eastAsia="Calibri"/>
                <w:b/>
                <w:color w:val="21313F"/>
                <w:sz w:val="20"/>
                <w:szCs w:val="20"/>
                <w:lang w:val="en-GB" w:bidi="ar-SA"/>
              </w:rPr>
              <w:t>Reference 119  |  Giving as discipline against avarice</w:t>
            </w:r>
            <w:bookmarkEnd w:id="12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119  |  انفاق بطور بخل کی اصلاح</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Al-Ghazali treats giving as a repeated practice that loosens attachment to wealth. He also discusses urgent communal need beyond a donor’s fulfilment of the fixed zakat obligation, recording disagreement about the form of assistance.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Hamid al-Ghazali, Ihya, Book 5, Kitab Asrar al-Zakah; The Mysteries of Almsgiving, trans. Nabih Amin Faris, Sh. Muhammad Ashraf, Lahore, pp. 28–29 (PDF leaf 19); publication year not verified.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Connects a financial duty with character formation; the wider legal discussion is attributed, not stated as unanimous.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Title page, translator, publisher and cited printed pages inspected in the scan. Publication year unverified.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06">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غزالی انفاق کو مال کی محبت کم کرنے والی مسلسل مشق سمجھتے ہیں۔ وہ مقررہ زکوٰۃ ادا ہونے کے بعد بھی فوری اجتماعی ضرورت کی بحث کرتے اور امداد کی صورت کے بارے میں اختلاف نقل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حامد غزالی، احیاء، کتاب 5، کتاب اسرار الزکاة؛ The Mysteries of Almsgiving، مترجم نبیہ امین فارِس، شیخ محمد اشرف، لاہور، صفحات 28–29؛ پی ڈی ایف ورق 19۔ سنِ اشاعت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مالی فریضے کو اخلاقی تربیت سے جوڑتا ہے؛ وسیع فقہی بحث منسوب ہے، اجماعی نہیں بتائی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اسکین میں سرورق، مترجم، ناشر اور متعلقہ مطبوعہ صفحات دیکھے گئے۔ سنِ اشاعت غیر مصدقہ ہے۔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06">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29" w:name="topic_10"/>
            <w:pPr>
              <w:keepNext/>
              <w:widowControl/>
              <w:spacing w:after="20" w:before="0" w:lineRule="atLeast" w:line="250"/>
              <w:jc w:val="start"/>
              <w:bidi w:val="0"/>
            </w:pPr>
            <w:r>
              <w:rPr>
                <w:rFonts w:ascii="Calibri" w:hAnsi="Calibri" w:cs="Calibri" w:eastAsia="Calibri"/>
                <w:b/>
                <w:color w:val="21313F"/>
                <w:sz w:val="24"/>
                <w:szCs w:val="25"/>
                <w:lang w:val="en-GB" w:bidi="ar-SA"/>
              </w:rPr>
              <w:t>10  Hajj and sacrifice: devotion, equality and community</w:t>
            </w:r>
            <w:bookmarkEnd w:id="12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10  حج اور قربانی: بندگی، مساوات اور اجتماعیت</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120–126</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120–126</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Spiritual and social effects below are textual aims or attributed interpretations unless expressly identified otherwise; they are not presented as measured outcomes for every worshipper.</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ذیل کے روحانی و معاشرتی اثرات نصوص کے مقاصد یا منسوب تعبیرات ہیں، جب تک اس کے خلاف صراحت نہ ہو؛ انہیں ہر عبادت گزار میں ناپے گئے نتائج نہیں کہا گیا۔</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0" w:name="ref_120"/>
            <w:pPr>
              <w:keepNext/>
              <w:widowControl/>
              <w:spacing w:after="20" w:before="0" w:lineRule="atLeast" w:line="250"/>
              <w:jc w:val="start"/>
              <w:bidi w:val="0"/>
            </w:pPr>
            <w:r>
              <w:rPr>
                <w:rFonts w:ascii="Calibri" w:hAnsi="Calibri" w:cs="Calibri" w:eastAsia="Calibri"/>
                <w:b/>
                <w:color w:val="21313F"/>
                <w:sz w:val="20"/>
                <w:szCs w:val="20"/>
                <w:lang w:val="en-GB" w:bidi="ar-SA"/>
              </w:rPr>
              <w:t>Reference 120  |  Sacrifice and inward devotion</w:t>
            </w:r>
            <w:bookmarkEnd w:id="13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120  |  قربانی اور باطنی تقویٰ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وَلَٰكِن يَنَالُهُ التَّقْوَىٰ مِنكُمْ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“but the devotion from you reacheth Him.”</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Al-Hajj (22), ayah 37.</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surrounding contrast concerns sacrificial flesh and blood. The point is devotion, not a material need on God’s part. Only the checked, unproblematic clause is reproduced.</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07">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08">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«بلکہ اس تک تمہاری پرہیزگاری پہنچتی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الحج (22)، آیت 37۔</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سیاق میں قربانی کے گوشت اور خون سے تقابل ہے۔ اصل مقصود تقویٰ ہے، اللہ کی کوئی مادی ضرورت نہیں۔ صرف جانچا ہوا غیر مشتبہ فقرہ نقل کیا گیا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07">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08">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1" w:name="ref_121"/>
            <w:pPr>
              <w:keepNext/>
              <w:widowControl/>
              <w:spacing w:after="20" w:before="0" w:lineRule="atLeast" w:line="250"/>
              <w:jc w:val="start"/>
              <w:bidi w:val="0"/>
            </w:pPr>
            <w:r>
              <w:rPr>
                <w:rFonts w:ascii="Calibri" w:hAnsi="Calibri" w:cs="Calibri" w:eastAsia="Calibri"/>
                <w:b/>
                <w:color w:val="21313F"/>
                <w:sz w:val="20"/>
                <w:szCs w:val="20"/>
                <w:lang w:val="en-GB" w:bidi="ar-SA"/>
              </w:rPr>
              <w:t>Reference 121  |  The call to pilgrimage</w:t>
            </w:r>
            <w:bookmarkEnd w:id="13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121  |  حج کی عمومی دعوت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وَأَذِّن فِي النَّاسِ بِالْحَجِّ</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proclaim unto mankind the pilgrimage.”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Al-Hajj (22), ayah 27.</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continuation describes arrivals by foot and mount from distant routes, providing the scriptural setting for pilgrimage as a gathering across distance.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0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1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لوگوں میں حج کے لئے ندا کر دو»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الحج (22)، آیت 27۔</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آگے دور دراز راستوں سے پیدل اور سواری پر آنے کا ذکر ہے؛ فاصلے عبور کرکے جمع ہونے کی عبادت کی نصی بنیاد فراہم ہوتی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0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1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2" w:name="ref_122"/>
            <w:pPr>
              <w:keepNext/>
              <w:widowControl/>
              <w:spacing w:after="20" w:before="0" w:lineRule="atLeast" w:line="250"/>
              <w:jc w:val="start"/>
              <w:bidi w:val="0"/>
            </w:pPr>
            <w:r>
              <w:rPr>
                <w:rFonts w:ascii="Calibri" w:hAnsi="Calibri" w:cs="Calibri" w:eastAsia="Calibri"/>
                <w:b/>
                <w:color w:val="21313F"/>
                <w:sz w:val="20"/>
                <w:szCs w:val="20"/>
                <w:lang w:val="en-GB" w:bidi="ar-SA"/>
              </w:rPr>
              <w:t>Reference 122  |  Ethical discipline during Hajj</w:t>
            </w:r>
            <w:bookmarkEnd w:id="13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122  |  حج میں اخلاقی ضبط</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فَلَا رَفَثَ وَلَا فُسُوقَ وَلَا جِدَالَ فِي الْحَجِّ</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“there is (to be) no lewdness nor abuse nor angry conversation on the pilgrimage.”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Al-Baqarah (2), ayah 197.</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Places restraints on sexual conduct, wrongdoing and quarrelling within the pilgrimage. A change of place does not suspend moral obligations.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1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1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«تو حج (کے دنوں) میں نہ عورتوں سے اختلاط کرے نہ کوئی برا کام کرے نہ کسی سے جھگڑے۔»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البقرہ (2)، آیت 197۔</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حج میں جنسی تعلق، برائی اور جھگڑے پر ضبط کا تقاضا ہے۔ مقام کی تبدیلی اخلاقی ذمہ داری ختم نہیں کرتی۔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1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1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3" w:name="ref_123"/>
            <w:pPr>
              <w:keepNext/>
              <w:widowControl/>
              <w:spacing w:after="20" w:before="0" w:lineRule="atLeast" w:line="250"/>
              <w:jc w:val="start"/>
              <w:bidi w:val="0"/>
            </w:pPr>
            <w:r>
              <w:rPr>
                <w:rFonts w:ascii="Calibri" w:hAnsi="Calibri" w:cs="Calibri" w:eastAsia="Calibri"/>
                <w:b/>
                <w:color w:val="21313F"/>
                <w:sz w:val="20"/>
                <w:szCs w:val="20"/>
                <w:lang w:val="en-GB" w:bidi="ar-SA"/>
              </w:rPr>
              <w:t>Reference 123  |  The reward of an accepted Hajj</w:t>
            </w:r>
            <w:bookmarkEnd w:id="13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123  |  حجِ مبرور کا اجر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وَالْحَجُّ الْمَبْرُورُ لَيْسَ لَهُ جَزَاءٌ إِلاَّ الْجَنَّةُ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the reward of Hajj Mabrur (the one accepted by Allah) is nothing except Paradise.”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Umrah, hadith 1773;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distinguishes successive umrahs as expiation from the reward of Hajj mabrur. Acceptance is a religious qualification, not guaranteed by travel alone.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13">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14">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حج مبرور کی جزا جنت کے سوا اور کچھ نہیں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العمرۃ، حدیث 1773؛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مولانا داود راز کا ترجمہ؛ رسائی: اسلامی اردو بکس، صحیح بخاری ۱۷۷۳۔</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متواتر عمروں کے کفارے اور حجِ مبرور کے اجر میں فرق کرتی ہے۔ مقبولیت دینی شرط ہے، محض سفر سے یقینی نہیں ہو جاتی۔</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13">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14">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4" w:name="ref_124"/>
            <w:pPr>
              <w:keepNext/>
              <w:widowControl/>
              <w:spacing w:after="20" w:before="0" w:lineRule="atLeast" w:line="250"/>
              <w:jc w:val="start"/>
              <w:bidi w:val="0"/>
            </w:pPr>
            <w:r>
              <w:rPr>
                <w:rFonts w:ascii="Calibri" w:hAnsi="Calibri" w:cs="Calibri" w:eastAsia="Calibri"/>
                <w:b/>
                <w:color w:val="21313F"/>
                <w:sz w:val="20"/>
                <w:szCs w:val="20"/>
                <w:lang w:val="en-GB" w:bidi="ar-SA"/>
              </w:rPr>
              <w:t>Reference 124  |  Hajj and moral renewal</w:t>
            </w:r>
            <w:bookmarkEnd w:id="13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124  |  حج اور اخلاقی تجدید</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رَجَعَ كَيَوْمِ وَلَدَتْهُ أُمُّهُ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“then he will return (after Hajj free from all sins) as if he were born anew.”</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Hajj, hadith 1521;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preceding conditions are Hajj for Allah and abstention from sexual misconduct and sin. The promise is conditional and should not erase obligations owed to other people.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15">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16">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«تو وہ اس دن کی طرح واپس ہو گا جیسے اس کی ماں نے اسے جنا تھا۔»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الحج، حدیث 1521؛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مولانا داود راز کا ترجمہ؛ رسائی: اسلامی اردو بکس، صحیح بخاری ۱۵۲۱۔</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پہلے اللہ کے لیے حج اور رفث و فسق سے بچنے کی شرائط ہیں۔ وعدہ مشروط ہے اور اسے دوسرے انسانوں کے حقوق مٹانے کا جواز نہ بنایا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15">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16">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5" w:name="ref_125"/>
            <w:pPr>
              <w:keepNext/>
              <w:widowControl/>
              <w:spacing w:after="20" w:before="0" w:lineRule="atLeast" w:line="250"/>
              <w:jc w:val="start"/>
              <w:bidi w:val="0"/>
            </w:pPr>
            <w:r>
              <w:rPr>
                <w:rFonts w:ascii="Calibri" w:hAnsi="Calibri" w:cs="Calibri" w:eastAsia="Calibri"/>
                <w:b/>
                <w:color w:val="21313F"/>
                <w:sz w:val="20"/>
                <w:szCs w:val="20"/>
                <w:lang w:val="en-GB" w:bidi="ar-SA"/>
              </w:rPr>
              <w:t>Reference 125  |  Sacrifice, remembrance and sincerity</w:t>
            </w:r>
            <w:bookmarkEnd w:id="13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125  |  قربانی، یادِ الٰہی اور اخلاص</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explains sacrifice as an occasion to remember the Creator and Provider. Acceptance concerns sincere obedience and taqwa, not material flesh or blood reaching God, who is independent of creation.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22:37.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Preserves the ritual while rejecting a material understanding of what God receives.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17">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قربانی کو خالق اور رازق کی یاد کا موقع قرار دیتے ہیں۔ قبولیت کا تعلق مخلصانہ اطاعت اور تقویٰ سے ہے، گوشت یا خون کے مادی طور پر اللہ تک پہنچنے سے نہیں؛ وہ مخلوق سے بے نیاز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22:37۔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عبادت کی صورت برقرار رکھتے ہوئے اللہ کے وصول کرنے کا مادی مفہوم رد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17">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6" w:name="ref_126"/>
            <w:pPr>
              <w:keepNext/>
              <w:widowControl/>
              <w:spacing w:after="20" w:before="0" w:lineRule="atLeast" w:line="250"/>
              <w:jc w:val="start"/>
              <w:bidi w:val="0"/>
            </w:pPr>
            <w:r>
              <w:rPr>
                <w:rFonts w:ascii="Calibri" w:hAnsi="Calibri" w:cs="Calibri" w:eastAsia="Calibri"/>
                <w:b/>
                <w:color w:val="21313F"/>
                <w:sz w:val="20"/>
                <w:szCs w:val="20"/>
                <w:lang w:val="en-GB" w:bidi="ar-SA"/>
              </w:rPr>
              <w:t>Reference 126  |  Pilgrimage as remembrance of accountability</w:t>
            </w:r>
            <w:bookmarkEnd w:id="13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126  |  حج بطور یادِ آخرت</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Classical or modern scholarship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Al-Ghazali reads talbiyah as answering God’s call with hope and humility. He interprets the varied crowds at Arafat as an occasion to remember resurrection and collective accountability.</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Abu Hamid al-Ghazali, Ihya, Book 7, Kitab Asrar al-Hajj; Ibrahim Umar’s English translation, June 1975, chapter 3, inward acts, numbered discussions 10 and 17; Ghazali.org HTML text.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An attributed symbolic interpretation. Surrounding anecdotes and claims about saints are not presented as authenticated Hadith or universally shared doctrine.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18">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قدیم یا جدید علمی مباحث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غزالی تلبیہ کو امید اور عاجزی کے ساتھ اللہ کی پکار کا جواب سمجھتے ہیں۔ وہ عرفات کے متنوع اجتماع کو حشر اور اجتماعی جواب دہی یاد کرنے کا موقع قرار دیتے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ابو حامد غزالی، احیاء، کتاب 7، کتاب اسرار الحج؛ ابراہیم عمر کا انگریزی ترجمہ، جون 1975، باب 3، باطنی اعمال، مباحث 10 اور 17؛ غزالی ڈاٹ آرگ کا برقی متن۔</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منسوب علامتی تعبیر ہے۔ آس پاس کے حکایات اور اولیاء سے متعلق دعوے صحیح حدیث یا متفقہ عقیدہ نہیں بنائے گئے۔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18">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7" w:name="topic_11"/>
            <w:pPr>
              <w:keepNext/>
              <w:widowControl/>
              <w:spacing w:after="20" w:before="0" w:lineRule="atLeast" w:line="250"/>
              <w:jc w:val="start"/>
              <w:bidi w:val="0"/>
            </w:pPr>
            <w:r>
              <w:rPr>
                <w:rFonts w:ascii="Calibri" w:hAnsi="Calibri" w:cs="Calibri" w:eastAsia="Calibri"/>
                <w:b/>
                <w:color w:val="21313F"/>
                <w:sz w:val="24"/>
                <w:szCs w:val="25"/>
                <w:lang w:val="en-GB" w:bidi="ar-SA"/>
              </w:rPr>
              <w:t>11  Worship in conduct: family, society and practical precedents</w:t>
            </w:r>
            <w:bookmarkEnd w:id="13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4"/>
                <w:szCs w:val="25"/>
                <w:lang w:val="ur-PK" w:bidi="ur-PK"/>
                <w:rtl w:val="1"/>
                <w:bCs/>
              </w:rPr>
              <w:t>11  عبادت کے عملی تقاضے: خاندان، معاشرہ اور واقعاتی شواہد</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References 127–150</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حوالے 127–150</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8" w:name="ref_127"/>
            <w:pPr>
              <w:keepNext/>
              <w:widowControl/>
              <w:spacing w:after="20" w:before="0" w:lineRule="atLeast" w:line="250"/>
              <w:jc w:val="start"/>
              <w:bidi w:val="0"/>
            </w:pPr>
            <w:r>
              <w:rPr>
                <w:rFonts w:ascii="Calibri" w:hAnsi="Calibri" w:cs="Calibri" w:eastAsia="Calibri"/>
                <w:b/>
                <w:color w:val="21313F"/>
                <w:sz w:val="20"/>
                <w:szCs w:val="20"/>
                <w:lang w:val="en-GB" w:bidi="ar-SA"/>
              </w:rPr>
              <w:t>Reference 127  |  Faith, action and mutual moral support</w:t>
            </w:r>
            <w:bookmarkEnd w:id="13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127  |  ایمان، عمل اور باہمی اخلاقی تعاون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إِلَّا الَّذِينَ آمَنُوا وَعَمِلُوا الصَّالِحَاتِ وَتَوَاصَوْا بِالْحَقِّ وَتَوَاصَوْا بِالصَّبْرِ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“Save those who believe and do good works, and exhort one another to truth and exhort one another to endurance.”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Al-Asr (103), ayah 3.</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exception to human loss in the preceding verses combines personal commitment with mutual encouragement in truth and perseverance.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1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2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«مگر وہ لوگ جو ایمان لائے اور نیک عمل کرتے رہے اور آپس میں حق (بات) کی تلقین اور صبر کی تاکید کرتے رہے»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العصر (103)، آیت 3۔</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پچھلی آیات کے بیان کردہ انسانی خسارے سے استثنا میں ذاتی ایمان و عمل کے ساتھ باہمی تلقینِ حق و صبر بھی شامل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1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2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39" w:name="ref_128"/>
            <w:pPr>
              <w:keepNext/>
              <w:widowControl/>
              <w:spacing w:after="20" w:before="0" w:lineRule="atLeast" w:line="250"/>
              <w:jc w:val="start"/>
              <w:bidi w:val="0"/>
            </w:pPr>
            <w:r>
              <w:rPr>
                <w:rFonts w:ascii="Calibri" w:hAnsi="Calibri" w:cs="Calibri" w:eastAsia="Calibri"/>
                <w:b/>
                <w:color w:val="21313F"/>
                <w:sz w:val="20"/>
                <w:szCs w:val="20"/>
                <w:lang w:val="en-GB" w:bidi="ar-SA"/>
              </w:rPr>
              <w:t>Reference 128  |  Worship integrated with social duties</w:t>
            </w:r>
            <w:bookmarkEnd w:id="13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128  |  عبادت کے ساتھ معاشرتی فرائض</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وَاعْبُدُوا اللَّهَ وَلَا تُشْرِكُوا بِهِ شَيْئًا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serve Allah. Ascribe no thing as partner unto Him.”</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Al-Nisa (4), ayah 36.</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same verse proceeds to parents, relatives, orphans, needy people, neighbours, companions, travellers and those under one’s authority. The social connection belongs to the verse’s context.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21">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22">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خدا ہی کی عبادت کرو اور اس کے ساتھ کسی چیز کو شریک نہ بناؤ»</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النساء (4)، آیت 36۔</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اسی آیت میں آگے والدین، اقربا، یتیم، محتاج، ہمسائے، ساتھی، مسافر اور زیرِ اختیار افراد کا ذکر ہے۔ یہ معاشرتی تعلق آیت ہی کے سیاق کا حصہ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21">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22">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0" w:name="ref_129"/>
            <w:pPr>
              <w:keepNext/>
              <w:widowControl/>
              <w:spacing w:after="20" w:before="0" w:lineRule="atLeast" w:line="250"/>
              <w:jc w:val="start"/>
              <w:bidi w:val="0"/>
            </w:pPr>
            <w:r>
              <w:rPr>
                <w:rFonts w:ascii="Calibri" w:hAnsi="Calibri" w:cs="Calibri" w:eastAsia="Calibri"/>
                <w:b/>
                <w:color w:val="21313F"/>
                <w:sz w:val="20"/>
                <w:szCs w:val="20"/>
                <w:lang w:val="en-GB" w:bidi="ar-SA"/>
              </w:rPr>
              <w:t>Reference 129  |  Small assistance and the critique of display</w:t>
            </w:r>
            <w:bookmarkEnd w:id="14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129  |  معمولی مدد اور ریاکاری کی مذمت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وَيَمْنَعُونَ الْمَاعُونَ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“Yet refuse small kindnesses!”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Al-Maun (107), ayah 7.</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surah’s closing rebuke links performative religiosity with refusal of assistance. The range of maun is discussed in tafsir.</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23">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24">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برتنے کی چیزیں عاریتہً نہیں دیتے»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الماعون (107)، آیت 7۔</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سورت کا آخری ملامتی بیان نمائشی دینداری کو مدد روکنے سے جوڑتا ہے۔ ماعون کے مفہومی دائرے کی تفصیل تفسیر میں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23">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24">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1" w:name="ref_130"/>
            <w:pPr>
              <w:keepNext/>
              <w:widowControl/>
              <w:spacing w:after="20" w:before="0" w:lineRule="atLeast" w:line="250"/>
              <w:jc w:val="start"/>
              <w:bidi w:val="0"/>
            </w:pPr>
            <w:r>
              <w:rPr>
                <w:rFonts w:ascii="Calibri" w:hAnsi="Calibri" w:cs="Calibri" w:eastAsia="Calibri"/>
                <w:b/>
                <w:color w:val="21313F"/>
                <w:sz w:val="20"/>
                <w:szCs w:val="20"/>
                <w:lang w:val="en-GB" w:bidi="ar-SA"/>
              </w:rPr>
              <w:t>Reference 130  |  Consistency between profession and conduct</w:t>
            </w:r>
            <w:bookmarkEnd w:id="14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130  |  قول اور عمل میں مطابقت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كَبُرَ مَقْتًا عِندَ اللَّهِ أَن تَقُولُوا مَا لَا تَفْعَلُونَ</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Complete ayah</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“It is most hateful in the sight of Allah that ye say that which ye do not.”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Al-Saff (61), ayah 3.</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 direct criticism of saying without doing, useful for assessing the ethical credibility of religious claims.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25">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26">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مکمل آیت</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«خدا اس بات سے سخت بیزار ہے کہ ایسی بات کہو جو کرو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الصف (61)، آیت 3۔</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کہنے اور نہ کرنے پر براہِ راست تنقید ہے؛ دینی دعووں کی اخلاقی ساکھ پر بحث میں مفید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25">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26">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2" w:name="ref_131"/>
            <w:pPr>
              <w:keepNext/>
              <w:widowControl/>
              <w:spacing w:after="20" w:before="0" w:lineRule="atLeast" w:line="250"/>
              <w:jc w:val="start"/>
              <w:bidi w:val="0"/>
            </w:pPr>
            <w:r>
              <w:rPr>
                <w:rFonts w:ascii="Calibri" w:hAnsi="Calibri" w:cs="Calibri" w:eastAsia="Calibri"/>
                <w:b/>
                <w:color w:val="21313F"/>
                <w:sz w:val="20"/>
                <w:szCs w:val="20"/>
                <w:lang w:val="en-GB" w:bidi="ar-SA"/>
              </w:rPr>
              <w:t>Reference 131  |  Consultation within gentle leadership</w:t>
            </w:r>
            <w:bookmarkEnd w:id="14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131  |  نرم روی کے ساتھ مشاورت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وَشَاوِرْهُمْ فِي الْأَمْرِ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consult with them upon the conduct of affairs.”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 Imran (3), ayah 159.</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surrounding commands include pardon and seeking forgiveness. The verse is evidence for consultation, not by itself a detailed modern constitutional model.</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27">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28">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اپنے کاموں میں ان سے مشورت لیا کرو۔»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آل عمران (3)، آیت 159۔</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قریبی احکام میں معافی اور استغفار بھی ہیں۔ آیت مشاورت کی دلیل ہے، بذاتِ خود کوئی تفصیلی جدید آئینی نمونہ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27">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28">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3" w:name="ref_132"/>
            <w:pPr>
              <w:keepNext/>
              <w:widowControl/>
              <w:spacing w:after="20" w:before="0" w:lineRule="atLeast" w:line="250"/>
              <w:jc w:val="start"/>
              <w:bidi w:val="0"/>
            </w:pPr>
            <w:r>
              <w:rPr>
                <w:rFonts w:ascii="Calibri" w:hAnsi="Calibri" w:cs="Calibri" w:eastAsia="Calibri"/>
                <w:b/>
                <w:color w:val="21313F"/>
                <w:sz w:val="20"/>
                <w:szCs w:val="20"/>
                <w:lang w:val="en-GB" w:bidi="ar-SA"/>
              </w:rPr>
              <w:t>Reference 132  |  Consultation as a communal disposition</w:t>
            </w:r>
            <w:bookmarkEnd w:id="14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132  |  مشاورت بطور اجتماعی وصف</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وَأَمْرُهُمْ شُورَىٰ بَيْنَهُمْ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Qur’anic evidence • Contiguous ayah excerpt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whose affairs are a matter of counsel,”</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Qur'an, Surah Al-Shura (42), ayah 38.</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Marmaduke Pickthall, The Meaning of the Glorious Koran; accessed through Quranic Arabic Corpus.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Unlike the direct address in 3:159, this passage describes believers collectively, alongside prayer and giving. Specific institutional conclusions need further evidence.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Arabic and the reproduced published translation wording checked in the linked digital texts.</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application</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29">
              <w:r>
                <w:rPr>
                  <w:color w:val="245C7C"/>
                  <w:u w:val="single"/>
                  <w:rFonts w:ascii="Calibri" w:hAnsi="Calibri" w:cs="Calibri"/>
                  <w:sz w:val="18"/>
                  <w:szCs w:val="18"/>
                </w:rPr>
                <w:t>Arabic / Urdu</w:t>
              </w:r>
            </w:hyperlink>
            <w:r>
              <w:rPr>
                <w:rFonts w:ascii="Calibri" w:hAnsi="Calibri" w:cs="Calibri" w:eastAsia="Calibri"/>
                <w:b w:val="0"/>
                <w:color w:val="21313F"/>
                <w:sz w:val="18"/>
                <w:szCs w:val="18"/>
                <w:lang w:val="en-GB" w:bidi="ar-SA"/>
              </w:rPr>
              <w:t xml:space="preserve">  ·  </w:t>
            </w:r>
            <w:hyperlink r:id="rId230">
              <w:r>
                <w:rPr>
                  <w:color w:val="245C7C"/>
                  <w:u w:val="single"/>
                  <w:rFonts w:ascii="Calibri" w:hAnsi="Calibri" w:cs="Calibri"/>
                  <w:sz w:val="18"/>
                  <w:szCs w:val="18"/>
                </w:rPr>
                <w:t>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قرآنی شواہد • آیت کا مسلسل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اپنے کام آپس کے مشورے سے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قرآن مجید، سورۃ الشوریٰ (42)، آیت 38۔</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فتح محمد جالندھری، ترجمۂ قرآن؛ رسائی: سورہ قرآن ویب گاہ۔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آل عمران ۳:۱۵۹ کے براہِ راست خطاب سے مختلف، یہاں نماز اور انفاق کے ساتھ اہلِ ایمان کا اجتماعی وصف ہے۔ خاص ادارہ جاتی نتائج مزید دلیل چاہتے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عربی اور نقل کردہ مطبوعہ تراجم کے الفاظ مربوط برقی متون سے جانچے گئے۔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اطلاق</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29">
              <w:r>
                <w:rPr>
                  <w:color w:val="245C7C"/>
                  <w:u w:val="single"/>
                  <w:rFonts w:ascii="Noto Naskh Arabic" w:hAnsi="Noto Naskh Arabic" w:cs="Noto Naskh Arabic"/>
                  <w:sz w:val="21"/>
                  <w:szCs w:val="21"/>
                  <w:rtl/>
                </w:rPr>
                <w:t>عربی / اردو</w:t>
              </w:r>
            </w:hyperlink>
            <w:r>
              <w:rPr>
                <w:rFonts w:ascii="Noto Naskh Arabic" w:hAnsi="Noto Naskh Arabic" w:cs="Noto Naskh Arabic" w:eastAsia="Noto Naskh Arabic"/>
                <w:b w:val="0"/>
                <w:color w:val="21313F"/>
                <w:sz w:val="20"/>
                <w:szCs w:val="20"/>
                <w:lang w:val="ur-PK" w:bidi="ur-PK"/>
                <w:rtl w:val="1"/>
              </w:rPr>
              <w:t xml:space="preserve">  ·  </w:t>
            </w:r>
            <w:hyperlink r:id="rId230">
              <w:r>
                <w:rPr>
                  <w:color w:val="245C7C"/>
                  <w:u w:val="single"/>
                  <w:rFonts w:ascii="Noto Naskh Arabic" w:hAnsi="Noto Naskh Arabic" w:cs="Noto Naskh Arabic"/>
                  <w:sz w:val="21"/>
                  <w:szCs w:val="21"/>
                  <w:rtl/>
                </w:rPr>
                <w:t>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4" w:name="ref_133"/>
            <w:pPr>
              <w:keepNext/>
              <w:widowControl/>
              <w:spacing w:after="20" w:before="0" w:lineRule="atLeast" w:line="250"/>
              <w:jc w:val="start"/>
              <w:bidi w:val="0"/>
            </w:pPr>
            <w:r>
              <w:rPr>
                <w:rFonts w:ascii="Calibri" w:hAnsi="Calibri" w:cs="Calibri" w:eastAsia="Calibri"/>
                <w:b/>
                <w:color w:val="21313F"/>
                <w:sz w:val="20"/>
                <w:szCs w:val="20"/>
                <w:lang w:val="en-GB" w:bidi="ar-SA"/>
              </w:rPr>
              <w:t>Reference 133  |  Feeding others and widening greetings</w:t>
            </w:r>
            <w:bookmarkEnd w:id="14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133  |  کھانا کھلانا اور سلام عام کرنا</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تُطْعِمُ الطَّعَامَ، وَتَقْرَأُ السَّلاَمَ عَلَى مَنْ عَرَفْتَ وَمَنْ لَمْ تَعْرِفْ</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“To feed (the poor) and greet those whom you know and those whom you do not Know”</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Belief, hadith 12; numbering: Sunnah.com. Narrator: Abdullah ibn Amr.</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answer to a question about good Islamic practice joins material assistance with everyday social recognition.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31">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32">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«تم کھانا کھلاؤ اور سب کو سلام کرو، (عام اس سے کہ) تم اسے پہچانتے ہو یا نہیں پہچانتے ہو۔»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الایمان، حدیث 12؛ ترقیم: سنہ ڈاٹ کام۔ راوی: عبداللہ بن عمرو۔</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اچھے اسلامی عمل کے سوال کا جواب مادی مدد اور روزمرہ معاشرتی احترام کو یکجا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31">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32">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5" w:name="ref_134"/>
            <w:pPr>
              <w:keepNext/>
              <w:widowControl/>
              <w:spacing w:after="20" w:before="0" w:lineRule="atLeast" w:line="250"/>
              <w:jc w:val="start"/>
              <w:bidi w:val="0"/>
            </w:pPr>
            <w:r>
              <w:rPr>
                <w:rFonts w:ascii="Calibri" w:hAnsi="Calibri" w:cs="Calibri" w:eastAsia="Calibri"/>
                <w:b/>
                <w:color w:val="21313F"/>
                <w:sz w:val="20"/>
                <w:szCs w:val="20"/>
                <w:lang w:val="en-GB" w:bidi="ar-SA"/>
              </w:rPr>
              <w:t>Reference 134  |  Wanting good for one’s brother</w:t>
            </w:r>
            <w:bookmarkEnd w:id="14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134  |  بھائی کے لیے بھلائی چاہنا</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حَتَّى يُحِبَّ لأَخِيهِ مَا يُحِبُّ لِنَفْسِهِ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“till he wishes for his (Muslim) brother what he likes for himself.”</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Belief, hadith 13; numbering: Sunnah.com. Narrator: Anas ibn Malik. Parallel: Sahih Muslim, Faith, 45a (Sunnah.com numbering); related wording, not a second reference.</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opening makes this a requirement of faith. The excerpt supplies a test against selfishness; theological conclusions about an individual’s faith require further interpretation.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Corresponding report in both Sahih collections inspected; the reproduced wording remains that of al-Bukhari.</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33">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34">
              <w:r>
                <w:rPr>
                  <w:color w:val="245C7C"/>
                  <w:u w:val="single"/>
                  <w:rFonts w:ascii="Calibri" w:hAnsi="Calibri" w:cs="Calibri"/>
                  <w:sz w:val="18"/>
                  <w:szCs w:val="18"/>
                </w:rPr>
                <w:t>Urdu</w:t>
              </w:r>
            </w:hyperlink>
            <w:r>
              <w:rPr>
                <w:rFonts w:ascii="Calibri" w:hAnsi="Calibri" w:cs="Calibri" w:eastAsia="Calibri"/>
                <w:b w:val="0"/>
                <w:color w:val="21313F"/>
                <w:sz w:val="18"/>
                <w:szCs w:val="18"/>
                <w:lang w:val="en-GB" w:bidi="ar-SA"/>
              </w:rPr>
              <w:t xml:space="preserve">  ·  </w:t>
            </w:r>
            <w:hyperlink r:id="rId235">
              <w:r>
                <w:rPr>
                  <w:color w:val="245C7C"/>
                  <w:u w:val="single"/>
                  <w:rFonts w:ascii="Calibri" w:hAnsi="Calibri" w:cs="Calibri"/>
                  <w:sz w:val="18"/>
                  <w:szCs w:val="18"/>
                </w:rPr>
                <w:t>Parallel: Muslim 45a</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«اپنے بھائی کے لیے وہی چیز پسند کرے جو اپنے لیے پسند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الایمان، حدیث 13؛ ترقیم: سنہ ڈاٹ کام۔ راوی: انس بن مالک۔ متوازی حوالہ: صحیح مسلم، کتاب الایمان، 45a؛ ترقیم سنہ ڈاٹ کام۔ متعلقہ الفاظ ہیں، الگ شمار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ابتدا میں اسے ایمان کا تقاضا کہا گیا ہے۔ یہ اقتباس خودغرضی کے مقابل ایک معیار ہے؛ کسی فرد کے ایمان کا اعتقادی فیصلہ مزید تشریح چاہتا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دونوں صحیح مجموعوں میں متعلقہ روایت دیکھی گئی؛ نقل کردہ الفاظ بخاری ہی کے 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33">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34">
              <w:r>
                <w:rPr>
                  <w:color w:val="245C7C"/>
                  <w:u w:val="single"/>
                  <w:rFonts w:ascii="Noto Naskh Arabic" w:hAnsi="Noto Naskh Arabic" w:cs="Noto Naskh Arabic"/>
                  <w:sz w:val="21"/>
                  <w:szCs w:val="21"/>
                  <w:rtl/>
                </w:rPr>
                <w:t>اردو</w:t>
              </w:r>
            </w:hyperlink>
            <w:r>
              <w:rPr>
                <w:rFonts w:ascii="Noto Naskh Arabic" w:hAnsi="Noto Naskh Arabic" w:cs="Noto Naskh Arabic" w:eastAsia="Noto Naskh Arabic"/>
                <w:b w:val="0"/>
                <w:color w:val="21313F"/>
                <w:sz w:val="20"/>
                <w:szCs w:val="20"/>
                <w:lang w:val="ur-PK" w:bidi="ur-PK"/>
                <w:rtl w:val="1"/>
              </w:rPr>
              <w:t xml:space="preserve">  ·  </w:t>
            </w:r>
            <w:hyperlink r:id="rId235">
              <w:r>
                <w:rPr>
                  <w:color w:val="245C7C"/>
                  <w:u w:val="single"/>
                  <w:rFonts w:ascii="Noto Naskh Arabic" w:hAnsi="Noto Naskh Arabic" w:cs="Noto Naskh Arabic"/>
                  <w:sz w:val="21"/>
                  <w:szCs w:val="21"/>
                  <w:rtl/>
                </w:rPr>
                <w:t>متوازی مسلم 45a</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6" w:name="ref_135"/>
            <w:pPr>
              <w:keepNext/>
              <w:widowControl/>
              <w:spacing w:after="20" w:before="0" w:lineRule="atLeast" w:line="250"/>
              <w:jc w:val="start"/>
              <w:bidi w:val="0"/>
            </w:pPr>
            <w:r>
              <w:rPr>
                <w:rFonts w:ascii="Calibri" w:hAnsi="Calibri" w:cs="Calibri" w:eastAsia="Calibri"/>
                <w:b/>
                <w:color w:val="21313F"/>
                <w:sz w:val="20"/>
                <w:szCs w:val="20"/>
                <w:lang w:val="en-GB" w:bidi="ar-SA"/>
              </w:rPr>
              <w:t>Reference 135  |  Ordinary family spending as rewarded conduct</w:t>
            </w:r>
            <w:bookmarkEnd w:id="14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135  |  گھریلو خرچ بطور باعثِ اجر عمل</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إِنَّكَ لَنْ تُنْفِقَ نَفَقَةً تَبْتَغِي بِهَا وَجْهَ اللَّهِ إِلَّا أُجِرْتَ عَلَيْهَا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“You will be rewarded for whatever you spend for Allah's sake”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Belief, hadith 56; numbering: Sunnah.com. Narrator: Sad ibn Abi Waqqas.</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continuation includes a morsel placed in one’s wife’s mouth. It explicitly connects domestic care and intention with religious reward.</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36">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37">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«تمہیں اس نفقے پر ضرور اجر دیا جائے گا جس سے تمہارا مقصد اللہ کی رضا کا حصول ہو»</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الایمان، حدیث 56؛ ترقیم: سنہ ڈاٹ کام۔ راوی: سعد بن ابی وقاص۔</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آگے بیوی کے منہ میں لقمہ ڈالنا بھی شامل ہے۔ روایت گھریلو نگہداشت اور نیت کو صریح طور پر دینی اجر سے جوڑتی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36">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37">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7" w:name="ref_136"/>
            <w:pPr>
              <w:keepNext/>
              <w:widowControl/>
              <w:spacing w:after="20" w:before="0" w:lineRule="atLeast" w:line="250"/>
              <w:jc w:val="start"/>
              <w:bidi w:val="0"/>
            </w:pPr>
            <w:r>
              <w:rPr>
                <w:rFonts w:ascii="Calibri" w:hAnsi="Calibri" w:cs="Calibri" w:eastAsia="Calibri"/>
                <w:b/>
                <w:color w:val="21313F"/>
                <w:sz w:val="20"/>
                <w:szCs w:val="20"/>
                <w:lang w:val="en-GB" w:bidi="ar-SA"/>
              </w:rPr>
              <w:t>Reference 136  |  Strength as control during anger</w:t>
            </w:r>
            <w:bookmarkEnd w:id="14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136  |  غصے میں ضبط بطور قوت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إِنَّمَا الشَّدِيدُ الَّذِي يَمْلِكُ نَفْسَهُ عِنْدَ الْغَضَبِ</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“but the strong is the one who controls himself while in anger.”</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Good Manners, hadith 6114; numbering: Sunnah.com. Narrator: Abu Hurayrah. Parallel: Sahih Muslim, Virtue and Good Manners, 2609a (Sunnah.com numbering); related wording, not a second reference.</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contrast is with overpowering others in wrestling. It supplies an ethical standard of strength that can be applied to conflict within households and communities.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Corresponding report in both Sahih collections inspected; the reproduced wording remains that of al-Bukhari.</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38">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39">
              <w:r>
                <w:rPr>
                  <w:color w:val="245C7C"/>
                  <w:u w:val="single"/>
                  <w:rFonts w:ascii="Calibri" w:hAnsi="Calibri" w:cs="Calibri"/>
                  <w:sz w:val="18"/>
                  <w:szCs w:val="18"/>
                </w:rPr>
                <w:t>Urdu</w:t>
              </w:r>
            </w:hyperlink>
            <w:r>
              <w:rPr>
                <w:rFonts w:ascii="Calibri" w:hAnsi="Calibri" w:cs="Calibri" w:eastAsia="Calibri"/>
                <w:b w:val="0"/>
                <w:color w:val="21313F"/>
                <w:sz w:val="18"/>
                <w:szCs w:val="18"/>
                <w:lang w:val="en-GB" w:bidi="ar-SA"/>
              </w:rPr>
              <w:t xml:space="preserve">  ·  </w:t>
            </w:r>
            <w:hyperlink r:id="rId240">
              <w:r>
                <w:rPr>
                  <w:color w:val="245C7C"/>
                  <w:u w:val="single"/>
                  <w:rFonts w:ascii="Calibri" w:hAnsi="Calibri" w:cs="Calibri"/>
                  <w:sz w:val="18"/>
                  <w:szCs w:val="18"/>
                </w:rPr>
                <w:t>Parallel: Muslim 2609a</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«بلکہ پہلوان وہ ہے جو غصے کی حالت میں اپنے آپ پر کنٹرول کرلے۔»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الادب، حدیث 6114؛ ترقیم: سنہ ڈاٹ کام۔ راوی: ابوہریرہ۔ متوازی حوالہ: صحیح مسلم، کتاب البر والصلۃ والآداب، 2609a؛ ترقیم سنہ ڈاٹ کام۔ متعلقہ الفاظ ہیں، الگ شمار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تقابل کشتی میں دوسروں کو پچھاڑنے سے ہے۔ یہ قوت کا ایسا اخلاقی معیار ہے جسے گھر اور معاشرے کے تنازعات پر منطبق کیا جا سکتا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دونوں صحیح مجموعوں میں متعلقہ روایت دیکھی گئی؛ نقل کردہ الفاظ بخاری ہی کے 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38">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39">
              <w:r>
                <w:rPr>
                  <w:color w:val="245C7C"/>
                  <w:u w:val="single"/>
                  <w:rFonts w:ascii="Noto Naskh Arabic" w:hAnsi="Noto Naskh Arabic" w:cs="Noto Naskh Arabic"/>
                  <w:sz w:val="21"/>
                  <w:szCs w:val="21"/>
                  <w:rtl/>
                </w:rPr>
                <w:t>اردو</w:t>
              </w:r>
            </w:hyperlink>
            <w:r>
              <w:rPr>
                <w:rFonts w:ascii="Noto Naskh Arabic" w:hAnsi="Noto Naskh Arabic" w:cs="Noto Naskh Arabic" w:eastAsia="Noto Naskh Arabic"/>
                <w:b w:val="0"/>
                <w:color w:val="21313F"/>
                <w:sz w:val="20"/>
                <w:szCs w:val="20"/>
                <w:lang w:val="ur-PK" w:bidi="ur-PK"/>
                <w:rtl w:val="1"/>
              </w:rPr>
              <w:t xml:space="preserve">  ·  </w:t>
            </w:r>
            <w:hyperlink r:id="rId240">
              <w:r>
                <w:rPr>
                  <w:color w:val="245C7C"/>
                  <w:u w:val="single"/>
                  <w:rFonts w:ascii="Noto Naskh Arabic" w:hAnsi="Noto Naskh Arabic" w:cs="Noto Naskh Arabic"/>
                  <w:sz w:val="21"/>
                  <w:szCs w:val="21"/>
                  <w:rtl/>
                </w:rPr>
                <w:t>متوازی مسلم 2609a</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8" w:name="ref_137"/>
            <w:pPr>
              <w:keepNext/>
              <w:widowControl/>
              <w:spacing w:after="20" w:before="0" w:lineRule="atLeast" w:line="250"/>
              <w:jc w:val="start"/>
              <w:bidi w:val="0"/>
            </w:pPr>
            <w:r>
              <w:rPr>
                <w:rFonts w:ascii="Calibri" w:hAnsi="Calibri" w:cs="Calibri" w:eastAsia="Calibri"/>
                <w:b/>
                <w:color w:val="21313F"/>
                <w:sz w:val="20"/>
                <w:szCs w:val="20"/>
                <w:lang w:val="en-GB" w:bidi="ar-SA"/>
              </w:rPr>
              <w:t>Reference 137  |  The seriousness of neighbourly duties</w:t>
            </w:r>
            <w:bookmarkEnd w:id="14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137  |  حقِ ہمسائیگی کی تاکید</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مَا زَالَ يُوصِينِي جِبْرِيلُ بِالْجَارِ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“Gabriel continued to recommend me about treating the neighbors Kindly and politely”</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Good Manners, hadith 6014; numbering: Sunnah.com. Narrator: Aishah.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continuation says the repeated counsel led the Prophet to think neighbours might be assigned inheritance. It expresses emphasis; it does not itself enact a neighbour’s inheritance share.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41">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42">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«جبرائیل علیہ السلام مجھے پڑوسی کے بارے میں باربار اس طرح وصیت کرتے رہے»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الادب، حدیث 6014؛ ترقیم: سنہ ڈاٹ کام۔ راوی: عائشہ۔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آگے مسلسل تاکید کے سبب ہمسائے کو وراثت میں حصہ دیے جانے کے گمان کا ذکر ہے۔ یہ تاکید ہے، بذاتِ خود وراثتی حصہ مقرر کرنے کا حکم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41">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42">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49" w:name="ref_138"/>
            <w:pPr>
              <w:keepNext/>
              <w:widowControl/>
              <w:spacing w:after="20" w:before="0" w:lineRule="atLeast" w:line="250"/>
              <w:jc w:val="start"/>
              <w:bidi w:val="0"/>
            </w:pPr>
            <w:r>
              <w:rPr>
                <w:rFonts w:ascii="Calibri" w:hAnsi="Calibri" w:cs="Calibri" w:eastAsia="Calibri"/>
                <w:b/>
                <w:color w:val="21313F"/>
                <w:sz w:val="20"/>
                <w:szCs w:val="20"/>
                <w:lang w:val="en-GB" w:bidi="ar-SA"/>
              </w:rPr>
              <w:t>Reference 138  |  Care of orphans and nearness in Paradise</w:t>
            </w:r>
            <w:bookmarkEnd w:id="14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138  |  یتیم کی کفالت اور جنت میں قرب</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أَنَا وَكَافِلُ الْيَتِيمِ، فِي الْجَنَّةِ هَكَذَا</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 and the person who looks after an orphan and provides for him, will be in Paradise like this,”</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Good Manners, hadith 6005; numbering: Sunnah.com. Narrator: Sahl ibn Sad.</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includes a gesture with the index and middle fingers. It links sustained care for a vulnerable child with an eschatological promise.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43">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44">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«میں اور یتیم کی نگہداشت کرنے والا جنت میں اس طرح ہوں گے۔»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الادب، حدیث 6005؛ ترقیم: سنہ ڈاٹ کام۔ راوی: سہل بن سعد۔</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میں شہادت اور درمیانی انگلی کا اشارہ بھی ہے۔ کمزور بچے کی مسلسل نگہداشت کو اخروی وعدے سے جوڑا گیا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43">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44">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0" w:name="ref_139"/>
            <w:pPr>
              <w:keepNext/>
              <w:widowControl/>
              <w:spacing w:after="20" w:before="0" w:lineRule="atLeast" w:line="250"/>
              <w:jc w:val="start"/>
              <w:bidi w:val="0"/>
            </w:pPr>
            <w:r>
              <w:rPr>
                <w:rFonts w:ascii="Calibri" w:hAnsi="Calibri" w:cs="Calibri" w:eastAsia="Calibri"/>
                <w:b/>
                <w:color w:val="21313F"/>
                <w:sz w:val="20"/>
                <w:szCs w:val="20"/>
                <w:lang w:val="en-GB" w:bidi="ar-SA"/>
              </w:rPr>
              <w:t>Reference 139  |  Compassion toward animals</w:t>
            </w:r>
            <w:bookmarkEnd w:id="15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139  |  جانوروں پر شفقت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فِي كُلِّ ذَاتِ كَبِدٍ رَطْبَةٍ أَجْرٌ</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“(Yes) There is a reward for serving any animate (living being) .”</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Good Manners, hadith 6009;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narrative concerns a man who gives water to a thirsty dog and is forgiven. The concluding answer explicitly extends reward to service of living creatures.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 Urdu translation not verified.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45">
              <w:r>
                <w:rPr>
                  <w:color w:val="245C7C"/>
                  <w:u w:val="single"/>
                  <w:rFonts w:ascii="Calibri" w:hAnsi="Calibri" w:cs="Calibri"/>
                  <w:sz w:val="18"/>
                  <w:szCs w:val="18"/>
                </w:rPr>
                <w:t>Arabic / English</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اس اندراج کے لیے کسی مطبوعہ اردو ترجمے کے الفاظ کی تصدیق نہیں ہو سکی؛ خودساختہ ترجمہ شامل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الادب، حدیث 6009؛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مطبوعہ اردو ترجمہ: غیر مصدقہ / دستیاب اقتباس نقل نہیں کیا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واقعہ پیاسے کتے کو پانی پلانے والے شخص کی مغفرت کے متعلق ہے۔ آخری جواب جاندار مخلوق کی خدمت کے اجر کو صراحت سے بیان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 اردو ترجمہ غیر مصدقہ ہے۔</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45">
              <w:r>
                <w:rPr>
                  <w:color w:val="245C7C"/>
                  <w:u w:val="single"/>
                  <w:rFonts w:ascii="Noto Naskh Arabic" w:hAnsi="Noto Naskh Arabic" w:cs="Noto Naskh Arabic"/>
                  <w:sz w:val="21"/>
                  <w:szCs w:val="21"/>
                  <w:rtl/>
                </w:rPr>
                <w:t>عربی / انگریزی</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1" w:name="ref_140"/>
            <w:pPr>
              <w:keepNext/>
              <w:widowControl/>
              <w:spacing w:after="20" w:before="0" w:lineRule="atLeast" w:line="250"/>
              <w:jc w:val="start"/>
              <w:bidi w:val="0"/>
            </w:pPr>
            <w:r>
              <w:rPr>
                <w:rFonts w:ascii="Calibri" w:hAnsi="Calibri" w:cs="Calibri" w:eastAsia="Calibri"/>
                <w:b/>
                <w:color w:val="21313F"/>
                <w:sz w:val="20"/>
                <w:szCs w:val="20"/>
                <w:lang w:val="en-GB" w:bidi="ar-SA"/>
              </w:rPr>
              <w:t>Reference 140  |  Priority of care for parents</w:t>
            </w:r>
            <w:bookmarkEnd w:id="15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140  |  والدین کے ساتھ حسنِ سلوک کی ترجیح</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أُمُّكَ</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“Your mother.”</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Good Manners, hadith 5971;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In answer to who most deserves good companionship, the mother is named three times, followed by the father. The short excerpt must be read with that repeated question-and-answer context.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46">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47">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«تمہاری ماں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الادب، حدیث 5971؛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بہترین حسنِ سلوک کے مستحق کے سوال پر تین مرتبہ ماں، پھر باپ کا ذکر ہے۔ مختصر اقتباس کو اسی مسلسل سوال و جواب کے ساتھ پڑھا جائے۔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46">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47">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2" w:name="ref_141"/>
            <w:pPr>
              <w:keepNext/>
              <w:widowControl/>
              <w:spacing w:after="20" w:before="0" w:lineRule="atLeast" w:line="250"/>
              <w:jc w:val="start"/>
              <w:bidi w:val="0"/>
            </w:pPr>
            <w:r>
              <w:rPr>
                <w:rFonts w:ascii="Calibri" w:hAnsi="Calibri" w:cs="Calibri" w:eastAsia="Calibri"/>
                <w:b/>
                <w:color w:val="21313F"/>
                <w:sz w:val="20"/>
                <w:szCs w:val="20"/>
                <w:lang w:val="en-GB" w:bidi="ar-SA"/>
              </w:rPr>
              <w:t>Reference 141  |  Cultivation as a source of charity</w:t>
            </w:r>
            <w:bookmarkEnd w:id="152"/>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141  |  کاشت کاری سے صدقے کا اجر</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فَيَأْكُلُ مِنْهُ طَيْرٌ أَوْ إِنْسَانٌ أَوْ بَهِيمَةٌ، إِلاَّ كَانَ لَهُ بِهِ صَدَقَةٌ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then a bird, or a person or an animal eats from it, but is regarded as a charitable gift for him.”</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Agriculture, hadith 2320; numbering: Sunnah.com. Narrator: Anas ibn Malik.</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condition is a Muslim planting or cultivating. An environmental application is reasonable, but the text specifically concerns others benefiting by eating from the produce.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48">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49">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«پھر اس میں سے پرند یا انسان یا جانور جو بھی کھاتے ہیں وہ اس کی طرف سے صدقہ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المزارعۃ، حدیث 2320؛ ترقیم: سنہ ڈاٹ کام۔ راوی: انس بن مالک۔</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شرط مسلمان کا پودا لگانا یا کاشت کرنا ہے۔ ماحولیاتی اطلاق مناسب استنباط ہے، مگر نص خاص طور پر پیداوار سے مخلوق کے کھانے کا ذکر کرتی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48">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49">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3" w:name="ref_142"/>
            <w:pPr>
              <w:keepNext/>
              <w:widowControl/>
              <w:spacing w:after="20" w:before="0" w:lineRule="atLeast" w:line="250"/>
              <w:jc w:val="start"/>
              <w:bidi w:val="0"/>
            </w:pPr>
            <w:r>
              <w:rPr>
                <w:rFonts w:ascii="Calibri" w:hAnsi="Calibri" w:cs="Calibri" w:eastAsia="Calibri"/>
                <w:b/>
                <w:color w:val="21313F"/>
                <w:sz w:val="20"/>
                <w:szCs w:val="20"/>
                <w:lang w:val="en-GB" w:bidi="ar-SA"/>
              </w:rPr>
              <w:t>Reference 142  |  Khadijah’s testimony to social character</w:t>
            </w:r>
            <w:bookmarkEnd w:id="153"/>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142  |  خدیجہ رضی اللہ عنہا کی اخلاقی گواہی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إِنَّكَ لَتَصِلُ الرَّحِمَ، وَتَحْمِلُ الْكَلَّ، وَتَكْسِبُ الْمَعْدُومَ</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“You keep good relations with your kith and kin, help the poor and the destitute,”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Revelation, hadith 3; numbering: Sunnah.com. Narrator: Aishah; the quoted speaker is Khadijah.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This authenticated Seerah narrative records reassurance after the first revelation. The quoted words are Khadijah’s assessment, not a separate saying of the Prophet.</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50">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51">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«آپ تو کنبہ پرور ہیں، بے کسوں کا بوجھ اپنے سر پر رکھ لیتے ہیں، مفلسوں کے لیے آپ کماتے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بدء الوحی، حدیث 3؛ ترقیم: سنہ ڈاٹ کام۔ راوی: عائشہ؛ نقل کردہ کلام خدیجہ رضی اللہ عنہا کا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صحیح سند سے منقول سیرتی واقعہ پہلی وحی کے بعد تسلی کا بیان ہے۔ نقل کردہ الفاظ خدیجہ رضی اللہ عنہا کی گواہی ہیں، الگ نبوی فرمان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50">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51">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4" w:name="ref_143"/>
            <w:pPr>
              <w:keepNext/>
              <w:widowControl/>
              <w:spacing w:after="20" w:before="0" w:lineRule="atLeast" w:line="250"/>
              <w:jc w:val="start"/>
              <w:bidi w:val="0"/>
            </w:pPr>
            <w:r>
              <w:rPr>
                <w:rFonts w:ascii="Calibri" w:hAnsi="Calibri" w:cs="Calibri" w:eastAsia="Calibri"/>
                <w:b/>
                <w:color w:val="21313F"/>
                <w:sz w:val="20"/>
                <w:szCs w:val="20"/>
                <w:lang w:val="en-GB" w:bidi="ar-SA"/>
              </w:rPr>
              <w:t>Reference 143  |  Balancing divine, personal and family rights</w:t>
            </w:r>
            <w:bookmarkEnd w:id="154"/>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143  |  اللہ، نفس اور خاندان کے حقوق میں توازن</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فَأَعْطِ كُلَّ ذِي حَقٍّ حَقَّهُ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“so you should give the rights of all those who has a right on you.”</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Fasting, hadith 1968; numbering: Sunnah.com. Narrator: Abu Juhayfah.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Salman’s counsel concerning voluntary fasting and night prayer was expressly approved by the Prophet. The narrative is not a licence to neglect obligatory worship.</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52">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53">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«لہذا تمہیں سب کے حقوق ادا کرنے چاہئیں۔»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الصوم، حدیث 1968؛ ترقیم: سنہ ڈاٹ کام۔ راوی: ابوجحیفہ۔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نفلی روزے اور قیام اللیل کے بارے میں سلمان رضی اللہ عنہ کی نصیحت کی نبی صلی اللہ علیہ وسلم نے صریح تائید کی۔ واقعہ فرض عبادات ترک کرنے کی اجازت نہیں۔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52">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53">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5" w:name="ref_144"/>
            <w:pPr>
              <w:keepNext/>
              <w:widowControl/>
              <w:spacing w:after="20" w:before="0" w:lineRule="atLeast" w:line="250"/>
              <w:jc w:val="start"/>
              <w:bidi w:val="0"/>
            </w:pPr>
            <w:r>
              <w:rPr>
                <w:rFonts w:ascii="Calibri" w:hAnsi="Calibri" w:cs="Calibri" w:eastAsia="Calibri"/>
                <w:b/>
                <w:color w:val="21313F"/>
                <w:sz w:val="20"/>
                <w:szCs w:val="20"/>
                <w:lang w:val="en-GB" w:bidi="ar-SA"/>
              </w:rPr>
              <w:t>Reference 144  |  Gentleness witnessed by a long-serving companion</w:t>
            </w:r>
            <w:bookmarkEnd w:id="155"/>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144  |  طویل خدمت کرنے والے صحابی کی گواہی میں نرمی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فَمَا قَالَ لِي أُفٍّ</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he never said to me, "Uf" (a minor harsh word denoting impatience)”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Good Manners, hadith 6038; numbering: Sunnah.com. Narrator: Anas.</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Anas describes ten years of service and the absence of harsh reproach. The report supplies observed conduct rather than only an abstract ethical command.</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54">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55">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«لیکن آپ نے کبھی مجھے اف تک نہیں کہا»</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الادب، حدیث 6038؛ ترقیم: سنہ ڈاٹ کام۔ راوی: انس۔</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انس رضی اللہ عنہ دس سال کی خدمت اور سخت سرزنش نہ ہونے کا بیان کرتے ہیں۔ یہ محض اخلاقی حکم کے بجائے مشاہدہ شدہ طرزِ عمل کا حوالہ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54">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55">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6" w:name="ref_145"/>
            <w:pPr>
              <w:keepNext/>
              <w:widowControl/>
              <w:spacing w:after="20" w:before="0" w:lineRule="atLeast" w:line="250"/>
              <w:jc w:val="start"/>
              <w:bidi w:val="0"/>
            </w:pPr>
            <w:r>
              <w:rPr>
                <w:rFonts w:ascii="Calibri" w:hAnsi="Calibri" w:cs="Calibri" w:eastAsia="Calibri"/>
                <w:b/>
                <w:color w:val="21313F"/>
                <w:sz w:val="20"/>
                <w:szCs w:val="20"/>
                <w:lang w:val="en-GB" w:bidi="ar-SA"/>
              </w:rPr>
              <w:t>Reference 145  |  Service to widows and people in need</w:t>
            </w:r>
            <w:bookmarkEnd w:id="156"/>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145  |  بیواؤں اور محتاجوں کی خدمت</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السَّاعِي عَلَى الأَرْمَلَةِ وَالْمِسْكِينِ كَالْمُجَاهِدِ فِي سَبِيلِ اللَّهِ</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“The one who looks after a widow or a poor person is like a Mujahid (warrior) who fights for Allah's Cause,”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al-Bukhari, Family Expenditure, hadith 5353;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continuation also compares this service to sustained prayer and fasting. The analogy concerns religious merit and elevates practical social care.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al-Bukhari;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56">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57">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«بیواؤں اور مسکینوں کے کام آنے والا اللہ کے راستے میں جہاد کرنے والے کے برابر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بخاری، کتاب النفقات، حدیث 5353؛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اسلامک اردو بکس پر موجود اردو ترجمے کا مسلسل اقتباس؛ متعلقہ اقتباس کے مترجم کی انفرادی نسبت کی تصدیق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آگے اس خدمت کو مسلسل نماز اور روزے سے بھی تشبیہ دی گئی ہے۔ تشبیہ دینی اجر سے متعلق ہے اور عملی معاشرتی نگہداشت کی اہمیت بتاتی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بخاری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56">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57">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7" w:name="ref_146"/>
            <w:pPr>
              <w:keepNext/>
              <w:widowControl/>
              <w:spacing w:after="20" w:before="0" w:lineRule="atLeast" w:line="250"/>
              <w:jc w:val="start"/>
              <w:bidi w:val="0"/>
            </w:pPr>
            <w:r>
              <w:rPr>
                <w:rFonts w:ascii="Calibri" w:hAnsi="Calibri" w:cs="Calibri" w:eastAsia="Calibri"/>
                <w:b/>
                <w:color w:val="21313F"/>
                <w:sz w:val="20"/>
                <w:szCs w:val="20"/>
                <w:lang w:val="en-GB" w:bidi="ar-SA"/>
              </w:rPr>
              <w:t>Reference 146  |  Ritual observance and accountability for harming others</w:t>
            </w:r>
            <w:bookmarkEnd w:id="157"/>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146  |  عبادات کے ساتھ حقوق العباد کی جواب دہی</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أَتَدْرُونَ مَا الْمُفْلِسُ</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“Do you know who is poor?”</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Muslim, Virtue and Maintaining Kinship, hadith 2581; numbering: Sunnah.com. Narrator: Abu Hurayrah.</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explanation depicts a person arriving with prayer, fasting and zakat but losing merit through insults, slander, wrongful taking and violence. It directly prevents separating worship from social ethics.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Muslim;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58">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59">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«کیا تم جانتے ہو کہ مفلس کون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مسلم، کتاب البر والصلۃ والآداب، حدیث 2581؛ ترقیم: سنہ ڈاٹ کام۔ راوی: ابوہریرہ۔</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ترجمہ شدہ احادیث نبویہ کا انسائیکلوپیڈیا (حدیث اِنک)، متعلقہ اردو حدیث کا متن یا عنوان؛ فردِ مترجم کی نسبت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وضاحت میں نماز، روزہ اور زکوٰۃ لانے والا شخص گالی، بہتان، ناحق مال لینے اور تشدد کے سبب نیکیاں کھو دیتا ہے۔ روایت عبادت کو معاشرتی اخلاق سے جدا کرنے کی صریح تردید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مسلم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58">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59">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8" w:name="ref_147"/>
            <w:pPr>
              <w:keepNext/>
              <w:widowControl/>
              <w:spacing w:after="20" w:before="0" w:lineRule="atLeast" w:line="250"/>
              <w:jc w:val="start"/>
              <w:bidi w:val="0"/>
            </w:pPr>
            <w:r>
              <w:rPr>
                <w:rFonts w:ascii="Calibri" w:hAnsi="Calibri" w:cs="Calibri" w:eastAsia="Calibri"/>
                <w:b/>
                <w:color w:val="21313F"/>
                <w:sz w:val="20"/>
                <w:szCs w:val="20"/>
                <w:lang w:val="en-GB" w:bidi="ar-SA"/>
              </w:rPr>
              <w:t>Reference 147  |  Lawful marital life and the breadth of charity</w:t>
            </w:r>
            <w:bookmarkEnd w:id="158"/>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147  |  جائز ازدواجی زندگی اور صدقے کا وسیع مفہوم</w:t>
            </w:r>
          </w:p>
        </w:tc>
      </w:tr>
      <w:tr>
        <w:trPr>
          <w:cantSplit/>
        </w:trPr>
        <w:tc>
          <w:tcPr>
            <w:tcW w:type="dxa" w:w="10296"/>
            <w:gridSpan w:val="2"/>
            <w:shd w:fill="F8FAFB"/>
            <w:vAlign w:val="top"/>
          </w:tcPr>
          <w:p>
            <w:pPr>
              <w:keepNext/>
              <w:widowControl/>
              <w:spacing w:after="0" w:before="0" w:lineRule="atLeast" w:line="300"/>
              <w:jc w:val="center"/>
              <w:bidi w:val="1"/>
            </w:pPr>
            <w:r>
              <w:rPr>
                <w:rFonts w:ascii="Noto Naskh Arabic" w:hAnsi="Noto Naskh Arabic" w:cs="Noto Naskh Arabic" w:eastAsia="Noto Naskh Arabic"/>
                <w:b w:val="0"/>
                <w:color w:val="21313F"/>
                <w:sz w:val="24"/>
                <w:szCs w:val="24"/>
                <w:lang w:val="ar-SA" w:bidi="ar-SA"/>
                <w:rtl w:val="1"/>
              </w:rPr>
              <w:t>وَفِي بُضْعِ أَحَدِكُمْ صَدَقَةٌ</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Hadith / authenticated report • Verified Arabic excerpt; published translation excerpt(s)</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“and in man's sexual Intercourse (with his wife, ) there is a Sadaqa.”</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Sahih Muslim, Zakat, hadith 1006; numbering: Sunnah.com. Narrator: Abu Dharr.</w:t>
            </w:r>
          </w:p>
          <w:p>
            <w:pPr>
              <w:keepNext w:val="0"/>
              <w:widowControl/>
              <w:spacing w:after="60" w:before="0" w:lineRule="atLeast" w:line="250"/>
              <w:jc w:val="start"/>
              <w:bidi w:val="0"/>
            </w:pPr>
            <w:r>
              <w:rPr>
                <w:rFonts w:ascii="Calibri" w:hAnsi="Calibri" w:cs="Calibri" w:eastAsia="Calibri"/>
                <w:b/>
                <w:color w:val="244B62"/>
                <w:sz w:val="18"/>
                <w:szCs w:val="19"/>
                <w:lang w:val="en-GB" w:bidi="ar-SA"/>
              </w:rPr>
              <w:t xml:space="preserve">Translation: </w:t>
            </w:r>
            <w:r>
              <w:rPr>
                <w:rFonts w:ascii="Calibri" w:hAnsi="Calibri" w:cs="Calibri" w:eastAsia="Calibri"/>
                <w:b w:val="0"/>
                <w:color w:val="4F5D68"/>
                <w:sz w:val="18"/>
                <w:szCs w:val="19"/>
                <w:lang w:val="en-GB" w:bidi="ar-SA"/>
              </w:rPr>
              <w:t>Established English wording displayed by Sunnah.com; individual translator not identified on the accessed passage.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report answers concern about the wealthy monopolising charitable reward, listing remembrance, moral action and lawful intimacy. Reward is linked to the lawful rather than the forbidden use of desire.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Sahih: included in Sahih Muslim; text and locator checked. This is not a new independent isnad grading.</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Argument / practical example</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60">
              <w:r>
                <w:rPr>
                  <w:color w:val="245C7C"/>
                  <w:u w:val="single"/>
                  <w:rFonts w:ascii="Calibri" w:hAnsi="Calibri" w:cs="Calibri"/>
                  <w:sz w:val="18"/>
                  <w:szCs w:val="18"/>
                </w:rPr>
                <w:t>Arabic / English</w:t>
              </w:r>
            </w:hyperlink>
            <w:r>
              <w:rPr>
                <w:rFonts w:ascii="Calibri" w:hAnsi="Calibri" w:cs="Calibri" w:eastAsia="Calibri"/>
                <w:b w:val="0"/>
                <w:color w:val="21313F"/>
                <w:sz w:val="18"/>
                <w:szCs w:val="18"/>
                <w:lang w:val="en-GB" w:bidi="ar-SA"/>
              </w:rPr>
              <w:t xml:space="preserve">  ·  </w:t>
            </w:r>
            <w:hyperlink r:id="rId261">
              <w:r>
                <w:rPr>
                  <w:color w:val="245C7C"/>
                  <w:u w:val="single"/>
                  <w:rFonts w:ascii="Calibri" w:hAnsi="Calibri" w:cs="Calibri"/>
                  <w:sz w:val="18"/>
                  <w:szCs w:val="18"/>
                </w:rPr>
                <w:t>Urdu</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حدیث / صحیح روایت • مصدقہ عربی اقتباس؛ مطبوعہ ترجمے کا اقتباس</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«اور تم میں سے کسی کا اپنی بیوی سے صحبت کرنا بھی صدقہ ہے»</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صحیح مسلم، کتاب الزکاۃ، حدیث 1006؛ ترقیم: سنہ ڈاٹ کام۔ راوی: ابوذر۔</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1"/>
                <w:lang w:val="ur-PK" w:bidi="ur-PK"/>
                <w:rtl w:val="1"/>
                <w:bCs/>
              </w:rPr>
              <w:t xml:space="preserve">ترجمہ: </w:t>
            </w:r>
            <w:r>
              <w:rPr>
                <w:rFonts w:ascii="Noto Naskh Arabic" w:hAnsi="Noto Naskh Arabic" w:cs="Noto Naskh Arabic" w:eastAsia="Noto Naskh Arabic"/>
                <w:b w:val="0"/>
                <w:color w:val="4F5D68"/>
                <w:sz w:val="20"/>
                <w:szCs w:val="21"/>
                <w:lang w:val="ur-PK" w:bidi="ur-PK"/>
                <w:rtl w:val="1"/>
              </w:rPr>
              <w:t>ترجمہ شدہ احادیث نبویہ کا انسائیکلوپیڈیا (حدیث اِنک)، متعلقہ اردو حدیث کا متن یا عنوان؛ فردِ مترجم کی نسبت نہیں کی گئی۔</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روایت امیروں کے صدقے کا سارا اجر لے جانے کے سوال پر ذکر، اخلاقی عمل اور جائز ازدواجی تعلق کا ذکر کرتی ہے۔ اجر خواہش کے حرام کے بجائے جائز استعمال سے متعلق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صحیح: صحیح مسلم میں مروی؛ متن اور حوالہ جانچا گیا۔ یہ سند کی نئی مستقل تحقیق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استدلال / عملی مثال</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60">
              <w:r>
                <w:rPr>
                  <w:color w:val="245C7C"/>
                  <w:u w:val="single"/>
                  <w:rFonts w:ascii="Noto Naskh Arabic" w:hAnsi="Noto Naskh Arabic" w:cs="Noto Naskh Arabic"/>
                  <w:sz w:val="21"/>
                  <w:szCs w:val="21"/>
                  <w:rtl/>
                </w:rPr>
                <w:t>عربی / انگریزی</w:t>
              </w:r>
            </w:hyperlink>
            <w:r>
              <w:rPr>
                <w:rFonts w:ascii="Noto Naskh Arabic" w:hAnsi="Noto Naskh Arabic" w:cs="Noto Naskh Arabic" w:eastAsia="Noto Naskh Arabic"/>
                <w:b w:val="0"/>
                <w:color w:val="21313F"/>
                <w:sz w:val="20"/>
                <w:szCs w:val="20"/>
                <w:lang w:val="ur-PK" w:bidi="ur-PK"/>
                <w:rtl w:val="1"/>
              </w:rPr>
              <w:t xml:space="preserve">  ·  </w:t>
            </w:r>
            <w:hyperlink r:id="rId261">
              <w:r>
                <w:rPr>
                  <w:color w:val="245C7C"/>
                  <w:u w:val="single"/>
                  <w:rFonts w:ascii="Noto Naskh Arabic" w:hAnsi="Noto Naskh Arabic" w:cs="Noto Naskh Arabic"/>
                  <w:sz w:val="21"/>
                  <w:szCs w:val="21"/>
                  <w:rtl/>
                </w:rPr>
                <w:t>اردو</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59" w:name="ref_148"/>
            <w:pPr>
              <w:keepNext/>
              <w:widowControl/>
              <w:spacing w:after="20" w:before="0" w:lineRule="atLeast" w:line="250"/>
              <w:jc w:val="start"/>
              <w:bidi w:val="0"/>
            </w:pPr>
            <w:r>
              <w:rPr>
                <w:rFonts w:ascii="Calibri" w:hAnsi="Calibri" w:cs="Calibri" w:eastAsia="Calibri"/>
                <w:b/>
                <w:color w:val="21313F"/>
                <w:sz w:val="20"/>
                <w:szCs w:val="20"/>
                <w:lang w:val="en-GB" w:bidi="ar-SA"/>
              </w:rPr>
              <w:t>Reference 148  |  Small acts of assistance and religious consistency</w:t>
            </w:r>
            <w:bookmarkEnd w:id="159"/>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148  |  معمولی اعانت اور دینی عمل کی یکسانیت</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Ibn Kathir records explanations of maun ranging from zakat to lending ordinary utensils. He approves a synthesis that joins withholding wealth with withholding useful assistance, linking deficient worship to deficient treatment of people.</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Ibn Kathir, Tafsir al-Quran al-Azim; commentary on 107:7.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The entry concerns the commentator’s synthesis; reports he criticises are not independently authenticated here.</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62">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ابن کثیر ماعون کی توضیحات میں زکوٰۃ سے لے کر معمولی گھریلو سامان عاریتاً دینے تک کے اقوال نقل کرتے ہیں۔ وہ مال اور فائدہ مند اعانت روکنے کو جمع کرنے والی تعبیر پسند کرتے اور ناقص عبادت کو ناقص معاشرتی رویے سے جوڑتے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ابن کثیر، تفسیر القرآن العظیم؛ تفسیرِ آیت 107:7۔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یہ حوالہ مفسر کی جامع تعبیر سے متعلق ہے؛ ان کی تنقید کردہ روایات کو یہاں الگ صحیح قرار نہیں دیا گیا۔</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62">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60" w:name="ref_149"/>
            <w:pPr>
              <w:keepNext/>
              <w:widowControl/>
              <w:spacing w:after="20" w:before="0" w:lineRule="atLeast" w:line="250"/>
              <w:jc w:val="start"/>
              <w:bidi w:val="0"/>
            </w:pPr>
            <w:r>
              <w:rPr>
                <w:rFonts w:ascii="Calibri" w:hAnsi="Calibri" w:cs="Calibri" w:eastAsia="Calibri"/>
                <w:b/>
                <w:color w:val="21313F"/>
                <w:sz w:val="20"/>
                <w:szCs w:val="20"/>
                <w:lang w:val="en-GB" w:bidi="ar-SA"/>
              </w:rPr>
              <w:t>Reference 149  |  Neighbourly obligations across religious difference</w:t>
            </w:r>
            <w:bookmarkEnd w:id="160"/>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149  |  مذہبی اختلاف کے باوجود پڑوسی کا حق</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In the fourth and eleventh discussions, al-Qurtubi extends the obligation of good neighbourly treatment to Muslim and non-Muslim neighbours. He includes helpful companionship, refraining from harm and practical assistance in his explanation of ihsan.</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Al-Qurtubi, Al-Jami li-ahkam al-Quran; commentary on 4:36.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Adds a specific social interpretation beyond merely repeating the verse’s list of relationships.</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63">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چوتھے اور گیارہویں مسئلے میں قرطبی اچھے پڑوسیانہ سلوک کا تقاضا مسلم اور غیر مسلم دونوں پڑوسیوں تک وسیع کرتے ہیں۔ احسان کی توضیح میں اچھا برتاؤ، ایذا سے پرہیز اور عملی تعاون شامل کرتے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قرطبی، الجامع لأحکام القرآن؛ تفسیرِ آیت 4:36۔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محض آیت میں مذکور رشتوں کی فہرست دہرانے کے بجائے خاص معاشرتی تعبیر فراہم کرتا ہے۔</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63">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bookmarkStart w:id="161" w:name="ref_150"/>
            <w:pPr>
              <w:keepNext/>
              <w:widowControl/>
              <w:spacing w:after="20" w:before="0" w:lineRule="atLeast" w:line="250"/>
              <w:jc w:val="start"/>
              <w:bidi w:val="0"/>
            </w:pPr>
            <w:r>
              <w:rPr>
                <w:rFonts w:ascii="Calibri" w:hAnsi="Calibri" w:cs="Calibri" w:eastAsia="Calibri"/>
                <w:b/>
                <w:color w:val="21313F"/>
                <w:sz w:val="20"/>
                <w:szCs w:val="20"/>
                <w:lang w:val="en-GB" w:bidi="ar-SA"/>
              </w:rPr>
              <w:t>Reference 150  |  Shared matters and consultative conduct</w:t>
            </w:r>
            <w:bookmarkEnd w:id="161"/>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حوالہ 150  |  مشترک امور اور مشاورتی طرزِ عمل</w:t>
            </w:r>
          </w:p>
        </w:tc>
      </w:tr>
      <w:tr>
        <w:trPr>
          <w:cantSplit/>
        </w:trPr>
        <w:tc>
          <w:tcPr>
            <w:tcW w:type="dxa" w:w="5148"/>
            <w:vAlign w:val="top"/>
          </w:tcPr>
          <w:p>
            <w:pPr>
              <w:keepNext w:val="0"/>
              <w:widowControl/>
              <w:spacing w:after="60" w:before="0" w:lineRule="atLeast" w:line="250"/>
              <w:jc w:val="start"/>
              <w:bidi w:val="0"/>
            </w:pPr>
            <w:r>
              <w:rPr>
                <w:rFonts w:ascii="Calibri" w:hAnsi="Calibri" w:cs="Calibri" w:eastAsia="Calibri"/>
                <w:b/>
                <w:color w:val="244B62"/>
                <w:sz w:val="18"/>
                <w:szCs w:val="18"/>
                <w:lang w:val="en-GB" w:bidi="ar-SA"/>
              </w:rPr>
              <w:t>Tafsir • Scholarly position / paraphrased argument</w:t>
            </w:r>
          </w:p>
          <w:p>
            <w:pPr>
              <w:keepNext w:val="0"/>
              <w:widowControl/>
              <w:spacing w:after="80" w:before="0" w:lineRule="atLeast" w:line="250"/>
              <w:jc w:val="start"/>
              <w:bidi w:val="0"/>
            </w:pPr>
            <w:r>
              <w:rPr>
                <w:rFonts w:ascii="Calibri" w:hAnsi="Calibri" w:cs="Calibri" w:eastAsia="Calibri"/>
                <w:b w:val="0"/>
                <w:color w:val="21313F"/>
                <w:sz w:val="20"/>
                <w:szCs w:val="21"/>
                <w:lang w:val="en-GB" w:bidi="ar-SA"/>
              </w:rPr>
              <w:t>Al-Sadi interprets consultation as avoiding unilateral judgement in shared affairs and deliberating together where reflection is required. He places this alongside prayer and obligatory and voluntary expenditure as responses to God.</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Source: </w:t>
            </w:r>
            <w:r>
              <w:rPr>
                <w:rFonts w:ascii="Calibri" w:hAnsi="Calibri" w:cs="Calibri" w:eastAsia="Calibri"/>
                <w:b w:val="0"/>
                <w:color w:val="21313F"/>
                <w:sz w:val="20"/>
                <w:szCs w:val="20"/>
                <w:lang w:val="en-GB" w:bidi="ar-SA"/>
              </w:rPr>
              <w:t>Abd al-Rahman al-Sadi, Taysir al-Karim al-Rahman; commentary on 42:38. King Saud University digital Quran project.</w:t>
            </w:r>
          </w:p>
          <w:p>
            <w:pPr>
              <w:keepNext w:val="0"/>
              <w:widowControl/>
              <w:spacing w:after="60" w:before="0" w:lineRule="atLeast" w:line="250"/>
              <w:jc w:val="start"/>
              <w:bidi w:val="0"/>
            </w:pPr>
            <w:r>
              <w:rPr>
                <w:rFonts w:ascii="Calibri" w:hAnsi="Calibri" w:cs="Calibri" w:eastAsia="Calibri"/>
                <w:b/>
                <w:color w:val="244B62"/>
                <w:sz w:val="20"/>
                <w:szCs w:val="20"/>
                <w:lang w:val="en-GB" w:bidi="ar-SA"/>
              </w:rPr>
              <w:t xml:space="preserve">Relevance / context: </w:t>
            </w:r>
            <w:r>
              <w:rPr>
                <w:rFonts w:ascii="Calibri" w:hAnsi="Calibri" w:cs="Calibri" w:eastAsia="Calibri"/>
                <w:b w:val="0"/>
                <w:color w:val="21313F"/>
                <w:sz w:val="20"/>
                <w:szCs w:val="20"/>
                <w:lang w:val="en-GB" w:bidi="ar-SA"/>
              </w:rPr>
              <w:t>Links worship with collective conduct; institutional details require additional evidence and interpretation.</w:t>
            </w:r>
          </w:p>
          <w:p>
            <w:pPr>
              <w:keepNext w:val="0"/>
              <w:widowControl/>
              <w:spacing w:after="60" w:before="0" w:lineRule="atLeast" w:line="250"/>
              <w:jc w:val="start"/>
              <w:bidi w:val="0"/>
            </w:pPr>
            <w:r>
              <w:rPr>
                <w:rFonts w:ascii="Calibri" w:hAnsi="Calibri" w:cs="Calibri" w:eastAsia="Calibri"/>
                <w:b/>
                <w:color w:val="244B62"/>
                <w:sz w:val="18"/>
                <w:szCs w:val="18"/>
                <w:lang w:val="en-GB" w:bidi="ar-SA"/>
              </w:rPr>
              <w:t xml:space="preserve">Status: </w:t>
            </w:r>
            <w:r>
              <w:rPr>
                <w:rFonts w:ascii="Calibri" w:hAnsi="Calibri" w:cs="Calibri" w:eastAsia="Calibri"/>
                <w:b w:val="0"/>
                <w:color w:val="4F5D68"/>
                <w:sz w:val="18"/>
                <w:szCs w:val="18"/>
                <w:lang w:val="en-GB" w:bidi="ar-SA"/>
              </w:rPr>
              <w:t>Cited passage inspected in the linked digital text. Attribution verified; interpretation is not classified as a Hadith. Print pagination not asserted.</w:t>
            </w:r>
          </w:p>
          <w:p>
            <w:pPr>
              <w:keepNext w:val="0"/>
              <w:widowControl/>
              <w:spacing w:after="40" w:before="0" w:lineRule="atLeast" w:line="250"/>
              <w:jc w:val="start"/>
              <w:bidi w:val="0"/>
            </w:pPr>
            <w:r>
              <w:rPr>
                <w:rFonts w:ascii="Calibri" w:hAnsi="Calibri" w:cs="Calibri" w:eastAsia="Calibri"/>
                <w:b/>
                <w:color w:val="244B62"/>
                <w:sz w:val="18"/>
                <w:szCs w:val="18"/>
                <w:lang w:val="en-GB" w:bidi="ar-SA"/>
              </w:rPr>
              <w:t xml:space="preserve">Best use: </w:t>
            </w:r>
            <w:r>
              <w:rPr>
                <w:rFonts w:ascii="Calibri" w:hAnsi="Calibri" w:cs="Calibri" w:eastAsia="Calibri"/>
                <w:b w:val="0"/>
                <w:color w:val="21313F"/>
                <w:sz w:val="18"/>
                <w:szCs w:val="18"/>
                <w:lang w:val="en-GB" w:bidi="ar-SA"/>
              </w:rPr>
              <w:t>Interpretation / critical analysis</w:t>
            </w:r>
          </w:p>
          <w:p>
            <w:pPr>
              <w:keepNext w:val="0"/>
              <w:widowControl/>
              <w:spacing w:after="0" w:before="0" w:lineRule="atLeast" w:line="250"/>
              <w:jc w:val="start"/>
              <w:bidi w:val="0"/>
            </w:pPr>
            <w:r>
              <w:rPr>
                <w:rFonts w:ascii="Calibri" w:hAnsi="Calibri" w:cs="Calibri" w:eastAsia="Calibri"/>
                <w:b/>
                <w:color w:val="244B62"/>
                <w:sz w:val="18"/>
                <w:szCs w:val="18"/>
                <w:lang w:val="en-GB" w:bidi="ar-SA"/>
              </w:rPr>
              <w:t xml:space="preserve">Verify: </w:t>
            </w:r>
            <w:hyperlink r:id="rId264">
              <w:r>
                <w:rPr>
                  <w:color w:val="245C7C"/>
                  <w:u w:val="single"/>
                  <w:rFonts w:ascii="Calibri" w:hAnsi="Calibri" w:cs="Calibri"/>
                  <w:sz w:val="18"/>
                  <w:szCs w:val="18"/>
                </w:rPr>
                <w:t>Source passage</w:t>
              </w:r>
            </w:hyperlink>
          </w:p>
        </w:tc>
        <w:tc>
          <w:tcPr>
            <w:tcW w:type="dxa" w:w="5148"/>
            <w:vAlign w:val="top"/>
          </w:tcPr>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تفسیر • علمی مؤقف / مفہومی خلاصہ</w:t>
            </w:r>
          </w:p>
          <w:p>
            <w:pPr>
              <w:keepNext w:val="0"/>
              <w:widowControl/>
              <w:spacing w:after="80" w:before="0" w:lineRule="atLeast" w:line="300"/>
              <w:jc w:val="start"/>
              <w:bidi w:val="1"/>
            </w:pPr>
            <w:r>
              <w:rPr>
                <w:rFonts w:ascii="Noto Naskh Arabic" w:hAnsi="Noto Naskh Arabic" w:cs="Noto Naskh Arabic" w:eastAsia="Noto Naskh Arabic"/>
                <w:b w:val="0"/>
                <w:color w:val="21313F"/>
                <w:sz w:val="22"/>
                <w:szCs w:val="23"/>
                <w:lang w:val="ur-PK" w:bidi="ur-PK"/>
                <w:rtl w:val="1"/>
              </w:rPr>
              <w:t>سعدی مشاورت کی تعبیر مشترک امور میں تنہا رائے مسلط نہ کرنے اور غورطلب معاملات میں باہم بحث و مشورہ کرنے سے کرتے ہیں۔ وہ اسے نماز اور واجب و نفلی انفاق کے ساتھ اللہ کی دعوت قبول کرنے کا حصہ سمجھتے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ماخذ: </w:t>
            </w:r>
            <w:r>
              <w:rPr>
                <w:rFonts w:ascii="Noto Naskh Arabic" w:hAnsi="Noto Naskh Arabic" w:cs="Noto Naskh Arabic" w:eastAsia="Noto Naskh Arabic"/>
                <w:b w:val="0"/>
                <w:color w:val="21313F"/>
                <w:sz w:val="22"/>
                <w:szCs w:val="22"/>
                <w:lang w:val="ur-PK" w:bidi="ur-PK"/>
                <w:rtl w:val="1"/>
              </w:rPr>
              <w:t>عبد الرحمن سعدی، تیسیر الکریم الرحمن؛ تفسیرِ آیت 42:38۔ جامعہ ملک سعود کا برقی قرآنی منصوبہ۔</w:t>
            </w:r>
          </w:p>
          <w:p>
            <w:pPr>
              <w:keepNext w:val="0"/>
              <w:widowControl/>
              <w:spacing w:after="60" w:before="0" w:lineRule="atLeast" w:line="300"/>
              <w:jc w:val="start"/>
              <w:bidi w:val="1"/>
            </w:pPr>
            <w:r>
              <w:rPr>
                <w:rFonts w:ascii="Noto Naskh Arabic" w:hAnsi="Noto Naskh Arabic" w:cs="Noto Naskh Arabic" w:eastAsia="Noto Naskh Arabic"/>
                <w:b/>
                <w:color w:val="244B62"/>
                <w:sz w:val="22"/>
                <w:szCs w:val="22"/>
                <w:lang w:val="ur-PK" w:bidi="ur-PK"/>
                <w:rtl w:val="1"/>
                <w:bCs/>
              </w:rPr>
              <w:t xml:space="preserve">تعلق / سیاق: </w:t>
            </w:r>
            <w:r>
              <w:rPr>
                <w:rFonts w:ascii="Noto Naskh Arabic" w:hAnsi="Noto Naskh Arabic" w:cs="Noto Naskh Arabic" w:eastAsia="Noto Naskh Arabic"/>
                <w:b w:val="0"/>
                <w:color w:val="21313F"/>
                <w:sz w:val="22"/>
                <w:szCs w:val="22"/>
                <w:lang w:val="ur-PK" w:bidi="ur-PK"/>
                <w:rtl w:val="1"/>
              </w:rPr>
              <w:t>عبادت کو اجتماعی طرزِ عمل سے جوڑتا ہے؛ ادارہ جاتی تفصیلات کے لیے مزید شواہد اور تعبیر درکار ہیں۔</w:t>
            </w:r>
          </w:p>
          <w:p>
            <w:pPr>
              <w:keepNext w:val="0"/>
              <w:widowControl/>
              <w:spacing w:after="6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حیثیت: </w:t>
            </w:r>
            <w:r>
              <w:rPr>
                <w:rFonts w:ascii="Noto Naskh Arabic" w:hAnsi="Noto Naskh Arabic" w:cs="Noto Naskh Arabic" w:eastAsia="Noto Naskh Arabic"/>
                <w:b w:val="0"/>
                <w:color w:val="4F5D68"/>
                <w:sz w:val="20"/>
                <w:szCs w:val="20"/>
                <w:lang w:val="ur-PK" w:bidi="ur-PK"/>
                <w:rtl w:val="1"/>
              </w:rPr>
              <w:t>مربوط برقی متن میں مذکورہ مقام دیکھا گیا اور نسبت جانچی گئی۔ تفسیر یا علمی مؤقف کو حدیث کا درجہ نہیں دیا گیا۔ مطبوعہ صفحہ نمبر کا دعویٰ نہیں۔</w:t>
            </w:r>
          </w:p>
          <w:p>
            <w:pPr>
              <w:keepNext w:val="0"/>
              <w:widowControl/>
              <w:spacing w:after="4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موزوں استعمال: </w:t>
            </w:r>
            <w:r>
              <w:rPr>
                <w:rFonts w:ascii="Noto Naskh Arabic" w:hAnsi="Noto Naskh Arabic" w:cs="Noto Naskh Arabic" w:eastAsia="Noto Naskh Arabic"/>
                <w:b w:val="0"/>
                <w:color w:val="21313F"/>
                <w:sz w:val="20"/>
                <w:szCs w:val="20"/>
                <w:lang w:val="ur-PK" w:bidi="ur-PK"/>
                <w:rtl w:val="1"/>
              </w:rPr>
              <w:t>تعبیر / تنقیدی جائزہ</w:t>
            </w:r>
          </w:p>
          <w:p>
            <w:pPr>
              <w:keepNext w:val="0"/>
              <w:widowControl/>
              <w:spacing w:after="0" w:before="0" w:lineRule="atLeast" w:line="300"/>
              <w:jc w:val="start"/>
              <w:bidi w:val="1"/>
            </w:pPr>
            <w:r>
              <w:rPr>
                <w:rFonts w:ascii="Noto Naskh Arabic" w:hAnsi="Noto Naskh Arabic" w:cs="Noto Naskh Arabic" w:eastAsia="Noto Naskh Arabic"/>
                <w:b/>
                <w:color w:val="244B62"/>
                <w:sz w:val="20"/>
                <w:szCs w:val="20"/>
                <w:lang w:val="ur-PK" w:bidi="ur-PK"/>
                <w:rtl w:val="1"/>
                <w:bCs/>
              </w:rPr>
              <w:t xml:space="preserve">تصدیق: </w:t>
            </w:r>
            <w:hyperlink r:id="rId264">
              <w:r>
                <w:rPr>
                  <w:color w:val="245C7C"/>
                  <w:u w:val="single"/>
                  <w:rFonts w:ascii="Noto Naskh Arabic" w:hAnsi="Noto Naskh Arabic" w:cs="Noto Naskh Arabic"/>
                  <w:sz w:val="21"/>
                  <w:szCs w:val="21"/>
                  <w:rtl/>
                </w:rPr>
                <w:t>اصل ماخذی مقام</w:t>
              </w:r>
            </w:hyperlink>
          </w:p>
        </w:tc>
      </w:tr>
    </w:tbl>
    <w:p>
      <w:pPr>
        <w:spacing w:before="0" w:after="100" w:line="20" w:lineRule="exact"/>
      </w:pPr>
      <w:r>
        <w:rPr>
          <w:rFonts w:ascii="Calibri" w:hAnsi="Calibri" w:cs="Calibri" w:eastAsia="Calibri"/>
          <w:b w:val="0"/>
          <w:color w:val="21313F"/>
          <w:sz w:val="2"/>
          <w:szCs w:val="2"/>
          <w:lang w:val="en-GB" w:bidi="ar-SA"/>
        </w:rPr>
      </w:r>
    </w:p>
    <w:p>
      <w:r>
        <w:br w:type="page"/>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01" w:name="theme_12"/>
            <w:r>
              <w:rPr>
                <w:rFonts w:ascii="Calibri" w:hAnsi="Calibri" w:cs="Calibri" w:eastAsia="Calibri"/>
                <w:sz w:val="22"/>
                <w:szCs w:val="22"/>
                <w:b w:val="1"/>
                <w:bCs w:val="1"/>
                <w:color w:val="21313F"/>
                <w:lang w:val="en-GB" w:bidi="en-GB"/>
                <w:rtl w:val="0"/>
              </w:rPr>
              <w:t>12  More on Islam, Din and purposeful human life</w:t>
            </w:r>
            <w:bookmarkEnd w:id="1001"/>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12  اسلام، دین اور بامقصد انسانی زندگی کی مزید بنیادیں</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1"/>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References 151–164 • Expanded evidence</w:t>
            </w:r>
          </w:p>
        </w:tc>
        <w:tc>
          <w:tcPr>
            <w:tcW w:type="dxa" w:w="5148"/>
            <w:vAlign w:val="top"/>
          </w:tcPr>
          <w:p>
            <w:pPr>
              <w:keepNext w:val="1"/>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حوالے 151–164 • اضافی شواہد</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02" w:name="ref_151"/>
            <w:r>
              <w:rPr>
                <w:rFonts w:ascii="Calibri" w:hAnsi="Calibri" w:cs="Calibri" w:eastAsia="Calibri"/>
                <w:sz w:val="20"/>
                <w:szCs w:val="20"/>
                <w:b w:val="1"/>
                <w:bCs w:val="1"/>
                <w:color w:val="21313F"/>
                <w:lang w:val="en-GB" w:bidi="en-GB"/>
                <w:rtl w:val="0"/>
              </w:rPr>
              <w:t>Reference 151  |  Wholehearted entry into Islam</w:t>
            </w:r>
            <w:bookmarkEnd w:id="1002"/>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151  |  اسلام میں پورے طور پر داخل ہونا</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يَا أَيُّهَا الَّذِينَ آمَنُوا ادْخُلُوا فِي السِّلْمِ كَافَّةً</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“O ye who believe! Come, all of you, into submission (unto Him);”</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Al-Baqarah (2), ayah 208.</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opening command supports comprehensive commitment rather than selective observance. Detailed claims about particular institutions require further evidence.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argument</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65">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66">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«مومنو! اسلام میں پورے پورے داخل ہوجاؤ»</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البقرہ (2)، آیت 208۔</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ابتدائی حکم انتخابی عمل کے بجائے جامع وابستگی کی تائید کرتا ہے۔ مخصوص اداروں کے تفصیلی احکام کے لیے مزید دلیل درکار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استدلال</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65">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66">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03" w:name="ref_152"/>
            <w:r>
              <w:rPr>
                <w:rFonts w:ascii="Calibri" w:hAnsi="Calibri" w:cs="Calibri" w:eastAsia="Calibri"/>
                <w:sz w:val="20"/>
                <w:szCs w:val="20"/>
                <w:b w:val="1"/>
                <w:bCs w:val="1"/>
                <w:color w:val="21313F"/>
                <w:lang w:val="en-GB" w:bidi="en-GB"/>
                <w:rtl w:val="0"/>
              </w:rPr>
              <w:t>Reference 152  |  Faith and willing acceptance of Prophetic judgement</w:t>
            </w:r>
            <w:bookmarkEnd w:id="1003"/>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152  |  ایمان اور نبوی فیصلے کی دلی قبولیت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فَلَا وَرَبِّكَ لَا يُؤْمِنُونَ حَتَّىٰ يُحَكِّمُوكَ فِيمَا شَجَرَ بَيْنَهُمْ ثُمَّ لَا يَجِدُوا فِي أَنفُسِهِمْ حَرَجًا مِّمَّا قَضَيْتَ وَيُسَلِّمُوا تَسْلِيمًا</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“But nay, by thy Lord, they will not believe (in truth) until they make thee judge of what is in dispute between them and find within themselves no dislike of that which thou decidest, and submit with full submission.”</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Al-Nisa (4), ayah 65.</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Connects faith to acceptance of the Prophet’s judgement, not merely a verbal claim. It does not confer equivalent authority on every later human opinion.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argument</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67">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68">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«تمہارے پروردگار کی قسم یہ لوگ جب تک اپنے تنازعات میں تمہیں منصف نہ بنائیں اور جو فیصلہ تم کردو اس سے اپنے دل میں تنگ نہ ہوں بلکہ اس کو خوشی سے مان لیں تب تک مومن نہیں ہوں گے»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النساء (4)، آیت 65۔</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ایمان کو محض زبانی دعوے کے بجائے رسول کے فیصلے کی قبولیت سے جوڑتی ہے۔ ہر بعد کی انسانی رائے کو وہی اختیار نہیں دیتی۔</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استدلال</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67">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68">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04" w:name="ref_153"/>
            <w:r>
              <w:rPr>
                <w:rFonts w:ascii="Calibri" w:hAnsi="Calibri" w:cs="Calibri" w:eastAsia="Calibri"/>
                <w:sz w:val="20"/>
                <w:szCs w:val="20"/>
                <w:b w:val="1"/>
                <w:bCs w:val="1"/>
                <w:color w:val="21313F"/>
                <w:lang w:val="en-GB" w:bidi="en-GB"/>
                <w:rtl w:val="0"/>
              </w:rPr>
              <w:t>Reference 153  |  Revelation as guidance and inward healing</w:t>
            </w:r>
            <w:bookmarkEnd w:id="1004"/>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153  |  وحی بطور ہدایت اور باطنی شفا</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يَا أَيُّهَا النَّاسُ قَدْ جَاءَتْكُم مَّوْعِظَةٌ مِّن رَّبِّكُمْ وَشِفَاءٌ لِّمَا فِي الصُّدُورِ وَهُدًى وَرَحْمَةٌ لِّلْمُؤْمِنِينَ</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“O mankind! There hath come unto you an exhortation from your Lord, a balm for that which is in the breasts, a guidance and a mercy for believers.”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Yunus (10), ayah 57.</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Describes religious guidance in moral and inward terms. No clinical claim about curing every physical or psychological illness is inferred.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argument</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69">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70">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«لوگو تمہارے پروردگار کی طرف سے نصیحت اور دلوں کی بیماریوں کی شفا۔ اور مومنوں کے لیے ہدایت اور رحمت آپہنچی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یونس (10)، آیت 57۔</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دینی ہدایت کے اخلاقی اور باطنی پہلو بیان کرتی ہے۔ ہر جسمانی یا نفسیاتی بیماری کے طبی علاج کا دعویٰ اس سے اخذ نہیں کیا گیا۔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استدلال</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69">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70">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05" w:name="ref_154"/>
            <w:r>
              <w:rPr>
                <w:rFonts w:ascii="Calibri" w:hAnsi="Calibri" w:cs="Calibri" w:eastAsia="Calibri"/>
                <w:sz w:val="20"/>
                <w:szCs w:val="20"/>
                <w:b w:val="1"/>
                <w:bCs w:val="1"/>
                <w:color w:val="21313F"/>
                <w:lang w:val="en-GB" w:bidi="en-GB"/>
                <w:rtl w:val="0"/>
              </w:rPr>
              <w:t>Reference 154  |  Din centred on exclusive worship of Allah</w:t>
            </w:r>
            <w:bookmarkEnd w:id="1005"/>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154  |  صرف اللہ کی عبادت پر قائم دین</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إِنِ الْحُكْمُ إِلَّا لِلَّهِ ۚ أَمَرَ أَلَّا تَعْبُدُوا إِلَّا إِيَّاهُ ۚ ذَٰلِكَ الدِّينُ الْقَيِّمُ</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“The decision rests with Allah only, Who hath commanded you that ye worship none save Him. This is the right religion,”</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Yusuf (12), ayah 40.</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Joseph’s address to his prison companions links divine authority, worship and upright din. The immediate context is a challenge to multiple objects of worship.</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argument</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71">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72">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«(سن رکھو کہ) خدا کے سوا کسی کی حکومت نہیں ہے۔ اس نے ارشاد فرمایا ہے کہ اس کے سوا کسی کی عبادت نہ کرو۔ یہی سیدھا دین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یوسف (12)، آیت 40۔</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یوسف علیہ السلام کے قیدی ساتھیوں سے خطاب میں الٰہی اختیار، عبادت اور دینِ قیم باہم مربوط ہیں۔ فوری سیاق متعدد معبودوں کی نفی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استدلال</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71">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72">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06" w:name="ref_155"/>
            <w:r>
              <w:rPr>
                <w:rFonts w:ascii="Calibri" w:hAnsi="Calibri" w:cs="Calibri" w:eastAsia="Calibri"/>
                <w:sz w:val="20"/>
                <w:szCs w:val="20"/>
                <w:b w:val="1"/>
                <w:bCs w:val="1"/>
                <w:color w:val="21313F"/>
                <w:lang w:val="en-GB" w:bidi="en-GB"/>
                <w:rtl w:val="0"/>
              </w:rPr>
              <w:t>Reference 155  |  The shared message of the messengers</w:t>
            </w:r>
            <w:bookmarkEnd w:id="1006"/>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155  |  رسولوں کی مشترک دعوت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وَلَقَدْ بَعَثْنَا فِي كُلِّ أُمَّةٍ رَّسُولًا أَنِ اعْبُدُوا اللَّهَ وَاجْتَنِبُوا الطَّاغُوتَ</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verily We have raised in every nation a messenger, (proclaiming): Serve Allah and shun false gods.”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Al-Nahl (16), ayah 36.</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Adds a universal prophetic foundation for tawhid. The subsequent verse context also concerns differing human responses and historical consequences.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argument</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73">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74">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ہم نے ہر جماعت میں پیغمبر بھیجا کہ خدا ہی کی عبادت کرو اور بتوں (کی پرستش) سے اجتناب کرو۔»</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النحل (16)، آیت 36۔</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توحید کے لیے عالمگیر نبوی بنیاد فراہم کرتی ہے۔ آیت کا اگلا حصہ انسانی ردِعمل کے اختلاف اور تاریخی انجام کا ذکر کرتا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استدلال</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73">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74">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07" w:name="ref_156"/>
            <w:r>
              <w:rPr>
                <w:rFonts w:ascii="Calibri" w:hAnsi="Calibri" w:cs="Calibri" w:eastAsia="Calibri"/>
                <w:sz w:val="20"/>
                <w:szCs w:val="20"/>
                <w:b w:val="1"/>
                <w:bCs w:val="1"/>
                <w:color w:val="21313F"/>
                <w:lang w:val="en-GB" w:bidi="en-GB"/>
                <w:rtl w:val="0"/>
              </w:rPr>
              <w:t>Reference 156  |  Life as a test of conduct</w:t>
            </w:r>
            <w:bookmarkEnd w:id="1007"/>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156  |  زندگی بطور آزمائشِ عمل</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الَّذِي خَلَقَ الْمَوْتَ وَالْحَيَاةَ لِيَبْلُوَكُمْ أَيُّكُمْ أَحْسَنُ عَمَلًا ۚ وَهُوَ الْعَزِيزُ الْغَفُورُ</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“Who hath created life and death that He may try you which of you is best in conduct; and He is the Mighty, the Forgiving,”</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Al-Mulk (67), ayah 2.</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Gives a purpose-oriented account of life focused on the quality of conduct. The cited Pickthall wording is retained without changing its order of “life and death”.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argument</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75">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76">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«اسی نے موت اور زندگی کو پیدا کیا تاکہ تمہاری آزمائش کرے کہ تم میں کون اچھے عمل کرتا ہے۔ اور وہ زبردست (اور) بخشنے والا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الملک (67)، آیت 2۔</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زندگی کا مقصد اعمال کے حسن کے حوالے سے بیان کرتی ہے۔ پک تھال کے نقل کردہ ترجمے میں زندگی اور موت کی ترتیب کو تبدیل نہیں کیا گیا۔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استدلال</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75">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76">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08" w:name="ref_157"/>
            <w:r>
              <w:rPr>
                <w:rFonts w:ascii="Calibri" w:hAnsi="Calibri" w:cs="Calibri" w:eastAsia="Calibri"/>
                <w:sz w:val="20"/>
                <w:szCs w:val="20"/>
                <w:b w:val="1"/>
                <w:bCs w:val="1"/>
                <w:color w:val="21313F"/>
                <w:lang w:val="en-GB" w:bidi="en-GB"/>
                <w:rtl w:val="0"/>
              </w:rPr>
              <w:t>Reference 157  |  Outward profession and certainty about inward faith</w:t>
            </w:r>
            <w:bookmarkEnd w:id="1008"/>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157  |  ظاہری اسلام اور باطنی ایمان کے بارے میں یقین</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أَوْ مُسْلِمًا</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“Or merely a Muslim.”</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al-Iman, hadith 27 (Sunnah.com numbering). Narrator: Sa‘d ibn Abi Waqqas.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gap: </w:t>
            </w:r>
            <w:r>
              <w:rPr>
                <w:rFonts w:ascii="Calibri" w:hAnsi="Calibri" w:cs="Calibri" w:eastAsia="Calibri"/>
                <w:sz w:val="18"/>
                <w:szCs w:val="18"/>
                <w:b w:val="0"/>
                <w:bCs w:val="0"/>
                <w:color w:val="4F5D68"/>
                <w:lang w:val="en-GB" w:bidi="en-GB"/>
                <w:rtl w:val="0"/>
              </w:rPr>
              <w:t>Published Urdu wording was not verified for this entry; no substitute translation was composed.</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In the distribution episode, Sa‘d’s confident description of another as a believer is qualified by the Prophet. Read with Reference 006, distinguishing outward recognition from certainty about hearts.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77">
              <w:r>
                <w:rPr>
                  <w:rFonts w:ascii="Calibri" w:hAnsi="Calibri" w:cs="Calibri" w:eastAsia="Calibri"/>
                  <w:sz w:val="18"/>
                  <w:szCs w:val="18"/>
                  <w:b w:val="0"/>
                  <w:bCs w:val="0"/>
                  <w:color w:val="244B62"/>
                  <w:lang w:val="en-GB" w:bidi="en-GB"/>
                  <w:rtl w:val="0"/>
                  <w:u w:val="single"/>
                </w:rPr>
                <w:t>Arabic / English / locator</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اس اندراج کے لیے مطبوعہ اردو ترجمے کے الفاظ کی تصدیق نہیں ہو سکی؛ خودساختہ ترجمہ فراہم نہیں کیا گیا۔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الإيمان، حدیث 27 (ترقیم: Sunnah.com)۔ راوی: سعد بن ابی وقاص۔</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مطبوعہ اردو ترجمہ غیر مصدقہ؛ الفاظ نقل نہیں کیے گئے۔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تقسیم کے واقعے میں سعد کے کسی دوسرے کو یقین کے ساتھ مومن کہنے پر رسول نے احتیاط دلائی۔ حوالہ 006 کے ساتھ پڑھ کر ظاہری شناخت اور دلوں کے یقین میں فرق سمجھا جا سکتا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77">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09" w:name="ref_158"/>
            <w:r>
              <w:rPr>
                <w:rFonts w:ascii="Calibri" w:hAnsi="Calibri" w:cs="Calibri" w:eastAsia="Calibri"/>
                <w:sz w:val="20"/>
                <w:szCs w:val="20"/>
                <w:b w:val="1"/>
                <w:bCs w:val="1"/>
                <w:color w:val="21313F"/>
                <w:lang w:val="en-GB" w:bidi="en-GB"/>
                <w:rtl w:val="0"/>
              </w:rPr>
              <w:t>Reference 158  |  Comprehensive submission: lexical alternatives and interpretation</w:t>
            </w:r>
            <w:bookmarkEnd w:id="1009"/>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158  |  جامع اطاعت: لفظی احتمالات اور تفسیری ترجیح</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Al-Tabari records different explanations of al-silm, including Islam and obedience, and prefers entry into Islam as a whole rather than selective acceptance of its requirements.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al-Tabari, Jami‘ al-bayan ‘an ta’wil ay al-Qur’an; commentary on 2:208; interpretation of “udkhulu fi al-silm kaffah” and the author’s preference.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An interpretive basis for the comprehensiveness of Din; the lexical alternatives should not be hidden.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78">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طبری السِّلم کی اسلام اور اطاعت سمیت مختلف توضیحات نقل کرتے ہیں اور اس معنی کو ترجیح دیتے ہیں کہ اسلام کے تقاضوں کو انتخابی طور پر نہیں بلکہ مجموعی طور پر قبول کیا جائے۔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طبری، جامع البيان عن تأويل آي القرآن؛ آیت 2:208 کی تفسیر؛ ادخلوا في السلم كافة کی توضیح اور مصنف کی ترجیح۔</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دین کی جامعیت کی تفسیری بنیاد؛ لفظ کے دوسرے منقول معانی کو پوشیدہ نہیں کرنا چاہیے۔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78">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0" w:name="ref_159"/>
            <w:r>
              <w:rPr>
                <w:rFonts w:ascii="Calibri" w:hAnsi="Calibri" w:cs="Calibri" w:eastAsia="Calibri"/>
                <w:sz w:val="20"/>
                <w:szCs w:val="20"/>
                <w:b w:val="1"/>
                <w:bCs w:val="1"/>
                <w:color w:val="21313F"/>
                <w:lang w:val="en-GB" w:bidi="en-GB"/>
                <w:rtl w:val="0"/>
              </w:rPr>
              <w:t>Reference 159  |  Inward and outward acceptance</w:t>
            </w:r>
            <w:bookmarkEnd w:id="1010"/>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159  |  باطنی اور ظاہری قبولیت</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Ibn Kathir connects faith with accepting the Prophet’s judgement both outwardly and inwardly, without resistance to the judgement. This entry uses his opening interpretation, not the later narrated anecdotes.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Ibn Kathir, Tafsir al-Qur’an al-‘Azim; commentary on 4:65; opening explanatory paragraph.</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Distinguishes willing commitment from a merely verbal profession; embedded reports are not independently authenticated here.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79">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ابن کثیر ایمان کو رسول کے فیصلے کی ظاہری اور باطنی قبولیت اور اس کی مخالفت ترک کرنے سے مربوط کرتے ہیں۔ یہاں ان کی ابتدائی تفسیر استعمال ہوئی ہے، بعد میں مذکور حکایات نہیں۔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ابن کثیر، تفسير القرآن العظيم؛ آیت 4:65 کی تفسیر؛ ابتدائی توضیحی پیراگراف۔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رضاکارانہ وابستگی کو محض زبانی اقرار سے ممتاز کرتا ہے؛ تفسیر میں ضمنی طور پر آنے والی روایات کی الگ تصحیح یہاں نہیں کی گئی۔</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79">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1" w:name="ref_160"/>
            <w:r>
              <w:rPr>
                <w:rFonts w:ascii="Calibri" w:hAnsi="Calibri" w:cs="Calibri" w:eastAsia="Calibri"/>
                <w:sz w:val="20"/>
                <w:szCs w:val="20"/>
                <w:b w:val="1"/>
                <w:bCs w:val="1"/>
                <w:color w:val="21313F"/>
                <w:lang w:val="en-GB" w:bidi="en-GB"/>
                <w:rtl w:val="0"/>
              </w:rPr>
              <w:t>Reference 160  |  Moral desires, doubts and inward reform</w:t>
            </w:r>
            <w:bookmarkEnd w:id="1011"/>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160  |  خواہشات، شبہات اور باطنی اصلاح</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Al-Sa‘di interprets the healing of the breast in relation to desires that obstruct obedience and doubts that undermine certainty. Guidance includes knowing the truth and acting upon it, linking inward reform with outward conduct.</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al-Sa‘di, Taysir al-Karim al-Rahman; commentary on 10:57; explanation of healing, guidance and mercy.</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Explains the moral significance of revelation without making a clinical claim.</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80">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سعدی سینے کی شفا کو ان خواہشات سے متعلق کرتے ہیں جو اطاعت سے روکتی ہیں اور ان شبہات سے جو یقین کو کمزور کرتے ہیں۔ ہدایت میں حق جاننا اور اس پر عمل شامل ہے، یوں باطنی اصلاح ظاہری کردار سے مربوط ہوتی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سعدی، تيسير الكريم الرحمن؛ آیت 10:57 کی تفسیر؛ شفا، ہدایت اور رحمت کی توضیح۔</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وحی کی اخلاقی اہمیت واضح کرتا ہے، طبی علاج کا دعویٰ نہیں کرتا۔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80">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2" w:name="ref_161"/>
            <w:r>
              <w:rPr>
                <w:rFonts w:ascii="Calibri" w:hAnsi="Calibri" w:cs="Calibri" w:eastAsia="Calibri"/>
                <w:sz w:val="20"/>
                <w:szCs w:val="20"/>
                <w:b w:val="1"/>
                <w:bCs w:val="1"/>
                <w:color w:val="21313F"/>
                <w:lang w:val="en-GB" w:bidi="en-GB"/>
                <w:rtl w:val="0"/>
              </w:rPr>
              <w:t>Reference 161  |  Din in Joseph’s address to his fellow prisoners</w:t>
            </w:r>
            <w:bookmarkEnd w:id="1012"/>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161  |  یوسف کے ہم قید ساتھیوں سے خطاب میں دین</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Al-Tabari reads the passage within Joseph’s rejection of the prisoners’ and their people’s deities. He identifies upright Din here with sincere worship of the one God and abandonment of idol worship.</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al-Tabari, Jami‘ al-bayan ‘an ta’wil ay al-Qur’an; commentary on 12:40; opening explanation and the clause “dhalika al-din al-qayyim”.</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Prevents removing the expression about judgement from its immediate theological context.</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81">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طبری اس مقام کو یوسف کے ہم قیدوں اور ان کی قوم کے معبودوں کی تردید کے سیاق میں پڑھتے ہیں۔ یہاں قائم دین کی توضیح ایک اللہ کی خالص عبادت اور بت پرستی کے ترک سے کرتے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طبری، جامع البيان عن تأويل آي القرآن؛ آیت 12:40 کی تفسیر؛ ابتدائی توضیح اور ذلك الدين القيم کی شرح۔</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حکم سے متعلق عبارت کو اس کے فوری توحیدی سیاق سے الگ کرنے سے بچاتا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81">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3" w:name="ref_162"/>
            <w:r>
              <w:rPr>
                <w:rFonts w:ascii="Calibri" w:hAnsi="Calibri" w:cs="Calibri" w:eastAsia="Calibri"/>
                <w:sz w:val="20"/>
                <w:szCs w:val="20"/>
                <w:b w:val="1"/>
                <w:bCs w:val="1"/>
                <w:color w:val="21313F"/>
                <w:lang w:val="en-GB" w:bidi="en-GB"/>
                <w:rtl w:val="0"/>
              </w:rPr>
              <w:t>Reference 162  |  Worship and voluntary devotion: a lexical distinction</w:t>
            </w:r>
            <w:bookmarkEnd w:id="1013"/>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162  |  عبادت اور اختیاری بندگی: لغوی امتیاز</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Scholarly source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Al-Raghib distinguishes showing humility from worship as its most complete form, reserved for Allah as the giver of ultimate beneficence. He further distinguishes subjection by creation from the voluntary worship commanded of responsible beings.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Al-Raghib al-Isfahani, al-Mufradat fi gharib al-Qur’an; entry ‘abd (عبد), opening definition and division of worship.</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Useful for defining worship without reducing it to outward ritual alone.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Primary-work digital entry inspected via Ghareeb; no manuscript or edition-specific page was checked.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82">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علمی ماخذ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راغب اظہارِ تذلل اور عبادت میں فرق کرتے ہیں؛ عبادت کامل ترین تذلل ہے جو کامل احسان کرنے والے اللہ کے لیے خاص ہے۔ وہ تخلیقی تسخیر اور ذمہ دار مخلوق کو حکم دی گئی اختیاری عبادت میں بھی امتیاز کرتے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راغب اصفہانی، المفردات في غريب القرآن؛ مادہ عبد، ابتدائی تعریف اور عبادت کی تقسیم۔</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عبادت کی تعریف میں مفید، اسے صرف ظاہری رسم تک محدود نہیں کرتا۔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غریب کے ذریعے اصل تصنیف کا برقی اندراج دیکھا گیا؛ مخطوطہ یا مخصوص ایڈیشن کا صفحہ نہیں جانچا گیا۔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82">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4" w:name="ref_163"/>
            <w:r>
              <w:rPr>
                <w:rFonts w:ascii="Calibri" w:hAnsi="Calibri" w:cs="Calibri" w:eastAsia="Calibri"/>
                <w:sz w:val="20"/>
                <w:szCs w:val="20"/>
                <w:b w:val="1"/>
                <w:bCs w:val="1"/>
                <w:color w:val="21313F"/>
                <w:lang w:val="en-GB" w:bidi="en-GB"/>
                <w:rtl w:val="0"/>
              </w:rPr>
              <w:t>Reference 163  |  Din is a context-sensitive word</w:t>
            </w:r>
            <w:bookmarkEnd w:id="1014"/>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163  |  دین ایک سیاق کے مطابق معنی رکھنے والا لفظ ہے</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Scholarly source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Al-Firuzabadi lists recompense, Islam, custom, worship, obedience, reckoning, authority and other senses under din. These are lexical possibilities, not a requirement to insert every meaning into every Quranic occurrence.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Al-Firuzabadi, al-Qamus al-muhit; root d-y-n, paragraph beginning “al-din, bi-l-kasr”.</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Use alongside Reference 035: neither din nor the English category religion has one context-free definition.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Primary-work digital transcription inspected. The page also covers dayn (debt); this entry uses only the din paragraph.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83">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علمی ماخذ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فیروزآبادی دین کے تحت جزا، اسلام، عادت، عبادت، اطاعت، حساب، اقتدار اور دوسرے معانی ذکر کرتے ہیں۔ یہ لغوی امکانات ہیں، ہر قرآنی استعمال میں تمام معنی اکٹھے داخل کرنا لازم نہیں۔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فیروزآبادی، القاموس المحيط؛ مادہ د ی ن، الدين بالكسر سے شروع ہونے والا پیراگراف۔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حوالہ 035 کے ساتھ استعمال کریں: نہ دین اور نہ انگریزی اصطلاح مذہب کی ایک ہی سیاق سے آزاد تعریف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اصل تصنیف کا برقی متن دیکھا گیا۔ صفحے پر دَین یعنی قرض بھی مذکور ہے؛ یہاں صرف دِین والا پیراگراف استعمال ہوا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83">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5" w:name="ref_164"/>
            <w:r>
              <w:rPr>
                <w:rFonts w:ascii="Calibri" w:hAnsi="Calibri" w:cs="Calibri" w:eastAsia="Calibri"/>
                <w:sz w:val="20"/>
                <w:szCs w:val="20"/>
                <w:b w:val="1"/>
                <w:bCs w:val="1"/>
                <w:color w:val="21313F"/>
                <w:lang w:val="en-GB" w:bidi="en-GB"/>
                <w:rtl w:val="0"/>
              </w:rPr>
              <w:t>Reference 164  |  Religious obligation and freedom from caprice</w:t>
            </w:r>
            <w:bookmarkEnd w:id="1015"/>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164  |  دینی تکلیف اور خواہش کی بے قید پیروی سے آزادی</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Scholarly source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Al-Shatibi states that the purpose of placing people under the Sharia is to move them beyond unregulated desire into willing service of Allah. He distinguishes seeking legitimate human interests under divine guidance from making personal preference the measure of every rule.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Al-Shatibi, al-Muwafaqat; Kitab al-Maqasid, purposes of the Lawgiver, fourth type, first issue, statement of purpose and its proofs; digital volume 2.</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Provides a juristic explanation of the importance of Din in moral self-government.</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Original Arabic work inspected through Islamweb’s library; exact printed edition not established.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84">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علمی ماخذ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شاطبی بیان کرتے ہیں کہ انسان کو شریعت کے احکام کے تحت لانے کا مقصد اسے بے قید خواہش سے نکال کر اللہ کی اختیاری بندگی میں لانا ہے۔ وہ شرعی رہنمائی میں جائز مصلحت حاصل کرنے اور ذاتی پسند کو ہر حکم کا معیار بنانے میں فرق کرتے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شاطبی، الموافقات؛ کتاب المقاصد، مقاصدِ شارع، نوعِ چہارم، مسئلہ اول، مقصد کا بیان اور اس کے دلائل؛ برقی جلد 2۔</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اخلاقی ضبطِ نفس میں دین کی اہمیت کی اصولی و فقہی توضیح فراہم کرتا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اسلام ویب کی لائبریری میں اصل عربی تصنیف دیکھی گئی؛ مخصوص مطبوعہ ایڈیشن متعین نہیں کیا گیا۔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84">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p>
      <w:pPr>
        <w:spacing w:before="0" w:after="0" w:line="60" w:lineRule="exact"/>
        <w:keepNext w:val="0"/>
      </w:pPr>
      <w:r>
        <w:br w:type="page"/>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6" w:name="theme_13"/>
            <w:r>
              <w:rPr>
                <w:rFonts w:ascii="Calibri" w:hAnsi="Calibri" w:cs="Calibri" w:eastAsia="Calibri"/>
                <w:sz w:val="22"/>
                <w:szCs w:val="22"/>
                <w:b w:val="1"/>
                <w:bCs w:val="1"/>
                <w:color w:val="21313F"/>
                <w:lang w:val="en-GB" w:bidi="en-GB"/>
                <w:rtl w:val="0"/>
              </w:rPr>
              <w:t>13  Distinctive values: knowledge, dignity and social dealings</w:t>
            </w:r>
            <w:bookmarkEnd w:id="1016"/>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13  امتیازی اقدار: علم، انسانی وقار اور معاشرتی معاملات</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1"/>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References 165–177 • Expanded evidence</w:t>
            </w:r>
          </w:p>
        </w:tc>
        <w:tc>
          <w:tcPr>
            <w:tcW w:type="dxa" w:w="5148"/>
            <w:vAlign w:val="top"/>
          </w:tcPr>
          <w:p>
            <w:pPr>
              <w:keepNext w:val="1"/>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حوالے 165–177 • اضافی شواہد</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7" w:name="ref_165"/>
            <w:r>
              <w:rPr>
                <w:rFonts w:ascii="Calibri" w:hAnsi="Calibri" w:cs="Calibri" w:eastAsia="Calibri"/>
                <w:sz w:val="20"/>
                <w:szCs w:val="20"/>
                <w:b w:val="1"/>
                <w:bCs w:val="1"/>
                <w:color w:val="21313F"/>
                <w:lang w:val="en-GB" w:bidi="en-GB"/>
                <w:rtl w:val="0"/>
              </w:rPr>
              <w:t>Reference 165  |  Reflection on creation</w:t>
            </w:r>
            <w:bookmarkEnd w:id="1017"/>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165  |  تخلیقِ کائنات میں غور و فکر</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إِنَّ فِي خَلْقِ السَّمَاوَاتِ وَالْأَرْضِ وَاخْتِلَافِ اللَّيْلِ وَالنَّهَارِ لَآيَاتٍ لِّأُولِي الْأَلْبَابِ</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“Lo! In the creation of the heavens and the earth and (in) the difference of night and day are tokens (of His Sovereignty) for men of understanding,”</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 Imran (3), ayah 190.</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Provides a textual basis for attentive reasoning about the natural world. It is not a statement of a particular modern scientific theory.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85">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86">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«بے شک آسمانوں اور زمین کی پیدائش اور رات اور دن کے بدل بدل کے آنے جانے میں عقل والوں کے لیے نشانیاں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آل عمران (3)، آیت 190۔</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فطری دنیا کے بارے میں غور و استدلال کی نصی بنیاد فراہم کرتی ہے۔ یہ کسی مخصوص جدید سائنسی نظریے کا بیان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85">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86">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8" w:name="ref_166"/>
            <w:r>
              <w:rPr>
                <w:rFonts w:ascii="Calibri" w:hAnsi="Calibri" w:cs="Calibri" w:eastAsia="Calibri"/>
                <w:sz w:val="20"/>
                <w:szCs w:val="20"/>
                <w:b w:val="1"/>
                <w:bCs w:val="1"/>
                <w:color w:val="21313F"/>
                <w:lang w:val="en-GB" w:bidi="en-GB"/>
                <w:rtl w:val="0"/>
              </w:rPr>
              <w:t>Reference 166  |  Honour bestowed on humanity</w:t>
            </w:r>
            <w:bookmarkEnd w:id="1018"/>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166  |  نوعِ انسانی کی تکریم</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وَلَقَدْ كَرَّمْنَا بَنِي آدَمَ</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“Verily we have honoured the Children of Adam.”</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Al-Isra (17), ayah 70.</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wording addresses the Children of Adam, supplying an introductory foundation for human dignity. Specific rights and legal applications require their own evidence.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87">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88">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ہم نے بنی آدم کو عزت بخشی»</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الاسراء (17)، آیت 70۔</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الفاظ بنی آدم کے متعلق ہیں، اس لیے انسانی تکریم کی ابتدائی بنیاد فراہم کرتے ہیں۔ مخصوص حقوق اور قانونی اطلاقات کے لیے اپنی دلیل ضروری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87">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88">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19" w:name="ref_167"/>
            <w:r>
              <w:rPr>
                <w:rFonts w:ascii="Calibri" w:hAnsi="Calibri" w:cs="Calibri" w:eastAsia="Calibri"/>
                <w:sz w:val="20"/>
                <w:szCs w:val="20"/>
                <w:b w:val="1"/>
                <w:bCs w:val="1"/>
                <w:color w:val="21313F"/>
                <w:lang w:val="en-GB" w:bidi="en-GB"/>
                <w:rtl w:val="0"/>
              </w:rPr>
              <w:t>Reference 167  |  Religious duty without imposed hardship</w:t>
            </w:r>
            <w:bookmarkEnd w:id="1019"/>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167  |  دینی ذمہ داری اور رفعِ حرج</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هُوَ اجْتَبَاكُمْ وَمَا جَعَلَ عَلَيْكُمْ فِي الدِّينِ مِنْ حَرَجٍ</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“He hath chosen you and hath not laid upon you in religion any hardship;”</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Al-Hajj (22), ayah 78.</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Adds explicit Quranic evidence for the removal of religious hardship. The verse also requires prayer and zakat, so ease is not the abolition of obligation.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89">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90">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«اس نے تم کو برگزیدہ کیا ہے اور تم پر دین کی (کسی بات) میں تنگی نہیں کی۔»</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الحج (22)، آیت 78۔</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دین میں حرج دور کیے جانے کی صریح قرآنی دلیل ہے۔ اسی آیت میں نماز اور زکوٰۃ کا حکم بھی ہے، اس لیے آسانی فرائض کے خاتمے کا نام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89">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90">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0" w:name="ref_168"/>
            <w:r>
              <w:rPr>
                <w:rFonts w:ascii="Calibri" w:hAnsi="Calibri" w:cs="Calibri" w:eastAsia="Calibri"/>
                <w:sz w:val="20"/>
                <w:szCs w:val="20"/>
                <w:b w:val="1"/>
                <w:bCs w:val="1"/>
                <w:color w:val="21313F"/>
                <w:lang w:val="en-GB" w:bidi="en-GB"/>
                <w:rtl w:val="0"/>
              </w:rPr>
              <w:t>Reference 168  |  Linguistic and human diversity as divine signs</w:t>
            </w:r>
            <w:bookmarkEnd w:id="1020"/>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168  |  زبانوں اور رنگوں کا تنوع بطور الٰہی نشانی</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وَمِنْ آيَاتِهِ خَلْقُ السَّمَاوَاتِ وَالْأَرْضِ وَاخْتِلَافُ أَلْسِنَتِكُمْ وَأَلْوَانِكُمْ ۚ إِنَّ فِي ذَٰلِكَ لَآيَاتٍ لِّلْعَالِمِينَ</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of His signs is the creation of the heavens and the earth, and the difference of your languages and colours. Lo! herein indeed are portents for men of knowledge.”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Al-Rum (30), ayah 22.</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Treats human diversity as a sign for reflection rather than evidence of inherited spiritual superiority. Compare the ethical criterion in Reference 041.</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91">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92">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اسی کے نشانات (اور تصرفات) میں سے ہے آسمانوں اور زمین کا پیدا کرنا اور تمہاری زبانوں اور رنگوں کا جدا جدا ہونا۔ اہلِ دانش کے لیے ان (باتوں) میں (بہت سی) نشانیاں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الروم (30)، آیت 22۔</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انسانی تنوع کو غور کی نشانی بناتی ہے، موروثی روحانی برتری کی دلیل نہیں۔ اخلاقی معیار کے لیے حوالہ 041 بھی دیکھیے۔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91">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92">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1" w:name="ref_169"/>
            <w:r>
              <w:rPr>
                <w:rFonts w:ascii="Calibri" w:hAnsi="Calibri" w:cs="Calibri" w:eastAsia="Calibri"/>
                <w:sz w:val="20"/>
                <w:szCs w:val="20"/>
                <w:b w:val="1"/>
                <w:bCs w:val="1"/>
                <w:color w:val="21313F"/>
                <w:lang w:val="en-GB" w:bidi="en-GB"/>
                <w:rtl w:val="0"/>
              </w:rPr>
              <w:t>Reference 169  |  Knowledge, devotion and understanding</w:t>
            </w:r>
            <w:bookmarkEnd w:id="1021"/>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169  |  علم، عبادت اور فہم</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قُلْ هَلْ يَسْتَوِي الَّذِينَ يَعْلَمُونَ وَالَّذِينَ لَا يَعْلَمُونَ ۗ إِنَّمَا يَتَذَكَّرُ أُولُو الْأَلْبَابِ</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“Say (unto them, O Muhammad): Are those who know equal with those who know not? But only men of understanding will pay heed.”</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Al-Zumar (39), ayah 9.</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immediate setting is night worship, fear of the Hereafter and hope in mercy. Educational use should preserve that religious context rather than present a context-free slogan.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93">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94">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«کہو بھلا جو لوگ علم رکھتے ہیں اور جو نہیں رکھتے دونوں برابر ہوسکتے ہیں؟ (اور) نصیحت تو وہی پکڑتے ہیں جو عقلمند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الزمر (39)، آیت 9۔</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فوری سیاق رات کی عبادت، خوفِ آخرت اور امیدِ رحمت ہے۔ تعلیمی استعمال میں یہ دینی سیاق برقرار رہے، اسے سیاق سے جدا نعرہ نہ بنایا جائے۔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93">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94">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2" w:name="ref_170"/>
            <w:r>
              <w:rPr>
                <w:rFonts w:ascii="Calibri" w:hAnsi="Calibri" w:cs="Calibri" w:eastAsia="Calibri"/>
                <w:sz w:val="20"/>
                <w:szCs w:val="20"/>
                <w:b w:val="1"/>
                <w:bCs w:val="1"/>
                <w:color w:val="21313F"/>
                <w:lang w:val="en-GB" w:bidi="en-GB"/>
                <w:rtl w:val="0"/>
              </w:rPr>
              <w:t>Reference 170  |  Women and men in remembrance and reward</w:t>
            </w:r>
            <w:bookmarkEnd w:id="1022"/>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170  |  ذکر اور اجر میں عورتیں اور مرد</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وَالذَّاكِرِينَ اللَّهَ كَثِيرًا وَالذَّاكِرَاتِ أَعَدَّ اللَّهُ لَهُم مَّغْفِرَةً وَأَجْرًا عَظِيمًا</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men who remember Allah much and women who remember - Allah hath prepared for them forgiveness and a vast reward.”</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Al-Ahzab (33), ayah 35.</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concluding clause makes both women and men explicit recipients of promised forgiveness and reward. The full verse similarly pairs them across multiple virtues.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95">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296">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خدا کو کثرت سے یاد کرنے والے مرد اور کثرت سے یاد کرنے والی عورتیں۔ کچھ شک نہیں کہ ان کے لئے خدا نے بخشش اور اجر عظیم تیار کر رکھا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الاحزاب (33)، آیت 35۔</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اختتامی فقرہ عورتوں اور مردوں دونوں کے لیے بخشش اور اجر کا وعدہ صراحت سے بیان کرتا ہے۔ پوری آیت میں بھی متعدد اوصاف دونوں کے لیے ذکر ہوئے 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95">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296">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3" w:name="ref_171"/>
            <w:r>
              <w:rPr>
                <w:rFonts w:ascii="Calibri" w:hAnsi="Calibri" w:cs="Calibri" w:eastAsia="Calibri"/>
                <w:sz w:val="20"/>
                <w:szCs w:val="20"/>
                <w:b w:val="1"/>
                <w:bCs w:val="1"/>
                <w:color w:val="21313F"/>
                <w:lang w:val="en-GB" w:bidi="en-GB"/>
                <w:rtl w:val="0"/>
              </w:rPr>
              <w:t>Reference 171  |  Knowledge practised and taught</w:t>
            </w:r>
            <w:bookmarkEnd w:id="1023"/>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171  |  علم پر عمل اور اس کی تعلیم</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فَهْوَ يَقْضِي بِهَا وَيُعَلِّمُهَا</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he acts according to it and teaches it to others.”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al-Ilm; aspiring to knowledge and wisdom, hadith 73 (Sunnah.com numbering). Narrator: Abdullah ibn Masud.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complete narration commends aspiration to beneficial wisdom and righteous spending. The intended aspiration is distinguished from wishing that another person lose a blessing.</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97">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298">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وہ اس کے ساتھ فیصلہ کرتا ہو اور ( لوگوں کو) اس حکمت کی تعلیم دیتا ہو»</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العلم؛ باب الاغتباط في العلم والحكمة، حدیث 73 (ترقیم: Sunnah.com)۔ راوی: عبداللہ بن مسعود۔</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موسوعۃ الاحادیث النبویۃ (HadeethEnc)، اندراج 3772؛ ابن مسعود کی روایت</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مکمل روایت مفید حکمت اور درست خرچ کی آرزو کو پسندیدہ بتاتی ہے۔ یہ آرزو دوسرے کی نعمت چھننے کی خواہش سے مختلف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97">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298">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4" w:name="ref_172"/>
            <w:r>
              <w:rPr>
                <w:rFonts w:ascii="Calibri" w:hAnsi="Calibri" w:cs="Calibri" w:eastAsia="Calibri"/>
                <w:sz w:val="20"/>
                <w:szCs w:val="20"/>
                <w:b w:val="1"/>
                <w:bCs w:val="1"/>
                <w:color w:val="21313F"/>
                <w:lang w:val="en-GB" w:bidi="en-GB"/>
                <w:rtl w:val="0"/>
              </w:rPr>
              <w:t>Reference 172  |  Dignity of earned livelihood</w:t>
            </w:r>
            <w:bookmarkEnd w:id="1024"/>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172  |  محنت کی کمائی کا وقار</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مَا أَكَلَ أَحَدٌ طَعَامًا قَطُّ خَيْرًا مِنْ أَنْ يَأْكُلَ مِنْ عَمَلِ يَدِهِ</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“Nobody has ever eaten a better meal than that which one has earned by working with one's own hands.”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al-Buyu; personal earnings and manual work, hadith 2072 (Sunnah.com numbering). Narrator: Al-Miqdam ibn Madikarib.</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full report cites Prophet Dawud’s own work, joining prophetic example to economic conduct. It praises earned livelihood without asserting that recipients of lawful support lack dignity.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299">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00">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«کسی نے اپنے ہاتھ کی کمائی سے زیادہ بہتر کمائی کبھی نہیں کھائی۔»</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البيوع؛ باب كسب الرجل وعمله بيده، حدیث 2072 (ترقیم: Sunnah.com)۔ راوی: مقدام بن معدیکرب۔</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موسوعۃ الاحادیث النبویۃ (HadeethEnc)، اندراج 3752؛ مقدام کی روایت</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مکمل روایت نبی داؤد کی محنت کا ذکر کر کے نبوی مثال کو معاشی کردار سے جوڑتی ہے۔ یہ محنت کی کمائی کی فضیلت ہے، جائز امداد لینے والوں کی بے وقاری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299">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00">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5" w:name="ref_173"/>
            <w:r>
              <w:rPr>
                <w:rFonts w:ascii="Calibri" w:hAnsi="Calibri" w:cs="Calibri" w:eastAsia="Calibri"/>
                <w:sz w:val="20"/>
                <w:szCs w:val="20"/>
                <w:b w:val="1"/>
                <w:bCs w:val="1"/>
                <w:color w:val="21313F"/>
                <w:lang w:val="en-GB" w:bidi="en-GB"/>
                <w:rtl w:val="0"/>
              </w:rPr>
              <w:t>Reference 173  |  Truth and disclosure in trade</w:t>
            </w:r>
            <w:bookmarkEnd w:id="1025"/>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173  |  تجارت میں سچائی اور وضاحت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فَإِنْ صَدَقَا وَبَيَّنَا بُورِكَ لَهُمَا فِي بَيْعِهِمَا</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“if both the parties spoke the truth and described the defects and qualities (of the goods),”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al-Buyu; disclosure in transactions, hadith 2079 (Sunnah.com numbering). Narrator: Hakim ibn Hizam.</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complete report joins blessing in trade to truthful disclosure and contrasts it with concealment. The separate juristic discussion of the option before parting is not resolved in this introductory entry.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01">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02">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«اگر وہ سچ بولیں اور عیب و ہنر ظاہر کر دیں»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البيوع؛ معاملے میں عیب و وصف بیان کرنا، حدیث 2079 (ترقیم: Sunnah.com)۔ راوی: حکیم بن حزام۔</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عبدالستار حماد؛ اسلامک اردو بکس میں دوسرا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مکمل روایت تجارت کی برکت کو سچ اور وضاحت سے وابستہ کرتی اور اسے چھپانے کے مقابل رکھتی ہے۔ جدا ہونے سے پہلے اختیار کی مستقل فقہی بحث یہاں طے نہیں کی گئی۔</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01">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02">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6" w:name="ref_174"/>
            <w:r>
              <w:rPr>
                <w:rFonts w:ascii="Calibri" w:hAnsi="Calibri" w:cs="Calibri" w:eastAsia="Calibri"/>
                <w:sz w:val="20"/>
                <w:szCs w:val="20"/>
                <w:b w:val="1"/>
                <w:bCs w:val="1"/>
                <w:color w:val="21313F"/>
                <w:lang w:val="en-GB" w:bidi="en-GB"/>
                <w:rtl w:val="0"/>
              </w:rPr>
              <w:t>Reference 174  |  Solidarity requires preventing injustice</w:t>
            </w:r>
            <w:bookmarkEnd w:id="1026"/>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174  |  یکجہتی کا تقاضا ظلم کو روکنا</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تَأْخُذُ فَوْقَ يَدَيْهِ</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“By preventing him from oppressing others.”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al-Mazalim; helping one’s brother, hadith 2444 (Sunnah.com numbering). Narrator: Anas ibn Malik.</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clarifying reply defines helping an oppressor as stopping the oppression. Quoting only the opening call to help one’s brother would reverse the report’s intended ethical safeguard.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03">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04">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«ظلم سے اس کا ہاتھ پکڑ لو (یہی اس کی مدد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المظالم؛ اپنے بھائی کی مدد، حدیث 2444 (ترقیم: Sunnah.com)۔ راوی: انس بن مالک۔</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اسلامک اردو بکس؛ پہلا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وضاحتی جواب ظالم کی مدد کو اس کے ظلم کی روک تھام قرار دیتا ہے۔ صرف ابتدائی حکم نقل کرنا روایت کی اخلاقی حفاظت کا مفہوم الٹ دے گا۔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03">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04">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7" w:name="ref_175"/>
            <w:r>
              <w:rPr>
                <w:rFonts w:ascii="Calibri" w:hAnsi="Calibri" w:cs="Calibri" w:eastAsia="Calibri"/>
                <w:sz w:val="20"/>
                <w:szCs w:val="20"/>
                <w:b w:val="1"/>
                <w:bCs w:val="1"/>
                <w:color w:val="21313F"/>
                <w:lang w:val="en-GB" w:bidi="en-GB"/>
                <w:rtl w:val="0"/>
              </w:rPr>
              <w:t>Reference 175  |  Human honour and capacities for understanding</w:t>
            </w:r>
            <w:bookmarkEnd w:id="1027"/>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175  |  انسانی عزت اور فہم کی صلاحیتیں</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Ibn Kathir illustrates human honour through bodily capacities, hearing, sight and intellect, including the ability to distinguish benefit from harm in worldly and religious affairs. The entry does not rely on later reports comparing humans and angels.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Ibn Kathir, Tafsir al-Qur’an al-‘Azim; commentary on 17:70; opening paragraphs before the human–angel comparison.</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Supports cultivation of responsible human capacities; it is not an explicit modern rights code.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05">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ابن کثیر جسمانی صلاحیتوں، سماعت، بصارت اور عقل سے انسانی عزت کی توضیح کرتے ہیں، جن سے دنیاوی اور دینی امور میں نفع و ضرر پہچانا جاتا ہے۔ یہ اندراج انسان و فرشتہ کی فضیلت کے بعد کے منقول واقعات پر مبنی نہیں۔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ابن کثیر، تفسير القرآن العظيم؛ آیت 17:70 کی تفسیر؛ انسان و فرشتہ کے تقابل سے پہلے ابتدائی پیراگراف۔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ذمہ دار انسانی صلاحیتوں کی تربیت کی تائید؛ اسے جدید حقوق کے مفصل ضابطے کا صریح بیان نہ کہا جائے۔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05">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8" w:name="ref_176"/>
            <w:r>
              <w:rPr>
                <w:rFonts w:ascii="Calibri" w:hAnsi="Calibri" w:cs="Calibri" w:eastAsia="Calibri"/>
                <w:sz w:val="20"/>
                <w:szCs w:val="20"/>
                <w:b w:val="1"/>
                <w:bCs w:val="1"/>
                <w:color w:val="21313F"/>
                <w:lang w:val="en-GB" w:bidi="en-GB"/>
                <w:rtl w:val="0"/>
              </w:rPr>
              <w:t>Reference 176  |  Human diversity as a sign, not a defect</w:t>
            </w:r>
            <w:bookmarkEnd w:id="1028"/>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176  |  انسانی تنوع بطور نشانی، نہ کہ عیب</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Ibn Kathir explains differences of tongues as the many human languages and expands the discussion of appearance to the distinctive features of individuals. Shared human structure coexists with recognisable diversity.</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Ibn Kathir, Tafsir al-Qur’an al-‘Azim; commentary on 30:22; explanation of differences in languages and colours.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Useful for discussing diversity within humanity; contemporary anti-discrimination applications remain applications, not the commentator’s exact terminology.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06">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ابن کثیر زبانوں کے اختلاف کو انسانی زبانوں کی کثرت سے واضح کرتے ہیں اور صورتوں کے فرق میں افراد کی امتیازی خصوصیات بھی بیان کرتے ہیں۔ مشترک انسانی ساخت کے ساتھ قابلِ شناخت تنوع موجود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ابن کثیر، تفسير القرآن العظيم؛ آیت 30:22 کی تفسیر؛ زبانوں اور رنگوں کے اختلاف کی توضیح۔</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انسانی تنوع کی بحث میں مفید؛ امتیاز کے خلاف جدید اطلاق کو مفسر کی بعینہٖ اصطلاح نہ سمجھا جائے۔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06">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29" w:name="ref_177"/>
            <w:r>
              <w:rPr>
                <w:rFonts w:ascii="Calibri" w:hAnsi="Calibri" w:cs="Calibri" w:eastAsia="Calibri"/>
                <w:sz w:val="20"/>
                <w:szCs w:val="20"/>
                <w:b w:val="1"/>
                <w:bCs w:val="1"/>
                <w:color w:val="21313F"/>
                <w:lang w:val="en-GB" w:bidi="en-GB"/>
                <w:rtl w:val="0"/>
              </w:rPr>
              <w:t>Reference 177  |  Knowledge joined to worship and moral judgement</w:t>
            </w:r>
            <w:bookmarkEnd w:id="1029"/>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177  |  علم، عبادت اور اخلاقی فیصلے کا تعلق</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Al-Sa‘di places the contrast between knowing and not knowing in the setting of night worship, fear, hope and knowledge of Allah’s religious guidance and recompense. Sound understanding favours knowledge and obedience over ignorance and impulse.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al-Sa‘di, Taysir al-Karim al-Rahman; commentary on 39:9; opening comparison and the final two explanatory paragraphs.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Avoids citing the verse as though it referred only to possession of information or academic credentials.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07">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سعدی جاننے اور نہ جاننے کے تقابل کو رات کی عبادت، خوف، امید، اور اللہ کی شرعی ہدایت و جزا کے علم کے سیاق میں رکھتے ہیں۔ صحیح فہم جہالت اور خواہش کے مقابلے میں علم اور اطاعت کو اختیار کرتا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سعدی، تيسير الكريم الرحمن؛ آیت 39:9 کی تفسیر؛ ابتدائی تقابل اور آخری دو توضیحی پیراگراف۔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آیت کو محض معلومات یا تعلیمی اسناد کی ملکیت کے معنی میں پیش کرنے سے بچاتا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07">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p>
      <w:pPr>
        <w:spacing w:before="0" w:after="0" w:line="60" w:lineRule="exact"/>
        <w:keepNext w:val="0"/>
      </w:pPr>
      <w:r>
        <w:br w:type="page"/>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0" w:name="theme_14"/>
            <w:r>
              <w:rPr>
                <w:rFonts w:ascii="Calibri" w:hAnsi="Calibri" w:cs="Calibri" w:eastAsia="Calibri"/>
                <w:sz w:val="22"/>
                <w:szCs w:val="22"/>
                <w:b w:val="1"/>
                <w:bCs w:val="1"/>
                <w:color w:val="21313F"/>
                <w:lang w:val="en-GB" w:bidi="en-GB"/>
                <w:rtl w:val="0"/>
              </w:rPr>
              <w:t>14  Belief, accountability and intellectual reflection</w:t>
            </w:r>
            <w:bookmarkEnd w:id="1030"/>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14  ایمان، جواب دہی اور فکری غور</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1"/>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References 178–193 • Expanded evidence</w:t>
            </w:r>
          </w:p>
        </w:tc>
        <w:tc>
          <w:tcPr>
            <w:tcW w:type="dxa" w:w="5148"/>
            <w:vAlign w:val="top"/>
          </w:tcPr>
          <w:p>
            <w:pPr>
              <w:keepNext w:val="1"/>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حوالے 178–193 • اضافی شواہد</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1" w:name="ref_178"/>
            <w:r>
              <w:rPr>
                <w:rFonts w:ascii="Calibri" w:hAnsi="Calibri" w:cs="Calibri" w:eastAsia="Calibri"/>
                <w:sz w:val="20"/>
                <w:szCs w:val="20"/>
                <w:b w:val="1"/>
                <w:bCs w:val="1"/>
                <w:color w:val="21313F"/>
                <w:lang w:val="en-GB" w:bidi="en-GB"/>
                <w:rtl w:val="0"/>
              </w:rPr>
              <w:t>Reference 178  |  Personal responsibility rather than transferred guilt</w:t>
            </w:r>
            <w:bookmarkEnd w:id="1031"/>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178  |  ذاتی ذمہ داری، نہ کہ دوسرے کا گناہ اٹھانا</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وَلَا تَكْسِبُ كُلُّ نَفْسٍ إِلَّا عَلَيْهَا ۚ وَلَا تَزِرُ وَازِرَةٌ وِزْرَ أُخْرَىٰ</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“Each soul earneth only on its own account, nor doth any laden bear another's load.”</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Al-Anam (6), ayah 164.</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Grounds individual moral accountability. Responsibility for encouraging another person’s wrongdoing is a separate question, not an exception permitting arbitrary transfer of guilt.</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08">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09">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جو کوئی (برا) کام کرتا ہے تو اس کا ضرر اسی کو ہوتا ہے اور کوئی شخص کسی (کے گناہ) کا بوجھ نہیں اٹھائے گا»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الانعام (6)، آیت 164۔</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انفرادی اخلاقی جواب دہی کی بنیاد ہے۔ کسی کو برائی پر ابھارنے کی اپنی ذمہ داری الگ مسئلہ ہے؛ اس سے گناہ کی من مانی منتقلی ثابت نہیں ہوتی۔</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08">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09">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2" w:name="ref_179"/>
            <w:r>
              <w:rPr>
                <w:rFonts w:ascii="Calibri" w:hAnsi="Calibri" w:cs="Calibri" w:eastAsia="Calibri"/>
                <w:sz w:val="20"/>
                <w:szCs w:val="20"/>
                <w:b w:val="1"/>
                <w:bCs w:val="1"/>
                <w:color w:val="21313F"/>
                <w:lang w:val="en-GB" w:bidi="en-GB"/>
                <w:rtl w:val="0"/>
              </w:rPr>
              <w:t>Reference 179  |  Resurrection and exact justice</w:t>
            </w:r>
            <w:bookmarkEnd w:id="1032"/>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179  |  قیامت اور کامل عدل</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وَنَضَعُ الْمَوَازِينَ الْقِسْطَ لِيَوْمِ الْقِيَامَةِ فَلَا تُظْلَمُ نَفْسٌ شَيْئًا</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We set a just balance for the Day of Resurrection so that no soul is wronged in aught.”</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Al-Anbiya (21), ayah 47.</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Connects belief in resurrection with an assurance of justice. Its ethical relevance is accountability beyond what human observers can establish.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10">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11">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ہم قیامت کے دن انصاف کی ترازو کھڑی کریں گے تو کسی شخص کی ذرا بھی حق تلفی نہ کی جائے گی۔»</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الانبیاء (21)، آیت 47۔</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عقیدۂ قیامت کو عدل کی یقین دہانی سے جوڑتی ہے۔ اخلاقی تعلق یہ ہے کہ انسانی مشاہدے سے پوشیدہ امور بھی جواب دہی سے باہر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10">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11">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3" w:name="ref_180"/>
            <w:r>
              <w:rPr>
                <w:rFonts w:ascii="Calibri" w:hAnsi="Calibri" w:cs="Calibri" w:eastAsia="Calibri"/>
                <w:sz w:val="20"/>
                <w:szCs w:val="20"/>
                <w:b w:val="1"/>
                <w:bCs w:val="1"/>
                <w:color w:val="21313F"/>
                <w:lang w:val="en-GB" w:bidi="en-GB"/>
                <w:rtl w:val="0"/>
              </w:rPr>
              <w:t>Reference 180  |  Angels as created messengers</w:t>
            </w:r>
            <w:bookmarkEnd w:id="1033"/>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180  |  فرشتے بطور مخلوق اور قاصد</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الْحَمْدُ لِلَّهِ فَاطِرِ السَّمَاوَاتِ وَالْأَرْضِ جَاعِلِ الْمَلَائِكَةِ رُسُلًا أُولِي أَجْنِحَةٍ مَّثْنَىٰ وَثُلَاثَ وَرُبَاعَ</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“Praise be to Allah, the Creator of the heavens and the earth, Who appointeth the angels messengers having wings two, three and four.”</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Fatir (35), ayah 1.</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Supplies specific evidence for belief in angels beyond simply listing the articles of faith. No unverified names or descriptions of individual angels are added.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12">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13">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«سب تعریف خدا ہی کو (سزاوار ہے) جو آسمانوں اور زمین کا پیدا کرنے والا (اور) فرشتوں کو قاصد بنانے والا ہے جن کے دو دو اور تین تین اور چار چار پر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فاطر (35)، آیت 1۔</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محض ارکانِ ایمان گنوانے کے علاوہ فرشتوں کے عقیدے کی مخصوص دلیل ہے۔ کسی فرشتے کا غیر مصدقہ نام یا وصف شامل نہیں کیا گیا۔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12">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13">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4" w:name="ref_181"/>
            <w:r>
              <w:rPr>
                <w:rFonts w:ascii="Calibri" w:hAnsi="Calibri" w:cs="Calibri" w:eastAsia="Calibri"/>
                <w:sz w:val="20"/>
                <w:szCs w:val="20"/>
                <w:b w:val="1"/>
                <w:bCs w:val="1"/>
                <w:color w:val="21313F"/>
                <w:lang w:val="en-GB" w:bidi="en-GB"/>
                <w:rtl w:val="0"/>
              </w:rPr>
              <w:t>Reference 181  |  Accountability for speech</w:t>
            </w:r>
            <w:bookmarkEnd w:id="1034"/>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181  |  گفتگو کی جواب دہی</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مَّا يَلْفِظُ مِن قَوْلٍ إِلَّا لَدَيْهِ رَقِيبٌ عَتِيدٌ</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“He uttereth no word but there is with him an observer ready.”</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Qaf (50), ayah 18.</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Extends awareness of accountability to ordinary speech. The descriptive words in the verse are not asserted here to be the proper names of angels.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14">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15">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«کوئی بات اس کی زبان پر نہیں آتی مگر ایک نگہبان اس کے پاس تیار رہتا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ق (50)، آیت 18۔</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جواب دہی کے شعور کو روزمرہ گفتگو تک پھیلاتی ہے۔ آیت کے وصفی الفاظ کو یہاں فرشتوں کے ذاتی نام قرار نہیں دیا گیا۔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14">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15">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5" w:name="ref_182"/>
            <w:r>
              <w:rPr>
                <w:rFonts w:ascii="Calibri" w:hAnsi="Calibri" w:cs="Calibri" w:eastAsia="Calibri"/>
                <w:sz w:val="20"/>
                <w:szCs w:val="20"/>
                <w:b w:val="1"/>
                <w:bCs w:val="1"/>
                <w:color w:val="21313F"/>
                <w:lang w:val="en-GB" w:bidi="en-GB"/>
                <w:rtl w:val="0"/>
              </w:rPr>
              <w:t>Reference 182  |  Creation according to measure</w:t>
            </w:r>
            <w:bookmarkEnd w:id="1035"/>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182  |  تخلیق اور مقررہ اندازہ</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إِنَّا كُلَّ شَيْءٍ خَلَقْنَاهُ بِقَدَرٍ</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“Lo! We have created every thing by measure.”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Al-Qamar (54), ayah 49.</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 concise Quranic basis for discussing divine measure and decree. Read alongside evidence for responsible human action rather than deriving fatalism from this verse alone.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16">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17">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«ہم نے ہر چیز اندازہٴ مقرر کے ساتھ پیدا کی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القمر (54)، آیت 49۔</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الٰہی اندازے اور تقدیر کی بحث کی مختصر قرآنی بنیاد ہے۔ صرف اس آیت سے جبریت اخذ کرنے کے بجائے انسانی ذمہ داری کے دلائل بھی ساتھ پڑھے جائیں۔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16">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17">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6" w:name="ref_183"/>
            <w:r>
              <w:rPr>
                <w:rFonts w:ascii="Calibri" w:hAnsi="Calibri" w:cs="Calibri" w:eastAsia="Calibri"/>
                <w:sz w:val="20"/>
                <w:szCs w:val="20"/>
                <w:b w:val="1"/>
                <w:bCs w:val="1"/>
                <w:color w:val="21313F"/>
                <w:lang w:val="en-GB" w:bidi="en-GB"/>
                <w:rtl w:val="0"/>
              </w:rPr>
              <w:t>Reference 183  |  Self-examination for the Hereafter</w:t>
            </w:r>
            <w:bookmarkEnd w:id="1036"/>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183  |  آخرت کے لیے محاسبۂ نفس</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وَلْتَنظُرْ نَفْسٌ مَّا قَدَّمَتْ لِغَدٍ</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let every soul look to that which it sendeth on before for the morrow.”</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Al-Hashr (59), ayah 18.</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Provides direct support for reviewing one’s deeds in light of the Hereafter. The relevance to personal planning is an application, not a new translation of the verse.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18">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19">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ہر شخص کو دیکھنا چاہیئے کہ اس نے کل (یعنی فردائے قیامت) کے لئے کیا (سامان) بھیجا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الحشر (59)، آیت 18۔</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آخرت کے پیشِ نظر اپنے اعمال کا جائزہ لینے کی براہِ راست دلیل ہے۔ ذاتی منصوبہ بندی سے تعلق ایک اطلاق ہے، آیت کا نیا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18">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19">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7" w:name="ref_184"/>
            <w:r>
              <w:rPr>
                <w:rFonts w:ascii="Calibri" w:hAnsi="Calibri" w:cs="Calibri" w:eastAsia="Calibri"/>
                <w:sz w:val="20"/>
                <w:szCs w:val="20"/>
                <w:b w:val="1"/>
                <w:bCs w:val="1"/>
                <w:color w:val="21313F"/>
                <w:lang w:val="en-GB" w:bidi="en-GB"/>
                <w:rtl w:val="0"/>
              </w:rPr>
              <w:t>Reference 184  |  Faith and inward guidance during adversity</w:t>
            </w:r>
            <w:bookmarkEnd w:id="1037"/>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184  |  مصیبت میں ایمان اور قلبی ہدایت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مَا أَصَابَ مِن مُّصِيبَةٍ إِلَّا بِإِذْنِ اللَّهِ ۗ وَمَن يُؤْمِن بِاللَّهِ يَهْدِ قَلْبَهُ ۚ وَاللَّهُ بِكُلِّ شَيْءٍ عَلِيمٌ</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“No calamity befalleth save by Allah's leave. And whosoever believeth in Allah, He guideth his heart. And Allah is Knower of all things.”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Al-Taghabun (64), ayah 11.</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Links belief to guidance of the heart during affliction. It neither blames sufferers for every calamity nor directs them to abandon lawful remedies.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20">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21">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«کوئی مصیبت نازل نہیں ہوتی مگر خدا کے حکم سے۔ اور جو شخص خدا پر ایمان لاتا ہے وہ اس کے دل کو ہدایت دیتا ہے۔ اور خدا ہر چیز سے باخبر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التغابن (64)، آیت 11۔</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مصیبت میں ایمان کو قلبی ہدایت کے ساتھ جوڑتی ہے۔ نہ ہر مصیبت کا الزام متاثرہ شخص پر رکھتی ہے اور نہ جائز تدابیر چھوڑنے کا حکم دیتی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20">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21">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8" w:name="ref_185"/>
            <w:r>
              <w:rPr>
                <w:rFonts w:ascii="Calibri" w:hAnsi="Calibri" w:cs="Calibri" w:eastAsia="Calibri"/>
                <w:sz w:val="20"/>
                <w:szCs w:val="20"/>
                <w:b w:val="1"/>
                <w:bCs w:val="1"/>
                <w:color w:val="21313F"/>
                <w:lang w:val="en-GB" w:bidi="en-GB"/>
                <w:rtl w:val="0"/>
              </w:rPr>
              <w:t>Reference 185  |  Angels and divine love</w:t>
            </w:r>
            <w:bookmarkEnd w:id="1038"/>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185  |  فرشتے اور محبتِ الٰہی</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إِذَا أَحَبَّ اللَّهُ الْعَبْدَ نَادَى جِبْرِيلَ</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“If Allah loves a person, He calls Gabriel”</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Bad al-Khalq; chapter on angels, hadith 3209 (Sunnah.com numbering). Narrator: Abu Hurayrah.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Adds a specific account of Gabriel’s role in a report about divine love. The narration must not be reversed into a rule that worldly popularity proves righteousness.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22">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23">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«جب اللہ تعالیٰ کسی بندے سے محبت کرتا ہے تو جبرائیل علیہ السلام سے فرماتا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بدء الخلق؛ باب ذكر الملائكة، حدیث 3209 (ترقیم: Sunnah.com)۔ راوی: ابوہریرہ۔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اسلامک اردو بکس؛ پہلا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محبتِ الٰہی کے بیان میں جبریل کے مخصوص کردار کا ذکر ہے۔ روایت کا عکس بنا کر یہ قاعدہ اخذ نہیں کیا جا سکتا کہ دنیوی شہرت لازماً نیکی کا ثبوت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22">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23">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39" w:name="ref_186"/>
            <w:r>
              <w:rPr>
                <w:rFonts w:ascii="Calibri" w:hAnsi="Calibri" w:cs="Calibri" w:eastAsia="Calibri"/>
                <w:sz w:val="20"/>
                <w:szCs w:val="20"/>
                <w:b w:val="1"/>
                <w:bCs w:val="1"/>
                <w:color w:val="21313F"/>
                <w:lang w:val="en-GB" w:bidi="en-GB"/>
                <w:rtl w:val="0"/>
              </w:rPr>
              <w:t>Reference 186  |  The created nature of angels</w:t>
            </w:r>
            <w:bookmarkEnd w:id="1039"/>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186  |  فرشتوں کی مخلوقیت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خُلِقَتِ الْمَلاَئِكَةُ مِنْ نُورٍ</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“The Angels were born out of light”</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Muslim, Kitab al-Zuhd wa al-Raqaiq, hadith 2996 (Sunnah.com numbering). Narrator: Aishah.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Provides specific transmitted evidence about angelic creation. The translation’s “born” reproduces the accessed English wording; the Arabic verb means creation, not divine parentage.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24">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25">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«فرشتوں کو نور سے پیدا کیا گیا،»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مسلم، کتاب الزهد والرقائق، حدیث 2996 (ترقیم: Sunnah.com)۔ راوی: عائشہ۔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موسوعۃ الاحادیث النبویۃ (HadeethEnc)، اندراج 8264</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فرشتوں کی تخلیق کے متعلق مخصوص منقول دلیل فراہم کرتی ہے۔ انگریزی ترجمے کا لفظ اصل ماخذ سے لیا گیا ہے؛ عربی فعل تخلیق بیان کرتا ہے، الٰہی نسب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24">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25">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0" w:name="ref_187"/>
            <w:r>
              <w:rPr>
                <w:rFonts w:ascii="Calibri" w:hAnsi="Calibri" w:cs="Calibri" w:eastAsia="Calibri"/>
                <w:sz w:val="20"/>
                <w:szCs w:val="20"/>
                <w:b w:val="1"/>
                <w:bCs w:val="1"/>
                <w:color w:val="21313F"/>
                <w:lang w:val="en-GB" w:bidi="en-GB"/>
                <w:rtl w:val="0"/>
              </w:rPr>
              <w:t>Reference 187  |  Divine decree does not abolish effort</w:t>
            </w:r>
            <w:bookmarkEnd w:id="1040"/>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187  |  تقدیر کوشش کو ختم نہیں کرتی</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اعْمَلُوا فَكُلٌّ مُيَسَّرٌ لِمَا خُلِقَ لَهُ</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“Carry on doing (good) deeds,”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al-Tafsir; commentary on Surah al-Layl, hadith 4949 (Sunnah.com numbering). Narrator: Ali ibn Abi Talib.</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At a funeral, a question about abandoning deeds because destiny is written receives a direction to act. The fuller report connects facilitation with the paths described in Surah al-Layl.</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26">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27">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«نیک عمل کرو،»</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التفسير؛ سورۃ اللیل کی تفسیر، حدیث 4949 (ترقیم: Sunnah.com)۔ راوی: علی بن ابی طالب۔</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داؤد راز؛ اسلامک اردو بکس میں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جنازے کے موقع پر نوشتۂ تقدیر کے سبب عمل چھوڑنے کے سوال کا جواب عمل کی ہدایت سے دیا گیا۔ مکمل روایت آسانی کو سورۃ اللیل میں مذکور راستوں کے ساتھ جوڑتی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26">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27">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1" w:name="ref_188"/>
            <w:r>
              <w:rPr>
                <w:rFonts w:ascii="Calibri" w:hAnsi="Calibri" w:cs="Calibri" w:eastAsia="Calibri"/>
                <w:sz w:val="20"/>
                <w:szCs w:val="20"/>
                <w:b w:val="1"/>
                <w:bCs w:val="1"/>
                <w:color w:val="21313F"/>
                <w:lang w:val="en-GB" w:bidi="en-GB"/>
                <w:rtl w:val="0"/>
              </w:rPr>
              <w:t>Reference 188  |  Personal guilt and responsibility for misleading others</w:t>
            </w:r>
            <w:bookmarkEnd w:id="1041"/>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188  |  ذاتی گناہ اور دوسروں کو گمراہ کرنے کی ذمہ داری</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Al-Qurtubi explains that one person is not punished simply for another’s sin. Those who mislead others nevertheless bear responsibility for their own act of causing misguidance; this is not an arbitrary transfer of someone else’s guilt.</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al-Qurtubi, al-Jami‘ li-ahkam al-Qur’an; commentary on 6:164; discussion of “wa la taziru waziratun” and the burdens of misleaders.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Useful qualification when explaining individual accountability and social influence.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28">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قرطبی واضح کرتے ہیں کہ محض دوسرے کے گناہ پر کسی شخص کو سزا نہیں دی جاتی۔ دوسروں کو گمراہ کرنے والے اپنے گمراہ کرنے کے فعل کے ذمہ دار ہیں؛ یہ دوسرے کے گناہ کی من مانی منتقلی نہیں۔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قرطبی، الجامع لأحكام القرآن؛ آیت 6:164 کی تفسیر؛ ولا تزر وازرة اور گمراہ کرنے والوں کے بوجھ کی بحث۔</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انفرادی جواب دہی اور سماجی اثر کے باہمی تعلق کی ضروری توضیح۔</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28">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2" w:name="ref_189"/>
            <w:r>
              <w:rPr>
                <w:rFonts w:ascii="Calibri" w:hAnsi="Calibri" w:cs="Calibri" w:eastAsia="Calibri"/>
                <w:sz w:val="20"/>
                <w:szCs w:val="20"/>
                <w:b w:val="1"/>
                <w:bCs w:val="1"/>
                <w:color w:val="21313F"/>
                <w:lang w:val="en-GB" w:bidi="en-GB"/>
                <w:rtl w:val="0"/>
              </w:rPr>
              <w:t>Reference 189  |  Divine justice and even the smallest deed</w:t>
            </w:r>
            <w:bookmarkEnd w:id="1042"/>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189  |  عدلِ الٰہی اور چھوٹے سے چھوٹا عمل</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Ibn Kathir explains the scales through the weighing of deeds and relates the verse to passages denying any injustice, even at the smallest measure. He reports an interpretation of the plural “scales” as referring to the many deeds weighed.</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Ibn Kathir, Tafsir al-Qur’an al-‘Azim; commentary on 21:47; opening explanation of the scales and cross-references.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An interpretive link between final judgement and careful moral self-accounting; no consensus on every detail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29">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ابن کثیر ترازو کی توضیح اعمال کے وزن سے کرتے ہیں اور آیت کو ان مقامات سے جوڑتے ہیں جو معمولی مقدار میں بھی ظلم کی نفی کرتے ہیں۔ وہ جمع موازین کی ایک توضیح تولے جانے والے متعدد اعمال سے نقل کرتے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ابن کثیر، تفسير القرآن العظيم؛ آیت 21:47 کی تفسیر؛ ترازو کی ابتدائی توضیح اور متعلقہ قرآنی مقامات۔</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آخری حساب اور محتاط اخلاقی محاسبے کا تفسیری ربط؛ ہر جزئیے پر اجماع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29">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3" w:name="ref_190"/>
            <w:r>
              <w:rPr>
                <w:rFonts w:ascii="Calibri" w:hAnsi="Calibri" w:cs="Calibri" w:eastAsia="Calibri"/>
                <w:sz w:val="20"/>
                <w:szCs w:val="20"/>
                <w:b w:val="1"/>
                <w:bCs w:val="1"/>
                <w:color w:val="21313F"/>
                <w:lang w:val="en-GB" w:bidi="en-GB"/>
                <w:rtl w:val="0"/>
              </w:rPr>
              <w:t>Reference 190  |  Angels as messengers in revelation</w:t>
            </w:r>
            <w:bookmarkEnd w:id="1043"/>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190  |  وحی میں فرشتوں کا پیغام رساں کردار</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Ibn Kathir interprets angels as messengers between Allah and His prophets and their wings in relation to carrying out what they are commanded. This entry cites that explanation, not an independent grading of the additional angelic reports on the page.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Ibn Kathir, Tafsir al-Qur’an al-‘Azim; commentary on 35:1; explanation beginning “ja‘il al-mala’ikati rusulan”.</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Clarifies a function of angels rather than supplying speculative descriptions beyond the source.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30">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ابن کثیر فرشتوں کو اللہ اور اس کے نبیوں کے درمیان پیغام رساں قرار دیتے ہیں اور ان کے پروں کی توضیح حکم کی تعمیل کے تعلق سے کرتے ہیں۔ یہاں یہی تفسیر مقصود ہے، صفحے کی دوسری روایات کی الگ تصحیح نہیں۔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ابن کثیر، تفسير القرآن العظيم؛ آیت 35:1 کی تفسیر؛ جاعل الملائكة رسلا سے شروع ہونے والی توضیح۔</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فرشتوں کا ایک کردار واضح کرتا ہے، ماخذ سے زائد قیاسی تفصیل نہیں دیتا۔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30">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4" w:name="ref_191"/>
            <w:r>
              <w:rPr>
                <w:rFonts w:ascii="Calibri" w:hAnsi="Calibri" w:cs="Calibri" w:eastAsia="Calibri"/>
                <w:sz w:val="20"/>
                <w:szCs w:val="20"/>
                <w:b w:val="1"/>
                <w:bCs w:val="1"/>
                <w:color w:val="21313F"/>
                <w:lang w:val="en-GB" w:bidi="en-GB"/>
                <w:rtl w:val="0"/>
              </w:rPr>
              <w:t>Reference 191  |  Watchfulness over speech</w:t>
            </w:r>
            <w:bookmarkEnd w:id="1044"/>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191  |  گفتگو پر نگرانی</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Al-Tabari glosses raqib as a watcher who preserves what is said and ‘atid as ready or prepared. The terms function as descriptions in his explanation, rather than as an assertion that they are the personal names of two angels.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al-Tabari, Jami‘ al-bayan ‘an ta’wil ay al-Qur’an; commentary on 50:18; opening lexical explanation.</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Adds a precise lexical safeguard to the ethical lesson of accountable speech.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31">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طبری رقیب کی توضیح کہی ہوئی بات محفوظ رکھنے والے نگران اور عتید کی تیار و موجود سے کرتے ہیں۔ ان کی شرح میں یہ اوصاف ہیں، دو فرشتوں کے ذاتی نام ہونے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طبری، جامع البيان عن تأويل آي القرآن؛ آیت 50:18 کی تفسیر؛ ابتدائی لغوی توضیح۔</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گفتگو کی جواب دہی کے اخلاقی سبق کے ساتھ ایک دقیق لغوی احتیاط فراہم کرتا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31">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5" w:name="ref_192"/>
            <w:r>
              <w:rPr>
                <w:rFonts w:ascii="Calibri" w:hAnsi="Calibri" w:cs="Calibri" w:eastAsia="Calibri"/>
                <w:sz w:val="20"/>
                <w:szCs w:val="20"/>
                <w:b w:val="1"/>
                <w:bCs w:val="1"/>
                <w:color w:val="21313F"/>
                <w:lang w:val="en-GB" w:bidi="en-GB"/>
                <w:rtl w:val="0"/>
              </w:rPr>
              <w:t>Reference 192  |  Belief in decree and steadiness during loss</w:t>
            </w:r>
            <w:bookmarkEnd w:id="1045"/>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192  |  تقدیر پر ایمان اور نقصان کے وقت ثابت قدمی</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Al-Sa‘di relates guidance of the heart to recognising divine decree and responding with patience when losses affect oneself, property or loved ones. He presents steadiness and patient action as religious duties during adversity.</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al-Sa‘di, Taysir al-Karim al-Rahman; commentary on 64:11; first explanatory paragraph.</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 theological account of patience, not a claim that normal grief or a clinical illness proves deficient faith.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32">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سعدی دل کی ہدایت کو تقدیرِ الٰہی پہچاننے اور اپنی ذات، مال یا عزیزوں کے نقصان پر صبر سے مربوط کرتے ہیں۔ وہ مصیبت میں ثابت قدمی اور صبر کے تقاضے پورے کرنے کو دینی ذمہ داری بتاتے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سعدی، تيسير الكريم الرحمن؛ آیت 64:11 کی تفسیر؛ پہلا توضیحی پیراگراف۔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صبر کی اعتقادی توضیح ہے؛ فطری غم یا طبی بیماری کو ناقص ایمان کا ثبوت قرار نہیں دیتی۔</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32">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6" w:name="ref_193"/>
            <w:r>
              <w:rPr>
                <w:rFonts w:ascii="Calibri" w:hAnsi="Calibri" w:cs="Calibri" w:eastAsia="Calibri"/>
                <w:sz w:val="20"/>
                <w:szCs w:val="20"/>
                <w:b w:val="1"/>
                <w:bCs w:val="1"/>
                <w:color w:val="21313F"/>
                <w:lang w:val="en-GB" w:bidi="en-GB"/>
                <w:rtl w:val="0"/>
              </w:rPr>
              <w:t>Reference 193  |  Critical reasoning about arguments for God</w:t>
            </w:r>
            <w:bookmarkEnd w:id="1046"/>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193  |  وجودِ باری کے دلائل کا تنقیدی جائزہ</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Scholarly source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In the opening of Lecture II, Iqbal treats the cosmological, teleological and ontological arguments as attempts to reach the Absolute but disputes their conclusiveness as logical proofs. His criticism of the cosmological argument questions the move from finite effects to an infinite first cause.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Muhammad Iqbal, The Reconstruction of Religious Thought in Islam; Lecture II, “The Philosophical Test of the Revelations of Religious Experience”, opening and cosmological-argument paragraph.</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Useful for critical analysis of faith and reason, not as a claim that all Muslim theologians reject these arguments.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Primary lecture text inspected through the International Iqbal Society. No printed edition or page number is asserted.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33">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علمی ماخذ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دوسرے خطبے کے آغاز میں اقبال کونی، غائی اور وجودی دلائل کو حقیقتِ مطلق تک رسائی کی فکری کوششیں قرار دیتے ہیں، مگر قطعی منطقی ثبوت کے طور پر ان پر اعتراض کرتے ہیں۔ کونی دلیل پر ان کا اعتراض متناہی معلولات سے لامتناہی علتِ اولیٰ تک انتقال سے متعلق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محمد اقبال، The Reconstruction of Religious Thought in Islam؛ خطبہ دوم، The Philosophical Test of the Revelations of Religious Experience، آغاز اور کونی دلیل والا پیراگراف۔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ایمان اور عقل کے تنقیدی تجزیے میں مفید؛ تمام مسلم متکلمین کی جانب سے ان دلائل کے رد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بین الاقوامی اقبال سوسائٹی کے ذریعے اصل خطبے کا متن دیکھا گیا؛ مطبوعہ ایڈیشن یا صفحہ نمبر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33">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p>
      <w:pPr>
        <w:spacing w:before="0" w:after="0" w:line="60" w:lineRule="exact"/>
        <w:keepNext w:val="0"/>
      </w:pPr>
      <w:r>
        <w:br w:type="page"/>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7" w:name="theme_15"/>
            <w:r>
              <w:rPr>
                <w:rFonts w:ascii="Calibri" w:hAnsi="Calibri" w:cs="Calibri" w:eastAsia="Calibri"/>
                <w:sz w:val="22"/>
                <w:szCs w:val="22"/>
                <w:b w:val="1"/>
                <w:bCs w:val="1"/>
                <w:color w:val="21313F"/>
                <w:lang w:val="en-GB" w:bidi="en-GB"/>
                <w:rtl w:val="0"/>
              </w:rPr>
              <w:t>15  Fundamentals expressed in sustained conduct</w:t>
            </w:r>
            <w:bookmarkEnd w:id="1047"/>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15  بنیادی تعلیمات کا مسلسل کردار میں اظہار</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1"/>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References 194–203 • Expanded evidence</w:t>
            </w:r>
          </w:p>
        </w:tc>
        <w:tc>
          <w:tcPr>
            <w:tcW w:type="dxa" w:w="5148"/>
            <w:vAlign w:val="top"/>
          </w:tcPr>
          <w:p>
            <w:pPr>
              <w:keepNext w:val="1"/>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حوالے 194–203 • اضافی شواہد</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8" w:name="ref_194"/>
            <w:r>
              <w:rPr>
                <w:rFonts w:ascii="Calibri" w:hAnsi="Calibri" w:cs="Calibri" w:eastAsia="Calibri"/>
                <w:sz w:val="20"/>
                <w:szCs w:val="20"/>
                <w:b w:val="1"/>
                <w:bCs w:val="1"/>
                <w:color w:val="21313F"/>
                <w:lang w:val="en-GB" w:bidi="en-GB"/>
                <w:rtl w:val="0"/>
              </w:rPr>
              <w:t>Reference 194  |  Sincerity, prayer and zakat together</w:t>
            </w:r>
            <w:bookmarkEnd w:id="1048"/>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194  |  اخلاص، نماز اور زکوٰۃ یکجا</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وَمَا أُمِرُوا إِلَّا لِيَعْبُدُوا اللَّهَ مُخْلِصِينَ لَهُ الدِّينَ حُنَفَاءَ وَيُقِيمُوا الصَّلَاةَ وَيُؤْتُوا الزَّكَاةَ ۚ وَذَٰلِكَ دِينُ الْقَيِّمَةِ</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they are ordered naught else than to serve Allah, keeping religion pure for Him, as men by nature upright, and to establish worship and to pay the poor-due. That is true religion.”</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Al-Bayyinah (98), ayah 5.</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Brings inward sincerity, ritual devotion and material obligation into one account of upright din. The accessed Urdu source’s spacing is preserved.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34">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35">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ان کو حکم تو یہی ہوا تھا کہ اخلاص عمل کے ساتھ خدا کی عبادت کریں (اور) یکسو ہو کراورنماز پڑھیں اور زکوٰة دیں اور یہی سچا دین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البینہ (98)، آیت 5۔</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دینِ مستقیم کے بیان میں قلبی اخلاص، عبادت اور مالی ذمہ داری کو یکجا کرتی ہے۔ دستیاب اردو ماخذ کا لفظی فاصلہ بعینہٖ محفوظ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34">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35">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49" w:name="ref_195"/>
            <w:r>
              <w:rPr>
                <w:rFonts w:ascii="Calibri" w:hAnsi="Calibri" w:cs="Calibri" w:eastAsia="Calibri"/>
                <w:sz w:val="20"/>
                <w:szCs w:val="20"/>
                <w:b w:val="1"/>
                <w:bCs w:val="1"/>
                <w:color w:val="21313F"/>
                <w:lang w:val="en-GB" w:bidi="en-GB"/>
                <w:rtl w:val="0"/>
              </w:rPr>
              <w:t>Reference 195  |  Faith tested by truth, promises and trusts</w:t>
            </w:r>
            <w:bookmarkEnd w:id="1049"/>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195  |  سچائی، وعدے اور امانت میں ایمان کی آزمائش</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آيَةُ الْمُنَافِقِ ثَلاَثٌ إِذَا حَدَّثَ كَذَبَ، وَإِذَا وَعَدَ أَخْلَفَ، وَإِذَا اؤْتُمِنَ خَانَ</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“Whenever he speaks, he tells a lie.”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al-Iman, hadith 33 (Sunnah.com numbering). Narrator: Abu Hurayrah.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gap: </w:t>
            </w:r>
            <w:r>
              <w:rPr>
                <w:rFonts w:ascii="Calibri" w:hAnsi="Calibri" w:cs="Calibri" w:eastAsia="Calibri"/>
                <w:sz w:val="18"/>
                <w:szCs w:val="18"/>
                <w:b w:val="0"/>
                <w:bCs w:val="0"/>
                <w:color w:val="4F5D68"/>
                <w:lang w:val="en-GB" w:bidi="en-GB"/>
                <w:rtl w:val="0"/>
              </w:rPr>
              <w:t>Published Urdu wording was not verified for this entry; no substitute translation was composed.</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report identifies lying, broken promises and betrayal of trust as traits of hypocrisy. It is evidence for ethical self-scrutiny, not a licence to determine a named person’s inward faith.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36">
              <w:r>
                <w:rPr>
                  <w:rFonts w:ascii="Calibri" w:hAnsi="Calibri" w:cs="Calibri" w:eastAsia="Calibri"/>
                  <w:sz w:val="18"/>
                  <w:szCs w:val="18"/>
                  <w:b w:val="0"/>
                  <w:bCs w:val="0"/>
                  <w:color w:val="244B62"/>
                  <w:lang w:val="en-GB" w:bidi="en-GB"/>
                  <w:rtl w:val="0"/>
                  <w:u w:val="single"/>
                </w:rPr>
                <w:t>Arabic / English / locator</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اس اندراج کے لیے مطبوعہ اردو ترجمے کے الفاظ کی تصدیق نہیں ہو سکی؛ خودساختہ ترجمہ فراہم نہیں کیا گیا۔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الإيمان، حدیث 33 (ترقیم: Sunnah.com)۔ راوی: ابوہریرہ۔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مطبوعہ اردو ترجمہ غیر مصدقہ؛ الفاظ نقل نہیں کیے گئے۔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روایت جھوٹ، وعدہ خلافی اور خیانت کو نفاق کی خصلتیں بتاتی ہے۔ یہ اخلاقی خود احتسابی کی دلیل ہے، کسی معین شخص کے باطنی ایمان کا فیصلہ کرنے کا اختیار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36">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0" w:name="ref_196"/>
            <w:r>
              <w:rPr>
                <w:rFonts w:ascii="Calibri" w:hAnsi="Calibri" w:cs="Calibri" w:eastAsia="Calibri"/>
                <w:sz w:val="20"/>
                <w:szCs w:val="20"/>
                <w:b w:val="1"/>
                <w:bCs w:val="1"/>
                <w:color w:val="21313F"/>
                <w:lang w:val="en-GB" w:bidi="en-GB"/>
                <w:rtl w:val="0"/>
              </w:rPr>
              <w:t>Reference 196  |  Belief followed by steadfastness</w:t>
            </w:r>
            <w:bookmarkEnd w:id="1050"/>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196  |  ایمان کے بعد استقامت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قُلْ آمَنْتُ بِاللَّهِ فَاسْتَقِمْ</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“Say I affirm my faith in Allah and then remain steadfast to it.”</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Muslim, Kitab al-Iman; chapter on a phrase summing up Islam, hadith 38 (Sunnah.com numbering). Narrator: Sufyan ibn Abdullah al-Thaqafi.</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Pairs a confession of faith with sustained conduct. This succinct formulation complements, rather than replaces, the fuller account in the Hadith of Gabriel.</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follows Muslim 38: fa-staqim; the linked established Urdu source prints the parallel wording thumma istaqim.</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37">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38">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«تم کہو: میں اللہ پر ایمان لایا، پھر اس پر ثابت قدم رہو۔»</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مسلم، کتاب الإيمان؛ باب جامع أوصاف الإسلام، حدیث 38 (ترقیم: Sunnah.com)۔ راوی: سفیان بن عبداللہ ثقفی۔</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موسوعۃ الاحادیث النبویۃ (HadeethEnc)، اندراج 65018</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اقرارِ ایمان کو مسلسل درست عمل سے جوڑتی ہے۔ یہ مختصر جامع کلام حدیثِ جبریل کی تفصیل کا تکملہ ہے، اس کا بدل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عربی مسلم 38 کے مطابق «فاستقم» ہے؛ مربوط مستند اردو ماخذ کی متوازی روایت میں «ثم استقم» درج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37">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38">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1" w:name="ref_197"/>
            <w:r>
              <w:rPr>
                <w:rFonts w:ascii="Calibri" w:hAnsi="Calibri" w:cs="Calibri" w:eastAsia="Calibri"/>
                <w:sz w:val="20"/>
                <w:szCs w:val="20"/>
                <w:b w:val="1"/>
                <w:bCs w:val="1"/>
                <w:color w:val="21313F"/>
                <w:lang w:val="en-GB" w:bidi="en-GB"/>
                <w:rtl w:val="0"/>
              </w:rPr>
              <w:t>Reference 197  |  Responsible use of health and time</w:t>
            </w:r>
            <w:bookmarkEnd w:id="1051"/>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197  |  صحت اور وقت کا ذمہ دارانہ استعمال</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الصِّحَّةُ وَالْفَرَاغُ</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“health and free time.”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al-Riqaq; health and leisure, hadith 6412 (Sunnah.com numbering). Narrator: Ibn Abbas.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complete report identifies these as two blessings over which many people suffer loss. It supports time-conscious religious practice without treating illness as a moral failure.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39">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40">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«صحت اور فراغت»</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الرقاق؛ صحت اور فراغت، حدیث 6412 (ترقیم: Sunnah.com)۔ راوی: ابن عباس۔</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موسوعۃ الاحادیث النبویۃ (HadeethEnc)، اندراج 5449</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مکمل روایت انہیں دو نعمتیں بتاتی ہے جن کے بارے میں بہت لوگ خسارے میں ہیں۔ یہ وقت شناس دینی عمل کی تائید کرتی ہے، بیماری کو اخلاقی ناکامی قرار نہیں دیتی۔</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39">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40">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2" w:name="ref_198"/>
            <w:r>
              <w:rPr>
                <w:rFonts w:ascii="Calibri" w:hAnsi="Calibri" w:cs="Calibri" w:eastAsia="Calibri"/>
                <w:sz w:val="20"/>
                <w:szCs w:val="20"/>
                <w:b w:val="1"/>
                <w:bCs w:val="1"/>
                <w:color w:val="21313F"/>
                <w:lang w:val="en-GB" w:bidi="en-GB"/>
                <w:rtl w:val="0"/>
              </w:rPr>
              <w:t>Reference 198  |  Good deeds and dependence on divine mercy</w:t>
            </w:r>
            <w:bookmarkEnd w:id="1052"/>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198  |  نیک اعمال اور رحمتِ الٰہی پر انحصار</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لَنْ يُنَجِّيَ أَحَدًا مِنْكُمْ عَمَلُهُ</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“The deeds of anyone of you will not save you (from the (Hell) Fire).”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al-Riqaq; moderation and regular deeds, hadith 6463 (Sunnah.com numbering). Narrator: Abu Hurayrah.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report denies self-sufficient salvation by deeds, then explicitly directs sound, moderate practice. It must not be quoted as a reason to abandon duties.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Arabic/English follow Bukhari 6463; the established Urdu source translates the parallel Muslim 2816 report, whose wording differs slightly.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41">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42">
              <w:r>
                <w:rPr>
                  <w:rFonts w:ascii="Calibri" w:hAnsi="Calibri" w:cs="Calibri" w:eastAsia="Calibri"/>
                  <w:sz w:val="18"/>
                  <w:szCs w:val="18"/>
                  <w:b w:val="0"/>
                  <w:bCs w:val="0"/>
                  <w:color w:val="244B62"/>
                  <w:lang w:val="en-GB" w:bidi="en-GB"/>
                  <w:rtl w:val="0"/>
                  <w:u w:val="single"/>
                </w:rPr>
                <w:t>Urdu / parallel wording</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«تم میں سے کوئی بھی اپنے عمل کی وجہ سے نجات نہیں پا سکتا»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الرقاق؛ باب القصد والمداومة على العمل، حدیث 6463 (ترقیم: Sunnah.com)۔ راوی: ابوہریرہ۔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موسوعۃ الاحادیث النبویۃ (HadeethEnc)، اندراج 3469؛ صحیح مسلم 2816 کی متوازی روایت کے الفاظ</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روایت اعمال کو بذاتِ خود نجات کا کافی سبب سمجھنے کی نفی کے بعد درست اور معتدل عمل کا حکم دیتی ہے۔ اسے فرائض چھوڑنے کی دلیل نہیں بنایا جا سکتا۔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عربی اور انگریزی بخاری 6463 سے ہیں؛ مستند اردو ماخذ مسلم 2816 کی متوازی روایت کا ترجمہ ہے، جس کے الفاظ میں معمولی فرق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41">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42">
              <w:r>
                <w:rPr>
                  <w:rFonts w:ascii="Noto Naskh Arabic" w:hAnsi="Noto Naskh Arabic" w:cs="Noto Naskh Arabic" w:eastAsia="Noto Naskh Arabic"/>
                  <w:sz w:val="20"/>
                  <w:szCs w:val="20"/>
                  <w:b w:val="0"/>
                  <w:bCs w:val="0"/>
                  <w:color w:val="244B62"/>
                  <w:lang w:val="ur-PK" w:bidi="ur-PK"/>
                  <w:rtl w:val="1"/>
                  <w:u w:val="single"/>
                </w:rPr>
                <w:t>اردو / متوازی الفاظ</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3" w:name="ref_199"/>
            <w:r>
              <w:rPr>
                <w:rFonts w:ascii="Calibri" w:hAnsi="Calibri" w:cs="Calibri" w:eastAsia="Calibri"/>
                <w:sz w:val="20"/>
                <w:szCs w:val="20"/>
                <w:b w:val="1"/>
                <w:bCs w:val="1"/>
                <w:color w:val="21313F"/>
                <w:lang w:val="en-GB" w:bidi="en-GB"/>
                <w:rtl w:val="0"/>
              </w:rPr>
              <w:t>Reference 199  |  Repeated truthfulness shapes character</w:t>
            </w:r>
            <w:bookmarkEnd w:id="1053"/>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199  |  مسلسل سچائی سے کردار کی تشکیل</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إِنَّ الصِّدْقَ يَهْدِي إِلَى الْبِرِّ، وَإِنَّ الْبِرَّ يَهْدِي إِلَى الْجَنَّةِ</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“Truthfulness leads to righteousness, and righteousness leads to Paradise.”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al-Adab; truthfulness, hadith 6094 (Sunnah.com numbering). Narrator: Abdullah ibn Masud.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Explains a moral trajectory linking truthful speech, righteousness and the Hereafter. The complete report contrasts this with repeated lying and its consequences.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43">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44">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«بلاشبہ سچ آدمی کو نیکی کی طرف بلاتا ہے اور نیکی جنت کی طرف لے جاتی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الأدب؛ سچائی کا باب، حدیث 6094 (ترقیم: Sunnah.com)۔ راوی: عبداللہ بن مسعود۔</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اسلامک اردو بکس؛ پہلا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سچی گفتگو، نیکی اور آخرت کو ایک اخلاقی تسلسل میں جوڑتی ہے۔ مکمل روایت مسلسل جھوٹ اور اس کے انجام کو مقابل رکھتی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43">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44">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4" w:name="ref_200"/>
            <w:r>
              <w:rPr>
                <w:rFonts w:ascii="Calibri" w:hAnsi="Calibri" w:cs="Calibri" w:eastAsia="Calibri"/>
                <w:sz w:val="20"/>
                <w:szCs w:val="20"/>
                <w:b w:val="1"/>
                <w:bCs w:val="1"/>
                <w:color w:val="21313F"/>
                <w:lang w:val="en-GB" w:bidi="en-GB"/>
                <w:rtl w:val="0"/>
              </w:rPr>
              <w:t>Reference 200  |  Patience cultivated through practice</w:t>
            </w:r>
            <w:bookmarkEnd w:id="1054"/>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200  |  کوشش سے صبر کی تربیت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وَمَنْ يَتَصَبَّرْ يُصَبِّرْهُ اللَّهُ</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whoever remains patient, Allah will make him patient.”</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al-Zakah; abstaining from begging, hadith 1469 (Sunnah.com numbering). Narrator: Abu Said al-Khudri.</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full episode begins with repeated charitable help before teaching restraint and patience. Its moral counsel should not be used to deny genuine need or shame people requesting help.</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45">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46">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«جو شخص صبر کرنے کی کوشش کرتا ہے تو اللہ تعالیٰ بھی اسے صبر عطا کرتا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الزكاة؛ باب الاستعفاف عن المسألة، حدیث 1469 (ترقیم: Sunnah.com)۔ راوی: ابوسعید خدری۔</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موسوعۃ الاحادیث النبویۃ (HadeethEnc)، اندراج 4967؛ اصل ترجمہ، مختلف الفاظ والا عنوان نہیں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مکمل واقعہ ضبط اور صبر کی تعلیم سے پہلے بار بار مالی مدد سے شروع ہوتا ہے۔ اس اخلاقی نصیحت کو حقیقی ضرورت کے انکار یا مدد مانگنے والے کی تحقیر کے لیے استعمال نہ کیا جائے۔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45">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46">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5" w:name="ref_201"/>
            <w:r>
              <w:rPr>
                <w:rFonts w:ascii="Calibri" w:hAnsi="Calibri" w:cs="Calibri" w:eastAsia="Calibri"/>
                <w:sz w:val="20"/>
                <w:szCs w:val="20"/>
                <w:b w:val="1"/>
                <w:bCs w:val="1"/>
                <w:color w:val="21313F"/>
                <w:lang w:val="en-GB" w:bidi="en-GB"/>
                <w:rtl w:val="0"/>
              </w:rPr>
              <w:t>Reference 201  |  Sincerity, bodily worship and care for the needy</w:t>
            </w:r>
            <w:bookmarkEnd w:id="1055"/>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201  |  اخلاص، بدنی عبادت اور محتاجوں کی مدد</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Ibn Kathir explains upright devotion as turning from associationism to tawhid, prayer as bodily worship, and zakah as beneficence to the poor and needy. He notes that scholars such as al-Zuhri and al-Shafi‘i used this verse to include deeds within faith.</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Ibn Kathir, Tafsir al-Qur’an al-‘Azim; commentary on 98:5; full explanatory passage, especially the closing inference.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Useful for relating pillars to faith and social responsibility; technical definitions of iman differ among theological schools.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47">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ابن کثیر یکسوئی کو شرک سے توحید کی طرف رجوع، نماز کو بدنی عبادت، اور زکوٰۃ کو فقرا و محتاجوں سے احسان کے طور پر بیان کرتے ہیں۔ وہ ذکر کرتے ہیں کہ زہری اور شافعی جیسے علما نے اس آیت سے اعمال کا ایمان میں داخل ہونا اخذ کیا۔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ابن کثیر، تفسير القرآن العظيم؛ آیت 98:5 کی تفسیر؛ مکمل توضیحی مقام، خصوصاً آخری استدلال۔</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ارکان کو ایمان اور سماجی ذمہ داری سے جوڑنے میں مفید؛ کلامی مکاتب میں ایمان کی فنی تعریفیں مختلف 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47">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6" w:name="ref_202"/>
            <w:r>
              <w:rPr>
                <w:rFonts w:ascii="Calibri" w:hAnsi="Calibri" w:cs="Calibri" w:eastAsia="Calibri"/>
                <w:sz w:val="20"/>
                <w:szCs w:val="20"/>
                <w:b w:val="1"/>
                <w:bCs w:val="1"/>
                <w:color w:val="21313F"/>
                <w:lang w:val="en-GB" w:bidi="en-GB"/>
                <w:rtl w:val="0"/>
              </w:rPr>
              <w:t>Reference 202  |  Steadfastness begins with the heart and reaches the tongue</w:t>
            </w:r>
            <w:bookmarkEnd w:id="1056"/>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202  |  استقامت دل سے زبان تک پہنچتی ہے</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Scholarly source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Ibn Rajab explains the heart as the foundation of steadfastness through knowledge, reverence, love, hope and reliance on Allah. Bodily conduct follows, with particular attention to the tongue as the heart’s expression.</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Ibn Rajab al-Hanbali, Jami‘ al-‘ulum wa-l-hikam; commentary on Hadith 21, concluding discussion beginning “asl al-istiqamah istiqamat al-qalb”.</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Adds a structured commentary to Muslim 38 rather than counting another version of the same Hadith.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Commentary, not a new Prophetic report. Embedded supplementary narrations are not independently authenticated in this entry.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48">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علمی ماخذ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ابن رجب معرفت، خشیت، محبت، امید اور اللہ پر توکل کے ذریعے دل کو استقامت کی بنیاد قرار دیتے ہیں۔ اعضا کا عمل اس کے تابع ہوتا ہے، جبکہ زبان کو دل کی ترجمان ہونے کی وجہ سے خاص اہمیت حاصل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ابن رجب حنبلی، جامع العلوم والحكم؛ حدیث 21 کی شرح، اصل الاستقامة استقامة القلب سے شروع ہونے والی آخری بحث۔</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صحیح مسلم 38 کے لیے منظم شرح فراہم کرتا ہے؛ اسی حدیث کی دوسری روایت کو الگ نہیں گنتا۔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یہ شرح ہے، نیا نبوی ارشاد نہیں۔ ضمنی اضافی روایات کی الگ تصحیح اس اندراج میں نہیں کی گئی۔</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48">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7" w:name="ref_203"/>
            <w:r>
              <w:rPr>
                <w:rFonts w:ascii="Calibri" w:hAnsi="Calibri" w:cs="Calibri" w:eastAsia="Calibri"/>
                <w:sz w:val="20"/>
                <w:szCs w:val="20"/>
                <w:b w:val="1"/>
                <w:bCs w:val="1"/>
                <w:color w:val="21313F"/>
                <w:lang w:val="en-GB" w:bidi="en-GB"/>
                <w:rtl w:val="0"/>
              </w:rPr>
              <w:t>Reference 203  |  Mixed motives and lawful ordinary activity</w:t>
            </w:r>
            <w:bookmarkEnd w:id="1057"/>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203  |  ملے جلے محرکات اور جائز روزمرہ عمل</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Scholarly source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In the following rules section, al-Shatibi considers actions combining personal benefit with obedience. Seeking one’s lawful interest need not invalidate an act when divine guidance remains controlling; willingness to stop at a prohibition helps distinguish which motive governs.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Al-Shatibi, al-Muwafaqat; Kitab al-Maqasid, fourth type of the Lawgiver’s purposes, first issue, “Qawa‘id yanbani ‘alayha ma sabaq”, mixed-motive actions; digital volume 2.</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 distinct juristic application of intention to ordinary life; it does not create additional obligatory rituals.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Separate identified passage from the general purpose statement; a juristic argument rather than a Hadith.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49">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علمی ماخذ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اگلے قواعد والے حصے میں شاطبی ایسے افعال پر بحث کرتے ہیں جن میں ذاتی فائدہ اور اطاعت دونوں شامل ہوں۔ جب شرعی رہنمائی حاکم رہے تو جائز ذاتی مصلحت مطلوب ہونے سے عمل لازماً باطل نہیں ہوتا؛ ممانعت پر رک جانا حاکم محرک کی پہچان میں مدد دیتا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شاطبی، الموافقات؛ کتاب المقاصد، مقاصدِ شارع کی نوعِ چہارم، مسئلہ اول، قواعد ينبني عليها ما سبق، ملے جلے محرکات والے اعمال؛ برقی جلد 2۔</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روزمرہ زندگی پر نیت کا ایک الگ فقہی اطلاق؛ اس سے نئی لازمی رسومات پیدا نہیں ہوتیں۔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عمومی مقصد کے بیان سے الگ شناخت شدہ مقام؛ یہ فقہی استدلال ہے، حدیث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49">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p>
      <w:pPr>
        <w:spacing w:before="0" w:after="0" w:line="60" w:lineRule="exact"/>
        <w:keepNext w:val="0"/>
      </w:pPr>
      <w:r>
        <w:br w:type="page"/>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8" w:name="theme_16"/>
            <w:r>
              <w:rPr>
                <w:rFonts w:ascii="Calibri" w:hAnsi="Calibri" w:cs="Calibri" w:eastAsia="Calibri"/>
                <w:sz w:val="22"/>
                <w:szCs w:val="22"/>
                <w:b w:val="1"/>
                <w:bCs w:val="1"/>
                <w:color w:val="21313F"/>
                <w:lang w:val="en-GB" w:bidi="en-GB"/>
                <w:rtl w:val="0"/>
              </w:rPr>
              <w:t>16  Worship in practice: spiritual, moral and social effects</w:t>
            </w:r>
            <w:bookmarkEnd w:id="1058"/>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16  عبادات کا عملی اظہار: روحانی، اخلاقی اور سماجی اثرات</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1"/>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References 204–225 • Expanded evidence</w:t>
            </w:r>
          </w:p>
        </w:tc>
        <w:tc>
          <w:tcPr>
            <w:tcW w:type="dxa" w:w="5148"/>
            <w:vAlign w:val="top"/>
          </w:tcPr>
          <w:p>
            <w:pPr>
              <w:keepNext w:val="1"/>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حوالے 204–225 • اضافی شواہد</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59" w:name="ref_204"/>
            <w:r>
              <w:rPr>
                <w:rFonts w:ascii="Calibri" w:hAnsi="Calibri" w:cs="Calibri" w:eastAsia="Calibri"/>
                <w:sz w:val="20"/>
                <w:szCs w:val="20"/>
                <w:b w:val="1"/>
                <w:bCs w:val="1"/>
                <w:color w:val="21313F"/>
                <w:lang w:val="en-GB" w:bidi="en-GB"/>
                <w:rtl w:val="0"/>
              </w:rPr>
              <w:t>Reference 204  |  Moderation in consumption</w:t>
            </w:r>
            <w:bookmarkEnd w:id="1059"/>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204  |  کھانے پینے میں اعتدال</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وَكُلُوا وَاشْرَبُوا وَلَا تُسْرِفُوا ۚ إِنَّهُ لَا يُحِبُّ الْمُسْرِفِينَ</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eat and drink, but be not prodigal. Lo! He loveth not the prodigals.”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Al-Araf (7), ayah 31.</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Links lawful enjoyment to restraint. Applies to consumption around worship without treating deprivation or excess as piety.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50">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51">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کھاؤ اور پیؤ اور بےجا نہ اڑاؤ کہ خدا بےجا اڑانے والوں کو دوست نہیں رکھتا»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الاعراف (7)، آیت 31۔</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جائز استفادے کو ضبط کے ساتھ جوڑتی ہے۔ عبادات کے موقع پر بھی نہ محرومی اور نہ اسراف کو تقویٰ قرار دیا جا سکتا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50">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51">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0" w:name="ref_205"/>
            <w:r>
              <w:rPr>
                <w:rFonts w:ascii="Calibri" w:hAnsi="Calibri" w:cs="Calibri" w:eastAsia="Calibri"/>
                <w:sz w:val="20"/>
                <w:szCs w:val="20"/>
                <w:b w:val="1"/>
                <w:bCs w:val="1"/>
                <w:color w:val="21313F"/>
                <w:lang w:val="en-GB" w:bidi="en-GB"/>
                <w:rtl w:val="0"/>
              </w:rPr>
              <w:t>Reference 205  |  Supplication and dependence on Allah</w:t>
            </w:r>
            <w:bookmarkEnd w:id="1060"/>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205  |  دعا اور اللہ پر انحصار</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وَقَالَ رَبُّكُمُ ادْعُونِي أَسْتَجِبْ لَكُمْ</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Contiguous ayah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your Lord hath said: Pray unto Me and I will hear your prayer.”</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Ghafir (40), ayah 60.</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Presents prayer as direct recourse to Allah. It does not specify that every requested worldly outcome must occur immediately.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52">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53">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آیت کا مسلسل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تمہارے پروردگار نے کہا ہے کہ تم مجھ سے دعا کرو میں تمہاری (دعا) قبول کروں گا۔»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غافر (40)، آیت 60۔</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دعا کو اللہ کی طرف براہِ راست رجوع کے طور پر پیش کرتی ہے۔ اس میں ہر مطلوب دنیوی نتیجے کے فوراً واقع ہونے کی تعیین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52">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53">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1" w:name="ref_206"/>
            <w:r>
              <w:rPr>
                <w:rFonts w:ascii="Calibri" w:hAnsi="Calibri" w:cs="Calibri" w:eastAsia="Calibri"/>
                <w:sz w:val="20"/>
                <w:szCs w:val="20"/>
                <w:b w:val="1"/>
                <w:bCs w:val="1"/>
                <w:color w:val="21313F"/>
                <w:lang w:val="en-GB" w:bidi="en-GB"/>
                <w:rtl w:val="0"/>
              </w:rPr>
              <w:t>Reference 206  |  Fraternity expressed through reconciliation</w:t>
            </w:r>
            <w:bookmarkEnd w:id="1061"/>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206  |  صلح کے ذریعے اخوت کا اظہار</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إِنَّمَا الْمُؤْمِنُونَ إِخْوَةٌ فَأَصْلِحُوا بَيْنَ أَخَوَيْكُمْ ۚ وَاتَّقُوا اللَّهَ لَعَلَّكُمْ تُرْحَمُونَ</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“The believers are naught else than brothers. Therefore make peace between your brethren and observe your duty to Allah that haply ye may obtain mercy.”</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Al-Hujurat (49), ayah 10.</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Translates common faith into the practical responsibility of reconciliation. Read with the preceding verse on restoring justice between conflicting believers.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54">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55">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«مومن تو آپس میں بھائی بھائی ہیں۔ تو اپنے دو بھائیوں میں صلح کرادیا کرو۔ اور خدا سے ڈرتے رہو تاکہ تم پر رحمت کی جائے»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الحجرات (49)، آیت 10۔</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مشترک ایمان کو صلح کی عملی ذمہ داری سے جوڑتی ہے۔ اسے متحارب اہلِ ایمان کے درمیان عدل قائم کرنے والی سابقہ آیت کے ساتھ پڑھا جائے۔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54">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55">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2" w:name="ref_207"/>
            <w:r>
              <w:rPr>
                <w:rFonts w:ascii="Calibri" w:hAnsi="Calibri" w:cs="Calibri" w:eastAsia="Calibri"/>
                <w:sz w:val="20"/>
                <w:szCs w:val="20"/>
                <w:b w:val="1"/>
                <w:bCs w:val="1"/>
                <w:color w:val="21313F"/>
                <w:lang w:val="en-GB" w:bidi="en-GB"/>
                <w:rtl w:val="0"/>
              </w:rPr>
              <w:t>Reference 207  |  Service without demanding repayment or praise</w:t>
            </w:r>
            <w:bookmarkEnd w:id="1062"/>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207  |  خدمت، بدلے اور تعریف کے مطالبے کے بغیر</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إِنَّمَا نُطْعِمُكُمْ لِوَجْهِ اللَّهِ لَا نُرِيدُ مِنكُمْ جَزَاءً وَلَا شُكُورًا</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“(Saying): We feed you, for the sake of Allah only. We wish for no reward nor thanks from you;”</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Al-Insan (76), ayah 9.</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Connects charitable service to sincerity rather than a claim over its recipient. The surrounding passage concerns feeding vulnerable people.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56">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57">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«(اور کہتے ہیں کہ) ہم تم کو خالص خدا کے لئے کھلاتے ہیں۔ نہ تم سے عوض کے خواستگار ہیں نہ شکرگزاری کے (طلبگار)»</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الانسان (76)، آیت 9۔</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خیراتی خدمت کو اخلاص کے ساتھ جوڑتی ہے، مستفید ہونے والے پر احسان جتانے کے ساتھ نہیں۔ متعلقہ سیاق ضرورت مندوں کو کھانا کھلانے کا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56">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57">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3" w:name="ref_208"/>
            <w:r>
              <w:rPr>
                <w:rFonts w:ascii="Calibri" w:hAnsi="Calibri" w:cs="Calibri" w:eastAsia="Calibri"/>
                <w:sz w:val="20"/>
                <w:szCs w:val="20"/>
                <w:b w:val="1"/>
                <w:bCs w:val="1"/>
                <w:color w:val="21313F"/>
                <w:lang w:val="en-GB" w:bidi="en-GB"/>
                <w:rtl w:val="0"/>
              </w:rPr>
              <w:t>Reference 208  |  Relief at a time of hunger</w:t>
            </w:r>
            <w:bookmarkEnd w:id="1063"/>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208  |  فاقے کے وقت امداد</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أَوْ إِطْعَامٌ فِي يَوْمٍ ذِي مَسْغَبَةٍ</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Qur’anic evidence • Complete ayah</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to feed in the day of hunger.”</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Qur'an, Surah Al-Balad (90), ayah 14.</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Marmaduke Pickthall, The Meaning of the Glorious Koran; accessed through Quranic Arabic Corpus.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Identifies feeding during hunger as part of the demanding moral path described in verses 11–17. Verses 15–16 further identify vulnerable recipients.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Arabic and displayed published translation wording checked against the linked digital texts.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Argument /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58">
              <w:r>
                <w:rPr>
                  <w:rFonts w:ascii="Calibri" w:hAnsi="Calibri" w:cs="Calibri" w:eastAsia="Calibri"/>
                  <w:sz w:val="18"/>
                  <w:szCs w:val="18"/>
                  <w:b w:val="0"/>
                  <w:bCs w:val="0"/>
                  <w:color w:val="244B62"/>
                  <w:lang w:val="en-GB" w:bidi="en-GB"/>
                  <w:rtl w:val="0"/>
                  <w:u w:val="single"/>
                </w:rPr>
                <w:t>Arabic / Urdu</w:t>
              </w:r>
            </w:hyperlink>
            <w:r>
              <w:rPr>
                <w:rFonts w:ascii="Calibri" w:hAnsi="Calibri" w:cs="Calibri" w:eastAsia="Calibri"/>
                <w:sz w:val="18"/>
                <w:szCs w:val="18"/>
                <w:b w:val="0"/>
                <w:bCs w:val="0"/>
                <w:color w:val="21313F"/>
                <w:lang w:val="en-GB" w:bidi="en-GB"/>
                <w:rtl w:val="0"/>
              </w:rPr>
              <w:t xml:space="preserve">  ·  </w:t>
            </w:r>
            <w:hyperlink r:id="rId359">
              <w:r>
                <w:rPr>
                  <w:rFonts w:ascii="Calibri" w:hAnsi="Calibri" w:cs="Calibri" w:eastAsia="Calibri"/>
                  <w:sz w:val="18"/>
                  <w:szCs w:val="18"/>
                  <w:b w:val="0"/>
                  <w:bCs w:val="0"/>
                  <w:color w:val="244B62"/>
                  <w:lang w:val="en-GB" w:bidi="en-GB"/>
                  <w:rtl w:val="0"/>
                  <w:u w:val="single"/>
                </w:rPr>
                <w:t>English</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قرآنی شواہد • مکمل آیت</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«یا بھوک کے دن کھانا کھلانا»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قرآن مجید، سورۃ البلد (90)، آیت 14۔</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فتح محمد جالندھری، ترجمۂ قرآن؛ رسائی: سورہ قرآن ویب گاہ۔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آیات 11 تا 17 میں مذکور مشکل اخلاقی راہ کا ایک جز بھوک کے وقت کھانا کھلانا ہے۔ آیات 15 تا 16 ضرورت مند مستحقین کی مزید تعیین کرتی 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عربی اور نقل کردہ مطبوعہ تراجم کے الفاظ مربوط برقی متون سے جانچے گئے۔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استدلال /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58">
              <w:r>
                <w:rPr>
                  <w:rFonts w:ascii="Noto Naskh Arabic" w:hAnsi="Noto Naskh Arabic" w:cs="Noto Naskh Arabic" w:eastAsia="Noto Naskh Arabic"/>
                  <w:sz w:val="20"/>
                  <w:szCs w:val="20"/>
                  <w:b w:val="0"/>
                  <w:bCs w:val="0"/>
                  <w:color w:val="244B62"/>
                  <w:lang w:val="ur-PK" w:bidi="ur-PK"/>
                  <w:rtl w:val="1"/>
                  <w:u w:val="single"/>
                </w:rPr>
                <w:t>عربی / اردو</w:t>
              </w:r>
            </w:hyperlink>
            <w:r>
              <w:rPr>
                <w:rFonts w:ascii="Noto Naskh Arabic" w:hAnsi="Noto Naskh Arabic" w:cs="Noto Naskh Arabic" w:eastAsia="Noto Naskh Arabic"/>
                <w:sz w:val="20"/>
                <w:szCs w:val="20"/>
                <w:b w:val="0"/>
                <w:bCs w:val="0"/>
                <w:color w:val="21313F"/>
                <w:lang w:val="ur-PK" w:bidi="ur-PK"/>
                <w:rtl w:val="1"/>
              </w:rPr>
              <w:t xml:space="preserve">  ·  </w:t>
            </w:r>
            <w:hyperlink r:id="rId359">
              <w:r>
                <w:rPr>
                  <w:rFonts w:ascii="Noto Naskh Arabic" w:hAnsi="Noto Naskh Arabic" w:cs="Noto Naskh Arabic" w:eastAsia="Noto Naskh Arabic"/>
                  <w:sz w:val="20"/>
                  <w:szCs w:val="20"/>
                  <w:b w:val="0"/>
                  <w:bCs w:val="0"/>
                  <w:color w:val="244B62"/>
                  <w:lang w:val="ur-PK" w:bidi="ur-PK"/>
                  <w:rtl w:val="1"/>
                  <w:u w:val="single"/>
                </w:rPr>
                <w:t>انگریزی</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4" w:name="ref_209"/>
            <w:r>
              <w:rPr>
                <w:rFonts w:ascii="Calibri" w:hAnsi="Calibri" w:cs="Calibri" w:eastAsia="Calibri"/>
                <w:sz w:val="20"/>
                <w:szCs w:val="20"/>
                <w:b w:val="1"/>
                <w:bCs w:val="1"/>
                <w:color w:val="21313F"/>
                <w:lang w:val="en-GB" w:bidi="en-GB"/>
                <w:rtl w:val="0"/>
              </w:rPr>
              <w:t>Reference 209  |  Hope and remembrance: a Hadith qudsi</w:t>
            </w:r>
            <w:bookmarkEnd w:id="1064"/>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209  |  امید اور ذکر: حدیثِ قدسی</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أَنَا عِنْدَ ظَنِّ عَبْدِي بِي</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 am just as My slave thinks I am,”</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al-Tawhid, hadith 7405 (Sunnah.com numbering). Narrator: Abu Hurayrah.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 Hadith qudsi encouraging hopeful turning to Allah, in a larger passage about remembrance and drawing near. It is not a Quranic verse or a guarantee of any imagined worldly result.</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60">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61">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«میں اپنے بندے کے گمان کے ساتھ ہوں»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التوحيد، حدیث 7405 (ترقیم: Sunnah.com)۔ راوی: ابوہریرہ۔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اسلامک اردو بکس؛ پہلا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ذکر اور قرب کے مفصل بیان میں اللہ کی طرف امید کے ساتھ رجوع کی ترغیب دینے والی حدیثِ قدسی ہے۔ نہ یہ قرآنی آیت ہے اور نہ ہر تصور کردہ دنیوی نتیجے کی ضمانت۔</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60">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61">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5" w:name="ref_210"/>
            <w:r>
              <w:rPr>
                <w:rFonts w:ascii="Calibri" w:hAnsi="Calibri" w:cs="Calibri" w:eastAsia="Calibri"/>
                <w:sz w:val="20"/>
                <w:szCs w:val="20"/>
                <w:b w:val="1"/>
                <w:bCs w:val="1"/>
                <w:color w:val="21313F"/>
                <w:lang w:val="en-GB" w:bidi="en-GB"/>
                <w:rtl w:val="0"/>
              </w:rPr>
              <w:t>Reference 210  |  Congregational prayer considers vulnerable worshippers</w:t>
            </w:r>
            <w:bookmarkEnd w:id="1065"/>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210  |  جماعت میں کمزور نمازیوں کا لحاظ</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إِذَا صَلَّى أَحَدُكُمْ لِلنَّاسِ فَلْيُخَفِّفْ</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“If anyone of you leads the people in the prayer, he should shorten it”</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al-Adhan; length of congregational and individual prayer, hadith 703 (Sunnah.com numbering). Narrator: Abu Hurayrah.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complete instruction distinguishes leading others from praying alone and names weakness, sickness and old age. Communal devotion therefore requires consideration rather than imposing one’s private endurance.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62">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63">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«جب کوئی تم میں سے لوگوں کو نماز پڑھائے تو تخفیف کرے»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الأذان؛ جماعت اور انفرادی نماز کی طوالت، حدیث 703 (ترقیم: Sunnah.com)۔ راوی: ابوہریرہ۔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داؤد راز؛ اسلامک اردو بکس میں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مکمل ہدایت امامت اور تنہا نماز میں فرق کرتی اور ضعف، بیماری اور بڑھاپے کا ذکر کرتی ہے۔ اجتماعی عبادت میں ذاتی برداشت دوسروں پر مسلط کرنے کے بجائے ان کا لحاظ ضروری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62">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63">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6" w:name="ref_211"/>
            <w:r>
              <w:rPr>
                <w:rFonts w:ascii="Calibri" w:hAnsi="Calibri" w:cs="Calibri" w:eastAsia="Calibri"/>
                <w:sz w:val="20"/>
                <w:szCs w:val="20"/>
                <w:b w:val="1"/>
                <w:bCs w:val="1"/>
                <w:color w:val="21313F"/>
                <w:lang w:val="en-GB" w:bidi="en-GB"/>
                <w:rtl w:val="0"/>
              </w:rPr>
              <w:t>Reference 211  |  Worship and a mother’s concern</w:t>
            </w:r>
            <w:bookmarkEnd w:id="1066"/>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211  |  عبادت اور ماں کی پریشانی کا لحاظ</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كَرَاهِيَةَ أَنْ أَشُقَّ عَلَى أُمِّهِ</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“as I dislike to trouble the child's mother.”</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al-Adhan; shortening prayer when a child cries, hadith 707 (Sunnah.com numbering). Narrator: Abu Qatadah, through his son Abdullah.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Prophet describes shortening a planned long prayer on hearing a child cry. This specific practical example complements the general instruction in the preceding congregational-prayer entry.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64">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65">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«کیونکہ اس کی ماں کو (جو نماز میں شریک ہو گی) تکلیف میں ڈالنا برا سمجھتا ہوں۔»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الأذان؛ باب من أخف الصلاة عند بكاء الصبي، حدیث 707 (ترقیم: Sunnah.com)۔ راوی: ابوقتادہ، اپنے بیٹے عبداللہ کے واسطے سے۔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داؤد راز؛ اسلامک اردو بکس میں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رسول بچے کے رونے پر ارادہ کردہ طویل نماز مختصر کرنے کا ذکر کرتے ہیں۔ یہ مخصوص عملی مثال جماعت سے متعلق عمومی ہدایت کی تکمیل کرتی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64">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65">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7" w:name="ref_212"/>
            <w:r>
              <w:rPr>
                <w:rFonts w:ascii="Calibri" w:hAnsi="Calibri" w:cs="Calibri" w:eastAsia="Calibri"/>
                <w:sz w:val="20"/>
                <w:szCs w:val="20"/>
                <w:b w:val="1"/>
                <w:bCs w:val="1"/>
                <w:color w:val="21313F"/>
                <w:lang w:val="en-GB" w:bidi="en-GB"/>
                <w:rtl w:val="0"/>
              </w:rPr>
              <w:t>Reference 212  |  A sustainable devotional routine</w:t>
            </w:r>
            <w:bookmarkEnd w:id="1067"/>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212  |  عبادت کا قابلِ دوام معمول</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صِيَامِ ثَلاَثَةِ أَيَّامٍ مِنْ كُلِّ شَهْرٍ</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“to fast three days a month;”</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al-Sawm; voluntary monthly fasting, hadith 1981 (Sunnah.com numbering). Narrator: Abu Hurayrah.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full counsel combines three monthly fasts, two rakahs of Duha and Witr before sleep. The report itself says three days; the chapter heading must not be substituted for its wording.</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66">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67">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«ہر مہینے میں تین دن کے روزے رکھنا،»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الصوم؛ ماہانہ نفلی روزے، حدیث 1981 (ترقیم: Sunnah.com)۔ راوی: ابوہریرہ۔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عبدالستار حماد؛ اسلامک اردو بکس میں دوسرا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مکمل وصیت میں ہر ماہ تین روزے، چاشت کی دو رکعتیں اور سونے سے پہلے وتر شامل ہیں۔ متن صرف تین دن کہتا ہے؛ باب کے عنوان کو حدیث کے الفاظ کی جگہ نہ رکھا جائے۔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66">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67">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8" w:name="ref_213"/>
            <w:r>
              <w:rPr>
                <w:rFonts w:ascii="Calibri" w:hAnsi="Calibri" w:cs="Calibri" w:eastAsia="Calibri"/>
                <w:sz w:val="20"/>
                <w:szCs w:val="20"/>
                <w:b w:val="1"/>
                <w:bCs w:val="1"/>
                <w:color w:val="21313F"/>
                <w:lang w:val="en-GB" w:bidi="en-GB"/>
                <w:rtl w:val="0"/>
              </w:rPr>
              <w:t>Reference 213  |  Ramadan Umrah: reward without replacing Hajj</w:t>
            </w:r>
            <w:bookmarkEnd w:id="1068"/>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213  |  رمضان کا عمرہ: اجر، فرض حج کا بدل نہیں</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فَإِنَّ عُمْرَةً فِي رَمَضَانَ حَجَّةٌ</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“for `Umra in Ramadan is equal to Hajj (in reward)”</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al-Umrah; Umrah in Ramadan, hadith 1782 (Sunnah.com numbering). Narrator: Ibn Abbas, through Ata.</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woman’s inability to join the Hajj is met with guidance toward another meritorious act. HadeethEnc’s accompanying explanation specifies equivalence in reward, not discharge of obligatory Hajj.</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Arabic/English follow Bukhari 1782; the Urdu source prints the parallel Muslim wording. Bukhari’s full report ends with the narrator’s wording qualification.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68">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69">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«کیوں کہ رمضان میں کیا گیا عمرہ حج کے برابر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العمرة؛ رمضان میں عمرہ، حدیث 1782 (ترقیم: Sunnah.com)۔ راوی: ابن عباس، عطاء کے واسطے سے۔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موسوعۃ الاحادیث النبویۃ (HadeethEnc)، اندراج 2753؛ صحیح مسلم 1256 کی متوازی روایت کے الفاظ</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خاتون کے حج میں شریک نہ ہو سکنے پر ایک اور باعثِ اجر عمل کی رہنمائی دی گئی۔ حدیث انسائیکلوپیڈیا کی متعلقہ شرح برابری کو ثواب میں قرار دیتی ہے، فرض حج کی ادائیگی میں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عربی اور انگریزی بخاری 1782 سے ہیں؛ اردو ماخذ میں مسلم کی متوازی روایت ہے۔ بخاری کی مکمل روایت کے آخر میں راوی نے الفاظ کے بارے میں احتیاط بیان کی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68">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69">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69" w:name="ref_214"/>
            <w:r>
              <w:rPr>
                <w:rFonts w:ascii="Calibri" w:hAnsi="Calibri" w:cs="Calibri" w:eastAsia="Calibri"/>
                <w:sz w:val="20"/>
                <w:szCs w:val="20"/>
                <w:b w:val="1"/>
                <w:bCs w:val="1"/>
                <w:color w:val="21313F"/>
                <w:lang w:val="en-GB" w:bidi="en-GB"/>
                <w:rtl w:val="0"/>
              </w:rPr>
              <w:t>Reference 214  |  Laylat al-Qadr: faith and expectation of reward</w:t>
            </w:r>
            <w:bookmarkEnd w:id="1069"/>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214  |  شبِ قدر: ایمان اور طلبِ اجر</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وَمَنْ قَامَ لَيْلَةَ الْقَدْرِ إِيمَانًا وَاحْتِسَابًا غُفِرَ لَهُ مَا تَقَدَّمَ مِنْ ذَنْبِهِ</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“whoever stood for the prayers in the night of Qadr out of sincere Faith and hoping for a reward from Allah,”</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Fadl Laylat al-Qadr; chapter 1, hadith 2014 (Sunnah.com numbering). Narrator: Abu Hurayrah.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This entry counts only the distinct Laylat al-Qadr clause, not the Ramadan-fasting clause already represented by Reference 105. The full clause promises forgiveness in connection with faithful, reward-seeking prayer.</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70">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71">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«جو لیلۃ القدر میں ایمان و احتساب کے ساتھ نماز میں کھڑا رہے»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فضل ليلة القدر؛ باب 1، حدیث 2014 (ترقیم: Sunnah.com)۔ راوی: ابوہریرہ۔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اسلامک اردو بکس؛ پہلا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یہاں صرف شبِ قدر والا الگ فقرہ شمار ہے، رمضان کے روزوں والا حصہ نہیں جو حوالہ 105 میں موجود ہے۔ مکمل فقرہ ایمان اور طلبِ اجر کے ساتھ قیام پر مغفرت کا وعدہ کرتا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70">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71">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0" w:name="ref_215"/>
            <w:r>
              <w:rPr>
                <w:rFonts w:ascii="Calibri" w:hAnsi="Calibri" w:cs="Calibri" w:eastAsia="Calibri"/>
                <w:sz w:val="20"/>
                <w:szCs w:val="20"/>
                <w:b w:val="1"/>
                <w:bCs w:val="1"/>
                <w:color w:val="21313F"/>
                <w:lang w:val="en-GB" w:bidi="en-GB"/>
                <w:rtl w:val="0"/>
              </w:rPr>
              <w:t>Reference 215  |  Ramadan, Quran study and generosity</w:t>
            </w:r>
            <w:bookmarkEnd w:id="1070"/>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215  |  رمضان، قرآن کا دور اور سخاوت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كَانَ النَّبِيُّ صلى الله عليه وسلم أَجْوَدَ النَّاسِ بِالْخَيْرِ، وَكَانَ أَجْوَدُ مَا يَكُونُ فِي رَمَضَانَ</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“The Prophet (ﷺ) was the most generous amongst the people,”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al-Sawm; chapter on generosity in Ramadan, hadith 1902 (Sunnah.com numbering). Narrator: Ibn Abbas.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 transmitted Prophetic practice links Ramadan and review of the Quran with intensified generosity. This is a concrete example, not a statistical claim about every person who fasts.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72">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73">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«سخاوت اور خیر کے معاملہ میں سب سے زیادہ سخی تھے»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الصوم؛ رمضان میں سخاوت کا باب، حدیث 1902 (ترقیم: Sunnah.com)۔ راوی: ابن عباس۔</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اسلامک اردو بکس؛ پہلا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منقول نبوی عمل رمضان اور قرآن کے دور کو زیادہ سخاوت کے ساتھ جوڑتا ہے۔ یہ ایک معین عملی مثال ہے، ہر روزے دار کے بارے میں شماریاتی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72">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73">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1" w:name="ref_216"/>
            <w:r>
              <w:rPr>
                <w:rFonts w:ascii="Calibri" w:hAnsi="Calibri" w:cs="Calibri" w:eastAsia="Calibri"/>
                <w:sz w:val="20"/>
                <w:szCs w:val="20"/>
                <w:b w:val="1"/>
                <w:bCs w:val="1"/>
                <w:color w:val="21313F"/>
                <w:lang w:val="en-GB" w:bidi="en-GB"/>
                <w:rtl w:val="0"/>
              </w:rPr>
              <w:t>Reference 216  |  Charity must consider dependants</w:t>
            </w:r>
            <w:bookmarkEnd w:id="1071"/>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216  |  صدقے میں زیرِ کفالت افراد کا لحاظ</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وَابْدَأْ بِمَنْ تَعُولُ</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“And start giving first to your dependents.”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al-Zakah; giving while retaining sufficiency, hadith 1426 (Sunnah.com numbering). Narrator: Abu Hurayrah.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Directs priority toward those one maintains. It complements the intention-and-family-spending report in Reference 135 but contributes a distinct rule of priority.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74">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75">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«پھر صدقہ پہلے انہیں دو جو تمہاری زیر پرورش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الزكاة؛ ضرورت کی کفایت برقرار رکھتے ہوئے صدقہ، حدیث 1426 (ترقیم: Sunnah.com)۔ راوی: ابوہریرہ۔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داؤد راز؛ اسلامک اردو بکس میں پہلا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ان افراد کو ترجیح دیتی ہے جن کی کفالت انسان کرتا ہے۔ حوالہ 135 کے نیت اور اہلِ خانہ پر خرچ کے بیان کا تکملہ ہے، مگر یہاں ترجیح کا الگ اصول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74">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75">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2" w:name="ref_217"/>
            <w:r>
              <w:rPr>
                <w:rFonts w:ascii="Calibri" w:hAnsi="Calibri" w:cs="Calibri" w:eastAsia="Calibri"/>
                <w:sz w:val="20"/>
                <w:szCs w:val="20"/>
                <w:b w:val="1"/>
                <w:bCs w:val="1"/>
                <w:color w:val="21313F"/>
                <w:lang w:val="en-GB" w:bidi="en-GB"/>
                <w:rtl w:val="0"/>
              </w:rPr>
              <w:t>Reference 217  |  Non-monetary service when wealth is unavailable</w:t>
            </w:r>
            <w:bookmarkEnd w:id="1072"/>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217  |  مال نہ ہونے کی صورت میں غیر مالی خدمت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يُعِينُ ذَا الْحَاجَةِ الْمَلْهُوفَ</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“He should help the needy who appeal for help.”</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al-Zakah; charity for every Muslim, hadith 1445 (Sunnah.com numbering). Narrator: Abu Musa al-Ashari, through Abu Burdah and Said.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gap: </w:t>
            </w:r>
            <w:r>
              <w:rPr>
                <w:rFonts w:ascii="Calibri" w:hAnsi="Calibri" w:cs="Calibri" w:eastAsia="Calibri"/>
                <w:sz w:val="18"/>
                <w:szCs w:val="18"/>
                <w:b w:val="0"/>
                <w:bCs w:val="0"/>
                <w:color w:val="4F5D68"/>
                <w:lang w:val="en-GB" w:bidi="en-GB"/>
                <w:rtl w:val="0"/>
              </w:rPr>
              <w:t>Published Urdu wording was not verified for this entry; no substitute translation was composed.</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The questions move from earning and giving to practical help, doing good and refraining from evil. This distinct exchange broadens participation in charity beyond possessing disposable wealth.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Companion identification is cross-checked in HadeethEnc, Arabic entry 65605; its Urdu page was not accessible.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76">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77">
              <w:r>
                <w:rPr>
                  <w:rFonts w:ascii="Calibri" w:hAnsi="Calibri" w:cs="Calibri" w:eastAsia="Calibri"/>
                  <w:sz w:val="18"/>
                  <w:szCs w:val="18"/>
                  <w:b w:val="0"/>
                  <w:bCs w:val="0"/>
                  <w:color w:val="244B62"/>
                  <w:lang w:val="en-GB" w:bidi="en-GB"/>
                  <w:rtl w:val="0"/>
                  <w:u w:val="single"/>
                </w:rPr>
                <w:t>Narrator / parallel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اس اندراج کے لیے مطبوعہ اردو ترجمے کے الفاظ کی تصدیق نہیں ہو سکی؛ خودساختہ ترجمہ فراہم نہیں کیا گیا۔</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الزكاة؛ ہر مسلمان کے لیے صدقہ، حدیث 1445 (ترقیم: Sunnah.com)۔ راوی: ابوموسیٰ اشعری، ابوبردہ اور سعید کے واسطے سے۔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مطبوعہ اردو ترجمہ غیر مصدقہ؛ الفاظ نقل نہیں کیے گئے۔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سوالات کمائی اور خرچ سے عملی مدد، نیکی اور برائی سے باز رہنے تک پہنچتے ہیں۔ یہ الگ مکالمہ صدقے میں شرکت کو زائد مال رکھنے تک محدود نہیں رہنے دیتا۔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صحابی کی شناخت حدیث انسائیکلوپیڈیا کے عربی اندراج 65605 سے بھی جانچی گئی؛ اس کا اردو صفحہ دستیاب نہیں ہوا۔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76">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77">
              <w:r>
                <w:rPr>
                  <w:rFonts w:ascii="Noto Naskh Arabic" w:hAnsi="Noto Naskh Arabic" w:cs="Noto Naskh Arabic" w:eastAsia="Noto Naskh Arabic"/>
                  <w:sz w:val="20"/>
                  <w:szCs w:val="20"/>
                  <w:b w:val="0"/>
                  <w:bCs w:val="0"/>
                  <w:color w:val="244B62"/>
                  <w:lang w:val="ur-PK" w:bidi="ur-PK"/>
                  <w:rtl w:val="1"/>
                  <w:u w:val="single"/>
                </w:rPr>
                <w:t>راوی / متوازی متن</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3" w:name="ref_218"/>
            <w:r>
              <w:rPr>
                <w:rFonts w:ascii="Calibri" w:hAnsi="Calibri" w:cs="Calibri" w:eastAsia="Calibri"/>
                <w:sz w:val="20"/>
                <w:szCs w:val="20"/>
                <w:b w:val="1"/>
                <w:bCs w:val="1"/>
                <w:color w:val="21313F"/>
                <w:lang w:val="en-GB" w:bidi="en-GB"/>
                <w:rtl w:val="0"/>
              </w:rPr>
              <w:t>Reference 218  |  Family service alongside timely worship</w:t>
            </w:r>
            <w:bookmarkEnd w:id="1073"/>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218  |  بروقت عبادت کے ساتھ گھر والوں کی خدمت</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كَانَ يَكُونُ فِي مِهْنَةِ أَهْلِهِ</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“He used to keep himself busy serving his family”</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al-Bukhari, Kitab al-Adhan; domestic work and prayer time, hadith 676 (Sunnah.com numbering). Narrator: Aishah, in reply to al-Aswad.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Aishah describes household service followed by departure for prayer when its time came. The example rejects a false choice between domestic helpfulness and devotional commitment.</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78">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79">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«اپنے گھر کے کام کاج یعنی اپنے گھر والیوں کی خدمت کیا کرتے تھے»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البخاری، کتاب الأذان؛ گھر کے کام اور وقتِ نماز، حدیث 676 (ترقیم: Sunnah.com)۔ راوی: عائشہ، اسود کے سوال کے جواب میں۔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داؤد راز؛ اسلامک اردو بکس میں پہلا پیش کردہ اردو ترجمہ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عائشہ گھر والوں کی خدمت اور وقت آنے پر نماز کے لیے جانے کا بیان کرتی ہیں۔ یہ مثال گھر میں تعاون اور عبادت کی پابندی کو باہم متضاد سمجھنے کی نفی کرتی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78">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79">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4" w:name="ref_219"/>
            <w:r>
              <w:rPr>
                <w:rFonts w:ascii="Calibri" w:hAnsi="Calibri" w:cs="Calibri" w:eastAsia="Calibri"/>
                <w:sz w:val="20"/>
                <w:szCs w:val="20"/>
                <w:b w:val="1"/>
                <w:bCs w:val="1"/>
                <w:color w:val="21313F"/>
                <w:lang w:val="en-GB" w:bidi="en-GB"/>
                <w:rtl w:val="0"/>
              </w:rPr>
              <w:t>Reference 219  |  Mutual assistance, learning and shared remembrance</w:t>
            </w:r>
            <w:bookmarkEnd w:id="1074"/>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219  |  باہمی مدد، تعلیم اور اجتماعی ذکر</w:t>
            </w:r>
          </w:p>
        </w:tc>
      </w:tr>
      <w:tr>
        <w:trPr>
          <w:cantSplit/>
        </w:trPr>
        <w:tc>
          <w:tcPr>
            <w:tcW w:type="dxa" w:w="10296"/>
            <w:gridSpan w:val="2"/>
            <w:vAlign w:val="top"/>
            <w:shd w:fill="F8FAFB"/>
          </w:tcPr>
          <w:p>
            <w:pPr>
              <w:keepNext w:val="1"/>
              <w:widowControl w:val="1"/>
              <w:bidi w:val="1"/>
              <w:jc w:val="center"/>
              <w:spacing w:before="0" w:after="0" w:line="300" w:lineRule="atLeast"/>
            </w:pPr>
            <w:r>
              <w:rPr>
                <w:rFonts w:ascii="Noto Naskh Arabic" w:hAnsi="Noto Naskh Arabic" w:cs="Noto Naskh Arabic" w:eastAsia="Noto Naskh Arabic"/>
                <w:sz w:val="24"/>
                <w:szCs w:val="24"/>
                <w:b w:val="0"/>
                <w:bCs w:val="0"/>
                <w:color w:val="21313F"/>
                <w:lang w:val="ar-SA" w:bidi="ar-SA"/>
                <w:rtl w:val="1"/>
              </w:rPr>
              <w:t>وَاللَّهُ فِي عَوْنِ الْعَبْدِ مَا كَانَ الْعَبْدُ فِي عَوْنِ أَخِيهِ</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Hadith evidence • Selected Arabic and translation excerpt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“Allah is at the back of a servant so long as the servant is at the back of his brother,”</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Sahih Muslim, Kitab al-Dhikr wa al-Dua wa al-Tawbah wa al-Istighfar; Quran study gatherings, hadith 2699a (Sunnah.com numbering). Narrator: Abu Hurayrah.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Translation: </w:t>
            </w:r>
            <w:r>
              <w:rPr>
                <w:rFonts w:ascii="Calibri" w:hAnsi="Calibri" w:cs="Calibri" w:eastAsia="Calibri"/>
                <w:sz w:val="18"/>
                <w:szCs w:val="18"/>
                <w:b w:val="0"/>
                <w:bCs w:val="0"/>
                <w:color w:val="4F5D68"/>
                <w:lang w:val="en-GB" w:bidi="en-GB"/>
                <w:rtl w:val="0"/>
              </w:rPr>
              <w:t>English wording as displayed by Sunnah.com; a named translator or edition is not asserted unless established in the source.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One integrated report links relief, assistance, learning and Quran study gatherings. Its final clause denies that lineage can compensate for deficient deeds; its several clauses remain one counted entry.</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Sahih: primary source is Sahih al-Bukhari or Sahih Muslim. Collection-based status, not a new chain investigation.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Example / ethical application</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80">
              <w:r>
                <w:rPr>
                  <w:rFonts w:ascii="Calibri" w:hAnsi="Calibri" w:cs="Calibri" w:eastAsia="Calibri"/>
                  <w:sz w:val="18"/>
                  <w:szCs w:val="18"/>
                  <w:b w:val="0"/>
                  <w:bCs w:val="0"/>
                  <w:color w:val="244B62"/>
                  <w:lang w:val="en-GB" w:bidi="en-GB"/>
                  <w:rtl w:val="0"/>
                  <w:u w:val="single"/>
                </w:rPr>
                <w:t>Arabic / English / locator</w:t>
              </w:r>
            </w:hyperlink>
            <w:r>
              <w:rPr>
                <w:rFonts w:ascii="Calibri" w:hAnsi="Calibri" w:cs="Calibri" w:eastAsia="Calibri"/>
                <w:sz w:val="18"/>
                <w:szCs w:val="18"/>
                <w:b w:val="0"/>
                <w:bCs w:val="0"/>
                <w:color w:val="21313F"/>
                <w:lang w:val="en-GB" w:bidi="en-GB"/>
                <w:rtl w:val="0"/>
              </w:rPr>
              <w:t xml:space="preserve">  ·  </w:t>
            </w:r>
            <w:hyperlink r:id="rId381">
              <w:r>
                <w:rPr>
                  <w:rFonts w:ascii="Calibri" w:hAnsi="Calibri" w:cs="Calibri" w:eastAsia="Calibri"/>
                  <w:sz w:val="18"/>
                  <w:szCs w:val="18"/>
                  <w:b w:val="0"/>
                  <w:bCs w:val="0"/>
                  <w:color w:val="244B62"/>
                  <w:lang w:val="en-GB" w:bidi="en-GB"/>
                  <w:rtl w:val="0"/>
                  <w:u w:val="single"/>
                </w:rPr>
                <w:t>Urdu translation</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حدیثی شواہد • منتخب متن اور ترجمے کا اقتباس</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«اللہ تعالیٰ بندے کی مدد کرتا رہتا ہے جب تک بندہ اپنے بھائی کی مدد کرتا رہتا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صحیح مسلم، کتاب الذكر والدعاء والتوبة والاستغفار؛ قرآن کے مطالعے کی مجالس، حدیث 2699a (ترقیم: Sunnah.com)۔ راوی: ابوہریرہ۔</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ترجمہ: </w:t>
            </w:r>
            <w:r>
              <w:rPr>
                <w:rFonts w:ascii="Noto Naskh Arabic" w:hAnsi="Noto Naskh Arabic" w:cs="Noto Naskh Arabic" w:eastAsia="Noto Naskh Arabic"/>
                <w:sz w:val="20"/>
                <w:szCs w:val="20"/>
                <w:b w:val="0"/>
                <w:bCs w:val="0"/>
                <w:color w:val="4F5D68"/>
                <w:lang w:val="ur-PK" w:bidi="ur-PK"/>
                <w:rtl w:val="1"/>
              </w:rPr>
              <w:t>موسوعۃ الاحادیث النبویۃ (HadeethEnc)، اندراج 4801</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ایک مربوط روایت رفعِ تکلیف، مدد، علم اور مجالسِ قرآن کو جوڑتی ہے۔ آخری فقرہ کمزور عمل کی تلافی محض نسب سے ہونے کی نفی کرتا ہے؛ متعدد فقروں کے باوجود ایک ہی حوالہ شمار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صحیح؛ بنیادی ماخذ صحیح البخاری یا صحیح مسلم ہے۔ یہ مجموعے کی حیثیت ہے، نئی سندی تحقیق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مثال / اخلاقی اطلاق</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80">
              <w:r>
                <w:rPr>
                  <w:rFonts w:ascii="Noto Naskh Arabic" w:hAnsi="Noto Naskh Arabic" w:cs="Noto Naskh Arabic" w:eastAsia="Noto Naskh Arabic"/>
                  <w:sz w:val="20"/>
                  <w:szCs w:val="20"/>
                  <w:b w:val="0"/>
                  <w:bCs w:val="0"/>
                  <w:color w:val="244B62"/>
                  <w:lang w:val="ur-PK" w:bidi="ur-PK"/>
                  <w:rtl w:val="1"/>
                  <w:u w:val="single"/>
                </w:rPr>
                <w:t>عربی / انگریزی / مقام</w:t>
              </w:r>
            </w:hyperlink>
            <w:r>
              <w:rPr>
                <w:rFonts w:ascii="Noto Naskh Arabic" w:hAnsi="Noto Naskh Arabic" w:cs="Noto Naskh Arabic" w:eastAsia="Noto Naskh Arabic"/>
                <w:sz w:val="20"/>
                <w:szCs w:val="20"/>
                <w:b w:val="0"/>
                <w:bCs w:val="0"/>
                <w:color w:val="21313F"/>
                <w:lang w:val="ur-PK" w:bidi="ur-PK"/>
                <w:rtl w:val="1"/>
              </w:rPr>
              <w:t xml:space="preserve">  ·  </w:t>
            </w:r>
            <w:hyperlink r:id="rId381">
              <w:r>
                <w:rPr>
                  <w:rFonts w:ascii="Noto Naskh Arabic" w:hAnsi="Noto Naskh Arabic" w:cs="Noto Naskh Arabic" w:eastAsia="Noto Naskh Arabic"/>
                  <w:sz w:val="20"/>
                  <w:szCs w:val="20"/>
                  <w:b w:val="0"/>
                  <w:bCs w:val="0"/>
                  <w:color w:val="244B62"/>
                  <w:lang w:val="ur-PK" w:bidi="ur-PK"/>
                  <w:rtl w:val="1"/>
                  <w:u w:val="single"/>
                </w:rPr>
                <w:t>اردو ترجمہ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5" w:name="ref_220"/>
            <w:r>
              <w:rPr>
                <w:rFonts w:ascii="Calibri" w:hAnsi="Calibri" w:cs="Calibri" w:eastAsia="Calibri"/>
                <w:sz w:val="20"/>
                <w:szCs w:val="20"/>
                <w:b w:val="1"/>
                <w:bCs w:val="1"/>
                <w:color w:val="21313F"/>
                <w:lang w:val="en-GB" w:bidi="en-GB"/>
                <w:rtl w:val="0"/>
              </w:rPr>
              <w:t>Reference 220  |  Asceticism must not disable worship</w:t>
            </w:r>
            <w:bookmarkEnd w:id="1075"/>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220  |  زہد عبادت کی صلاحیت ختم نہ کرے</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In the fourth issue, al-Qurtubi treats sufficient nourishment to sustain bodily functioning and worship as necessary. He rejects self-denial that weakens a person out of performing duties and notes variation in appropriate quantities.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al-Qurtubi, al-Jami‘ li-ahkam al-Qur’an; commentary on 7:31; the fourth numbered issue.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 juristic discussion of balanced devotion, not a medical prescription; later medical anecdotes on the page are not used.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82">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چوتھے مسئلے میں قرطبی بدن اور عبادت کی صلاحیت قائم رکھنے کے لیے کافی غذا کو ضروری قرار دیتے ہیں۔ وہ ایسی خودساختہ محرومی کی تردید کرتے ہیں جو فرائض سے عاجز کر دے، اور مناسب مقدار کے اختلاف کو تسلیم کرتے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قرطبی، الجامع لأحكام القرآن؛ آیت 7:31 کی تفسیر؛ چوتھا شمار کردہ مسئلہ۔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متوازن دینداری کی فقہی بحث ہے، طبی نسخہ نہیں؛ اسی صفحے کی بعد کی طبی حکایات استعمال نہیں کی گئیں۔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82">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6" w:name="ref_221"/>
            <w:r>
              <w:rPr>
                <w:rFonts w:ascii="Calibri" w:hAnsi="Calibri" w:cs="Calibri" w:eastAsia="Calibri"/>
                <w:sz w:val="20"/>
                <w:szCs w:val="20"/>
                <w:b w:val="1"/>
                <w:bCs w:val="1"/>
                <w:color w:val="21313F"/>
                <w:lang w:val="en-GB" w:bidi="en-GB"/>
                <w:rtl w:val="0"/>
              </w:rPr>
              <w:t>Reference 221  |  Relief from hardship through specific concessions</w:t>
            </w:r>
            <w:bookmarkEnd w:id="1076"/>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221  |  مخصوص رخصتوں کے ذریعے تنگی کا ازالہ</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Tafsir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Al-Qurtubi’s second issue on the removal of hardship lists practical concessions, including shortened prayer for travel, permission not to fast while travelling, and prayer by gestures when otherwise unable. He records differences concerning some applications.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al-Qurtubi, al-Jami‘ li-ahkam al-Qur’an; commentary on 22:78; “wa ma ja‘ala … min haraj”, second numbered issue.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Makes ease concrete without converting it into unrestricted exemption from religious duties.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digital transcription inspected on the King Saud University Quran project; no edition-specific printed page is claimed.</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Interpretation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83">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تفسیر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رفعِ حرج کے دوسرے مسئلے میں قرطبی سفر میں نماز قصر کرنے، روزہ مؤخر کرنے اور عدمِ قدرت میں اشارے سے نماز پڑھنے جیسی عملی رخصتیں بیان کرتے ہیں۔ بعض اطلاقات میں اختلاف بھی نقل کرتے ہیں۔</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قرطبی، الجامع لأحكام القرآن؛ آیت 22:78 کی تفسیر؛ وما جعل … من حرج، دوسرا شمار کردہ مسئلہ۔</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آسانی کی عملی صورتیں واضح کرتا ہے، اسے دینی ذمہ داریوں سے غیر مشروط استثنا نہیں بناتا۔</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جامعہ ملک سعود کے قرآنی منصوبے میں عربی برقی متن دیکھا گیا؛ کسی مخصوص مطبوعہ ایڈیشن کے صفحے کا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تفسیر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83">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7" w:name="ref_222"/>
            <w:r>
              <w:rPr>
                <w:rFonts w:ascii="Calibri" w:hAnsi="Calibri" w:cs="Calibri" w:eastAsia="Calibri"/>
                <w:sz w:val="20"/>
                <w:szCs w:val="20"/>
                <w:b w:val="1"/>
                <w:bCs w:val="1"/>
                <w:color w:val="21313F"/>
                <w:lang w:val="en-GB" w:bidi="en-GB"/>
                <w:rtl w:val="0"/>
              </w:rPr>
              <w:t>Reference 222  |  Love and humility in worship</w:t>
            </w:r>
            <w:bookmarkEnd w:id="1077"/>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222  |  عبادت میں محبت اور عاجزی</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Scholarly source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Ibn al-Qayyim places devoted service within his account of the stages of love and describes true servanthood as complete love joined to complete humility and submission. The analysis links inward attachment with outward obedience.</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Ibn Qayyim al-Jawziyyah, Madarij al-salikin bayna manazil iyyaka na‘budu wa-iyyaka nasta‘in; station of love, section on its ranks, ninth rank: al-ta‘abbud; digital volume 3.</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Useful for the spiritual dimension of worship; this is the author’s theological-spiritual analysis.</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Arabic passage inspected in a digital transcription; the surrounding anecdotes are not counted as separate evidence.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84">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علمی ماخذ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ابن قیم محبت کے مراتب کی بحث میں بندگی کو جگہ دیتے ہیں اور حقیقی عبودیت کو کامل محبت کے ساتھ کامل عاجزی اور خضوع سے تعبیر کرتے ہیں۔ اس توضیح میں باطنی تعلق ظاہری اطاعت سے مربوط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ابن قیم جوزیہ، مدارج السالكين بين منازل إياك نعبد وإياك نستعين؛ منزلِ محبت، مراتبِ محبت، نواں مرتبہ: التعبد؛ برقی جلد 3۔</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عبادت کے روحانی پہلو کے لیے مفید؛ یہ مصنف کی اعتقادی و روحانی تحلیل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عربی مقام برقی متن میں دیکھا گیا؛ آس پاس کی حکایات الگ شواہد شمار نہیں کی گئیں۔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84">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8" w:name="ref_223"/>
            <w:r>
              <w:rPr>
                <w:rFonts w:ascii="Calibri" w:hAnsi="Calibri" w:cs="Calibri" w:eastAsia="Calibri"/>
                <w:sz w:val="20"/>
                <w:szCs w:val="20"/>
                <w:b w:val="1"/>
                <w:bCs w:val="1"/>
                <w:color w:val="21313F"/>
                <w:lang w:val="en-GB" w:bidi="en-GB"/>
                <w:rtl w:val="0"/>
              </w:rPr>
              <w:t>Reference 223  |  Gratitude as knowledge, inward state and action</w:t>
            </w:r>
            <w:bookmarkEnd w:id="1078"/>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223  |  شکر بطور علم، باطنی حال اور عمل</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Scholarly source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Al-Ghazali analyses gratitude through three linked elements: recognising a benefit and its giver, an inward state arising from that recognition, and conduct consistent with the giver’s purpose. Action involves heart, tongue and bodily faculties.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Al-Ghazali, Ihya’ ‘ulum al-din, Kitab al-Sabr wa-l-Shukr, second half, first pillar, “Bayan hadd al-shukr wa-haqiqatihi”, opening; embedded text in al-Zabidi’s Ithaf al-sadah al-muttaqin, digital volume 9.</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Turns gratitude into an ethical framework rather than verbal praise alone.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The Ihya passage was inspected as reproduced within al-Zabidi’s commentary, not in a separate Ihya edition.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85">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علمی ماخذ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غزالی شکر کے تین مربوط عناصر بیان کرتے ہیں: نعمت اور منعم کی معرفت، اس معرفت سے پیدا ہونے والا باطنی حال، اور منعم کے مقصود کے مطابق عمل۔ عمل کا تعلق دل، زبان اور اعضا سب سے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غزالی، إحياء علوم الدين، کتاب الصبر والشکر، دوسرا شطر، رکن اول، بیان حد الشکر وحقیقته، آغاز؛ زبیدی کی إتحاف السادة المتقين، برقی جلد 9 میں درج اصل متن۔</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شکر کو محض زبانی تعریف نہیں بلکہ اخلاقی طرزِ عمل کی صورت میں واضح کرتا ہے۔</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احیاء کا مقام زبیدی کی شرح میں درج صورت میں دیکھا گیا، احیاء کے کسی الگ ایڈیشن میں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85">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79" w:name="ref_224"/>
            <w:r>
              <w:rPr>
                <w:rFonts w:ascii="Calibri" w:hAnsi="Calibri" w:cs="Calibri" w:eastAsia="Calibri"/>
                <w:sz w:val="20"/>
                <w:szCs w:val="20"/>
                <w:b w:val="1"/>
                <w:bCs w:val="1"/>
                <w:color w:val="21313F"/>
                <w:lang w:val="en-GB" w:bidi="en-GB"/>
                <w:rtl w:val="0"/>
              </w:rPr>
              <w:t>Reference 224  |  Hajj and social attitudes: an empirical study</w:t>
            </w:r>
            <w:bookmarkEnd w:id="1079"/>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224  |  حج اور سماجی رویّے: ایک تجربی مطالعہ</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Academic study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The authors compare successful and unsuccessful applicants in Pakistan’s Hajj visa lottery. Their published abstract reports increased observance of global Islamic practices and more favourable attitudes toward intergroup equality and women’s education and employment among participants.</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David Clingingsmith, Asim Ijaz Khwaja and Michael Kremer, “Estimating the Impact of the Hajj: Religion and Tolerance in Islam’s Global Gathering”, The Quarterly Journal of Economics 124(3), August 2009, article pp. 1133–1170; abstract. DOI: 10.1162/qjec.2009.124.3.1133.</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An example of measured social effects, not a universal claim about every pilgrim or present-day Muslim population.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Published abstract and citation checked against the journal page; full methods and tables were not reanalysed. Article page range is bibliographic, not a pinpoint to an inspected page.</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86">
              <w:r>
                <w:rPr>
                  <w:rFonts w:ascii="Calibri" w:hAnsi="Calibri" w:cs="Calibri" w:eastAsia="Calibri"/>
                  <w:sz w:val="18"/>
                  <w:szCs w:val="18"/>
                  <w:b w:val="0"/>
                  <w:bCs w:val="0"/>
                  <w:color w:val="244B62"/>
                  <w:lang w:val="en-GB" w:bidi="en-GB"/>
                  <w:rtl w:val="0"/>
                  <w:u w:val="single"/>
                </w:rPr>
                <w:t>Source text</w:t>
              </w:r>
            </w:hyperlink>
            <w:r>
              <w:rPr>
                <w:rFonts w:ascii="Calibri" w:hAnsi="Calibri" w:cs="Calibri" w:eastAsia="Calibri"/>
                <w:sz w:val="18"/>
                <w:szCs w:val="18"/>
                <w:b w:val="0"/>
                <w:bCs w:val="0"/>
                <w:color w:val="21313F"/>
                <w:lang w:val="en-GB" w:bidi="en-GB"/>
                <w:rtl w:val="0"/>
              </w:rPr>
              <w:t xml:space="preserve">  ·  </w:t>
            </w:r>
            <w:hyperlink r:id="rId387">
              <w:r>
                <w:rPr>
                  <w:rFonts w:ascii="Calibri" w:hAnsi="Calibri" w:cs="Calibri" w:eastAsia="Calibri"/>
                  <w:sz w:val="18"/>
                  <w:szCs w:val="18"/>
                  <w:b w:val="0"/>
                  <w:bCs w:val="0"/>
                  <w:color w:val="244B62"/>
                  <w:lang w:val="en-GB" w:bidi="en-GB"/>
                  <w:rtl w:val="0"/>
                  <w:u w:val="single"/>
                </w:rPr>
                <w:t>Journal abstract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جامعاتی مطالعہ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مصنفین پاکستان کی حج ویزا قرعہ اندازی میں کامیاب اور ناکام درخواست گزاروں کا تقابل کرتے ہیں۔ شائع شدہ خلاصہ شرکا میں عمومی اسلامی عبادات کی پابندی، مختلف گروہوں کی مساوات، اور خواتین کی تعلیم و روزگار کے بارے میں زیادہ موافق رویّے رپورٹ کرتا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David Clingingsmith، Asim Ijaz Khwaja اور Michael Kremer، “Estimating the Impact of the Hajj: Religion and Tolerance in Islam’s Global Gathering”، The Quarterly Journal of Economics، 124(3)، اگست 2009، مقالہ ص 1133–1170؛ خلاصہ۔ DOI: 10.1162/qjec.2009.124.3.1133۔</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ماپے گئے سماجی اثرات کی مثال ہے؛ ہر حاجی یا آج کی پوری مسلم آبادی کے بارے میں عمومی دعویٰ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مطبوعہ خلاصہ اور حوالہ رسالے کے صفحے سے مقابل کیا گیا؛ مکمل طریقۂ تحقیق اور جدولوں کا ازسرِنو تجزیہ نہیں ہوا۔ صفحات پورے مقالے کی کتابیاتی حد ہیں، دیکھے گئے مخصوص صفحے کی نشاندہی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86">
              <w:r>
                <w:rPr>
                  <w:rFonts w:ascii="Noto Naskh Arabic" w:hAnsi="Noto Naskh Arabic" w:cs="Noto Naskh Arabic" w:eastAsia="Noto Naskh Arabic"/>
                  <w:sz w:val="20"/>
                  <w:szCs w:val="20"/>
                  <w:b w:val="0"/>
                  <w:bCs w:val="0"/>
                  <w:color w:val="244B62"/>
                  <w:lang w:val="ur-PK" w:bidi="ur-PK"/>
                  <w:rtl w:val="1"/>
                  <w:u w:val="single"/>
                </w:rPr>
                <w:t>اصل ماخذ</w:t>
              </w:r>
            </w:hyperlink>
            <w:r>
              <w:rPr>
                <w:rFonts w:ascii="Noto Naskh Arabic" w:hAnsi="Noto Naskh Arabic" w:cs="Noto Naskh Arabic" w:eastAsia="Noto Naskh Arabic"/>
                <w:sz w:val="20"/>
                <w:szCs w:val="20"/>
                <w:b w:val="0"/>
                <w:bCs w:val="0"/>
                <w:color w:val="21313F"/>
                <w:lang w:val="ur-PK" w:bidi="ur-PK"/>
                <w:rtl w:val="1"/>
              </w:rPr>
              <w:t xml:space="preserve">  ·  </w:t>
            </w:r>
            <w:hyperlink r:id="rId387">
              <w:r>
                <w:rPr>
                  <w:rFonts w:ascii="Noto Naskh Arabic" w:hAnsi="Noto Naskh Arabic" w:cs="Noto Naskh Arabic" w:eastAsia="Noto Naskh Arabic"/>
                  <w:sz w:val="20"/>
                  <w:szCs w:val="20"/>
                  <w:b w:val="0"/>
                  <w:bCs w:val="0"/>
                  <w:color w:val="244B62"/>
                  <w:lang w:val="ur-PK" w:bidi="ur-PK"/>
                  <w:rtl w:val="1"/>
                  <w:u w:val="single"/>
                </w:rPr>
                <w:t>رسالے کا خلاصہ</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80" w:name="ref_225"/>
            <w:r>
              <w:rPr>
                <w:rFonts w:ascii="Calibri" w:hAnsi="Calibri" w:cs="Calibri" w:eastAsia="Calibri"/>
                <w:sz w:val="20"/>
                <w:szCs w:val="20"/>
                <w:b w:val="1"/>
                <w:bCs w:val="1"/>
                <w:color w:val="21313F"/>
                <w:lang w:val="en-GB" w:bidi="en-GB"/>
                <w:rtl w:val="0"/>
              </w:rPr>
              <w:t>Reference 225  |  Ramadan: well-being and economic outcomes need not coincide</w:t>
            </w:r>
            <w:bookmarkEnd w:id="1080"/>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2"/>
                <w:szCs w:val="22"/>
                <w:b w:val="1"/>
                <w:bCs w:val="1"/>
                <w:color w:val="21313F"/>
                <w:lang w:val="ur-PK" w:bidi="ur-PK"/>
                <w:rtl w:val="1"/>
              </w:rPr>
              <w:t>حوالہ 225  |  رمضان: بہبود اور معاشی نتائج کا یکساں ہونا لازم نہیں</w:t>
            </w:r>
          </w:p>
        </w:tc>
      </w:tr>
      <w:tr>
        <w:trPr>
          <w:cantSplit/>
        </w:trPr>
        <w:tc>
          <w:tcPr>
            <w:tcW w:type="dxa" w:w="5148"/>
            <w:vAlign w:val="top"/>
          </w:tcPr>
          <w:p>
            <w:pPr>
              <w:keepNext w:val="0"/>
              <w:widowControl w:val="1"/>
              <w:bidi w:val="0"/>
              <w:jc w:val="start"/>
              <w:spacing w:before="0" w:after="60" w:line="250" w:lineRule="atLeast"/>
            </w:pPr>
            <w:r>
              <w:rPr>
                <w:rFonts w:ascii="Calibri" w:hAnsi="Calibri" w:cs="Calibri" w:eastAsia="Calibri"/>
                <w:sz w:val="18"/>
                <w:szCs w:val="18"/>
                <w:b w:val="1"/>
                <w:bCs w:val="1"/>
                <w:color w:val="244B62"/>
                <w:lang w:val="en-GB" w:bidi="en-GB"/>
                <w:rtl w:val="0"/>
              </w:rPr>
              <w:t>Academic study • Scholarly position / paraphrased argument</w:t>
            </w:r>
          </w:p>
          <w:p>
            <w:pPr>
              <w:keepNext w:val="0"/>
              <w:widowControl w:val="1"/>
              <w:bidi w:val="0"/>
              <w:jc w:val="start"/>
              <w:spacing w:before="0" w:after="70" w:line="250" w:lineRule="atLeast"/>
            </w:pPr>
            <w:r>
              <w:rPr>
                <w:rFonts w:ascii="Calibri" w:hAnsi="Calibri" w:cs="Calibri" w:eastAsia="Calibri"/>
                <w:sz w:val="20"/>
                <w:szCs w:val="20"/>
                <w:b w:val="0"/>
                <w:bCs w:val="0"/>
                <w:color w:val="21313F"/>
                <w:lang w:val="en-GB" w:bidi="en-GB"/>
                <w:rtl w:val="0"/>
              </w:rPr>
              <w:t>The published abstract uses variation in daily fasting length arising from the Islamic calendar and latitude. It reports lower output growth in Muslim countries alongside higher subjective well-being among Muslims, and presents evidence consistent with a participation-and-commitment mechanism.</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Source: </w:t>
            </w:r>
            <w:r>
              <w:rPr>
                <w:rFonts w:ascii="Calibri" w:hAnsi="Calibri" w:cs="Calibri" w:eastAsia="Calibri"/>
                <w:sz w:val="20"/>
                <w:szCs w:val="20"/>
                <w:b w:val="0"/>
                <w:bCs w:val="0"/>
                <w:color w:val="21313F"/>
                <w:lang w:val="en-GB" w:bidi="en-GB"/>
                <w:rtl w:val="0"/>
              </w:rPr>
              <w:t>Filipe Campante and David Yanagizawa-Drott, “Does Religion Affect Economic Growth and Happiness? Evidence from Ramadan”, The Quarterly Journal of Economics 130(2), May 2015, article pp. 615–658; abstract. DOI: 10.1093/qje/qjv002.</w:t>
            </w:r>
          </w:p>
          <w:p>
            <w:pPr>
              <w:keepNext w:val="0"/>
              <w:widowControl w:val="1"/>
              <w:bidi w:val="0"/>
              <w:jc w:val="start"/>
              <w:spacing w:before="0" w:after="50" w:line="250" w:lineRule="atLeast"/>
            </w:pPr>
            <w:r>
              <w:rPr>
                <w:rFonts w:ascii="Calibri" w:hAnsi="Calibri" w:cs="Calibri" w:eastAsia="Calibri"/>
                <w:sz w:val="20"/>
                <w:szCs w:val="20"/>
                <w:b w:val="1"/>
                <w:bCs w:val="1"/>
                <w:color w:val="244B62"/>
                <w:lang w:val="en-GB" w:bidi="en-GB"/>
                <w:rtl w:val="0"/>
              </w:rPr>
              <w:t xml:space="preserve">Relevance / context: </w:t>
            </w:r>
            <w:r>
              <w:rPr>
                <w:rFonts w:ascii="Calibri" w:hAnsi="Calibri" w:cs="Calibri" w:eastAsia="Calibri"/>
                <w:sz w:val="20"/>
                <w:szCs w:val="20"/>
                <w:b w:val="0"/>
                <w:bCs w:val="0"/>
                <w:color w:val="21313F"/>
                <w:lang w:val="en-GB" w:bidi="en-GB"/>
                <w:rtl w:val="0"/>
              </w:rPr>
              <w:t>Useful for balanced critical analysis: economic output and subjective well-being are different outcomes, and neither alone measures religious worth.</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Qualification: </w:t>
            </w:r>
            <w:r>
              <w:rPr>
                <w:rFonts w:ascii="Calibri" w:hAnsi="Calibri" w:cs="Calibri" w:eastAsia="Calibri"/>
                <w:sz w:val="18"/>
                <w:szCs w:val="18"/>
                <w:b w:val="0"/>
                <w:bCs w:val="0"/>
                <w:color w:val="4F5D68"/>
                <w:lang w:val="en-GB" w:bidi="en-GB"/>
                <w:rtl w:val="0"/>
              </w:rPr>
              <w:t>The 2015 published abstract was inspected, not a replication of its data. Do not generalise its estimates to all individuals or merge its mechanism with the different 2013 working-paper abstract.</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Status: </w:t>
            </w:r>
            <w:r>
              <w:rPr>
                <w:rFonts w:ascii="Calibri" w:hAnsi="Calibri" w:cs="Calibri" w:eastAsia="Calibri"/>
                <w:sz w:val="18"/>
                <w:szCs w:val="18"/>
                <w:b w:val="0"/>
                <w:bCs w:val="0"/>
                <w:color w:val="4F5D68"/>
                <w:lang w:val="en-GB" w:bidi="en-GB"/>
                <w:rtl w:val="0"/>
              </w:rPr>
              <w:t>Specified passage inspected; both language columns contain the compiler’s paraphrase, not a published translation.</w:t>
            </w:r>
          </w:p>
          <w:p>
            <w:pPr>
              <w:keepNext w:val="0"/>
              <w:widowControl w:val="1"/>
              <w:bidi w:val="0"/>
              <w:jc w:val="start"/>
              <w:spacing w:before="0" w:after="50" w:line="250" w:lineRule="atLeast"/>
            </w:pPr>
            <w:r>
              <w:rPr>
                <w:rFonts w:ascii="Calibri" w:hAnsi="Calibri" w:cs="Calibri" w:eastAsia="Calibri"/>
                <w:sz w:val="18"/>
                <w:szCs w:val="18"/>
                <w:b w:val="1"/>
                <w:bCs w:val="1"/>
                <w:color w:val="244B62"/>
                <w:lang w:val="en-GB" w:bidi="en-GB"/>
                <w:rtl w:val="0"/>
              </w:rPr>
              <w:t xml:space="preserve">Best use: </w:t>
            </w:r>
            <w:r>
              <w:rPr>
                <w:rFonts w:ascii="Calibri" w:hAnsi="Calibri" w:cs="Calibri" w:eastAsia="Calibri"/>
                <w:sz w:val="18"/>
                <w:szCs w:val="18"/>
                <w:b w:val="0"/>
                <w:bCs w:val="0"/>
                <w:color w:val="4F5D68"/>
                <w:lang w:val="en-GB" w:bidi="en-GB"/>
                <w:rtl w:val="0"/>
              </w:rPr>
              <w:t>Definition / critical analysis</w:t>
            </w:r>
          </w:p>
          <w:p>
            <w:pPr>
              <w:keepNext w:val="0"/>
              <w:widowControl w:val="1"/>
              <w:bidi w:val="0"/>
              <w:jc w:val="start"/>
              <w:spacing w:before="0" w:after="0" w:line="250" w:lineRule="atLeast"/>
            </w:pPr>
            <w:r>
              <w:rPr>
                <w:rFonts w:ascii="Calibri" w:hAnsi="Calibri" w:cs="Calibri" w:eastAsia="Calibri"/>
                <w:sz w:val="18"/>
                <w:szCs w:val="18"/>
                <w:b w:val="1"/>
                <w:bCs w:val="1"/>
                <w:color w:val="244B62"/>
                <w:lang w:val="en-GB" w:bidi="en-GB"/>
                <w:rtl w:val="0"/>
              </w:rPr>
              <w:t xml:space="preserve">Verify: </w:t>
            </w:r>
            <w:hyperlink r:id="rId388">
              <w:r>
                <w:rPr>
                  <w:rFonts w:ascii="Calibri" w:hAnsi="Calibri" w:cs="Calibri" w:eastAsia="Calibri"/>
                  <w:sz w:val="18"/>
                  <w:szCs w:val="18"/>
                  <w:b w:val="0"/>
                  <w:bCs w:val="0"/>
                  <w:color w:val="244B62"/>
                  <w:lang w:val="en-GB" w:bidi="en-GB"/>
                  <w:rtl w:val="0"/>
                  <w:u w:val="single"/>
                </w:rPr>
                <w:t>Source text</w:t>
              </w:r>
            </w:hyperlink>
          </w:p>
        </w:tc>
        <w:tc>
          <w:tcPr>
            <w:tcW w:type="dxa" w:w="5148"/>
            <w:vAlign w:val="top"/>
          </w:tcPr>
          <w:p>
            <w:pPr>
              <w:keepNext w:val="0"/>
              <w:widowControl w:val="1"/>
              <w:bidi w:val="1"/>
              <w:jc w:val="start"/>
              <w:spacing w:before="0" w:after="60" w:line="300" w:lineRule="atLeast"/>
            </w:pPr>
            <w:r>
              <w:rPr>
                <w:rFonts w:ascii="Noto Naskh Arabic" w:hAnsi="Noto Naskh Arabic" w:cs="Noto Naskh Arabic" w:eastAsia="Noto Naskh Arabic"/>
                <w:sz w:val="20"/>
                <w:szCs w:val="20"/>
                <w:b w:val="1"/>
                <w:bCs w:val="1"/>
                <w:color w:val="244B62"/>
                <w:lang w:val="ur-PK" w:bidi="ur-PK"/>
                <w:rtl w:val="1"/>
              </w:rPr>
              <w:t>جامعاتی مطالعہ • علمی مؤقف / مفہومی خلاصہ</w:t>
            </w:r>
          </w:p>
          <w:p>
            <w:pPr>
              <w:keepNext w:val="0"/>
              <w:widowControl w:val="1"/>
              <w:bidi w:val="1"/>
              <w:jc w:val="start"/>
              <w:spacing w:before="0" w:after="70" w:line="300" w:lineRule="atLeast"/>
            </w:pPr>
            <w:r>
              <w:rPr>
                <w:rFonts w:ascii="Noto Naskh Arabic" w:hAnsi="Noto Naskh Arabic" w:cs="Noto Naskh Arabic" w:eastAsia="Noto Naskh Arabic"/>
                <w:sz w:val="22"/>
                <w:szCs w:val="22"/>
                <w:b w:val="0"/>
                <w:bCs w:val="0"/>
                <w:color w:val="21313F"/>
                <w:lang w:val="ur-PK" w:bidi="ur-PK"/>
                <w:rtl w:val="1"/>
              </w:rPr>
              <w:t>مطبوعہ خلاصہ اسلامی تقویم اور عرض البلد سے پیدا ہونے والے روزانہ دورانیۂ صوم کے فرق کو استعمال کرتا ہے۔ وہ مسلم ممالک میں کم پیداوار افزائش کے ساتھ مسلمانوں میں زیادہ شخصی احساسِ بہبود رپورٹ کرتا ہے، اور شرکت و وابستگی سے متعلق توضیح کے موافق شواہد پیش کرتا ہے۔</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ماخذ: </w:t>
            </w:r>
            <w:r>
              <w:rPr>
                <w:rFonts w:ascii="Noto Naskh Arabic" w:hAnsi="Noto Naskh Arabic" w:cs="Noto Naskh Arabic" w:eastAsia="Noto Naskh Arabic"/>
                <w:sz w:val="22"/>
                <w:szCs w:val="22"/>
                <w:b w:val="0"/>
                <w:bCs w:val="0"/>
                <w:color w:val="21313F"/>
                <w:lang w:val="ur-PK" w:bidi="ur-PK"/>
                <w:rtl w:val="1"/>
              </w:rPr>
              <w:t>Filipe Campante اور David Yanagizawa-Drott، “Does Religion Affect Economic Growth and Happiness? Evidence from Ramadan”، The Quarterly Journal of Economics، 130(2)، مئی 2015، مقالہ ص 615–658؛ خلاصہ۔ DOI: 10.1093/qje/qjv002۔</w:t>
            </w:r>
          </w:p>
          <w:p>
            <w:pPr>
              <w:keepNext w:val="0"/>
              <w:widowControl w:val="1"/>
              <w:bidi w:val="1"/>
              <w:jc w:val="start"/>
              <w:spacing w:before="0" w:after="50" w:line="300" w:lineRule="atLeast"/>
            </w:pPr>
            <w:r>
              <w:rPr>
                <w:rFonts w:ascii="Noto Naskh Arabic" w:hAnsi="Noto Naskh Arabic" w:cs="Noto Naskh Arabic" w:eastAsia="Noto Naskh Arabic"/>
                <w:sz w:val="22"/>
                <w:szCs w:val="22"/>
                <w:b w:val="1"/>
                <w:bCs w:val="1"/>
                <w:color w:val="244B62"/>
                <w:lang w:val="ur-PK" w:bidi="ur-PK"/>
                <w:rtl w:val="1"/>
              </w:rPr>
              <w:t xml:space="preserve">تعلق / سیاق: </w:t>
            </w:r>
            <w:r>
              <w:rPr>
                <w:rFonts w:ascii="Noto Naskh Arabic" w:hAnsi="Noto Naskh Arabic" w:cs="Noto Naskh Arabic" w:eastAsia="Noto Naskh Arabic"/>
                <w:sz w:val="22"/>
                <w:szCs w:val="22"/>
                <w:b w:val="0"/>
                <w:bCs w:val="0"/>
                <w:color w:val="21313F"/>
                <w:lang w:val="ur-PK" w:bidi="ur-PK"/>
                <w:rtl w:val="1"/>
              </w:rPr>
              <w:t>متوازن تنقیدی تجزیے کے لیے مفید: معاشی پیداوار اور شخصی بہبود الگ نتائج ہیں؛ کوئی ایک مذہبی قدر کا مکمل پیمانہ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قید / توضیح: </w:t>
            </w:r>
            <w:r>
              <w:rPr>
                <w:rFonts w:ascii="Noto Naskh Arabic" w:hAnsi="Noto Naskh Arabic" w:cs="Noto Naskh Arabic" w:eastAsia="Noto Naskh Arabic"/>
                <w:sz w:val="20"/>
                <w:szCs w:val="20"/>
                <w:b w:val="0"/>
                <w:bCs w:val="0"/>
                <w:color w:val="4F5D68"/>
                <w:lang w:val="ur-PK" w:bidi="ur-PK"/>
                <w:rtl w:val="1"/>
              </w:rPr>
              <w:t>2015 کا مطبوعہ خلاصہ دیکھا گیا، اعداد و شمار کی ازسرِنو جانچ نہیں کی گئی۔ تخمینوں کو ہر فرد پر عام نہ کریں اور اس کی توضیح کو 2013 کے مختلف ابتدائی مسودے کے خلاصے سے نہ ملائیں۔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حیثیت: </w:t>
            </w:r>
            <w:r>
              <w:rPr>
                <w:rFonts w:ascii="Noto Naskh Arabic" w:hAnsi="Noto Naskh Arabic" w:cs="Noto Naskh Arabic" w:eastAsia="Noto Naskh Arabic"/>
                <w:sz w:val="20"/>
                <w:szCs w:val="20"/>
                <w:b w:val="0"/>
                <w:bCs w:val="0"/>
                <w:color w:val="4F5D68"/>
                <w:lang w:val="ur-PK" w:bidi="ur-PK"/>
                <w:rtl w:val="1"/>
              </w:rPr>
              <w:t>مخصوص مقام کا ماخذی معائنہ؛ دونوں زبانوں میں مرتب کا مفہومی خلاصہ، مطبوعہ ترجمہ نہیں۔</w:t>
            </w:r>
          </w:p>
          <w:p>
            <w:pPr>
              <w:keepNext w:val="0"/>
              <w:widowControl w:val="1"/>
              <w:bidi w:val="1"/>
              <w:jc w:val="start"/>
              <w:spacing w:before="0" w:after="50" w:line="300" w:lineRule="atLeast"/>
            </w:pPr>
            <w:r>
              <w:rPr>
                <w:rFonts w:ascii="Noto Naskh Arabic" w:hAnsi="Noto Naskh Arabic" w:cs="Noto Naskh Arabic" w:eastAsia="Noto Naskh Arabic"/>
                <w:sz w:val="20"/>
                <w:szCs w:val="20"/>
                <w:b w:val="1"/>
                <w:bCs w:val="1"/>
                <w:color w:val="244B62"/>
                <w:lang w:val="ur-PK" w:bidi="ur-PK"/>
                <w:rtl w:val="1"/>
              </w:rPr>
              <w:t xml:space="preserve">موزوں استعمال: </w:t>
            </w:r>
            <w:r>
              <w:rPr>
                <w:rFonts w:ascii="Noto Naskh Arabic" w:hAnsi="Noto Naskh Arabic" w:cs="Noto Naskh Arabic" w:eastAsia="Noto Naskh Arabic"/>
                <w:sz w:val="20"/>
                <w:szCs w:val="20"/>
                <w:b w:val="0"/>
                <w:bCs w:val="0"/>
                <w:color w:val="4F5D68"/>
                <w:lang w:val="ur-PK" w:bidi="ur-PK"/>
                <w:rtl w:val="1"/>
              </w:rPr>
              <w:t>تعریف / تنقیدی تجزیہ</w:t>
            </w:r>
          </w:p>
          <w:p>
            <w:pPr>
              <w:keepNext w:val="0"/>
              <w:widowControl w:val="1"/>
              <w:bidi w:val="1"/>
              <w:jc w:val="start"/>
              <w:spacing w:before="0" w:after="0" w:line="300" w:lineRule="atLeast"/>
            </w:pPr>
            <w:r>
              <w:rPr>
                <w:rFonts w:ascii="Noto Naskh Arabic" w:hAnsi="Noto Naskh Arabic" w:cs="Noto Naskh Arabic" w:eastAsia="Noto Naskh Arabic"/>
                <w:sz w:val="20"/>
                <w:szCs w:val="20"/>
                <w:b w:val="1"/>
                <w:bCs w:val="1"/>
                <w:color w:val="244B62"/>
                <w:lang w:val="ur-PK" w:bidi="ur-PK"/>
                <w:rtl w:val="1"/>
              </w:rPr>
              <w:t xml:space="preserve">تصدیق: </w:t>
            </w:r>
            <w:hyperlink r:id="rId388">
              <w:r>
                <w:rPr>
                  <w:rFonts w:ascii="Noto Naskh Arabic" w:hAnsi="Noto Naskh Arabic" w:cs="Noto Naskh Arabic" w:eastAsia="Noto Naskh Arabic"/>
                  <w:sz w:val="20"/>
                  <w:szCs w:val="20"/>
                  <w:b w:val="0"/>
                  <w:bCs w:val="0"/>
                  <w:color w:val="244B62"/>
                  <w:lang w:val="ur-PK" w:bidi="ur-PK"/>
                  <w:rtl w:val="1"/>
                  <w:u w:val="single"/>
                </w:rPr>
                <w:t>اصل ماخذ</w:t>
              </w:r>
            </w:hyperlink>
          </w:p>
        </w:tc>
      </w:tr>
    </w:tbl>
    <w:p>
      <w:pPr>
        <w:spacing w:before="0" w:after="0" w:line="60" w:lineRule="exact"/>
        <w:keepNext w:val="0"/>
      </w:pPr>
      <w:r>
        <w:rPr>
          <w:rFonts w:ascii="Calibri" w:hAnsi="Calibri" w:cs="Calibri" w:eastAsia="Calibri"/>
          <w:sz w:val="4"/>
          <w:szCs w:val="4"/>
          <w:b w:val="0"/>
          <w:bCs w:val="0"/>
          <w:color w:val="21313F"/>
          <w:lang w:val="en-GB" w:bidi="en-GB"/>
          <w:rtl w:val="0"/>
        </w:rPr>
      </w:r>
    </w:p>
    <w:p>
      <w:pPr>
        <w:spacing w:before="0" w:after="0" w:line="60" w:lineRule="exact"/>
        <w:keepNext w:val="0"/>
      </w:pPr>
      <w:r>
        <w:br w:type="page"/>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widowControl/>
              <w:spacing w:after="20" w:before="0" w:lineRule="atLeast" w:line="250"/>
              <w:jc w:val="start"/>
              <w:bidi w:val="0"/>
            </w:pPr>
            <w:r>
              <w:rPr>
                <w:rFonts w:ascii="Calibri" w:hAnsi="Calibri" w:cs="Calibri" w:eastAsia="Calibri"/>
                <w:b/>
                <w:color w:val="21313F"/>
                <w:sz w:val="26"/>
                <w:szCs w:val="26"/>
                <w:lang w:val="en-GB" w:bidi="ar-SA"/>
              </w:rPr>
              <w:t>Topic-linked book and commentary index</w:t>
            </w:r>
          </w:p>
        </w:tc>
        <w:tc>
          <w:tcPr>
            <w:tcW w:type="dxa" w:w="5148"/>
            <w:vAlign w:val="top"/>
            <w:shd w:fill="EDF3F6"/>
          </w:tcPr>
          <w:p>
            <w:pPr>
              <w:keepNext/>
              <w:widowControl/>
              <w:spacing w:after="20" w:before="0" w:lineRule="atLeast" w:line="300"/>
              <w:jc w:val="start"/>
              <w:bidi w:val="1"/>
            </w:pPr>
            <w:r>
              <w:rPr>
                <w:rFonts w:ascii="Noto Naskh Arabic" w:hAnsi="Noto Naskh Arabic" w:cs="Noto Naskh Arabic" w:eastAsia="Noto Naskh Arabic"/>
                <w:b/>
                <w:color w:val="21313F"/>
                <w:sz w:val="26"/>
                <w:szCs w:val="26"/>
                <w:lang w:val="ur-PK" w:bidi="ur-PK"/>
                <w:rtl w:val="1"/>
                <w:bCs/>
              </w:rPr>
              <w:t>موضوع سے مربوط کتب اور شروح کا اشاریہ</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spacing w:after="20" w:before="0" w:lineRule="atLeast" w:line="250"/>
              <w:jc w:val="start"/>
              <w:bidi w:val="0"/>
            </w:pPr>
            <w:r>
              <w:rPr>
                <w:rFonts w:ascii="Calibri" w:hAnsi="Calibri" w:cs="Calibri" w:eastAsia="Calibri"/>
                <w:b w:val="0"/>
                <w:color w:val="21313F"/>
                <w:sz w:val="20"/>
                <w:szCs w:val="20"/>
                <w:lang w:val="en-GB" w:bidi="ar-SA"/>
              </w:rPr>
              <w:t>This is a retrieval aid for passages already counted, not an additional reading list or a second count of the same evidence. Exact locators and access links appear in the referenced entries.</w:t>
            </w:r>
          </w:p>
        </w:tc>
        <w:tc>
          <w:tcPr>
            <w:tcW w:type="dxa" w:w="5148"/>
            <w:vAlign w:val="top"/>
          </w:tcPr>
          <w:p>
            <w:pPr>
              <w:keepNext w:val="0"/>
              <w:widowControl/>
              <w:spacing w:after="20" w:before="0" w:lineRule="atLeast" w:line="300"/>
              <w:jc w:val="start"/>
              <w:bidi w:val="1"/>
            </w:pPr>
            <w:r>
              <w:rPr>
                <w:rFonts w:ascii="Noto Naskh Arabic" w:hAnsi="Noto Naskh Arabic" w:cs="Noto Naskh Arabic" w:eastAsia="Noto Naskh Arabic"/>
                <w:b w:val="0"/>
                <w:color w:val="21313F"/>
                <w:sz w:val="22"/>
                <w:szCs w:val="22"/>
                <w:lang w:val="ur-PK" w:bidi="ur-PK"/>
                <w:rtl w:val="1"/>
              </w:rPr>
              <w:t>یہ پہلے سے شمار شدہ مقامات کی تلاش کا اشاریہ ہے، اضافی عمومی مطالعے کی فہرست یا انہی شواہد کی دوسری گنتی نہیں۔ اصل مقام اور ربط متعلقہ اندراج میں ہے۔</w:t>
            </w:r>
          </w:p>
        </w:tc>
      </w:tr>
    </w:tbl>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Al-Tabari — Jami al-bayan</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طبری — جامع البیان</w:t>
            </w:r>
          </w:p>
        </w:tc>
      </w:tr>
      <w:tr>
        <w:trPr>
          <w:cantSplit/>
        </w:trPr>
        <w:tc>
          <w:tcPr>
            <w:tcW w:type="dxa" w:w="5148"/>
            <w:vAlign w:val="top"/>
          </w:tcPr>
          <w:p>
            <w:pPr>
              <w:keepNext w:val="0"/>
              <w:widowControl/>
              <w:spacing w:after="0" w:before="0" w:lineRule="atLeast" w:line="250"/>
              <w:jc w:val="start"/>
              <w:bidi w:val="0"/>
            </w:pPr>
            <w:hyperlink w:anchor="ref_023">
              <w:r>
                <w:rPr>
                  <w:color w:val="245C7C"/>
                  <w:u w:val="single"/>
                  <w:rFonts w:ascii="Calibri" w:hAnsi="Calibri" w:cs="Calibri"/>
                  <w:sz w:val="18"/>
                  <w:szCs w:val="18"/>
                </w:rPr>
                <w:t>Reference 023</w:t>
              </w:r>
            </w:hyperlink>
            <w:r>
              <w:rPr>
                <w:rFonts w:ascii="Calibri" w:hAnsi="Calibri" w:cs="Calibri" w:eastAsia="Calibri"/>
                <w:b w:val="0"/>
                <w:color w:val="21313F"/>
                <w:sz w:val="19"/>
                <w:szCs w:val="19"/>
                <w:lang w:val="en-GB" w:bidi="ar-SA"/>
              </w:rPr>
              <w:t xml:space="preserve"> — Fitrah as a religious orientation</w:t>
            </w:r>
          </w:p>
        </w:tc>
        <w:tc>
          <w:tcPr>
            <w:tcW w:type="dxa" w:w="5148"/>
            <w:vAlign w:val="top"/>
          </w:tcPr>
          <w:p>
            <w:pPr>
              <w:keepNext w:val="0"/>
              <w:widowControl/>
              <w:spacing w:after="0" w:before="0" w:lineRule="atLeast" w:line="300"/>
              <w:jc w:val="start"/>
              <w:bidi w:val="1"/>
            </w:pPr>
            <w:hyperlink w:anchor="ref_023">
              <w:r>
                <w:rPr>
                  <w:color w:val="245C7C"/>
                  <w:u w:val="single"/>
                  <w:rFonts w:ascii="Noto Naskh Arabic" w:hAnsi="Noto Naskh Arabic" w:cs="Noto Naskh Arabic"/>
                  <w:sz w:val="21"/>
                  <w:szCs w:val="21"/>
                  <w:rtl/>
                </w:rPr>
                <w:t>حوالہ 023</w:t>
              </w:r>
            </w:hyperlink>
            <w:r>
              <w:rPr>
                <w:rFonts w:ascii="Noto Naskh Arabic" w:hAnsi="Noto Naskh Arabic" w:cs="Noto Naskh Arabic" w:eastAsia="Noto Naskh Arabic"/>
                <w:b w:val="0"/>
                <w:color w:val="21313F"/>
                <w:sz w:val="21"/>
                <w:szCs w:val="21"/>
                <w:lang w:val="ur-PK" w:bidi="ur-PK"/>
                <w:rtl w:val="1"/>
              </w:rPr>
              <w:t xml:space="preserve"> — فطرت بطور دینی استعداد</w:t>
            </w:r>
          </w:p>
        </w:tc>
      </w:tr>
      <w:tr>
        <w:trPr>
          <w:cantSplit/>
        </w:trPr>
        <w:tc>
          <w:tcPr>
            <w:tcW w:type="dxa" w:w="5148"/>
            <w:vAlign w:val="top"/>
          </w:tcPr>
          <w:p>
            <w:pPr>
              <w:keepNext w:val="0"/>
              <w:widowControl/>
              <w:spacing w:after="0" w:before="0" w:lineRule="atLeast" w:line="250"/>
              <w:jc w:val="start"/>
              <w:bidi w:val="0"/>
            </w:pPr>
            <w:hyperlink w:anchor="ref_033">
              <w:r>
                <w:rPr>
                  <w:color w:val="245C7C"/>
                  <w:u w:val="single"/>
                  <w:rFonts w:ascii="Calibri" w:hAnsi="Calibri" w:cs="Calibri"/>
                  <w:sz w:val="18"/>
                  <w:szCs w:val="18"/>
                </w:rPr>
                <w:t>Reference 033</w:t>
              </w:r>
            </w:hyperlink>
            <w:r>
              <w:rPr>
                <w:rFonts w:ascii="Calibri" w:hAnsi="Calibri" w:cs="Calibri" w:eastAsia="Calibri"/>
                <w:b w:val="0"/>
                <w:color w:val="21313F"/>
                <w:sz w:val="19"/>
                <w:szCs w:val="19"/>
                <w:lang w:val="en-GB" w:bidi="ar-SA"/>
              </w:rPr>
              <w:t xml:space="preserve"> — Din as judgement and recompense</w:t>
            </w:r>
          </w:p>
        </w:tc>
        <w:tc>
          <w:tcPr>
            <w:tcW w:type="dxa" w:w="5148"/>
            <w:vAlign w:val="top"/>
          </w:tcPr>
          <w:p>
            <w:pPr>
              <w:keepNext w:val="0"/>
              <w:widowControl/>
              <w:spacing w:after="0" w:before="0" w:lineRule="atLeast" w:line="300"/>
              <w:jc w:val="start"/>
              <w:bidi w:val="1"/>
            </w:pPr>
            <w:hyperlink w:anchor="ref_033">
              <w:r>
                <w:rPr>
                  <w:color w:val="245C7C"/>
                  <w:u w:val="single"/>
                  <w:rFonts w:ascii="Noto Naskh Arabic" w:hAnsi="Noto Naskh Arabic" w:cs="Noto Naskh Arabic"/>
                  <w:sz w:val="21"/>
                  <w:szCs w:val="21"/>
                  <w:rtl/>
                </w:rPr>
                <w:t>حوالہ 033</w:t>
              </w:r>
            </w:hyperlink>
            <w:r>
              <w:rPr>
                <w:rFonts w:ascii="Noto Naskh Arabic" w:hAnsi="Noto Naskh Arabic" w:cs="Noto Naskh Arabic" w:eastAsia="Noto Naskh Arabic"/>
                <w:b w:val="0"/>
                <w:color w:val="21313F"/>
                <w:sz w:val="21"/>
                <w:szCs w:val="21"/>
                <w:lang w:val="ur-PK" w:bidi="ur-PK"/>
                <w:rtl w:val="1"/>
              </w:rPr>
              <w:t xml:space="preserve"> — دین بمعنی حساب اور جزا</w:t>
            </w:r>
          </w:p>
        </w:tc>
      </w:tr>
      <w:tr>
        <w:trPr>
          <w:cantSplit/>
        </w:trPr>
        <w:tc>
          <w:tcPr>
            <w:tcW w:type="dxa" w:w="5148"/>
            <w:vAlign w:val="top"/>
          </w:tcPr>
          <w:p>
            <w:pPr>
              <w:keepNext w:val="0"/>
              <w:widowControl/>
              <w:spacing w:after="0" w:before="0" w:lineRule="atLeast" w:line="250"/>
              <w:jc w:val="start"/>
              <w:bidi w:val="0"/>
            </w:pPr>
            <w:hyperlink w:anchor="ref_034">
              <w:r>
                <w:rPr>
                  <w:color w:val="245C7C"/>
                  <w:u w:val="single"/>
                  <w:rFonts w:ascii="Calibri" w:hAnsi="Calibri" w:cs="Calibri"/>
                  <w:sz w:val="18"/>
                  <w:szCs w:val="18"/>
                </w:rPr>
                <w:t>Reference 034</w:t>
              </w:r>
            </w:hyperlink>
            <w:r>
              <w:rPr>
                <w:rFonts w:ascii="Calibri" w:hAnsi="Calibri" w:cs="Calibri" w:eastAsia="Calibri"/>
                <w:b w:val="0"/>
                <w:color w:val="21313F"/>
                <w:sz w:val="19"/>
                <w:szCs w:val="19"/>
                <w:lang w:val="en-GB" w:bidi="ar-SA"/>
              </w:rPr>
              <w:t xml:space="preserve"> — Din as the king’s rule and judgement</w:t>
            </w:r>
          </w:p>
        </w:tc>
        <w:tc>
          <w:tcPr>
            <w:tcW w:type="dxa" w:w="5148"/>
            <w:vAlign w:val="top"/>
          </w:tcPr>
          <w:p>
            <w:pPr>
              <w:keepNext w:val="0"/>
              <w:widowControl/>
              <w:spacing w:after="0" w:before="0" w:lineRule="atLeast" w:line="300"/>
              <w:jc w:val="start"/>
              <w:bidi w:val="1"/>
            </w:pPr>
            <w:hyperlink w:anchor="ref_034">
              <w:r>
                <w:rPr>
                  <w:color w:val="245C7C"/>
                  <w:u w:val="single"/>
                  <w:rFonts w:ascii="Noto Naskh Arabic" w:hAnsi="Noto Naskh Arabic" w:cs="Noto Naskh Arabic"/>
                  <w:sz w:val="21"/>
                  <w:szCs w:val="21"/>
                  <w:rtl/>
                </w:rPr>
                <w:t>حوالہ 034</w:t>
              </w:r>
            </w:hyperlink>
            <w:r>
              <w:rPr>
                <w:rFonts w:ascii="Noto Naskh Arabic" w:hAnsi="Noto Naskh Arabic" w:cs="Noto Naskh Arabic" w:eastAsia="Noto Naskh Arabic"/>
                <w:b w:val="0"/>
                <w:color w:val="21313F"/>
                <w:sz w:val="21"/>
                <w:szCs w:val="21"/>
                <w:lang w:val="ur-PK" w:bidi="ur-PK"/>
                <w:rtl w:val="1"/>
              </w:rPr>
              <w:t xml:space="preserve"> — دین بمعنی بادشاہ کا قانون اور فیصلہ</w:t>
            </w:r>
          </w:p>
        </w:tc>
      </w:tr>
      <w:tr>
        <w:trPr>
          <w:cantSplit/>
        </w:trPr>
        <w:tc>
          <w:tcPr>
            <w:tcW w:type="dxa" w:w="5148"/>
            <w:vAlign w:val="top"/>
          </w:tcPr>
          <w:p>
            <w:pPr>
              <w:keepNext w:val="0"/>
              <w:widowControl/>
              <w:spacing w:after="0" w:before="0" w:lineRule="atLeast" w:line="250"/>
              <w:jc w:val="start"/>
              <w:bidi w:val="0"/>
            </w:pPr>
            <w:hyperlink w:anchor="ref_054">
              <w:r>
                <w:rPr>
                  <w:color w:val="245C7C"/>
                  <w:u w:val="single"/>
                  <w:rFonts w:ascii="Calibri" w:hAnsi="Calibri" w:cs="Calibri"/>
                  <w:sz w:val="18"/>
                  <w:szCs w:val="18"/>
                </w:rPr>
                <w:t>Reference 054</w:t>
              </w:r>
            </w:hyperlink>
            <w:r>
              <w:rPr>
                <w:rFonts w:ascii="Calibri" w:hAnsi="Calibri" w:cs="Calibri" w:eastAsia="Calibri"/>
                <w:b w:val="0"/>
                <w:color w:val="21313F"/>
                <w:sz w:val="19"/>
                <w:szCs w:val="19"/>
                <w:lang w:val="en-GB" w:bidi="ar-SA"/>
              </w:rPr>
              <w:t xml:space="preserve"> — Consultation, reconciliation and a Prophetic example</w:t>
            </w:r>
          </w:p>
        </w:tc>
        <w:tc>
          <w:tcPr>
            <w:tcW w:type="dxa" w:w="5148"/>
            <w:vAlign w:val="top"/>
          </w:tcPr>
          <w:p>
            <w:pPr>
              <w:keepNext w:val="0"/>
              <w:widowControl/>
              <w:spacing w:after="0" w:before="0" w:lineRule="atLeast" w:line="300"/>
              <w:jc w:val="start"/>
              <w:bidi w:val="1"/>
            </w:pPr>
            <w:hyperlink w:anchor="ref_054">
              <w:r>
                <w:rPr>
                  <w:color w:val="245C7C"/>
                  <w:u w:val="single"/>
                  <w:rFonts w:ascii="Noto Naskh Arabic" w:hAnsi="Noto Naskh Arabic" w:cs="Noto Naskh Arabic"/>
                  <w:sz w:val="21"/>
                  <w:szCs w:val="21"/>
                  <w:rtl/>
                </w:rPr>
                <w:t>حوالہ 054</w:t>
              </w:r>
            </w:hyperlink>
            <w:r>
              <w:rPr>
                <w:rFonts w:ascii="Noto Naskh Arabic" w:hAnsi="Noto Naskh Arabic" w:cs="Noto Naskh Arabic" w:eastAsia="Noto Naskh Arabic"/>
                <w:b w:val="0"/>
                <w:color w:val="21313F"/>
                <w:sz w:val="21"/>
                <w:szCs w:val="21"/>
                <w:lang w:val="ur-PK" w:bidi="ur-PK"/>
                <w:rtl w:val="1"/>
              </w:rPr>
              <w:t xml:space="preserve"> — مشاورت، تالیفِ قلب اور نبوی نمونہ</w:t>
            </w:r>
          </w:p>
        </w:tc>
      </w:tr>
      <w:tr>
        <w:trPr>
          <w:cantSplit/>
        </w:trPr>
        <w:tc>
          <w:tcPr>
            <w:tcW w:type="dxa" w:w="5148"/>
            <w:vAlign w:val="top"/>
          </w:tcPr>
          <w:p>
            <w:pPr>
              <w:keepNext w:val="0"/>
              <w:widowControl w:val="1"/>
              <w:bidi w:val="0"/>
              <w:jc w:val="start"/>
              <w:spacing w:before="0" w:after="20" w:line="250" w:lineRule="atLeast"/>
            </w:pPr>
            <w:hyperlink w:anchor="ref_158">
              <w:r>
                <w:rPr>
                  <w:rFonts w:ascii="Calibri" w:hAnsi="Calibri" w:cs="Calibri" w:eastAsia="Calibri"/>
                  <w:sz w:val="18"/>
                  <w:szCs w:val="18"/>
                  <w:b w:val="0"/>
                  <w:bCs w:val="0"/>
                  <w:color w:val="244B62"/>
                  <w:lang w:val="en-GB" w:bidi="en-GB"/>
                  <w:rtl w:val="0"/>
                  <w:u w:val="single"/>
                </w:rPr>
                <w:t>Reference 158</w:t>
              </w:r>
            </w:hyperlink>
            <w:r>
              <w:rPr>
                <w:rFonts w:ascii="Calibri" w:hAnsi="Calibri" w:cs="Calibri" w:eastAsia="Calibri"/>
                <w:sz w:val="18"/>
                <w:szCs w:val="18"/>
                <w:b w:val="0"/>
                <w:bCs w:val="0"/>
                <w:color w:val="21313F"/>
                <w:lang w:val="en-GB" w:bidi="en-GB"/>
                <w:rtl w:val="0"/>
              </w:rPr>
              <w:t xml:space="preserve"> — Comprehensive submission: lexical alternatives and interpretation</w:t>
            </w:r>
          </w:p>
        </w:tc>
        <w:tc>
          <w:tcPr>
            <w:tcW w:type="dxa" w:w="5148"/>
            <w:vAlign w:val="top"/>
          </w:tcPr>
          <w:p>
            <w:pPr>
              <w:keepNext w:val="0"/>
              <w:widowControl w:val="1"/>
              <w:bidi w:val="1"/>
              <w:jc w:val="start"/>
              <w:spacing w:before="0" w:after="20" w:line="300" w:lineRule="atLeast"/>
            </w:pPr>
            <w:hyperlink w:anchor="ref_158">
              <w:r>
                <w:rPr>
                  <w:rFonts w:ascii="Noto Naskh Arabic" w:hAnsi="Noto Naskh Arabic" w:cs="Noto Naskh Arabic" w:eastAsia="Noto Naskh Arabic"/>
                  <w:sz w:val="20"/>
                  <w:szCs w:val="20"/>
                  <w:b w:val="0"/>
                  <w:bCs w:val="0"/>
                  <w:color w:val="244B62"/>
                  <w:lang w:val="ur-PK" w:bidi="ur-PK"/>
                  <w:rtl w:val="1"/>
                  <w:u w:val="single"/>
                </w:rPr>
                <w:t>حوالہ 158</w:t>
              </w:r>
            </w:hyperlink>
            <w:r>
              <w:rPr>
                <w:rFonts w:ascii="Noto Naskh Arabic" w:hAnsi="Noto Naskh Arabic" w:cs="Noto Naskh Arabic" w:eastAsia="Noto Naskh Arabic"/>
                <w:sz w:val="20"/>
                <w:szCs w:val="20"/>
                <w:b w:val="0"/>
                <w:bCs w:val="0"/>
                <w:color w:val="21313F"/>
                <w:lang w:val="ur-PK" w:bidi="ur-PK"/>
                <w:rtl w:val="1"/>
              </w:rPr>
              <w:t xml:space="preserve"> — جامع اطاعت: لفظی احتمالات اور تفسیری ترجیح</w:t>
            </w:r>
          </w:p>
        </w:tc>
      </w:tr>
      <w:tr>
        <w:trPr>
          <w:cantSplit/>
        </w:trPr>
        <w:tc>
          <w:tcPr>
            <w:tcW w:type="dxa" w:w="5148"/>
            <w:vAlign w:val="top"/>
          </w:tcPr>
          <w:p>
            <w:pPr>
              <w:keepNext w:val="0"/>
              <w:widowControl w:val="1"/>
              <w:bidi w:val="0"/>
              <w:jc w:val="start"/>
              <w:spacing w:before="0" w:after="20" w:line="250" w:lineRule="atLeast"/>
            </w:pPr>
            <w:hyperlink w:anchor="ref_161">
              <w:r>
                <w:rPr>
                  <w:rFonts w:ascii="Calibri" w:hAnsi="Calibri" w:cs="Calibri" w:eastAsia="Calibri"/>
                  <w:sz w:val="18"/>
                  <w:szCs w:val="18"/>
                  <w:b w:val="0"/>
                  <w:bCs w:val="0"/>
                  <w:color w:val="244B62"/>
                  <w:lang w:val="en-GB" w:bidi="en-GB"/>
                  <w:rtl w:val="0"/>
                  <w:u w:val="single"/>
                </w:rPr>
                <w:t>Reference 161</w:t>
              </w:r>
            </w:hyperlink>
            <w:r>
              <w:rPr>
                <w:rFonts w:ascii="Calibri" w:hAnsi="Calibri" w:cs="Calibri" w:eastAsia="Calibri"/>
                <w:sz w:val="18"/>
                <w:szCs w:val="18"/>
                <w:b w:val="0"/>
                <w:bCs w:val="0"/>
                <w:color w:val="21313F"/>
                <w:lang w:val="en-GB" w:bidi="en-GB"/>
                <w:rtl w:val="0"/>
              </w:rPr>
              <w:t xml:space="preserve"> — Din in Joseph’s address to his fellow prisoners</w:t>
            </w:r>
          </w:p>
        </w:tc>
        <w:tc>
          <w:tcPr>
            <w:tcW w:type="dxa" w:w="5148"/>
            <w:vAlign w:val="top"/>
          </w:tcPr>
          <w:p>
            <w:pPr>
              <w:keepNext w:val="0"/>
              <w:widowControl w:val="1"/>
              <w:bidi w:val="1"/>
              <w:jc w:val="start"/>
              <w:spacing w:before="0" w:after="20" w:line="300" w:lineRule="atLeast"/>
            </w:pPr>
            <w:hyperlink w:anchor="ref_161">
              <w:r>
                <w:rPr>
                  <w:rFonts w:ascii="Noto Naskh Arabic" w:hAnsi="Noto Naskh Arabic" w:cs="Noto Naskh Arabic" w:eastAsia="Noto Naskh Arabic"/>
                  <w:sz w:val="20"/>
                  <w:szCs w:val="20"/>
                  <w:b w:val="0"/>
                  <w:bCs w:val="0"/>
                  <w:color w:val="244B62"/>
                  <w:lang w:val="ur-PK" w:bidi="ur-PK"/>
                  <w:rtl w:val="1"/>
                  <w:u w:val="single"/>
                </w:rPr>
                <w:t>حوالہ 161</w:t>
              </w:r>
            </w:hyperlink>
            <w:r>
              <w:rPr>
                <w:rFonts w:ascii="Noto Naskh Arabic" w:hAnsi="Noto Naskh Arabic" w:cs="Noto Naskh Arabic" w:eastAsia="Noto Naskh Arabic"/>
                <w:sz w:val="20"/>
                <w:szCs w:val="20"/>
                <w:b w:val="0"/>
                <w:bCs w:val="0"/>
                <w:color w:val="21313F"/>
                <w:lang w:val="ur-PK" w:bidi="ur-PK"/>
                <w:rtl w:val="1"/>
              </w:rPr>
              <w:t xml:space="preserve"> — یوسف کے ہم قید ساتھیوں سے خطاب میں دین</w:t>
            </w:r>
          </w:p>
        </w:tc>
      </w:tr>
      <w:tr>
        <w:trPr>
          <w:cantSplit/>
        </w:trPr>
        <w:tc>
          <w:tcPr>
            <w:tcW w:type="dxa" w:w="5148"/>
            <w:vAlign w:val="top"/>
          </w:tcPr>
          <w:p>
            <w:pPr>
              <w:keepNext w:val="0"/>
              <w:widowControl w:val="1"/>
              <w:bidi w:val="0"/>
              <w:jc w:val="start"/>
              <w:spacing w:before="0" w:after="20" w:line="250" w:lineRule="atLeast"/>
            </w:pPr>
            <w:hyperlink w:anchor="ref_191">
              <w:r>
                <w:rPr>
                  <w:rFonts w:ascii="Calibri" w:hAnsi="Calibri" w:cs="Calibri" w:eastAsia="Calibri"/>
                  <w:sz w:val="18"/>
                  <w:szCs w:val="18"/>
                  <w:b w:val="0"/>
                  <w:bCs w:val="0"/>
                  <w:color w:val="244B62"/>
                  <w:lang w:val="en-GB" w:bidi="en-GB"/>
                  <w:rtl w:val="0"/>
                  <w:u w:val="single"/>
                </w:rPr>
                <w:t>Reference 191</w:t>
              </w:r>
            </w:hyperlink>
            <w:r>
              <w:rPr>
                <w:rFonts w:ascii="Calibri" w:hAnsi="Calibri" w:cs="Calibri" w:eastAsia="Calibri"/>
                <w:sz w:val="18"/>
                <w:szCs w:val="18"/>
                <w:b w:val="0"/>
                <w:bCs w:val="0"/>
                <w:color w:val="21313F"/>
                <w:lang w:val="en-GB" w:bidi="en-GB"/>
                <w:rtl w:val="0"/>
              </w:rPr>
              <w:t xml:space="preserve"> — Watchfulness over speech</w:t>
            </w:r>
          </w:p>
        </w:tc>
        <w:tc>
          <w:tcPr>
            <w:tcW w:type="dxa" w:w="5148"/>
            <w:vAlign w:val="top"/>
          </w:tcPr>
          <w:p>
            <w:pPr>
              <w:keepNext w:val="0"/>
              <w:widowControl w:val="1"/>
              <w:bidi w:val="1"/>
              <w:jc w:val="start"/>
              <w:spacing w:before="0" w:after="20" w:line="300" w:lineRule="atLeast"/>
            </w:pPr>
            <w:hyperlink w:anchor="ref_191">
              <w:r>
                <w:rPr>
                  <w:rFonts w:ascii="Noto Naskh Arabic" w:hAnsi="Noto Naskh Arabic" w:cs="Noto Naskh Arabic" w:eastAsia="Noto Naskh Arabic"/>
                  <w:sz w:val="20"/>
                  <w:szCs w:val="20"/>
                  <w:b w:val="0"/>
                  <w:bCs w:val="0"/>
                  <w:color w:val="244B62"/>
                  <w:lang w:val="ur-PK" w:bidi="ur-PK"/>
                  <w:rtl w:val="1"/>
                  <w:u w:val="single"/>
                </w:rPr>
                <w:t>حوالہ 191</w:t>
              </w:r>
            </w:hyperlink>
            <w:r>
              <w:rPr>
                <w:rFonts w:ascii="Noto Naskh Arabic" w:hAnsi="Noto Naskh Arabic" w:cs="Noto Naskh Arabic" w:eastAsia="Noto Naskh Arabic"/>
                <w:sz w:val="20"/>
                <w:szCs w:val="20"/>
                <w:b w:val="0"/>
                <w:bCs w:val="0"/>
                <w:color w:val="21313F"/>
                <w:lang w:val="ur-PK" w:bidi="ur-PK"/>
                <w:rtl w:val="1"/>
              </w:rPr>
              <w:t xml:space="preserve"> — گفتگو پر نگرانی</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Ibn Kathir — Tafsir al-Quran al-Azim</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ابن کثیر — تفسیر القرآن العظیم</w:t>
            </w:r>
          </w:p>
        </w:tc>
      </w:tr>
      <w:tr>
        <w:trPr>
          <w:cantSplit/>
        </w:trPr>
        <w:tc>
          <w:tcPr>
            <w:tcW w:type="dxa" w:w="5148"/>
            <w:vAlign w:val="top"/>
          </w:tcPr>
          <w:p>
            <w:pPr>
              <w:keepNext w:val="0"/>
              <w:widowControl/>
              <w:spacing w:after="0" w:before="0" w:lineRule="atLeast" w:line="250"/>
              <w:jc w:val="start"/>
              <w:bidi w:val="0"/>
            </w:pPr>
            <w:hyperlink w:anchor="ref_010">
              <w:r>
                <w:rPr>
                  <w:color w:val="245C7C"/>
                  <w:u w:val="single"/>
                  <w:rFonts w:ascii="Calibri" w:hAnsi="Calibri" w:cs="Calibri"/>
                  <w:sz w:val="18"/>
                  <w:szCs w:val="18"/>
                </w:rPr>
                <w:t>Reference 010</w:t>
              </w:r>
            </w:hyperlink>
            <w:r>
              <w:rPr>
                <w:rFonts w:ascii="Calibri" w:hAnsi="Calibri" w:cs="Calibri" w:eastAsia="Calibri"/>
                <w:b w:val="0"/>
                <w:color w:val="21313F"/>
                <w:sz w:val="19"/>
                <w:szCs w:val="19"/>
                <w:lang w:val="en-GB" w:bidi="ar-SA"/>
              </w:rPr>
              <w:t xml:space="preserve"> — Islam and iman in a particular Quranic context</w:t>
            </w:r>
          </w:p>
        </w:tc>
        <w:tc>
          <w:tcPr>
            <w:tcW w:type="dxa" w:w="5148"/>
            <w:vAlign w:val="top"/>
          </w:tcPr>
          <w:p>
            <w:pPr>
              <w:keepNext w:val="0"/>
              <w:widowControl/>
              <w:spacing w:after="0" w:before="0" w:lineRule="atLeast" w:line="300"/>
              <w:jc w:val="start"/>
              <w:bidi w:val="1"/>
            </w:pPr>
            <w:hyperlink w:anchor="ref_010">
              <w:r>
                <w:rPr>
                  <w:color w:val="245C7C"/>
                  <w:u w:val="single"/>
                  <w:rFonts w:ascii="Noto Naskh Arabic" w:hAnsi="Noto Naskh Arabic" w:cs="Noto Naskh Arabic"/>
                  <w:sz w:val="21"/>
                  <w:szCs w:val="21"/>
                  <w:rtl/>
                </w:rPr>
                <w:t>حوالہ 010</w:t>
              </w:r>
            </w:hyperlink>
            <w:r>
              <w:rPr>
                <w:rFonts w:ascii="Noto Naskh Arabic" w:hAnsi="Noto Naskh Arabic" w:cs="Noto Naskh Arabic" w:eastAsia="Noto Naskh Arabic"/>
                <w:b w:val="0"/>
                <w:color w:val="21313F"/>
                <w:sz w:val="21"/>
                <w:szCs w:val="21"/>
                <w:lang w:val="ur-PK" w:bidi="ur-PK"/>
                <w:rtl w:val="1"/>
              </w:rPr>
              <w:t xml:space="preserve"> — ایک قرآنی سیاق میں اسلام اور ایمان</w:t>
            </w:r>
          </w:p>
        </w:tc>
      </w:tr>
      <w:tr>
        <w:trPr>
          <w:cantSplit/>
        </w:trPr>
        <w:tc>
          <w:tcPr>
            <w:tcW w:type="dxa" w:w="5148"/>
            <w:vAlign w:val="top"/>
          </w:tcPr>
          <w:p>
            <w:pPr>
              <w:keepNext w:val="0"/>
              <w:widowControl/>
              <w:spacing w:after="0" w:before="0" w:lineRule="atLeast" w:line="250"/>
              <w:jc w:val="start"/>
              <w:bidi w:val="0"/>
            </w:pPr>
            <w:hyperlink w:anchor="ref_024">
              <w:r>
                <w:rPr>
                  <w:color w:val="245C7C"/>
                  <w:u w:val="single"/>
                  <w:rFonts w:ascii="Calibri" w:hAnsi="Calibri" w:cs="Calibri"/>
                  <w:sz w:val="18"/>
                  <w:szCs w:val="18"/>
                </w:rPr>
                <w:t>Reference 024</w:t>
              </w:r>
            </w:hyperlink>
            <w:r>
              <w:rPr>
                <w:rFonts w:ascii="Calibri" w:hAnsi="Calibri" w:cs="Calibri" w:eastAsia="Calibri"/>
                <w:b w:val="0"/>
                <w:color w:val="21313F"/>
                <w:sz w:val="19"/>
                <w:szCs w:val="19"/>
                <w:lang w:val="en-GB" w:bidi="ar-SA"/>
              </w:rPr>
              <w:t xml:space="preserve"> — A good life is not reducible to wealth</w:t>
            </w:r>
          </w:p>
        </w:tc>
        <w:tc>
          <w:tcPr>
            <w:tcW w:type="dxa" w:w="5148"/>
            <w:vAlign w:val="top"/>
          </w:tcPr>
          <w:p>
            <w:pPr>
              <w:keepNext w:val="0"/>
              <w:widowControl/>
              <w:spacing w:after="0" w:before="0" w:lineRule="atLeast" w:line="300"/>
              <w:jc w:val="start"/>
              <w:bidi w:val="1"/>
            </w:pPr>
            <w:hyperlink w:anchor="ref_024">
              <w:r>
                <w:rPr>
                  <w:color w:val="245C7C"/>
                  <w:u w:val="single"/>
                  <w:rFonts w:ascii="Noto Naskh Arabic" w:hAnsi="Noto Naskh Arabic" w:cs="Noto Naskh Arabic"/>
                  <w:sz w:val="21"/>
                  <w:szCs w:val="21"/>
                  <w:rtl/>
                </w:rPr>
                <w:t>حوالہ 024</w:t>
              </w:r>
            </w:hyperlink>
            <w:r>
              <w:rPr>
                <w:rFonts w:ascii="Noto Naskh Arabic" w:hAnsi="Noto Naskh Arabic" w:cs="Noto Naskh Arabic" w:eastAsia="Noto Naskh Arabic"/>
                <w:b w:val="0"/>
                <w:color w:val="21313F"/>
                <w:sz w:val="21"/>
                <w:szCs w:val="21"/>
                <w:lang w:val="ur-PK" w:bidi="ur-PK"/>
                <w:rtl w:val="1"/>
              </w:rPr>
              <w:t xml:space="preserve"> — پاکیزہ زندگی صرف دولت کا نام نہیں</w:t>
            </w:r>
          </w:p>
        </w:tc>
      </w:tr>
      <w:tr>
        <w:trPr>
          <w:cantSplit/>
        </w:trPr>
        <w:tc>
          <w:tcPr>
            <w:tcW w:type="dxa" w:w="5148"/>
            <w:vAlign w:val="top"/>
          </w:tcPr>
          <w:p>
            <w:pPr>
              <w:keepNext w:val="0"/>
              <w:widowControl/>
              <w:spacing w:after="0" w:before="0" w:lineRule="atLeast" w:line="250"/>
              <w:jc w:val="start"/>
              <w:bidi w:val="0"/>
            </w:pPr>
            <w:hyperlink w:anchor="ref_025">
              <w:r>
                <w:rPr>
                  <w:color w:val="245C7C"/>
                  <w:u w:val="single"/>
                  <w:rFonts w:ascii="Calibri" w:hAnsi="Calibri" w:cs="Calibri"/>
                  <w:sz w:val="18"/>
                  <w:szCs w:val="18"/>
                </w:rPr>
                <w:t>Reference 025</w:t>
              </w:r>
            </w:hyperlink>
            <w:r>
              <w:rPr>
                <w:rFonts w:ascii="Calibri" w:hAnsi="Calibri" w:cs="Calibri" w:eastAsia="Calibri"/>
                <w:b w:val="0"/>
                <w:color w:val="21313F"/>
                <w:sz w:val="19"/>
                <w:szCs w:val="19"/>
                <w:lang w:val="en-GB" w:bidi="ar-SA"/>
              </w:rPr>
              <w:t xml:space="preserve"> — Worship is a human duty, not a divine need</w:t>
            </w:r>
          </w:p>
        </w:tc>
        <w:tc>
          <w:tcPr>
            <w:tcW w:type="dxa" w:w="5148"/>
            <w:vAlign w:val="top"/>
          </w:tcPr>
          <w:p>
            <w:pPr>
              <w:keepNext w:val="0"/>
              <w:widowControl/>
              <w:spacing w:after="0" w:before="0" w:lineRule="atLeast" w:line="300"/>
              <w:jc w:val="start"/>
              <w:bidi w:val="1"/>
            </w:pPr>
            <w:hyperlink w:anchor="ref_025">
              <w:r>
                <w:rPr>
                  <w:color w:val="245C7C"/>
                  <w:u w:val="single"/>
                  <w:rFonts w:ascii="Noto Naskh Arabic" w:hAnsi="Noto Naskh Arabic" w:cs="Noto Naskh Arabic"/>
                  <w:sz w:val="21"/>
                  <w:szCs w:val="21"/>
                  <w:rtl/>
                </w:rPr>
                <w:t>حوالہ 025</w:t>
              </w:r>
            </w:hyperlink>
            <w:r>
              <w:rPr>
                <w:rFonts w:ascii="Noto Naskh Arabic" w:hAnsi="Noto Naskh Arabic" w:cs="Noto Naskh Arabic" w:eastAsia="Noto Naskh Arabic"/>
                <w:b w:val="0"/>
                <w:color w:val="21313F"/>
                <w:sz w:val="21"/>
                <w:szCs w:val="21"/>
                <w:lang w:val="ur-PK" w:bidi="ur-PK"/>
                <w:rtl w:val="1"/>
              </w:rPr>
              <w:t xml:space="preserve"> — عبادت انسانی ذمہ داری ہے، الٰہی احتیاج نہیں</w:t>
            </w:r>
          </w:p>
        </w:tc>
      </w:tr>
      <w:tr>
        <w:trPr>
          <w:cantSplit/>
        </w:trPr>
        <w:tc>
          <w:tcPr>
            <w:tcW w:type="dxa" w:w="5148"/>
            <w:vAlign w:val="top"/>
          </w:tcPr>
          <w:p>
            <w:pPr>
              <w:keepNext w:val="0"/>
              <w:widowControl/>
              <w:spacing w:after="0" w:before="0" w:lineRule="atLeast" w:line="250"/>
              <w:jc w:val="start"/>
              <w:bidi w:val="0"/>
            </w:pPr>
            <w:hyperlink w:anchor="ref_052">
              <w:r>
                <w:rPr>
                  <w:color w:val="245C7C"/>
                  <w:u w:val="single"/>
                  <w:rFonts w:ascii="Calibri" w:hAnsi="Calibri" w:cs="Calibri"/>
                  <w:sz w:val="18"/>
                  <w:szCs w:val="18"/>
                </w:rPr>
                <w:t>Reference 052</w:t>
              </w:r>
            </w:hyperlink>
            <w:r>
              <w:rPr>
                <w:rFonts w:ascii="Calibri" w:hAnsi="Calibri" w:cs="Calibri" w:eastAsia="Calibri"/>
                <w:b w:val="0"/>
                <w:color w:val="21313F"/>
                <w:sz w:val="19"/>
                <w:szCs w:val="19"/>
                <w:lang w:val="en-GB" w:bidi="ar-SA"/>
              </w:rPr>
              <w:t xml:space="preserve"> — Wasat: justice, excellence and testimony</w:t>
            </w:r>
          </w:p>
        </w:tc>
        <w:tc>
          <w:tcPr>
            <w:tcW w:type="dxa" w:w="5148"/>
            <w:vAlign w:val="top"/>
          </w:tcPr>
          <w:p>
            <w:pPr>
              <w:keepNext w:val="0"/>
              <w:widowControl/>
              <w:spacing w:after="0" w:before="0" w:lineRule="atLeast" w:line="300"/>
              <w:jc w:val="start"/>
              <w:bidi w:val="1"/>
            </w:pPr>
            <w:hyperlink w:anchor="ref_052">
              <w:r>
                <w:rPr>
                  <w:color w:val="245C7C"/>
                  <w:u w:val="single"/>
                  <w:rFonts w:ascii="Noto Naskh Arabic" w:hAnsi="Noto Naskh Arabic" w:cs="Noto Naskh Arabic"/>
                  <w:sz w:val="21"/>
                  <w:szCs w:val="21"/>
                  <w:rtl/>
                </w:rPr>
                <w:t>حوالہ 052</w:t>
              </w:r>
            </w:hyperlink>
            <w:r>
              <w:rPr>
                <w:rFonts w:ascii="Noto Naskh Arabic" w:hAnsi="Noto Naskh Arabic" w:cs="Noto Naskh Arabic" w:eastAsia="Noto Naskh Arabic"/>
                <w:b w:val="0"/>
                <w:color w:val="21313F"/>
                <w:sz w:val="21"/>
                <w:szCs w:val="21"/>
                <w:lang w:val="ur-PK" w:bidi="ur-PK"/>
                <w:rtl w:val="1"/>
              </w:rPr>
              <w:t xml:space="preserve"> — وسط: عدل، فضیلت اور شہادت</w:t>
            </w:r>
          </w:p>
        </w:tc>
      </w:tr>
      <w:tr>
        <w:trPr>
          <w:cantSplit/>
        </w:trPr>
        <w:tc>
          <w:tcPr>
            <w:tcW w:type="dxa" w:w="5148"/>
            <w:vAlign w:val="top"/>
          </w:tcPr>
          <w:p>
            <w:pPr>
              <w:keepNext w:val="0"/>
              <w:widowControl/>
              <w:spacing w:after="0" w:before="0" w:lineRule="atLeast" w:line="250"/>
              <w:jc w:val="start"/>
              <w:bidi w:val="0"/>
            </w:pPr>
            <w:hyperlink w:anchor="ref_053">
              <w:r>
                <w:rPr>
                  <w:color w:val="245C7C"/>
                  <w:u w:val="single"/>
                  <w:rFonts w:ascii="Calibri" w:hAnsi="Calibri" w:cs="Calibri"/>
                  <w:sz w:val="18"/>
                  <w:szCs w:val="18"/>
                </w:rPr>
                <w:t>Reference 053</w:t>
              </w:r>
            </w:hyperlink>
            <w:r>
              <w:rPr>
                <w:rFonts w:ascii="Calibri" w:hAnsi="Calibri" w:cs="Calibri" w:eastAsia="Calibri"/>
                <w:b w:val="0"/>
                <w:color w:val="21313F"/>
                <w:sz w:val="19"/>
                <w:szCs w:val="19"/>
                <w:lang w:val="en-GB" w:bidi="ar-SA"/>
              </w:rPr>
              <w:t xml:space="preserve"> — Hope is joined to repentance</w:t>
            </w:r>
          </w:p>
        </w:tc>
        <w:tc>
          <w:tcPr>
            <w:tcW w:type="dxa" w:w="5148"/>
            <w:vAlign w:val="top"/>
          </w:tcPr>
          <w:p>
            <w:pPr>
              <w:keepNext w:val="0"/>
              <w:widowControl/>
              <w:spacing w:after="0" w:before="0" w:lineRule="atLeast" w:line="300"/>
              <w:jc w:val="start"/>
              <w:bidi w:val="1"/>
            </w:pPr>
            <w:hyperlink w:anchor="ref_053">
              <w:r>
                <w:rPr>
                  <w:color w:val="245C7C"/>
                  <w:u w:val="single"/>
                  <w:rFonts w:ascii="Noto Naskh Arabic" w:hAnsi="Noto Naskh Arabic" w:cs="Noto Naskh Arabic"/>
                  <w:sz w:val="21"/>
                  <w:szCs w:val="21"/>
                  <w:rtl/>
                </w:rPr>
                <w:t>حوالہ 053</w:t>
              </w:r>
            </w:hyperlink>
            <w:r>
              <w:rPr>
                <w:rFonts w:ascii="Noto Naskh Arabic" w:hAnsi="Noto Naskh Arabic" w:cs="Noto Naskh Arabic" w:eastAsia="Noto Naskh Arabic"/>
                <w:b w:val="0"/>
                <w:color w:val="21313F"/>
                <w:sz w:val="21"/>
                <w:szCs w:val="21"/>
                <w:lang w:val="ur-PK" w:bidi="ur-PK"/>
                <w:rtl w:val="1"/>
              </w:rPr>
              <w:t xml:space="preserve"> — امید کا تعلق توبہ سے</w:t>
            </w:r>
          </w:p>
        </w:tc>
      </w:tr>
      <w:tr>
        <w:trPr>
          <w:cantSplit/>
        </w:trPr>
        <w:tc>
          <w:tcPr>
            <w:tcW w:type="dxa" w:w="5148"/>
            <w:vAlign w:val="top"/>
          </w:tcPr>
          <w:p>
            <w:pPr>
              <w:keepNext w:val="0"/>
              <w:widowControl/>
              <w:spacing w:after="0" w:before="0" w:lineRule="atLeast" w:line="250"/>
              <w:jc w:val="start"/>
              <w:bidi w:val="0"/>
            </w:pPr>
            <w:hyperlink w:anchor="ref_072">
              <w:r>
                <w:rPr>
                  <w:color w:val="245C7C"/>
                  <w:u w:val="single"/>
                  <w:rFonts w:ascii="Calibri" w:hAnsi="Calibri" w:cs="Calibri"/>
                  <w:sz w:val="18"/>
                  <w:szCs w:val="18"/>
                </w:rPr>
                <w:t>Reference 072</w:t>
              </w:r>
            </w:hyperlink>
            <w:r>
              <w:rPr>
                <w:rFonts w:ascii="Calibri" w:hAnsi="Calibri" w:cs="Calibri" w:eastAsia="Calibri"/>
                <w:b w:val="0"/>
                <w:color w:val="21313F"/>
                <w:sz w:val="19"/>
                <w:szCs w:val="19"/>
                <w:lang w:val="en-GB" w:bidi="ar-SA"/>
              </w:rPr>
              <w:t xml:space="preserve"> — Change, moral responsibility and report criticism</w:t>
            </w:r>
          </w:p>
        </w:tc>
        <w:tc>
          <w:tcPr>
            <w:tcW w:type="dxa" w:w="5148"/>
            <w:vAlign w:val="top"/>
          </w:tcPr>
          <w:p>
            <w:pPr>
              <w:keepNext w:val="0"/>
              <w:widowControl/>
              <w:spacing w:after="0" w:before="0" w:lineRule="atLeast" w:line="300"/>
              <w:jc w:val="start"/>
              <w:bidi w:val="1"/>
            </w:pPr>
            <w:hyperlink w:anchor="ref_072">
              <w:r>
                <w:rPr>
                  <w:color w:val="245C7C"/>
                  <w:u w:val="single"/>
                  <w:rFonts w:ascii="Noto Naskh Arabic" w:hAnsi="Noto Naskh Arabic" w:cs="Noto Naskh Arabic"/>
                  <w:sz w:val="21"/>
                  <w:szCs w:val="21"/>
                  <w:rtl/>
                </w:rPr>
                <w:t>حوالہ 072</w:t>
              </w:r>
            </w:hyperlink>
            <w:r>
              <w:rPr>
                <w:rFonts w:ascii="Noto Naskh Arabic" w:hAnsi="Noto Naskh Arabic" w:cs="Noto Naskh Arabic" w:eastAsia="Noto Naskh Arabic"/>
                <w:b w:val="0"/>
                <w:color w:val="21313F"/>
                <w:sz w:val="21"/>
                <w:szCs w:val="21"/>
                <w:lang w:val="ur-PK" w:bidi="ur-PK"/>
                <w:rtl w:val="1"/>
              </w:rPr>
              <w:t xml:space="preserve"> — تبدیلی، اخلاقی ذمہ داری اور نقدِ روایت</w:t>
            </w:r>
          </w:p>
        </w:tc>
      </w:tr>
      <w:tr>
        <w:trPr>
          <w:cantSplit/>
        </w:trPr>
        <w:tc>
          <w:tcPr>
            <w:tcW w:type="dxa" w:w="5148"/>
            <w:vAlign w:val="top"/>
          </w:tcPr>
          <w:p>
            <w:pPr>
              <w:keepNext w:val="0"/>
              <w:widowControl/>
              <w:spacing w:after="0" w:before="0" w:lineRule="atLeast" w:line="250"/>
              <w:jc w:val="start"/>
              <w:bidi w:val="0"/>
            </w:pPr>
            <w:hyperlink w:anchor="ref_083">
              <w:r>
                <w:rPr>
                  <w:color w:val="245C7C"/>
                  <w:u w:val="single"/>
                  <w:rFonts w:ascii="Calibri" w:hAnsi="Calibri" w:cs="Calibri"/>
                  <w:sz w:val="18"/>
                  <w:szCs w:val="18"/>
                </w:rPr>
                <w:t>Reference 083</w:t>
              </w:r>
            </w:hyperlink>
            <w:r>
              <w:rPr>
                <w:rFonts w:ascii="Calibri" w:hAnsi="Calibri" w:cs="Calibri" w:eastAsia="Calibri"/>
                <w:b w:val="0"/>
                <w:color w:val="21313F"/>
                <w:sz w:val="19"/>
                <w:szCs w:val="19"/>
                <w:lang w:val="en-GB" w:bidi="ar-SA"/>
              </w:rPr>
              <w:t xml:space="preserve"> — Righteousness integrates belief and conduct</w:t>
            </w:r>
          </w:p>
        </w:tc>
        <w:tc>
          <w:tcPr>
            <w:tcW w:type="dxa" w:w="5148"/>
            <w:vAlign w:val="top"/>
          </w:tcPr>
          <w:p>
            <w:pPr>
              <w:keepNext w:val="0"/>
              <w:widowControl/>
              <w:spacing w:after="0" w:before="0" w:lineRule="atLeast" w:line="300"/>
              <w:jc w:val="start"/>
              <w:bidi w:val="1"/>
            </w:pPr>
            <w:hyperlink w:anchor="ref_083">
              <w:r>
                <w:rPr>
                  <w:color w:val="245C7C"/>
                  <w:u w:val="single"/>
                  <w:rFonts w:ascii="Noto Naskh Arabic" w:hAnsi="Noto Naskh Arabic" w:cs="Noto Naskh Arabic"/>
                  <w:sz w:val="21"/>
                  <w:szCs w:val="21"/>
                  <w:rtl/>
                </w:rPr>
                <w:t>حوالہ 083</w:t>
              </w:r>
            </w:hyperlink>
            <w:r>
              <w:rPr>
                <w:rFonts w:ascii="Noto Naskh Arabic" w:hAnsi="Noto Naskh Arabic" w:cs="Noto Naskh Arabic" w:eastAsia="Noto Naskh Arabic"/>
                <w:b w:val="0"/>
                <w:color w:val="21313F"/>
                <w:sz w:val="21"/>
                <w:szCs w:val="21"/>
                <w:lang w:val="ur-PK" w:bidi="ur-PK"/>
                <w:rtl w:val="1"/>
              </w:rPr>
              <w:t xml:space="preserve"> — نیکی میں عقیدہ اور عمل کا اجتماع</w:t>
            </w:r>
          </w:p>
        </w:tc>
      </w:tr>
      <w:tr>
        <w:trPr>
          <w:cantSplit/>
        </w:trPr>
        <w:tc>
          <w:tcPr>
            <w:tcW w:type="dxa" w:w="5148"/>
            <w:vAlign w:val="top"/>
          </w:tcPr>
          <w:p>
            <w:pPr>
              <w:keepNext w:val="0"/>
              <w:widowControl/>
              <w:spacing w:after="0" w:before="0" w:lineRule="atLeast" w:line="250"/>
              <w:jc w:val="start"/>
              <w:bidi w:val="0"/>
            </w:pPr>
            <w:hyperlink w:anchor="ref_096">
              <w:r>
                <w:rPr>
                  <w:color w:val="245C7C"/>
                  <w:u w:val="single"/>
                  <w:rFonts w:ascii="Calibri" w:hAnsi="Calibri" w:cs="Calibri"/>
                  <w:sz w:val="18"/>
                  <w:szCs w:val="18"/>
                </w:rPr>
                <w:t>Reference 096</w:t>
              </w:r>
            </w:hyperlink>
            <w:r>
              <w:rPr>
                <w:rFonts w:ascii="Calibri" w:hAnsi="Calibri" w:cs="Calibri" w:eastAsia="Calibri"/>
                <w:b w:val="0"/>
                <w:color w:val="21313F"/>
                <w:sz w:val="19"/>
                <w:szCs w:val="19"/>
                <w:lang w:val="en-GB" w:bidi="ar-SA"/>
              </w:rPr>
              <w:t xml:space="preserve"> — Prayer’s purpose and careful attribution</w:t>
            </w:r>
          </w:p>
        </w:tc>
        <w:tc>
          <w:tcPr>
            <w:tcW w:type="dxa" w:w="5148"/>
            <w:vAlign w:val="top"/>
          </w:tcPr>
          <w:p>
            <w:pPr>
              <w:keepNext w:val="0"/>
              <w:widowControl/>
              <w:spacing w:after="0" w:before="0" w:lineRule="atLeast" w:line="300"/>
              <w:jc w:val="start"/>
              <w:bidi w:val="1"/>
            </w:pPr>
            <w:hyperlink w:anchor="ref_096">
              <w:r>
                <w:rPr>
                  <w:color w:val="245C7C"/>
                  <w:u w:val="single"/>
                  <w:rFonts w:ascii="Noto Naskh Arabic" w:hAnsi="Noto Naskh Arabic" w:cs="Noto Naskh Arabic"/>
                  <w:sz w:val="21"/>
                  <w:szCs w:val="21"/>
                  <w:rtl/>
                </w:rPr>
                <w:t>حوالہ 096</w:t>
              </w:r>
            </w:hyperlink>
            <w:r>
              <w:rPr>
                <w:rFonts w:ascii="Noto Naskh Arabic" w:hAnsi="Noto Naskh Arabic" w:cs="Noto Naskh Arabic" w:eastAsia="Noto Naskh Arabic"/>
                <w:b w:val="0"/>
                <w:color w:val="21313F"/>
                <w:sz w:val="21"/>
                <w:szCs w:val="21"/>
                <w:lang w:val="ur-PK" w:bidi="ur-PK"/>
                <w:rtl w:val="1"/>
              </w:rPr>
              <w:t xml:space="preserve"> — نماز کا مقصد اور محتاط نسبت</w:t>
            </w:r>
          </w:p>
        </w:tc>
      </w:tr>
      <w:tr>
        <w:trPr>
          <w:cantSplit/>
        </w:trPr>
        <w:tc>
          <w:tcPr>
            <w:tcW w:type="dxa" w:w="5148"/>
            <w:vAlign w:val="top"/>
          </w:tcPr>
          <w:p>
            <w:pPr>
              <w:keepNext w:val="0"/>
              <w:widowControl/>
              <w:spacing w:after="0" w:before="0" w:lineRule="atLeast" w:line="250"/>
              <w:jc w:val="start"/>
              <w:bidi w:val="0"/>
            </w:pPr>
            <w:hyperlink w:anchor="ref_125">
              <w:r>
                <w:rPr>
                  <w:color w:val="245C7C"/>
                  <w:u w:val="single"/>
                  <w:rFonts w:ascii="Calibri" w:hAnsi="Calibri" w:cs="Calibri"/>
                  <w:sz w:val="18"/>
                  <w:szCs w:val="18"/>
                </w:rPr>
                <w:t>Reference 125</w:t>
              </w:r>
            </w:hyperlink>
            <w:r>
              <w:rPr>
                <w:rFonts w:ascii="Calibri" w:hAnsi="Calibri" w:cs="Calibri" w:eastAsia="Calibri"/>
                <w:b w:val="0"/>
                <w:color w:val="21313F"/>
                <w:sz w:val="19"/>
                <w:szCs w:val="19"/>
                <w:lang w:val="en-GB" w:bidi="ar-SA"/>
              </w:rPr>
              <w:t xml:space="preserve"> — Sacrifice, remembrance and sincerity</w:t>
            </w:r>
          </w:p>
        </w:tc>
        <w:tc>
          <w:tcPr>
            <w:tcW w:type="dxa" w:w="5148"/>
            <w:vAlign w:val="top"/>
          </w:tcPr>
          <w:p>
            <w:pPr>
              <w:keepNext w:val="0"/>
              <w:widowControl/>
              <w:spacing w:after="0" w:before="0" w:lineRule="atLeast" w:line="300"/>
              <w:jc w:val="start"/>
              <w:bidi w:val="1"/>
            </w:pPr>
            <w:hyperlink w:anchor="ref_125">
              <w:r>
                <w:rPr>
                  <w:color w:val="245C7C"/>
                  <w:u w:val="single"/>
                  <w:rFonts w:ascii="Noto Naskh Arabic" w:hAnsi="Noto Naskh Arabic" w:cs="Noto Naskh Arabic"/>
                  <w:sz w:val="21"/>
                  <w:szCs w:val="21"/>
                  <w:rtl/>
                </w:rPr>
                <w:t>حوالہ 125</w:t>
              </w:r>
            </w:hyperlink>
            <w:r>
              <w:rPr>
                <w:rFonts w:ascii="Noto Naskh Arabic" w:hAnsi="Noto Naskh Arabic" w:cs="Noto Naskh Arabic" w:eastAsia="Noto Naskh Arabic"/>
                <w:b w:val="0"/>
                <w:color w:val="21313F"/>
                <w:sz w:val="21"/>
                <w:szCs w:val="21"/>
                <w:lang w:val="ur-PK" w:bidi="ur-PK"/>
                <w:rtl w:val="1"/>
              </w:rPr>
              <w:t xml:space="preserve"> — قربانی، یادِ الٰہی اور اخلاص</w:t>
            </w:r>
          </w:p>
        </w:tc>
      </w:tr>
      <w:tr>
        <w:trPr>
          <w:cantSplit/>
        </w:trPr>
        <w:tc>
          <w:tcPr>
            <w:tcW w:type="dxa" w:w="5148"/>
            <w:vAlign w:val="top"/>
          </w:tcPr>
          <w:p>
            <w:pPr>
              <w:keepNext w:val="0"/>
              <w:widowControl/>
              <w:spacing w:after="0" w:before="0" w:lineRule="atLeast" w:line="250"/>
              <w:jc w:val="start"/>
              <w:bidi w:val="0"/>
            </w:pPr>
            <w:hyperlink w:anchor="ref_148">
              <w:r>
                <w:rPr>
                  <w:color w:val="245C7C"/>
                  <w:u w:val="single"/>
                  <w:rFonts w:ascii="Calibri" w:hAnsi="Calibri" w:cs="Calibri"/>
                  <w:sz w:val="18"/>
                  <w:szCs w:val="18"/>
                </w:rPr>
                <w:t>Reference 148</w:t>
              </w:r>
            </w:hyperlink>
            <w:r>
              <w:rPr>
                <w:rFonts w:ascii="Calibri" w:hAnsi="Calibri" w:cs="Calibri" w:eastAsia="Calibri"/>
                <w:b w:val="0"/>
                <w:color w:val="21313F"/>
                <w:sz w:val="19"/>
                <w:szCs w:val="19"/>
                <w:lang w:val="en-GB" w:bidi="ar-SA"/>
              </w:rPr>
              <w:t xml:space="preserve"> — Small acts of assistance and religious consistency</w:t>
            </w:r>
          </w:p>
        </w:tc>
        <w:tc>
          <w:tcPr>
            <w:tcW w:type="dxa" w:w="5148"/>
            <w:vAlign w:val="top"/>
          </w:tcPr>
          <w:p>
            <w:pPr>
              <w:keepNext w:val="0"/>
              <w:widowControl/>
              <w:spacing w:after="0" w:before="0" w:lineRule="atLeast" w:line="300"/>
              <w:jc w:val="start"/>
              <w:bidi w:val="1"/>
            </w:pPr>
            <w:hyperlink w:anchor="ref_148">
              <w:r>
                <w:rPr>
                  <w:color w:val="245C7C"/>
                  <w:u w:val="single"/>
                  <w:rFonts w:ascii="Noto Naskh Arabic" w:hAnsi="Noto Naskh Arabic" w:cs="Noto Naskh Arabic"/>
                  <w:sz w:val="21"/>
                  <w:szCs w:val="21"/>
                  <w:rtl/>
                </w:rPr>
                <w:t>حوالہ 148</w:t>
              </w:r>
            </w:hyperlink>
            <w:r>
              <w:rPr>
                <w:rFonts w:ascii="Noto Naskh Arabic" w:hAnsi="Noto Naskh Arabic" w:cs="Noto Naskh Arabic" w:eastAsia="Noto Naskh Arabic"/>
                <w:b w:val="0"/>
                <w:color w:val="21313F"/>
                <w:sz w:val="21"/>
                <w:szCs w:val="21"/>
                <w:lang w:val="ur-PK" w:bidi="ur-PK"/>
                <w:rtl w:val="1"/>
              </w:rPr>
              <w:t xml:space="preserve"> — معمولی اعانت اور دینی عمل کی یکسانیت</w:t>
            </w:r>
          </w:p>
        </w:tc>
      </w:tr>
      <w:tr>
        <w:trPr>
          <w:cantSplit/>
        </w:trPr>
        <w:tc>
          <w:tcPr>
            <w:tcW w:type="dxa" w:w="5148"/>
            <w:vAlign w:val="top"/>
          </w:tcPr>
          <w:p>
            <w:pPr>
              <w:keepNext w:val="0"/>
              <w:widowControl w:val="1"/>
              <w:bidi w:val="0"/>
              <w:jc w:val="start"/>
              <w:spacing w:before="0" w:after="20" w:line="250" w:lineRule="atLeast"/>
            </w:pPr>
            <w:hyperlink w:anchor="ref_159">
              <w:r>
                <w:rPr>
                  <w:rFonts w:ascii="Calibri" w:hAnsi="Calibri" w:cs="Calibri" w:eastAsia="Calibri"/>
                  <w:sz w:val="18"/>
                  <w:szCs w:val="18"/>
                  <w:b w:val="0"/>
                  <w:bCs w:val="0"/>
                  <w:color w:val="244B62"/>
                  <w:lang w:val="en-GB" w:bidi="en-GB"/>
                  <w:rtl w:val="0"/>
                  <w:u w:val="single"/>
                </w:rPr>
                <w:t>Reference 159</w:t>
              </w:r>
            </w:hyperlink>
            <w:r>
              <w:rPr>
                <w:rFonts w:ascii="Calibri" w:hAnsi="Calibri" w:cs="Calibri" w:eastAsia="Calibri"/>
                <w:sz w:val="18"/>
                <w:szCs w:val="18"/>
                <w:b w:val="0"/>
                <w:bCs w:val="0"/>
                <w:color w:val="21313F"/>
                <w:lang w:val="en-GB" w:bidi="en-GB"/>
                <w:rtl w:val="0"/>
              </w:rPr>
              <w:t xml:space="preserve"> — Inward and outward acceptance</w:t>
            </w:r>
          </w:p>
        </w:tc>
        <w:tc>
          <w:tcPr>
            <w:tcW w:type="dxa" w:w="5148"/>
            <w:vAlign w:val="top"/>
          </w:tcPr>
          <w:p>
            <w:pPr>
              <w:keepNext w:val="0"/>
              <w:widowControl w:val="1"/>
              <w:bidi w:val="1"/>
              <w:jc w:val="start"/>
              <w:spacing w:before="0" w:after="20" w:line="300" w:lineRule="atLeast"/>
            </w:pPr>
            <w:hyperlink w:anchor="ref_159">
              <w:r>
                <w:rPr>
                  <w:rFonts w:ascii="Noto Naskh Arabic" w:hAnsi="Noto Naskh Arabic" w:cs="Noto Naskh Arabic" w:eastAsia="Noto Naskh Arabic"/>
                  <w:sz w:val="20"/>
                  <w:szCs w:val="20"/>
                  <w:b w:val="0"/>
                  <w:bCs w:val="0"/>
                  <w:color w:val="244B62"/>
                  <w:lang w:val="ur-PK" w:bidi="ur-PK"/>
                  <w:rtl w:val="1"/>
                  <w:u w:val="single"/>
                </w:rPr>
                <w:t>حوالہ 159</w:t>
              </w:r>
            </w:hyperlink>
            <w:r>
              <w:rPr>
                <w:rFonts w:ascii="Noto Naskh Arabic" w:hAnsi="Noto Naskh Arabic" w:cs="Noto Naskh Arabic" w:eastAsia="Noto Naskh Arabic"/>
                <w:sz w:val="20"/>
                <w:szCs w:val="20"/>
                <w:b w:val="0"/>
                <w:bCs w:val="0"/>
                <w:color w:val="21313F"/>
                <w:lang w:val="ur-PK" w:bidi="ur-PK"/>
                <w:rtl w:val="1"/>
              </w:rPr>
              <w:t xml:space="preserve"> — باطنی اور ظاہری قبولیت</w:t>
            </w:r>
          </w:p>
        </w:tc>
      </w:tr>
      <w:tr>
        <w:trPr>
          <w:cantSplit/>
        </w:trPr>
        <w:tc>
          <w:tcPr>
            <w:tcW w:type="dxa" w:w="5148"/>
            <w:vAlign w:val="top"/>
          </w:tcPr>
          <w:p>
            <w:pPr>
              <w:keepNext w:val="0"/>
              <w:widowControl w:val="1"/>
              <w:bidi w:val="0"/>
              <w:jc w:val="start"/>
              <w:spacing w:before="0" w:after="20" w:line="250" w:lineRule="atLeast"/>
            </w:pPr>
            <w:hyperlink w:anchor="ref_175">
              <w:r>
                <w:rPr>
                  <w:rFonts w:ascii="Calibri" w:hAnsi="Calibri" w:cs="Calibri" w:eastAsia="Calibri"/>
                  <w:sz w:val="18"/>
                  <w:szCs w:val="18"/>
                  <w:b w:val="0"/>
                  <w:bCs w:val="0"/>
                  <w:color w:val="244B62"/>
                  <w:lang w:val="en-GB" w:bidi="en-GB"/>
                  <w:rtl w:val="0"/>
                  <w:u w:val="single"/>
                </w:rPr>
                <w:t>Reference 175</w:t>
              </w:r>
            </w:hyperlink>
            <w:r>
              <w:rPr>
                <w:rFonts w:ascii="Calibri" w:hAnsi="Calibri" w:cs="Calibri" w:eastAsia="Calibri"/>
                <w:sz w:val="18"/>
                <w:szCs w:val="18"/>
                <w:b w:val="0"/>
                <w:bCs w:val="0"/>
                <w:color w:val="21313F"/>
                <w:lang w:val="en-GB" w:bidi="en-GB"/>
                <w:rtl w:val="0"/>
              </w:rPr>
              <w:t xml:space="preserve"> — Human honour and capacities for understanding</w:t>
            </w:r>
          </w:p>
        </w:tc>
        <w:tc>
          <w:tcPr>
            <w:tcW w:type="dxa" w:w="5148"/>
            <w:vAlign w:val="top"/>
          </w:tcPr>
          <w:p>
            <w:pPr>
              <w:keepNext w:val="0"/>
              <w:widowControl w:val="1"/>
              <w:bidi w:val="1"/>
              <w:jc w:val="start"/>
              <w:spacing w:before="0" w:after="20" w:line="300" w:lineRule="atLeast"/>
            </w:pPr>
            <w:hyperlink w:anchor="ref_175">
              <w:r>
                <w:rPr>
                  <w:rFonts w:ascii="Noto Naskh Arabic" w:hAnsi="Noto Naskh Arabic" w:cs="Noto Naskh Arabic" w:eastAsia="Noto Naskh Arabic"/>
                  <w:sz w:val="20"/>
                  <w:szCs w:val="20"/>
                  <w:b w:val="0"/>
                  <w:bCs w:val="0"/>
                  <w:color w:val="244B62"/>
                  <w:lang w:val="ur-PK" w:bidi="ur-PK"/>
                  <w:rtl w:val="1"/>
                  <w:u w:val="single"/>
                </w:rPr>
                <w:t>حوالہ 175</w:t>
              </w:r>
            </w:hyperlink>
            <w:r>
              <w:rPr>
                <w:rFonts w:ascii="Noto Naskh Arabic" w:hAnsi="Noto Naskh Arabic" w:cs="Noto Naskh Arabic" w:eastAsia="Noto Naskh Arabic"/>
                <w:sz w:val="20"/>
                <w:szCs w:val="20"/>
                <w:b w:val="0"/>
                <w:bCs w:val="0"/>
                <w:color w:val="21313F"/>
                <w:lang w:val="ur-PK" w:bidi="ur-PK"/>
                <w:rtl w:val="1"/>
              </w:rPr>
              <w:t xml:space="preserve"> — انسانی عزت اور فہم کی صلاحیتیں</w:t>
            </w:r>
          </w:p>
        </w:tc>
      </w:tr>
      <w:tr>
        <w:trPr>
          <w:cantSplit/>
        </w:trPr>
        <w:tc>
          <w:tcPr>
            <w:tcW w:type="dxa" w:w="5148"/>
            <w:vAlign w:val="top"/>
          </w:tcPr>
          <w:p>
            <w:pPr>
              <w:keepNext w:val="0"/>
              <w:widowControl w:val="1"/>
              <w:bidi w:val="0"/>
              <w:jc w:val="start"/>
              <w:spacing w:before="0" w:after="20" w:line="250" w:lineRule="atLeast"/>
            </w:pPr>
            <w:hyperlink w:anchor="ref_176">
              <w:r>
                <w:rPr>
                  <w:rFonts w:ascii="Calibri" w:hAnsi="Calibri" w:cs="Calibri" w:eastAsia="Calibri"/>
                  <w:sz w:val="18"/>
                  <w:szCs w:val="18"/>
                  <w:b w:val="0"/>
                  <w:bCs w:val="0"/>
                  <w:color w:val="244B62"/>
                  <w:lang w:val="en-GB" w:bidi="en-GB"/>
                  <w:rtl w:val="0"/>
                  <w:u w:val="single"/>
                </w:rPr>
                <w:t>Reference 176</w:t>
              </w:r>
            </w:hyperlink>
            <w:r>
              <w:rPr>
                <w:rFonts w:ascii="Calibri" w:hAnsi="Calibri" w:cs="Calibri" w:eastAsia="Calibri"/>
                <w:sz w:val="18"/>
                <w:szCs w:val="18"/>
                <w:b w:val="0"/>
                <w:bCs w:val="0"/>
                <w:color w:val="21313F"/>
                <w:lang w:val="en-GB" w:bidi="en-GB"/>
                <w:rtl w:val="0"/>
              </w:rPr>
              <w:t xml:space="preserve"> — Human diversity as a sign, not a defect</w:t>
            </w:r>
          </w:p>
        </w:tc>
        <w:tc>
          <w:tcPr>
            <w:tcW w:type="dxa" w:w="5148"/>
            <w:vAlign w:val="top"/>
          </w:tcPr>
          <w:p>
            <w:pPr>
              <w:keepNext w:val="0"/>
              <w:widowControl w:val="1"/>
              <w:bidi w:val="1"/>
              <w:jc w:val="start"/>
              <w:spacing w:before="0" w:after="20" w:line="300" w:lineRule="atLeast"/>
            </w:pPr>
            <w:hyperlink w:anchor="ref_176">
              <w:r>
                <w:rPr>
                  <w:rFonts w:ascii="Noto Naskh Arabic" w:hAnsi="Noto Naskh Arabic" w:cs="Noto Naskh Arabic" w:eastAsia="Noto Naskh Arabic"/>
                  <w:sz w:val="20"/>
                  <w:szCs w:val="20"/>
                  <w:b w:val="0"/>
                  <w:bCs w:val="0"/>
                  <w:color w:val="244B62"/>
                  <w:lang w:val="ur-PK" w:bidi="ur-PK"/>
                  <w:rtl w:val="1"/>
                  <w:u w:val="single"/>
                </w:rPr>
                <w:t>حوالہ 176</w:t>
              </w:r>
            </w:hyperlink>
            <w:r>
              <w:rPr>
                <w:rFonts w:ascii="Noto Naskh Arabic" w:hAnsi="Noto Naskh Arabic" w:cs="Noto Naskh Arabic" w:eastAsia="Noto Naskh Arabic"/>
                <w:sz w:val="20"/>
                <w:szCs w:val="20"/>
                <w:b w:val="0"/>
                <w:bCs w:val="0"/>
                <w:color w:val="21313F"/>
                <w:lang w:val="ur-PK" w:bidi="ur-PK"/>
                <w:rtl w:val="1"/>
              </w:rPr>
              <w:t xml:space="preserve"> — انسانی تنوع بطور نشانی، نہ کہ عیب</w:t>
            </w:r>
          </w:p>
        </w:tc>
      </w:tr>
      <w:tr>
        <w:trPr>
          <w:cantSplit/>
        </w:trPr>
        <w:tc>
          <w:tcPr>
            <w:tcW w:type="dxa" w:w="5148"/>
            <w:vAlign w:val="top"/>
          </w:tcPr>
          <w:p>
            <w:pPr>
              <w:keepNext w:val="0"/>
              <w:widowControl w:val="1"/>
              <w:bidi w:val="0"/>
              <w:jc w:val="start"/>
              <w:spacing w:before="0" w:after="20" w:line="250" w:lineRule="atLeast"/>
            </w:pPr>
            <w:hyperlink w:anchor="ref_189">
              <w:r>
                <w:rPr>
                  <w:rFonts w:ascii="Calibri" w:hAnsi="Calibri" w:cs="Calibri" w:eastAsia="Calibri"/>
                  <w:sz w:val="18"/>
                  <w:szCs w:val="18"/>
                  <w:b w:val="0"/>
                  <w:bCs w:val="0"/>
                  <w:color w:val="244B62"/>
                  <w:lang w:val="en-GB" w:bidi="en-GB"/>
                  <w:rtl w:val="0"/>
                  <w:u w:val="single"/>
                </w:rPr>
                <w:t>Reference 189</w:t>
              </w:r>
            </w:hyperlink>
            <w:r>
              <w:rPr>
                <w:rFonts w:ascii="Calibri" w:hAnsi="Calibri" w:cs="Calibri" w:eastAsia="Calibri"/>
                <w:sz w:val="18"/>
                <w:szCs w:val="18"/>
                <w:b w:val="0"/>
                <w:bCs w:val="0"/>
                <w:color w:val="21313F"/>
                <w:lang w:val="en-GB" w:bidi="en-GB"/>
                <w:rtl w:val="0"/>
              </w:rPr>
              <w:t xml:space="preserve"> — Divine justice and even the smallest deed</w:t>
            </w:r>
          </w:p>
        </w:tc>
        <w:tc>
          <w:tcPr>
            <w:tcW w:type="dxa" w:w="5148"/>
            <w:vAlign w:val="top"/>
          </w:tcPr>
          <w:p>
            <w:pPr>
              <w:keepNext w:val="0"/>
              <w:widowControl w:val="1"/>
              <w:bidi w:val="1"/>
              <w:jc w:val="start"/>
              <w:spacing w:before="0" w:after="20" w:line="300" w:lineRule="atLeast"/>
            </w:pPr>
            <w:hyperlink w:anchor="ref_189">
              <w:r>
                <w:rPr>
                  <w:rFonts w:ascii="Noto Naskh Arabic" w:hAnsi="Noto Naskh Arabic" w:cs="Noto Naskh Arabic" w:eastAsia="Noto Naskh Arabic"/>
                  <w:sz w:val="20"/>
                  <w:szCs w:val="20"/>
                  <w:b w:val="0"/>
                  <w:bCs w:val="0"/>
                  <w:color w:val="244B62"/>
                  <w:lang w:val="ur-PK" w:bidi="ur-PK"/>
                  <w:rtl w:val="1"/>
                  <w:u w:val="single"/>
                </w:rPr>
                <w:t>حوالہ 189</w:t>
              </w:r>
            </w:hyperlink>
            <w:r>
              <w:rPr>
                <w:rFonts w:ascii="Noto Naskh Arabic" w:hAnsi="Noto Naskh Arabic" w:cs="Noto Naskh Arabic" w:eastAsia="Noto Naskh Arabic"/>
                <w:sz w:val="20"/>
                <w:szCs w:val="20"/>
                <w:b w:val="0"/>
                <w:bCs w:val="0"/>
                <w:color w:val="21313F"/>
                <w:lang w:val="ur-PK" w:bidi="ur-PK"/>
                <w:rtl w:val="1"/>
              </w:rPr>
              <w:t xml:space="preserve"> — عدلِ الٰہی اور چھوٹے سے چھوٹا عمل</w:t>
            </w:r>
          </w:p>
        </w:tc>
      </w:tr>
      <w:tr>
        <w:trPr>
          <w:cantSplit/>
        </w:trPr>
        <w:tc>
          <w:tcPr>
            <w:tcW w:type="dxa" w:w="5148"/>
            <w:vAlign w:val="top"/>
          </w:tcPr>
          <w:p>
            <w:pPr>
              <w:keepNext w:val="0"/>
              <w:widowControl w:val="1"/>
              <w:bidi w:val="0"/>
              <w:jc w:val="start"/>
              <w:spacing w:before="0" w:after="20" w:line="250" w:lineRule="atLeast"/>
            </w:pPr>
            <w:hyperlink w:anchor="ref_190">
              <w:r>
                <w:rPr>
                  <w:rFonts w:ascii="Calibri" w:hAnsi="Calibri" w:cs="Calibri" w:eastAsia="Calibri"/>
                  <w:sz w:val="18"/>
                  <w:szCs w:val="18"/>
                  <w:b w:val="0"/>
                  <w:bCs w:val="0"/>
                  <w:color w:val="244B62"/>
                  <w:lang w:val="en-GB" w:bidi="en-GB"/>
                  <w:rtl w:val="0"/>
                  <w:u w:val="single"/>
                </w:rPr>
                <w:t>Reference 190</w:t>
              </w:r>
            </w:hyperlink>
            <w:r>
              <w:rPr>
                <w:rFonts w:ascii="Calibri" w:hAnsi="Calibri" w:cs="Calibri" w:eastAsia="Calibri"/>
                <w:sz w:val="18"/>
                <w:szCs w:val="18"/>
                <w:b w:val="0"/>
                <w:bCs w:val="0"/>
                <w:color w:val="21313F"/>
                <w:lang w:val="en-GB" w:bidi="en-GB"/>
                <w:rtl w:val="0"/>
              </w:rPr>
              <w:t xml:space="preserve"> — Angels as messengers in revelation</w:t>
            </w:r>
          </w:p>
        </w:tc>
        <w:tc>
          <w:tcPr>
            <w:tcW w:type="dxa" w:w="5148"/>
            <w:vAlign w:val="top"/>
          </w:tcPr>
          <w:p>
            <w:pPr>
              <w:keepNext w:val="0"/>
              <w:widowControl w:val="1"/>
              <w:bidi w:val="1"/>
              <w:jc w:val="start"/>
              <w:spacing w:before="0" w:after="20" w:line="300" w:lineRule="atLeast"/>
            </w:pPr>
            <w:hyperlink w:anchor="ref_190">
              <w:r>
                <w:rPr>
                  <w:rFonts w:ascii="Noto Naskh Arabic" w:hAnsi="Noto Naskh Arabic" w:cs="Noto Naskh Arabic" w:eastAsia="Noto Naskh Arabic"/>
                  <w:sz w:val="20"/>
                  <w:szCs w:val="20"/>
                  <w:b w:val="0"/>
                  <w:bCs w:val="0"/>
                  <w:color w:val="244B62"/>
                  <w:lang w:val="ur-PK" w:bidi="ur-PK"/>
                  <w:rtl w:val="1"/>
                  <w:u w:val="single"/>
                </w:rPr>
                <w:t>حوالہ 190</w:t>
              </w:r>
            </w:hyperlink>
            <w:r>
              <w:rPr>
                <w:rFonts w:ascii="Noto Naskh Arabic" w:hAnsi="Noto Naskh Arabic" w:cs="Noto Naskh Arabic" w:eastAsia="Noto Naskh Arabic"/>
                <w:sz w:val="20"/>
                <w:szCs w:val="20"/>
                <w:b w:val="0"/>
                <w:bCs w:val="0"/>
                <w:color w:val="21313F"/>
                <w:lang w:val="ur-PK" w:bidi="ur-PK"/>
                <w:rtl w:val="1"/>
              </w:rPr>
              <w:t xml:space="preserve"> — وحی میں فرشتوں کا پیغام رساں کردار</w:t>
            </w:r>
          </w:p>
        </w:tc>
      </w:tr>
      <w:tr>
        <w:trPr>
          <w:cantSplit/>
        </w:trPr>
        <w:tc>
          <w:tcPr>
            <w:tcW w:type="dxa" w:w="5148"/>
            <w:vAlign w:val="top"/>
          </w:tcPr>
          <w:p>
            <w:pPr>
              <w:keepNext w:val="0"/>
              <w:widowControl w:val="1"/>
              <w:bidi w:val="0"/>
              <w:jc w:val="start"/>
              <w:spacing w:before="0" w:after="20" w:line="250" w:lineRule="atLeast"/>
            </w:pPr>
            <w:hyperlink w:anchor="ref_201">
              <w:r>
                <w:rPr>
                  <w:rFonts w:ascii="Calibri" w:hAnsi="Calibri" w:cs="Calibri" w:eastAsia="Calibri"/>
                  <w:sz w:val="18"/>
                  <w:szCs w:val="18"/>
                  <w:b w:val="0"/>
                  <w:bCs w:val="0"/>
                  <w:color w:val="244B62"/>
                  <w:lang w:val="en-GB" w:bidi="en-GB"/>
                  <w:rtl w:val="0"/>
                  <w:u w:val="single"/>
                </w:rPr>
                <w:t>Reference 201</w:t>
              </w:r>
            </w:hyperlink>
            <w:r>
              <w:rPr>
                <w:rFonts w:ascii="Calibri" w:hAnsi="Calibri" w:cs="Calibri" w:eastAsia="Calibri"/>
                <w:sz w:val="18"/>
                <w:szCs w:val="18"/>
                <w:b w:val="0"/>
                <w:bCs w:val="0"/>
                <w:color w:val="21313F"/>
                <w:lang w:val="en-GB" w:bidi="en-GB"/>
                <w:rtl w:val="0"/>
              </w:rPr>
              <w:t xml:space="preserve"> — Sincerity, bodily worship and care for the needy</w:t>
            </w:r>
          </w:p>
        </w:tc>
        <w:tc>
          <w:tcPr>
            <w:tcW w:type="dxa" w:w="5148"/>
            <w:vAlign w:val="top"/>
          </w:tcPr>
          <w:p>
            <w:pPr>
              <w:keepNext w:val="0"/>
              <w:widowControl w:val="1"/>
              <w:bidi w:val="1"/>
              <w:jc w:val="start"/>
              <w:spacing w:before="0" w:after="20" w:line="300" w:lineRule="atLeast"/>
            </w:pPr>
            <w:hyperlink w:anchor="ref_201">
              <w:r>
                <w:rPr>
                  <w:rFonts w:ascii="Noto Naskh Arabic" w:hAnsi="Noto Naskh Arabic" w:cs="Noto Naskh Arabic" w:eastAsia="Noto Naskh Arabic"/>
                  <w:sz w:val="20"/>
                  <w:szCs w:val="20"/>
                  <w:b w:val="0"/>
                  <w:bCs w:val="0"/>
                  <w:color w:val="244B62"/>
                  <w:lang w:val="ur-PK" w:bidi="ur-PK"/>
                  <w:rtl w:val="1"/>
                  <w:u w:val="single"/>
                </w:rPr>
                <w:t>حوالہ 201</w:t>
              </w:r>
            </w:hyperlink>
            <w:r>
              <w:rPr>
                <w:rFonts w:ascii="Noto Naskh Arabic" w:hAnsi="Noto Naskh Arabic" w:cs="Noto Naskh Arabic" w:eastAsia="Noto Naskh Arabic"/>
                <w:sz w:val="20"/>
                <w:szCs w:val="20"/>
                <w:b w:val="0"/>
                <w:bCs w:val="0"/>
                <w:color w:val="21313F"/>
                <w:lang w:val="ur-PK" w:bidi="ur-PK"/>
                <w:rtl w:val="1"/>
              </w:rPr>
              <w:t xml:space="preserve"> — اخلاص، بدنی عبادت اور محتاجوں کی مدد</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Al-Qurtubi — Al-Jami li-ahkam al-Quran</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قرطبی — الجامع لأحکام القرآن</w:t>
            </w:r>
          </w:p>
        </w:tc>
      </w:tr>
      <w:tr>
        <w:trPr>
          <w:cantSplit/>
        </w:trPr>
        <w:tc>
          <w:tcPr>
            <w:tcW w:type="dxa" w:w="5148"/>
            <w:vAlign w:val="top"/>
          </w:tcPr>
          <w:p>
            <w:pPr>
              <w:keepNext w:val="0"/>
              <w:widowControl/>
              <w:spacing w:after="0" w:before="0" w:lineRule="atLeast" w:line="250"/>
              <w:jc w:val="start"/>
              <w:bidi w:val="0"/>
            </w:pPr>
            <w:hyperlink w:anchor="ref_031">
              <w:r>
                <w:rPr>
                  <w:color w:val="245C7C"/>
                  <w:u w:val="single"/>
                  <w:rFonts w:ascii="Calibri" w:hAnsi="Calibri" w:cs="Calibri"/>
                  <w:sz w:val="18"/>
                  <w:szCs w:val="18"/>
                </w:rPr>
                <w:t>Reference 031</w:t>
              </w:r>
            </w:hyperlink>
            <w:r>
              <w:rPr>
                <w:rFonts w:ascii="Calibri" w:hAnsi="Calibri" w:cs="Calibri" w:eastAsia="Calibri"/>
                <w:b w:val="0"/>
                <w:color w:val="21313F"/>
                <w:sz w:val="19"/>
                <w:szCs w:val="19"/>
                <w:lang w:val="en-GB" w:bidi="ar-SA"/>
              </w:rPr>
              <w:t xml:space="preserve"> — Din, belief and disputed scope of non-coercion</w:t>
            </w:r>
          </w:p>
        </w:tc>
        <w:tc>
          <w:tcPr>
            <w:tcW w:type="dxa" w:w="5148"/>
            <w:vAlign w:val="top"/>
          </w:tcPr>
          <w:p>
            <w:pPr>
              <w:keepNext w:val="0"/>
              <w:widowControl/>
              <w:spacing w:after="0" w:before="0" w:lineRule="atLeast" w:line="300"/>
              <w:jc w:val="start"/>
              <w:bidi w:val="1"/>
            </w:pPr>
            <w:hyperlink w:anchor="ref_031">
              <w:r>
                <w:rPr>
                  <w:color w:val="245C7C"/>
                  <w:u w:val="single"/>
                  <w:rFonts w:ascii="Noto Naskh Arabic" w:hAnsi="Noto Naskh Arabic" w:cs="Noto Naskh Arabic"/>
                  <w:sz w:val="21"/>
                  <w:szCs w:val="21"/>
                  <w:rtl/>
                </w:rPr>
                <w:t>حوالہ 031</w:t>
              </w:r>
            </w:hyperlink>
            <w:r>
              <w:rPr>
                <w:rFonts w:ascii="Noto Naskh Arabic" w:hAnsi="Noto Naskh Arabic" w:cs="Noto Naskh Arabic" w:eastAsia="Noto Naskh Arabic"/>
                <w:b w:val="0"/>
                <w:color w:val="21313F"/>
                <w:sz w:val="21"/>
                <w:szCs w:val="21"/>
                <w:lang w:val="ur-PK" w:bidi="ur-PK"/>
                <w:rtl w:val="1"/>
              </w:rPr>
              <w:t xml:space="preserve"> — دین، اعتقاد اور عدمِ اکراہ کے دائرے کا اختلاف</w:t>
            </w:r>
          </w:p>
        </w:tc>
      </w:tr>
      <w:tr>
        <w:trPr>
          <w:cantSplit/>
        </w:trPr>
        <w:tc>
          <w:tcPr>
            <w:tcW w:type="dxa" w:w="5148"/>
            <w:vAlign w:val="top"/>
          </w:tcPr>
          <w:p>
            <w:pPr>
              <w:keepNext w:val="0"/>
              <w:widowControl/>
              <w:spacing w:after="0" w:before="0" w:lineRule="atLeast" w:line="250"/>
              <w:jc w:val="start"/>
              <w:bidi w:val="0"/>
            </w:pPr>
            <w:hyperlink w:anchor="ref_073">
              <w:r>
                <w:rPr>
                  <w:color w:val="245C7C"/>
                  <w:u w:val="single"/>
                  <w:rFonts w:ascii="Calibri" w:hAnsi="Calibri" w:cs="Calibri"/>
                  <w:sz w:val="18"/>
                  <w:szCs w:val="18"/>
                </w:rPr>
                <w:t>Reference 073</w:t>
              </w:r>
            </w:hyperlink>
            <w:r>
              <w:rPr>
                <w:rFonts w:ascii="Calibri" w:hAnsi="Calibri" w:cs="Calibri" w:eastAsia="Calibri"/>
                <w:b w:val="0"/>
                <w:color w:val="21313F"/>
                <w:sz w:val="19"/>
                <w:szCs w:val="19"/>
                <w:lang w:val="en-GB" w:bidi="ar-SA"/>
              </w:rPr>
              <w:t xml:space="preserve"> — Divine attributes without resemblance to creation</w:t>
            </w:r>
          </w:p>
        </w:tc>
        <w:tc>
          <w:tcPr>
            <w:tcW w:type="dxa" w:w="5148"/>
            <w:vAlign w:val="top"/>
          </w:tcPr>
          <w:p>
            <w:pPr>
              <w:keepNext w:val="0"/>
              <w:widowControl/>
              <w:spacing w:after="0" w:before="0" w:lineRule="atLeast" w:line="300"/>
              <w:jc w:val="start"/>
              <w:bidi w:val="1"/>
            </w:pPr>
            <w:hyperlink w:anchor="ref_073">
              <w:r>
                <w:rPr>
                  <w:color w:val="245C7C"/>
                  <w:u w:val="single"/>
                  <w:rFonts w:ascii="Noto Naskh Arabic" w:hAnsi="Noto Naskh Arabic" w:cs="Noto Naskh Arabic"/>
                  <w:sz w:val="21"/>
                  <w:szCs w:val="21"/>
                  <w:rtl/>
                </w:rPr>
                <w:t>حوالہ 073</w:t>
              </w:r>
            </w:hyperlink>
            <w:r>
              <w:rPr>
                <w:rFonts w:ascii="Noto Naskh Arabic" w:hAnsi="Noto Naskh Arabic" w:cs="Noto Naskh Arabic" w:eastAsia="Noto Naskh Arabic"/>
                <w:b w:val="0"/>
                <w:color w:val="21313F"/>
                <w:sz w:val="21"/>
                <w:szCs w:val="21"/>
                <w:lang w:val="ur-PK" w:bidi="ur-PK"/>
                <w:rtl w:val="1"/>
              </w:rPr>
              <w:t xml:space="preserve"> — مخلوق سے مماثلت کے بغیر صفاتِ الٰہی</w:t>
            </w:r>
          </w:p>
        </w:tc>
      </w:tr>
      <w:tr>
        <w:trPr>
          <w:cantSplit/>
        </w:trPr>
        <w:tc>
          <w:tcPr>
            <w:tcW w:type="dxa" w:w="5148"/>
            <w:vAlign w:val="top"/>
          </w:tcPr>
          <w:p>
            <w:pPr>
              <w:keepNext w:val="0"/>
              <w:widowControl/>
              <w:spacing w:after="0" w:before="0" w:lineRule="atLeast" w:line="250"/>
              <w:jc w:val="start"/>
              <w:bidi w:val="0"/>
            </w:pPr>
            <w:hyperlink w:anchor="ref_106">
              <w:r>
                <w:rPr>
                  <w:color w:val="245C7C"/>
                  <w:u w:val="single"/>
                  <w:rFonts w:ascii="Calibri" w:hAnsi="Calibri" w:cs="Calibri"/>
                  <w:sz w:val="18"/>
                  <w:szCs w:val="18"/>
                </w:rPr>
                <w:t>Reference 106</w:t>
              </w:r>
            </w:hyperlink>
            <w:r>
              <w:rPr>
                <w:rFonts w:ascii="Calibri" w:hAnsi="Calibri" w:cs="Calibri" w:eastAsia="Calibri"/>
                <w:b w:val="0"/>
                <w:color w:val="21313F"/>
                <w:sz w:val="19"/>
                <w:szCs w:val="19"/>
                <w:lang w:val="en-GB" w:bidi="ar-SA"/>
              </w:rPr>
              <w:t xml:space="preserve"> — Legal fasting and ethical completion</w:t>
            </w:r>
          </w:p>
        </w:tc>
        <w:tc>
          <w:tcPr>
            <w:tcW w:type="dxa" w:w="5148"/>
            <w:vAlign w:val="top"/>
          </w:tcPr>
          <w:p>
            <w:pPr>
              <w:keepNext w:val="0"/>
              <w:widowControl/>
              <w:spacing w:after="0" w:before="0" w:lineRule="atLeast" w:line="300"/>
              <w:jc w:val="start"/>
              <w:bidi w:val="1"/>
            </w:pPr>
            <w:hyperlink w:anchor="ref_106">
              <w:r>
                <w:rPr>
                  <w:color w:val="245C7C"/>
                  <w:u w:val="single"/>
                  <w:rFonts w:ascii="Noto Naskh Arabic" w:hAnsi="Noto Naskh Arabic" w:cs="Noto Naskh Arabic"/>
                  <w:sz w:val="21"/>
                  <w:szCs w:val="21"/>
                  <w:rtl/>
                </w:rPr>
                <w:t>حوالہ 106</w:t>
              </w:r>
            </w:hyperlink>
            <w:r>
              <w:rPr>
                <w:rFonts w:ascii="Noto Naskh Arabic" w:hAnsi="Noto Naskh Arabic" w:cs="Noto Naskh Arabic" w:eastAsia="Noto Naskh Arabic"/>
                <w:b w:val="0"/>
                <w:color w:val="21313F"/>
                <w:sz w:val="21"/>
                <w:szCs w:val="21"/>
                <w:lang w:val="ur-PK" w:bidi="ur-PK"/>
                <w:rtl w:val="1"/>
              </w:rPr>
              <w:t xml:space="preserve"> — روزے کی شرعی حقیقت اور اخلاقی تکمیل</w:t>
            </w:r>
          </w:p>
        </w:tc>
      </w:tr>
      <w:tr>
        <w:trPr>
          <w:cantSplit/>
        </w:trPr>
        <w:tc>
          <w:tcPr>
            <w:tcW w:type="dxa" w:w="5148"/>
            <w:vAlign w:val="top"/>
          </w:tcPr>
          <w:p>
            <w:pPr>
              <w:keepNext w:val="0"/>
              <w:widowControl/>
              <w:spacing w:after="0" w:before="0" w:lineRule="atLeast" w:line="250"/>
              <w:jc w:val="start"/>
              <w:bidi w:val="0"/>
            </w:pPr>
            <w:hyperlink w:anchor="ref_117">
              <w:r>
                <w:rPr>
                  <w:color w:val="245C7C"/>
                  <w:u w:val="single"/>
                  <w:rFonts w:ascii="Calibri" w:hAnsi="Calibri" w:cs="Calibri"/>
                  <w:sz w:val="18"/>
                  <w:szCs w:val="18"/>
                </w:rPr>
                <w:t>Reference 117</w:t>
              </w:r>
            </w:hyperlink>
            <w:r>
              <w:rPr>
                <w:rFonts w:ascii="Calibri" w:hAnsi="Calibri" w:cs="Calibri" w:eastAsia="Calibri"/>
                <w:b w:val="0"/>
                <w:color w:val="21313F"/>
                <w:sz w:val="19"/>
                <w:szCs w:val="19"/>
                <w:lang w:val="en-GB" w:bidi="ar-SA"/>
              </w:rPr>
              <w:t xml:space="preserve"> — Zakat recipients and distribution: juristic disagreement</w:t>
            </w:r>
          </w:p>
        </w:tc>
        <w:tc>
          <w:tcPr>
            <w:tcW w:type="dxa" w:w="5148"/>
            <w:vAlign w:val="top"/>
          </w:tcPr>
          <w:p>
            <w:pPr>
              <w:keepNext w:val="0"/>
              <w:widowControl/>
              <w:spacing w:after="0" w:before="0" w:lineRule="atLeast" w:line="300"/>
              <w:jc w:val="start"/>
              <w:bidi w:val="1"/>
            </w:pPr>
            <w:hyperlink w:anchor="ref_117">
              <w:r>
                <w:rPr>
                  <w:color w:val="245C7C"/>
                  <w:u w:val="single"/>
                  <w:rFonts w:ascii="Noto Naskh Arabic" w:hAnsi="Noto Naskh Arabic" w:cs="Noto Naskh Arabic"/>
                  <w:sz w:val="21"/>
                  <w:szCs w:val="21"/>
                  <w:rtl/>
                </w:rPr>
                <w:t>حوالہ 117</w:t>
              </w:r>
            </w:hyperlink>
            <w:r>
              <w:rPr>
                <w:rFonts w:ascii="Noto Naskh Arabic" w:hAnsi="Noto Naskh Arabic" w:cs="Noto Naskh Arabic" w:eastAsia="Noto Naskh Arabic"/>
                <w:b w:val="0"/>
                <w:color w:val="21313F"/>
                <w:sz w:val="21"/>
                <w:szCs w:val="21"/>
                <w:lang w:val="ur-PK" w:bidi="ur-PK"/>
                <w:rtl w:val="1"/>
              </w:rPr>
              <w:t xml:space="preserve"> — مصارفِ زکوٰۃ اور تقسیم: فقہی اختلاف</w:t>
            </w:r>
          </w:p>
        </w:tc>
      </w:tr>
      <w:tr>
        <w:trPr>
          <w:cantSplit/>
        </w:trPr>
        <w:tc>
          <w:tcPr>
            <w:tcW w:type="dxa" w:w="5148"/>
            <w:vAlign w:val="top"/>
          </w:tcPr>
          <w:p>
            <w:pPr>
              <w:keepNext w:val="0"/>
              <w:widowControl/>
              <w:spacing w:after="0" w:before="0" w:lineRule="atLeast" w:line="250"/>
              <w:jc w:val="start"/>
              <w:bidi w:val="0"/>
            </w:pPr>
            <w:hyperlink w:anchor="ref_149">
              <w:r>
                <w:rPr>
                  <w:color w:val="245C7C"/>
                  <w:u w:val="single"/>
                  <w:rFonts w:ascii="Calibri" w:hAnsi="Calibri" w:cs="Calibri"/>
                  <w:sz w:val="18"/>
                  <w:szCs w:val="18"/>
                </w:rPr>
                <w:t>Reference 149</w:t>
              </w:r>
            </w:hyperlink>
            <w:r>
              <w:rPr>
                <w:rFonts w:ascii="Calibri" w:hAnsi="Calibri" w:cs="Calibri" w:eastAsia="Calibri"/>
                <w:b w:val="0"/>
                <w:color w:val="21313F"/>
                <w:sz w:val="19"/>
                <w:szCs w:val="19"/>
                <w:lang w:val="en-GB" w:bidi="ar-SA"/>
              </w:rPr>
              <w:t xml:space="preserve"> — Neighbourly obligations across religious difference</w:t>
            </w:r>
          </w:p>
        </w:tc>
        <w:tc>
          <w:tcPr>
            <w:tcW w:type="dxa" w:w="5148"/>
            <w:vAlign w:val="top"/>
          </w:tcPr>
          <w:p>
            <w:pPr>
              <w:keepNext w:val="0"/>
              <w:widowControl/>
              <w:spacing w:after="0" w:before="0" w:lineRule="atLeast" w:line="300"/>
              <w:jc w:val="start"/>
              <w:bidi w:val="1"/>
            </w:pPr>
            <w:hyperlink w:anchor="ref_149">
              <w:r>
                <w:rPr>
                  <w:color w:val="245C7C"/>
                  <w:u w:val="single"/>
                  <w:rFonts w:ascii="Noto Naskh Arabic" w:hAnsi="Noto Naskh Arabic" w:cs="Noto Naskh Arabic"/>
                  <w:sz w:val="21"/>
                  <w:szCs w:val="21"/>
                  <w:rtl/>
                </w:rPr>
                <w:t>حوالہ 149</w:t>
              </w:r>
            </w:hyperlink>
            <w:r>
              <w:rPr>
                <w:rFonts w:ascii="Noto Naskh Arabic" w:hAnsi="Noto Naskh Arabic" w:cs="Noto Naskh Arabic" w:eastAsia="Noto Naskh Arabic"/>
                <w:b w:val="0"/>
                <w:color w:val="21313F"/>
                <w:sz w:val="21"/>
                <w:szCs w:val="21"/>
                <w:lang w:val="ur-PK" w:bidi="ur-PK"/>
                <w:rtl w:val="1"/>
              </w:rPr>
              <w:t xml:space="preserve"> — مذہبی اختلاف کے باوجود پڑوسی کا حق</w:t>
            </w:r>
          </w:p>
        </w:tc>
      </w:tr>
      <w:tr>
        <w:trPr>
          <w:cantSplit/>
        </w:trPr>
        <w:tc>
          <w:tcPr>
            <w:tcW w:type="dxa" w:w="5148"/>
            <w:vAlign w:val="top"/>
          </w:tcPr>
          <w:p>
            <w:pPr>
              <w:keepNext w:val="0"/>
              <w:widowControl w:val="1"/>
              <w:bidi w:val="0"/>
              <w:jc w:val="start"/>
              <w:spacing w:before="0" w:after="20" w:line="250" w:lineRule="atLeast"/>
            </w:pPr>
            <w:hyperlink w:anchor="ref_188">
              <w:r>
                <w:rPr>
                  <w:rFonts w:ascii="Calibri" w:hAnsi="Calibri" w:cs="Calibri" w:eastAsia="Calibri"/>
                  <w:sz w:val="18"/>
                  <w:szCs w:val="18"/>
                  <w:b w:val="0"/>
                  <w:bCs w:val="0"/>
                  <w:color w:val="244B62"/>
                  <w:lang w:val="en-GB" w:bidi="en-GB"/>
                  <w:rtl w:val="0"/>
                  <w:u w:val="single"/>
                </w:rPr>
                <w:t>Reference 188</w:t>
              </w:r>
            </w:hyperlink>
            <w:r>
              <w:rPr>
                <w:rFonts w:ascii="Calibri" w:hAnsi="Calibri" w:cs="Calibri" w:eastAsia="Calibri"/>
                <w:sz w:val="18"/>
                <w:szCs w:val="18"/>
                <w:b w:val="0"/>
                <w:bCs w:val="0"/>
                <w:color w:val="21313F"/>
                <w:lang w:val="en-GB" w:bidi="en-GB"/>
                <w:rtl w:val="0"/>
              </w:rPr>
              <w:t xml:space="preserve"> — Personal guilt and responsibility for misleading others</w:t>
            </w:r>
          </w:p>
        </w:tc>
        <w:tc>
          <w:tcPr>
            <w:tcW w:type="dxa" w:w="5148"/>
            <w:vAlign w:val="top"/>
          </w:tcPr>
          <w:p>
            <w:pPr>
              <w:keepNext w:val="0"/>
              <w:widowControl w:val="1"/>
              <w:bidi w:val="1"/>
              <w:jc w:val="start"/>
              <w:spacing w:before="0" w:after="20" w:line="300" w:lineRule="atLeast"/>
            </w:pPr>
            <w:hyperlink w:anchor="ref_188">
              <w:r>
                <w:rPr>
                  <w:rFonts w:ascii="Noto Naskh Arabic" w:hAnsi="Noto Naskh Arabic" w:cs="Noto Naskh Arabic" w:eastAsia="Noto Naskh Arabic"/>
                  <w:sz w:val="20"/>
                  <w:szCs w:val="20"/>
                  <w:b w:val="0"/>
                  <w:bCs w:val="0"/>
                  <w:color w:val="244B62"/>
                  <w:lang w:val="ur-PK" w:bidi="ur-PK"/>
                  <w:rtl w:val="1"/>
                  <w:u w:val="single"/>
                </w:rPr>
                <w:t>حوالہ 188</w:t>
              </w:r>
            </w:hyperlink>
            <w:r>
              <w:rPr>
                <w:rFonts w:ascii="Noto Naskh Arabic" w:hAnsi="Noto Naskh Arabic" w:cs="Noto Naskh Arabic" w:eastAsia="Noto Naskh Arabic"/>
                <w:sz w:val="20"/>
                <w:szCs w:val="20"/>
                <w:b w:val="0"/>
                <w:bCs w:val="0"/>
                <w:color w:val="21313F"/>
                <w:lang w:val="ur-PK" w:bidi="ur-PK"/>
                <w:rtl w:val="1"/>
              </w:rPr>
              <w:t xml:space="preserve"> — ذاتی گناہ اور دوسروں کو گمراہ کرنے کی ذمہ داری</w:t>
            </w:r>
          </w:p>
        </w:tc>
      </w:tr>
      <w:tr>
        <w:trPr>
          <w:cantSplit/>
        </w:trPr>
        <w:tc>
          <w:tcPr>
            <w:tcW w:type="dxa" w:w="5148"/>
            <w:vAlign w:val="top"/>
          </w:tcPr>
          <w:p>
            <w:pPr>
              <w:keepNext w:val="0"/>
              <w:widowControl w:val="1"/>
              <w:bidi w:val="0"/>
              <w:jc w:val="start"/>
              <w:spacing w:before="0" w:after="20" w:line="250" w:lineRule="atLeast"/>
            </w:pPr>
            <w:hyperlink w:anchor="ref_220">
              <w:r>
                <w:rPr>
                  <w:rFonts w:ascii="Calibri" w:hAnsi="Calibri" w:cs="Calibri" w:eastAsia="Calibri"/>
                  <w:sz w:val="18"/>
                  <w:szCs w:val="18"/>
                  <w:b w:val="0"/>
                  <w:bCs w:val="0"/>
                  <w:color w:val="244B62"/>
                  <w:lang w:val="en-GB" w:bidi="en-GB"/>
                  <w:rtl w:val="0"/>
                  <w:u w:val="single"/>
                </w:rPr>
                <w:t>Reference 220</w:t>
              </w:r>
            </w:hyperlink>
            <w:r>
              <w:rPr>
                <w:rFonts w:ascii="Calibri" w:hAnsi="Calibri" w:cs="Calibri" w:eastAsia="Calibri"/>
                <w:sz w:val="18"/>
                <w:szCs w:val="18"/>
                <w:b w:val="0"/>
                <w:bCs w:val="0"/>
                <w:color w:val="21313F"/>
                <w:lang w:val="en-GB" w:bidi="en-GB"/>
                <w:rtl w:val="0"/>
              </w:rPr>
              <w:t xml:space="preserve"> — Asceticism must not disable worship</w:t>
            </w:r>
          </w:p>
        </w:tc>
        <w:tc>
          <w:tcPr>
            <w:tcW w:type="dxa" w:w="5148"/>
            <w:vAlign w:val="top"/>
          </w:tcPr>
          <w:p>
            <w:pPr>
              <w:keepNext w:val="0"/>
              <w:widowControl w:val="1"/>
              <w:bidi w:val="1"/>
              <w:jc w:val="start"/>
              <w:spacing w:before="0" w:after="20" w:line="300" w:lineRule="atLeast"/>
            </w:pPr>
            <w:hyperlink w:anchor="ref_220">
              <w:r>
                <w:rPr>
                  <w:rFonts w:ascii="Noto Naskh Arabic" w:hAnsi="Noto Naskh Arabic" w:cs="Noto Naskh Arabic" w:eastAsia="Noto Naskh Arabic"/>
                  <w:sz w:val="20"/>
                  <w:szCs w:val="20"/>
                  <w:b w:val="0"/>
                  <w:bCs w:val="0"/>
                  <w:color w:val="244B62"/>
                  <w:lang w:val="ur-PK" w:bidi="ur-PK"/>
                  <w:rtl w:val="1"/>
                  <w:u w:val="single"/>
                </w:rPr>
                <w:t>حوالہ 220</w:t>
              </w:r>
            </w:hyperlink>
            <w:r>
              <w:rPr>
                <w:rFonts w:ascii="Noto Naskh Arabic" w:hAnsi="Noto Naskh Arabic" w:cs="Noto Naskh Arabic" w:eastAsia="Noto Naskh Arabic"/>
                <w:sz w:val="20"/>
                <w:szCs w:val="20"/>
                <w:b w:val="0"/>
                <w:bCs w:val="0"/>
                <w:color w:val="21313F"/>
                <w:lang w:val="ur-PK" w:bidi="ur-PK"/>
                <w:rtl w:val="1"/>
              </w:rPr>
              <w:t xml:space="preserve"> — زہد عبادت کی صلاحیت ختم نہ کرے</w:t>
            </w:r>
          </w:p>
        </w:tc>
      </w:tr>
      <w:tr>
        <w:trPr>
          <w:cantSplit/>
        </w:trPr>
        <w:tc>
          <w:tcPr>
            <w:tcW w:type="dxa" w:w="5148"/>
            <w:vAlign w:val="top"/>
          </w:tcPr>
          <w:p>
            <w:pPr>
              <w:keepNext w:val="0"/>
              <w:widowControl w:val="1"/>
              <w:bidi w:val="0"/>
              <w:jc w:val="start"/>
              <w:spacing w:before="0" w:after="20" w:line="250" w:lineRule="atLeast"/>
            </w:pPr>
            <w:hyperlink w:anchor="ref_221">
              <w:r>
                <w:rPr>
                  <w:rFonts w:ascii="Calibri" w:hAnsi="Calibri" w:cs="Calibri" w:eastAsia="Calibri"/>
                  <w:sz w:val="18"/>
                  <w:szCs w:val="18"/>
                  <w:b w:val="0"/>
                  <w:bCs w:val="0"/>
                  <w:color w:val="244B62"/>
                  <w:lang w:val="en-GB" w:bidi="en-GB"/>
                  <w:rtl w:val="0"/>
                  <w:u w:val="single"/>
                </w:rPr>
                <w:t>Reference 221</w:t>
              </w:r>
            </w:hyperlink>
            <w:r>
              <w:rPr>
                <w:rFonts w:ascii="Calibri" w:hAnsi="Calibri" w:cs="Calibri" w:eastAsia="Calibri"/>
                <w:sz w:val="18"/>
                <w:szCs w:val="18"/>
                <w:b w:val="0"/>
                <w:bCs w:val="0"/>
                <w:color w:val="21313F"/>
                <w:lang w:val="en-GB" w:bidi="en-GB"/>
                <w:rtl w:val="0"/>
              </w:rPr>
              <w:t xml:space="preserve"> — Relief from hardship through specific concessions</w:t>
            </w:r>
          </w:p>
        </w:tc>
        <w:tc>
          <w:tcPr>
            <w:tcW w:type="dxa" w:w="5148"/>
            <w:vAlign w:val="top"/>
          </w:tcPr>
          <w:p>
            <w:pPr>
              <w:keepNext w:val="0"/>
              <w:widowControl w:val="1"/>
              <w:bidi w:val="1"/>
              <w:jc w:val="start"/>
              <w:spacing w:before="0" w:after="20" w:line="300" w:lineRule="atLeast"/>
            </w:pPr>
            <w:hyperlink w:anchor="ref_221">
              <w:r>
                <w:rPr>
                  <w:rFonts w:ascii="Noto Naskh Arabic" w:hAnsi="Noto Naskh Arabic" w:cs="Noto Naskh Arabic" w:eastAsia="Noto Naskh Arabic"/>
                  <w:sz w:val="20"/>
                  <w:szCs w:val="20"/>
                  <w:b w:val="0"/>
                  <w:bCs w:val="0"/>
                  <w:color w:val="244B62"/>
                  <w:lang w:val="ur-PK" w:bidi="ur-PK"/>
                  <w:rtl w:val="1"/>
                  <w:u w:val="single"/>
                </w:rPr>
                <w:t>حوالہ 221</w:t>
              </w:r>
            </w:hyperlink>
            <w:r>
              <w:rPr>
                <w:rFonts w:ascii="Noto Naskh Arabic" w:hAnsi="Noto Naskh Arabic" w:cs="Noto Naskh Arabic" w:eastAsia="Noto Naskh Arabic"/>
                <w:sz w:val="20"/>
                <w:szCs w:val="20"/>
                <w:b w:val="0"/>
                <w:bCs w:val="0"/>
                <w:color w:val="21313F"/>
                <w:lang w:val="ur-PK" w:bidi="ur-PK"/>
                <w:rtl w:val="1"/>
              </w:rPr>
              <w:t xml:space="preserve"> — مخصوص رخصتوں کے ذریعے تنگی کا ازالہ</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Al-Sadi — Taysir al-Karim al-Rahman</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سعدی — تیسیر الکریم الرحمن</w:t>
            </w:r>
          </w:p>
        </w:tc>
      </w:tr>
      <w:tr>
        <w:trPr>
          <w:cantSplit/>
        </w:trPr>
        <w:tc>
          <w:tcPr>
            <w:tcW w:type="dxa" w:w="5148"/>
            <w:vAlign w:val="top"/>
          </w:tcPr>
          <w:p>
            <w:pPr>
              <w:keepNext w:val="0"/>
              <w:widowControl/>
              <w:spacing w:after="0" w:before="0" w:lineRule="atLeast" w:line="250"/>
              <w:jc w:val="start"/>
              <w:bidi w:val="0"/>
            </w:pPr>
            <w:hyperlink w:anchor="ref_074">
              <w:r>
                <w:rPr>
                  <w:color w:val="245C7C"/>
                  <w:u w:val="single"/>
                  <w:rFonts w:ascii="Calibri" w:hAnsi="Calibri" w:cs="Calibri"/>
                  <w:sz w:val="18"/>
                  <w:szCs w:val="18"/>
                </w:rPr>
                <w:t>Reference 074</w:t>
              </w:r>
            </w:hyperlink>
            <w:r>
              <w:rPr>
                <w:rFonts w:ascii="Calibri" w:hAnsi="Calibri" w:cs="Calibri" w:eastAsia="Calibri"/>
                <w:b w:val="0"/>
                <w:color w:val="21313F"/>
                <w:sz w:val="19"/>
                <w:szCs w:val="19"/>
                <w:lang w:val="en-GB" w:bidi="ar-SA"/>
              </w:rPr>
              <w:t xml:space="preserve"> — Belief, obedience, forgiveness and return</w:t>
            </w:r>
          </w:p>
        </w:tc>
        <w:tc>
          <w:tcPr>
            <w:tcW w:type="dxa" w:w="5148"/>
            <w:vAlign w:val="top"/>
          </w:tcPr>
          <w:p>
            <w:pPr>
              <w:keepNext w:val="0"/>
              <w:widowControl/>
              <w:spacing w:after="0" w:before="0" w:lineRule="atLeast" w:line="300"/>
              <w:jc w:val="start"/>
              <w:bidi w:val="1"/>
            </w:pPr>
            <w:hyperlink w:anchor="ref_074">
              <w:r>
                <w:rPr>
                  <w:color w:val="245C7C"/>
                  <w:u w:val="single"/>
                  <w:rFonts w:ascii="Noto Naskh Arabic" w:hAnsi="Noto Naskh Arabic" w:cs="Noto Naskh Arabic"/>
                  <w:sz w:val="21"/>
                  <w:szCs w:val="21"/>
                  <w:rtl/>
                </w:rPr>
                <w:t>حوالہ 074</w:t>
              </w:r>
            </w:hyperlink>
            <w:r>
              <w:rPr>
                <w:rFonts w:ascii="Noto Naskh Arabic" w:hAnsi="Noto Naskh Arabic" w:cs="Noto Naskh Arabic" w:eastAsia="Noto Naskh Arabic"/>
                <w:b w:val="0"/>
                <w:color w:val="21313F"/>
                <w:sz w:val="21"/>
                <w:szCs w:val="21"/>
                <w:lang w:val="ur-PK" w:bidi="ur-PK"/>
                <w:rtl w:val="1"/>
              </w:rPr>
              <w:t xml:space="preserve"> — ایمان، اطاعت، مغفرت اور بازگشت</w:t>
            </w:r>
          </w:p>
        </w:tc>
      </w:tr>
      <w:tr>
        <w:trPr>
          <w:cantSplit/>
        </w:trPr>
        <w:tc>
          <w:tcPr>
            <w:tcW w:type="dxa" w:w="5148"/>
            <w:vAlign w:val="top"/>
          </w:tcPr>
          <w:p>
            <w:pPr>
              <w:keepNext w:val="0"/>
              <w:widowControl/>
              <w:spacing w:after="0" w:before="0" w:lineRule="atLeast" w:line="250"/>
              <w:jc w:val="start"/>
              <w:bidi w:val="0"/>
            </w:pPr>
            <w:hyperlink w:anchor="ref_075">
              <w:r>
                <w:rPr>
                  <w:color w:val="245C7C"/>
                  <w:u w:val="single"/>
                  <w:rFonts w:ascii="Calibri" w:hAnsi="Calibri" w:cs="Calibri"/>
                  <w:sz w:val="18"/>
                  <w:szCs w:val="18"/>
                </w:rPr>
                <w:t>Reference 075</w:t>
              </w:r>
            </w:hyperlink>
            <w:r>
              <w:rPr>
                <w:rFonts w:ascii="Calibri" w:hAnsi="Calibri" w:cs="Calibri" w:eastAsia="Calibri"/>
                <w:b w:val="0"/>
                <w:color w:val="21313F"/>
                <w:sz w:val="19"/>
                <w:szCs w:val="19"/>
                <w:lang w:val="en-GB" w:bidi="ar-SA"/>
              </w:rPr>
              <w:t xml:space="preserve"> — Decree as a framework for understanding events</w:t>
            </w:r>
          </w:p>
        </w:tc>
        <w:tc>
          <w:tcPr>
            <w:tcW w:type="dxa" w:w="5148"/>
            <w:vAlign w:val="top"/>
          </w:tcPr>
          <w:p>
            <w:pPr>
              <w:keepNext w:val="0"/>
              <w:widowControl/>
              <w:spacing w:after="0" w:before="0" w:lineRule="atLeast" w:line="300"/>
              <w:jc w:val="start"/>
              <w:bidi w:val="1"/>
            </w:pPr>
            <w:hyperlink w:anchor="ref_075">
              <w:r>
                <w:rPr>
                  <w:color w:val="245C7C"/>
                  <w:u w:val="single"/>
                  <w:rFonts w:ascii="Noto Naskh Arabic" w:hAnsi="Noto Naskh Arabic" w:cs="Noto Naskh Arabic"/>
                  <w:sz w:val="21"/>
                  <w:szCs w:val="21"/>
                  <w:rtl/>
                </w:rPr>
                <w:t>حوالہ 075</w:t>
              </w:r>
            </w:hyperlink>
            <w:r>
              <w:rPr>
                <w:rFonts w:ascii="Noto Naskh Arabic" w:hAnsi="Noto Naskh Arabic" w:cs="Noto Naskh Arabic" w:eastAsia="Noto Naskh Arabic"/>
                <w:b w:val="0"/>
                <w:color w:val="21313F"/>
                <w:sz w:val="21"/>
                <w:szCs w:val="21"/>
                <w:lang w:val="ur-PK" w:bidi="ur-PK"/>
                <w:rtl w:val="1"/>
              </w:rPr>
              <w:t xml:space="preserve"> — تقدیر بطور فہمِ واقعات کی بنیاد</w:t>
            </w:r>
          </w:p>
        </w:tc>
      </w:tr>
      <w:tr>
        <w:trPr>
          <w:cantSplit/>
        </w:trPr>
        <w:tc>
          <w:tcPr>
            <w:tcW w:type="dxa" w:w="5148"/>
            <w:vAlign w:val="top"/>
          </w:tcPr>
          <w:p>
            <w:pPr>
              <w:keepNext w:val="0"/>
              <w:widowControl/>
              <w:spacing w:after="0" w:before="0" w:lineRule="atLeast" w:line="250"/>
              <w:jc w:val="start"/>
              <w:bidi w:val="0"/>
            </w:pPr>
            <w:hyperlink w:anchor="ref_150">
              <w:r>
                <w:rPr>
                  <w:color w:val="245C7C"/>
                  <w:u w:val="single"/>
                  <w:rFonts w:ascii="Calibri" w:hAnsi="Calibri" w:cs="Calibri"/>
                  <w:sz w:val="18"/>
                  <w:szCs w:val="18"/>
                </w:rPr>
                <w:t>Reference 150</w:t>
              </w:r>
            </w:hyperlink>
            <w:r>
              <w:rPr>
                <w:rFonts w:ascii="Calibri" w:hAnsi="Calibri" w:cs="Calibri" w:eastAsia="Calibri"/>
                <w:b w:val="0"/>
                <w:color w:val="21313F"/>
                <w:sz w:val="19"/>
                <w:szCs w:val="19"/>
                <w:lang w:val="en-GB" w:bidi="ar-SA"/>
              </w:rPr>
              <w:t xml:space="preserve"> — Shared matters and consultative conduct</w:t>
            </w:r>
          </w:p>
        </w:tc>
        <w:tc>
          <w:tcPr>
            <w:tcW w:type="dxa" w:w="5148"/>
            <w:vAlign w:val="top"/>
          </w:tcPr>
          <w:p>
            <w:pPr>
              <w:keepNext w:val="0"/>
              <w:widowControl/>
              <w:spacing w:after="0" w:before="0" w:lineRule="atLeast" w:line="300"/>
              <w:jc w:val="start"/>
              <w:bidi w:val="1"/>
            </w:pPr>
            <w:hyperlink w:anchor="ref_150">
              <w:r>
                <w:rPr>
                  <w:color w:val="245C7C"/>
                  <w:u w:val="single"/>
                  <w:rFonts w:ascii="Noto Naskh Arabic" w:hAnsi="Noto Naskh Arabic" w:cs="Noto Naskh Arabic"/>
                  <w:sz w:val="21"/>
                  <w:szCs w:val="21"/>
                  <w:rtl/>
                </w:rPr>
                <w:t>حوالہ 150</w:t>
              </w:r>
            </w:hyperlink>
            <w:r>
              <w:rPr>
                <w:rFonts w:ascii="Noto Naskh Arabic" w:hAnsi="Noto Naskh Arabic" w:cs="Noto Naskh Arabic" w:eastAsia="Noto Naskh Arabic"/>
                <w:b w:val="0"/>
                <w:color w:val="21313F"/>
                <w:sz w:val="21"/>
                <w:szCs w:val="21"/>
                <w:lang w:val="ur-PK" w:bidi="ur-PK"/>
                <w:rtl w:val="1"/>
              </w:rPr>
              <w:t xml:space="preserve"> — مشترک امور اور مشاورتی طرزِ عمل</w:t>
            </w:r>
          </w:p>
        </w:tc>
      </w:tr>
      <w:tr>
        <w:trPr>
          <w:cantSplit/>
        </w:trPr>
        <w:tc>
          <w:tcPr>
            <w:tcW w:type="dxa" w:w="5148"/>
            <w:vAlign w:val="top"/>
          </w:tcPr>
          <w:p>
            <w:pPr>
              <w:keepNext w:val="0"/>
              <w:widowControl w:val="1"/>
              <w:bidi w:val="0"/>
              <w:jc w:val="start"/>
              <w:spacing w:before="0" w:after="20" w:line="250" w:lineRule="atLeast"/>
            </w:pPr>
            <w:hyperlink w:anchor="ref_160">
              <w:r>
                <w:rPr>
                  <w:rFonts w:ascii="Calibri" w:hAnsi="Calibri" w:cs="Calibri" w:eastAsia="Calibri"/>
                  <w:sz w:val="18"/>
                  <w:szCs w:val="18"/>
                  <w:b w:val="0"/>
                  <w:bCs w:val="0"/>
                  <w:color w:val="244B62"/>
                  <w:lang w:val="en-GB" w:bidi="en-GB"/>
                  <w:rtl w:val="0"/>
                  <w:u w:val="single"/>
                </w:rPr>
                <w:t>Reference 160</w:t>
              </w:r>
            </w:hyperlink>
            <w:r>
              <w:rPr>
                <w:rFonts w:ascii="Calibri" w:hAnsi="Calibri" w:cs="Calibri" w:eastAsia="Calibri"/>
                <w:sz w:val="18"/>
                <w:szCs w:val="18"/>
                <w:b w:val="0"/>
                <w:bCs w:val="0"/>
                <w:color w:val="21313F"/>
                <w:lang w:val="en-GB" w:bidi="en-GB"/>
                <w:rtl w:val="0"/>
              </w:rPr>
              <w:t xml:space="preserve"> — Moral desires, doubts and inward reform</w:t>
            </w:r>
          </w:p>
        </w:tc>
        <w:tc>
          <w:tcPr>
            <w:tcW w:type="dxa" w:w="5148"/>
            <w:vAlign w:val="top"/>
          </w:tcPr>
          <w:p>
            <w:pPr>
              <w:keepNext w:val="0"/>
              <w:widowControl w:val="1"/>
              <w:bidi w:val="1"/>
              <w:jc w:val="start"/>
              <w:spacing w:before="0" w:after="20" w:line="300" w:lineRule="atLeast"/>
            </w:pPr>
            <w:hyperlink w:anchor="ref_160">
              <w:r>
                <w:rPr>
                  <w:rFonts w:ascii="Noto Naskh Arabic" w:hAnsi="Noto Naskh Arabic" w:cs="Noto Naskh Arabic" w:eastAsia="Noto Naskh Arabic"/>
                  <w:sz w:val="20"/>
                  <w:szCs w:val="20"/>
                  <w:b w:val="0"/>
                  <w:bCs w:val="0"/>
                  <w:color w:val="244B62"/>
                  <w:lang w:val="ur-PK" w:bidi="ur-PK"/>
                  <w:rtl w:val="1"/>
                  <w:u w:val="single"/>
                </w:rPr>
                <w:t>حوالہ 160</w:t>
              </w:r>
            </w:hyperlink>
            <w:r>
              <w:rPr>
                <w:rFonts w:ascii="Noto Naskh Arabic" w:hAnsi="Noto Naskh Arabic" w:cs="Noto Naskh Arabic" w:eastAsia="Noto Naskh Arabic"/>
                <w:sz w:val="20"/>
                <w:szCs w:val="20"/>
                <w:b w:val="0"/>
                <w:bCs w:val="0"/>
                <w:color w:val="21313F"/>
                <w:lang w:val="ur-PK" w:bidi="ur-PK"/>
                <w:rtl w:val="1"/>
              </w:rPr>
              <w:t xml:space="preserve"> — خواہشات، شبہات اور باطنی اصلاح</w:t>
            </w:r>
          </w:p>
        </w:tc>
      </w:tr>
      <w:tr>
        <w:trPr>
          <w:cantSplit/>
        </w:trPr>
        <w:tc>
          <w:tcPr>
            <w:tcW w:type="dxa" w:w="5148"/>
            <w:vAlign w:val="top"/>
          </w:tcPr>
          <w:p>
            <w:pPr>
              <w:keepNext w:val="0"/>
              <w:widowControl w:val="1"/>
              <w:bidi w:val="0"/>
              <w:jc w:val="start"/>
              <w:spacing w:before="0" w:after="20" w:line="250" w:lineRule="atLeast"/>
            </w:pPr>
            <w:hyperlink w:anchor="ref_177">
              <w:r>
                <w:rPr>
                  <w:rFonts w:ascii="Calibri" w:hAnsi="Calibri" w:cs="Calibri" w:eastAsia="Calibri"/>
                  <w:sz w:val="18"/>
                  <w:szCs w:val="18"/>
                  <w:b w:val="0"/>
                  <w:bCs w:val="0"/>
                  <w:color w:val="244B62"/>
                  <w:lang w:val="en-GB" w:bidi="en-GB"/>
                  <w:rtl w:val="0"/>
                  <w:u w:val="single"/>
                </w:rPr>
                <w:t>Reference 177</w:t>
              </w:r>
            </w:hyperlink>
            <w:r>
              <w:rPr>
                <w:rFonts w:ascii="Calibri" w:hAnsi="Calibri" w:cs="Calibri" w:eastAsia="Calibri"/>
                <w:sz w:val="18"/>
                <w:szCs w:val="18"/>
                <w:b w:val="0"/>
                <w:bCs w:val="0"/>
                <w:color w:val="21313F"/>
                <w:lang w:val="en-GB" w:bidi="en-GB"/>
                <w:rtl w:val="0"/>
              </w:rPr>
              <w:t xml:space="preserve"> — Knowledge joined to worship and moral judgement</w:t>
            </w:r>
          </w:p>
        </w:tc>
        <w:tc>
          <w:tcPr>
            <w:tcW w:type="dxa" w:w="5148"/>
            <w:vAlign w:val="top"/>
          </w:tcPr>
          <w:p>
            <w:pPr>
              <w:keepNext w:val="0"/>
              <w:widowControl w:val="1"/>
              <w:bidi w:val="1"/>
              <w:jc w:val="start"/>
              <w:spacing w:before="0" w:after="20" w:line="300" w:lineRule="atLeast"/>
            </w:pPr>
            <w:hyperlink w:anchor="ref_177">
              <w:r>
                <w:rPr>
                  <w:rFonts w:ascii="Noto Naskh Arabic" w:hAnsi="Noto Naskh Arabic" w:cs="Noto Naskh Arabic" w:eastAsia="Noto Naskh Arabic"/>
                  <w:sz w:val="20"/>
                  <w:szCs w:val="20"/>
                  <w:b w:val="0"/>
                  <w:bCs w:val="0"/>
                  <w:color w:val="244B62"/>
                  <w:lang w:val="ur-PK" w:bidi="ur-PK"/>
                  <w:rtl w:val="1"/>
                  <w:u w:val="single"/>
                </w:rPr>
                <w:t>حوالہ 177</w:t>
              </w:r>
            </w:hyperlink>
            <w:r>
              <w:rPr>
                <w:rFonts w:ascii="Noto Naskh Arabic" w:hAnsi="Noto Naskh Arabic" w:cs="Noto Naskh Arabic" w:eastAsia="Noto Naskh Arabic"/>
                <w:sz w:val="20"/>
                <w:szCs w:val="20"/>
                <w:b w:val="0"/>
                <w:bCs w:val="0"/>
                <w:color w:val="21313F"/>
                <w:lang w:val="ur-PK" w:bidi="ur-PK"/>
                <w:rtl w:val="1"/>
              </w:rPr>
              <w:t xml:space="preserve"> — علم، عبادت اور اخلاقی فیصلے کا تعلق</w:t>
            </w:r>
          </w:p>
        </w:tc>
      </w:tr>
      <w:tr>
        <w:trPr>
          <w:cantSplit/>
        </w:trPr>
        <w:tc>
          <w:tcPr>
            <w:tcW w:type="dxa" w:w="5148"/>
            <w:vAlign w:val="top"/>
          </w:tcPr>
          <w:p>
            <w:pPr>
              <w:keepNext w:val="0"/>
              <w:widowControl w:val="1"/>
              <w:bidi w:val="0"/>
              <w:jc w:val="start"/>
              <w:spacing w:before="0" w:after="20" w:line="250" w:lineRule="atLeast"/>
            </w:pPr>
            <w:hyperlink w:anchor="ref_192">
              <w:r>
                <w:rPr>
                  <w:rFonts w:ascii="Calibri" w:hAnsi="Calibri" w:cs="Calibri" w:eastAsia="Calibri"/>
                  <w:sz w:val="18"/>
                  <w:szCs w:val="18"/>
                  <w:b w:val="0"/>
                  <w:bCs w:val="0"/>
                  <w:color w:val="244B62"/>
                  <w:lang w:val="en-GB" w:bidi="en-GB"/>
                  <w:rtl w:val="0"/>
                  <w:u w:val="single"/>
                </w:rPr>
                <w:t>Reference 192</w:t>
              </w:r>
            </w:hyperlink>
            <w:r>
              <w:rPr>
                <w:rFonts w:ascii="Calibri" w:hAnsi="Calibri" w:cs="Calibri" w:eastAsia="Calibri"/>
                <w:sz w:val="18"/>
                <w:szCs w:val="18"/>
                <w:b w:val="0"/>
                <w:bCs w:val="0"/>
                <w:color w:val="21313F"/>
                <w:lang w:val="en-GB" w:bidi="en-GB"/>
                <w:rtl w:val="0"/>
              </w:rPr>
              <w:t xml:space="preserve"> — Belief in decree and steadiness during loss</w:t>
            </w:r>
          </w:p>
        </w:tc>
        <w:tc>
          <w:tcPr>
            <w:tcW w:type="dxa" w:w="5148"/>
            <w:vAlign w:val="top"/>
          </w:tcPr>
          <w:p>
            <w:pPr>
              <w:keepNext w:val="0"/>
              <w:widowControl w:val="1"/>
              <w:bidi w:val="1"/>
              <w:jc w:val="start"/>
              <w:spacing w:before="0" w:after="20" w:line="300" w:lineRule="atLeast"/>
            </w:pPr>
            <w:hyperlink w:anchor="ref_192">
              <w:r>
                <w:rPr>
                  <w:rFonts w:ascii="Noto Naskh Arabic" w:hAnsi="Noto Naskh Arabic" w:cs="Noto Naskh Arabic" w:eastAsia="Noto Naskh Arabic"/>
                  <w:sz w:val="20"/>
                  <w:szCs w:val="20"/>
                  <w:b w:val="0"/>
                  <w:bCs w:val="0"/>
                  <w:color w:val="244B62"/>
                  <w:lang w:val="ur-PK" w:bidi="ur-PK"/>
                  <w:rtl w:val="1"/>
                  <w:u w:val="single"/>
                </w:rPr>
                <w:t>حوالہ 192</w:t>
              </w:r>
            </w:hyperlink>
            <w:r>
              <w:rPr>
                <w:rFonts w:ascii="Noto Naskh Arabic" w:hAnsi="Noto Naskh Arabic" w:cs="Noto Naskh Arabic" w:eastAsia="Noto Naskh Arabic"/>
                <w:sz w:val="20"/>
                <w:szCs w:val="20"/>
                <w:b w:val="0"/>
                <w:bCs w:val="0"/>
                <w:color w:val="21313F"/>
                <w:lang w:val="ur-PK" w:bidi="ur-PK"/>
                <w:rtl w:val="1"/>
              </w:rPr>
              <w:t xml:space="preserve"> — تقدیر پر ایمان اور نقصان کے وقت ثابت قدمی</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Maududi — Tafhim al-Quran</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مودودی — تفہیم القرآن</w:t>
            </w:r>
          </w:p>
        </w:tc>
      </w:tr>
      <w:tr>
        <w:trPr>
          <w:cantSplit/>
        </w:trPr>
        <w:tc>
          <w:tcPr>
            <w:tcW w:type="dxa" w:w="5148"/>
            <w:vAlign w:val="top"/>
          </w:tcPr>
          <w:p>
            <w:pPr>
              <w:keepNext w:val="0"/>
              <w:widowControl/>
              <w:spacing w:after="0" w:before="0" w:lineRule="atLeast" w:line="250"/>
              <w:jc w:val="start"/>
              <w:bidi w:val="0"/>
            </w:pPr>
            <w:hyperlink w:anchor="ref_011">
              <w:r>
                <w:rPr>
                  <w:color w:val="245C7C"/>
                  <w:u w:val="single"/>
                  <w:rFonts w:ascii="Calibri" w:hAnsi="Calibri" w:cs="Calibri"/>
                  <w:sz w:val="18"/>
                  <w:szCs w:val="18"/>
                </w:rPr>
                <w:t>Reference 011</w:t>
              </w:r>
            </w:hyperlink>
            <w:r>
              <w:rPr>
                <w:rFonts w:ascii="Calibri" w:hAnsi="Calibri" w:cs="Calibri" w:eastAsia="Calibri"/>
                <w:b w:val="0"/>
                <w:color w:val="21313F"/>
                <w:sz w:val="19"/>
                <w:szCs w:val="19"/>
                <w:lang w:val="en-GB" w:bidi="ar-SA"/>
              </w:rPr>
              <w:t xml:space="preserve"> — Submission and an integrated religious life</w:t>
            </w:r>
          </w:p>
        </w:tc>
        <w:tc>
          <w:tcPr>
            <w:tcW w:type="dxa" w:w="5148"/>
            <w:vAlign w:val="top"/>
          </w:tcPr>
          <w:p>
            <w:pPr>
              <w:keepNext w:val="0"/>
              <w:widowControl/>
              <w:spacing w:after="0" w:before="0" w:lineRule="atLeast" w:line="300"/>
              <w:jc w:val="start"/>
              <w:bidi w:val="1"/>
            </w:pPr>
            <w:hyperlink w:anchor="ref_011">
              <w:r>
                <w:rPr>
                  <w:color w:val="245C7C"/>
                  <w:u w:val="single"/>
                  <w:rFonts w:ascii="Noto Naskh Arabic" w:hAnsi="Noto Naskh Arabic" w:cs="Noto Naskh Arabic"/>
                  <w:sz w:val="21"/>
                  <w:szCs w:val="21"/>
                  <w:rtl/>
                </w:rPr>
                <w:t>حوالہ 011</w:t>
              </w:r>
            </w:hyperlink>
            <w:r>
              <w:rPr>
                <w:rFonts w:ascii="Noto Naskh Arabic" w:hAnsi="Noto Naskh Arabic" w:cs="Noto Naskh Arabic" w:eastAsia="Noto Naskh Arabic"/>
                <w:b w:val="0"/>
                <w:color w:val="21313F"/>
                <w:sz w:val="21"/>
                <w:szCs w:val="21"/>
                <w:lang w:val="ur-PK" w:bidi="ur-PK"/>
                <w:rtl w:val="1"/>
              </w:rPr>
              <w:t xml:space="preserve"> — اطاعت اور مربوط دینی زندگی</w:t>
            </w:r>
          </w:p>
        </w:tc>
      </w:tr>
      <w:tr>
        <w:trPr>
          <w:cantSplit/>
        </w:trPr>
        <w:tc>
          <w:tcPr>
            <w:tcW w:type="dxa" w:w="5148"/>
            <w:vAlign w:val="top"/>
          </w:tcPr>
          <w:p>
            <w:pPr>
              <w:keepNext w:val="0"/>
              <w:widowControl/>
              <w:spacing w:after="0" w:before="0" w:lineRule="atLeast" w:line="250"/>
              <w:jc w:val="start"/>
              <w:bidi w:val="0"/>
            </w:pPr>
            <w:hyperlink w:anchor="ref_032">
              <w:r>
                <w:rPr>
                  <w:color w:val="245C7C"/>
                  <w:u w:val="single"/>
                  <w:rFonts w:ascii="Calibri" w:hAnsi="Calibri" w:cs="Calibri"/>
                  <w:sz w:val="18"/>
                  <w:szCs w:val="18"/>
                </w:rPr>
                <w:t>Reference 032</w:t>
              </w:r>
            </w:hyperlink>
            <w:r>
              <w:rPr>
                <w:rFonts w:ascii="Calibri" w:hAnsi="Calibri" w:cs="Calibri" w:eastAsia="Calibri"/>
                <w:b w:val="0"/>
                <w:color w:val="21313F"/>
                <w:sz w:val="19"/>
                <w:szCs w:val="19"/>
                <w:lang w:val="en-GB" w:bidi="ar-SA"/>
              </w:rPr>
              <w:t xml:space="preserve"> — Din as law: a modern interpretive discussion</w:t>
            </w:r>
          </w:p>
        </w:tc>
        <w:tc>
          <w:tcPr>
            <w:tcW w:type="dxa" w:w="5148"/>
            <w:vAlign w:val="top"/>
          </w:tcPr>
          <w:p>
            <w:pPr>
              <w:keepNext w:val="0"/>
              <w:widowControl/>
              <w:spacing w:after="0" w:before="0" w:lineRule="atLeast" w:line="300"/>
              <w:jc w:val="start"/>
              <w:bidi w:val="1"/>
            </w:pPr>
            <w:hyperlink w:anchor="ref_032">
              <w:r>
                <w:rPr>
                  <w:color w:val="245C7C"/>
                  <w:u w:val="single"/>
                  <w:rFonts w:ascii="Noto Naskh Arabic" w:hAnsi="Noto Naskh Arabic" w:cs="Noto Naskh Arabic"/>
                  <w:sz w:val="21"/>
                  <w:szCs w:val="21"/>
                  <w:rtl/>
                </w:rPr>
                <w:t>حوالہ 032</w:t>
              </w:r>
            </w:hyperlink>
            <w:r>
              <w:rPr>
                <w:rFonts w:ascii="Noto Naskh Arabic" w:hAnsi="Noto Naskh Arabic" w:cs="Noto Naskh Arabic" w:eastAsia="Noto Naskh Arabic"/>
                <w:b w:val="0"/>
                <w:color w:val="21313F"/>
                <w:sz w:val="21"/>
                <w:szCs w:val="21"/>
                <w:lang w:val="ur-PK" w:bidi="ur-PK"/>
                <w:rtl w:val="1"/>
              </w:rPr>
              <w:t xml:space="preserve"> — دین بمعنی قانون: جدید تفسیری بحث</w:t>
            </w:r>
          </w:p>
        </w:tc>
      </w:tr>
      <w:tr>
        <w:trPr>
          <w:cantSplit/>
        </w:trPr>
        <w:tc>
          <w:tcPr>
            <w:tcW w:type="dxa" w:w="5148"/>
            <w:vAlign w:val="top"/>
          </w:tcPr>
          <w:p>
            <w:pPr>
              <w:keepNext w:val="0"/>
              <w:widowControl/>
              <w:spacing w:after="0" w:before="0" w:lineRule="atLeast" w:line="250"/>
              <w:jc w:val="start"/>
              <w:bidi w:val="0"/>
            </w:pPr>
            <w:hyperlink w:anchor="ref_097">
              <w:r>
                <w:rPr>
                  <w:color w:val="245C7C"/>
                  <w:u w:val="single"/>
                  <w:rFonts w:ascii="Calibri" w:hAnsi="Calibri" w:cs="Calibri"/>
                  <w:sz w:val="18"/>
                  <w:szCs w:val="18"/>
                </w:rPr>
                <w:t>Reference 097</w:t>
              </w:r>
            </w:hyperlink>
            <w:r>
              <w:rPr>
                <w:rFonts w:ascii="Calibri" w:hAnsi="Calibri" w:cs="Calibri" w:eastAsia="Calibri"/>
                <w:b w:val="0"/>
                <w:color w:val="21313F"/>
                <w:sz w:val="19"/>
                <w:szCs w:val="19"/>
                <w:lang w:val="en-GB" w:bidi="ar-SA"/>
              </w:rPr>
              <w:t xml:space="preserve"> — Khushu: inner attention and outward discipline</w:t>
            </w:r>
          </w:p>
        </w:tc>
        <w:tc>
          <w:tcPr>
            <w:tcW w:type="dxa" w:w="5148"/>
            <w:vAlign w:val="top"/>
          </w:tcPr>
          <w:p>
            <w:pPr>
              <w:keepNext w:val="0"/>
              <w:widowControl/>
              <w:spacing w:after="0" w:before="0" w:lineRule="atLeast" w:line="300"/>
              <w:jc w:val="start"/>
              <w:bidi w:val="1"/>
            </w:pPr>
            <w:hyperlink w:anchor="ref_097">
              <w:r>
                <w:rPr>
                  <w:color w:val="245C7C"/>
                  <w:u w:val="single"/>
                  <w:rFonts w:ascii="Noto Naskh Arabic" w:hAnsi="Noto Naskh Arabic" w:cs="Noto Naskh Arabic"/>
                  <w:sz w:val="21"/>
                  <w:szCs w:val="21"/>
                  <w:rtl/>
                </w:rPr>
                <w:t>حوالہ 097</w:t>
              </w:r>
            </w:hyperlink>
            <w:r>
              <w:rPr>
                <w:rFonts w:ascii="Noto Naskh Arabic" w:hAnsi="Noto Naskh Arabic" w:cs="Noto Naskh Arabic" w:eastAsia="Noto Naskh Arabic"/>
                <w:b w:val="0"/>
                <w:color w:val="21313F"/>
                <w:sz w:val="21"/>
                <w:szCs w:val="21"/>
                <w:lang w:val="ur-PK" w:bidi="ur-PK"/>
                <w:rtl w:val="1"/>
              </w:rPr>
              <w:t xml:space="preserve"> — خشوع: باطنی توجہ اور ظاہری ضبط</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Al-Hammad — Hidayat al-Qari</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حماد — ہدایۃ القاری</w:t>
            </w:r>
          </w:p>
        </w:tc>
      </w:tr>
      <w:tr>
        <w:trPr>
          <w:cantSplit/>
        </w:trPr>
        <w:tc>
          <w:tcPr>
            <w:tcW w:type="dxa" w:w="5148"/>
            <w:vAlign w:val="top"/>
          </w:tcPr>
          <w:p>
            <w:pPr>
              <w:keepNext w:val="0"/>
              <w:widowControl/>
              <w:spacing w:after="0" w:before="0" w:lineRule="atLeast" w:line="250"/>
              <w:jc w:val="start"/>
              <w:bidi w:val="0"/>
            </w:pPr>
            <w:hyperlink w:anchor="ref_084">
              <w:r>
                <w:rPr>
                  <w:color w:val="245C7C"/>
                  <w:u w:val="single"/>
                  <w:rFonts w:ascii="Calibri" w:hAnsi="Calibri" w:cs="Calibri"/>
                  <w:sz w:val="18"/>
                  <w:szCs w:val="18"/>
                </w:rPr>
                <w:t>Reference 084</w:t>
              </w:r>
            </w:hyperlink>
            <w:r>
              <w:rPr>
                <w:rFonts w:ascii="Calibri" w:hAnsi="Calibri" w:cs="Calibri" w:eastAsia="Calibri"/>
                <w:b w:val="0"/>
                <w:color w:val="21313F"/>
                <w:sz w:val="19"/>
                <w:szCs w:val="19"/>
                <w:lang w:val="en-GB" w:bidi="ar-SA"/>
              </w:rPr>
              <w:t xml:space="preserve"> — The pillars and the wider content of faith</w:t>
            </w:r>
          </w:p>
        </w:tc>
        <w:tc>
          <w:tcPr>
            <w:tcW w:type="dxa" w:w="5148"/>
            <w:vAlign w:val="top"/>
          </w:tcPr>
          <w:p>
            <w:pPr>
              <w:keepNext w:val="0"/>
              <w:widowControl/>
              <w:spacing w:after="0" w:before="0" w:lineRule="atLeast" w:line="300"/>
              <w:jc w:val="start"/>
              <w:bidi w:val="1"/>
            </w:pPr>
            <w:hyperlink w:anchor="ref_084">
              <w:r>
                <w:rPr>
                  <w:color w:val="245C7C"/>
                  <w:u w:val="single"/>
                  <w:rFonts w:ascii="Noto Naskh Arabic" w:hAnsi="Noto Naskh Arabic" w:cs="Noto Naskh Arabic"/>
                  <w:sz w:val="21"/>
                  <w:szCs w:val="21"/>
                  <w:rtl/>
                </w:rPr>
                <w:t>حوالہ 084</w:t>
              </w:r>
            </w:hyperlink>
            <w:r>
              <w:rPr>
                <w:rFonts w:ascii="Noto Naskh Arabic" w:hAnsi="Noto Naskh Arabic" w:cs="Noto Naskh Arabic" w:eastAsia="Noto Naskh Arabic"/>
                <w:b w:val="0"/>
                <w:color w:val="21313F"/>
                <w:sz w:val="21"/>
                <w:szCs w:val="21"/>
                <w:lang w:val="ur-PK" w:bidi="ur-PK"/>
                <w:rtl w:val="1"/>
              </w:rPr>
              <w:t xml:space="preserve"> — ارکان اور ایمان کا وسیع مفہوم</w:t>
            </w:r>
          </w:p>
        </w:tc>
      </w:tr>
      <w:tr>
        <w:trPr>
          <w:cantSplit/>
        </w:trPr>
        <w:tc>
          <w:tcPr>
            <w:tcW w:type="dxa" w:w="5148"/>
            <w:vAlign w:val="top"/>
          </w:tcPr>
          <w:p>
            <w:pPr>
              <w:keepNext w:val="0"/>
              <w:widowControl/>
              <w:spacing w:after="0" w:before="0" w:lineRule="atLeast" w:line="250"/>
              <w:jc w:val="start"/>
              <w:bidi w:val="0"/>
            </w:pPr>
            <w:hyperlink w:anchor="ref_085">
              <w:r>
                <w:rPr>
                  <w:color w:val="245C7C"/>
                  <w:u w:val="single"/>
                  <w:rFonts w:ascii="Calibri" w:hAnsi="Calibri" w:cs="Calibri"/>
                  <w:sz w:val="18"/>
                  <w:szCs w:val="18"/>
                </w:rPr>
                <w:t>Reference 085</w:t>
              </w:r>
            </w:hyperlink>
            <w:r>
              <w:rPr>
                <w:rFonts w:ascii="Calibri" w:hAnsi="Calibri" w:cs="Calibri" w:eastAsia="Calibri"/>
                <w:b w:val="0"/>
                <w:color w:val="21313F"/>
                <w:sz w:val="19"/>
                <w:szCs w:val="19"/>
                <w:lang w:val="en-GB" w:bidi="ar-SA"/>
              </w:rPr>
              <w:t xml:space="preserve"> — Intention does not replace the lawfulness of an act</w:t>
            </w:r>
          </w:p>
        </w:tc>
        <w:tc>
          <w:tcPr>
            <w:tcW w:type="dxa" w:w="5148"/>
            <w:vAlign w:val="top"/>
          </w:tcPr>
          <w:p>
            <w:pPr>
              <w:keepNext w:val="0"/>
              <w:widowControl/>
              <w:spacing w:after="0" w:before="0" w:lineRule="atLeast" w:line="300"/>
              <w:jc w:val="start"/>
              <w:bidi w:val="1"/>
            </w:pPr>
            <w:hyperlink w:anchor="ref_085">
              <w:r>
                <w:rPr>
                  <w:color w:val="245C7C"/>
                  <w:u w:val="single"/>
                  <w:rFonts w:ascii="Noto Naskh Arabic" w:hAnsi="Noto Naskh Arabic" w:cs="Noto Naskh Arabic"/>
                  <w:sz w:val="21"/>
                  <w:szCs w:val="21"/>
                  <w:rtl/>
                </w:rPr>
                <w:t>حوالہ 085</w:t>
              </w:r>
            </w:hyperlink>
            <w:r>
              <w:rPr>
                <w:rFonts w:ascii="Noto Naskh Arabic" w:hAnsi="Noto Naskh Arabic" w:cs="Noto Naskh Arabic" w:eastAsia="Noto Naskh Arabic"/>
                <w:b w:val="0"/>
                <w:color w:val="21313F"/>
                <w:sz w:val="21"/>
                <w:szCs w:val="21"/>
                <w:lang w:val="ur-PK" w:bidi="ur-PK"/>
                <w:rtl w:val="1"/>
              </w:rPr>
              <w:t xml:space="preserve"> — نیت عمل کے جائز ہونے کا بدل نہیں</w:t>
            </w:r>
          </w:p>
        </w:tc>
      </w:tr>
      <w:tr>
        <w:trPr>
          <w:cantSplit/>
        </w:trPr>
        <w:tc>
          <w:tcPr>
            <w:tcW w:type="dxa" w:w="5148"/>
            <w:vAlign w:val="top"/>
          </w:tcPr>
          <w:p>
            <w:pPr>
              <w:keepNext w:val="0"/>
              <w:widowControl/>
              <w:spacing w:after="0" w:before="0" w:lineRule="atLeast" w:line="250"/>
              <w:jc w:val="start"/>
              <w:bidi w:val="0"/>
            </w:pPr>
            <w:hyperlink w:anchor="ref_118">
              <w:r>
                <w:rPr>
                  <w:color w:val="245C7C"/>
                  <w:u w:val="single"/>
                  <w:rFonts w:ascii="Calibri" w:hAnsi="Calibri" w:cs="Calibri"/>
                  <w:sz w:val="18"/>
                  <w:szCs w:val="18"/>
                </w:rPr>
                <w:t>Reference 118</w:t>
              </w:r>
            </w:hyperlink>
            <w:r>
              <w:rPr>
                <w:rFonts w:ascii="Calibri" w:hAnsi="Calibri" w:cs="Calibri" w:eastAsia="Calibri"/>
                <w:b w:val="0"/>
                <w:color w:val="21313F"/>
                <w:sz w:val="19"/>
                <w:szCs w:val="19"/>
                <w:lang w:val="en-GB" w:bidi="ar-SA"/>
              </w:rPr>
              <w:t xml:space="preserve"> — Local distribution and transfer of zakat</w:t>
            </w:r>
          </w:p>
        </w:tc>
        <w:tc>
          <w:tcPr>
            <w:tcW w:type="dxa" w:w="5148"/>
            <w:vAlign w:val="top"/>
          </w:tcPr>
          <w:p>
            <w:pPr>
              <w:keepNext w:val="0"/>
              <w:widowControl/>
              <w:spacing w:after="0" w:before="0" w:lineRule="atLeast" w:line="300"/>
              <w:jc w:val="start"/>
              <w:bidi w:val="1"/>
            </w:pPr>
            <w:hyperlink w:anchor="ref_118">
              <w:r>
                <w:rPr>
                  <w:color w:val="245C7C"/>
                  <w:u w:val="single"/>
                  <w:rFonts w:ascii="Noto Naskh Arabic" w:hAnsi="Noto Naskh Arabic" w:cs="Noto Naskh Arabic"/>
                  <w:sz w:val="21"/>
                  <w:szCs w:val="21"/>
                  <w:rtl/>
                </w:rPr>
                <w:t>حوالہ 118</w:t>
              </w:r>
            </w:hyperlink>
            <w:r>
              <w:rPr>
                <w:rFonts w:ascii="Noto Naskh Arabic" w:hAnsi="Noto Naskh Arabic" w:cs="Noto Naskh Arabic" w:eastAsia="Noto Naskh Arabic"/>
                <w:b w:val="0"/>
                <w:color w:val="21313F"/>
                <w:sz w:val="21"/>
                <w:szCs w:val="21"/>
                <w:lang w:val="ur-PK" w:bidi="ur-PK"/>
                <w:rtl w:val="1"/>
              </w:rPr>
              <w:t xml:space="preserve"> — مقامی تقسیم اور زکوٰۃ کی منتقلی</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Ibn Taymiyyah — Al-Ubudiyyah</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ابن تیمیہ — العبودیہ</w:t>
            </w:r>
          </w:p>
        </w:tc>
      </w:tr>
      <w:tr>
        <w:trPr>
          <w:cantSplit/>
        </w:trPr>
        <w:tc>
          <w:tcPr>
            <w:tcW w:type="dxa" w:w="5148"/>
            <w:vAlign w:val="top"/>
          </w:tcPr>
          <w:p>
            <w:pPr>
              <w:keepNext w:val="0"/>
              <w:widowControl/>
              <w:spacing w:after="0" w:before="0" w:lineRule="atLeast" w:line="250"/>
              <w:jc w:val="start"/>
              <w:bidi w:val="0"/>
            </w:pPr>
            <w:hyperlink w:anchor="ref_012">
              <w:r>
                <w:rPr>
                  <w:color w:val="245C7C"/>
                  <w:u w:val="single"/>
                  <w:rFonts w:ascii="Calibri" w:hAnsi="Calibri" w:cs="Calibri"/>
                  <w:sz w:val="18"/>
                  <w:szCs w:val="18"/>
                </w:rPr>
                <w:t>Reference 012</w:t>
              </w:r>
            </w:hyperlink>
            <w:r>
              <w:rPr>
                <w:rFonts w:ascii="Calibri" w:hAnsi="Calibri" w:cs="Calibri" w:eastAsia="Calibri"/>
                <w:b w:val="0"/>
                <w:color w:val="21313F"/>
                <w:sz w:val="19"/>
                <w:szCs w:val="19"/>
                <w:lang w:val="en-GB" w:bidi="ar-SA"/>
              </w:rPr>
              <w:t xml:space="preserve"> — Worship includes inward and outward obedience</w:t>
            </w:r>
          </w:p>
        </w:tc>
        <w:tc>
          <w:tcPr>
            <w:tcW w:type="dxa" w:w="5148"/>
            <w:vAlign w:val="top"/>
          </w:tcPr>
          <w:p>
            <w:pPr>
              <w:keepNext w:val="0"/>
              <w:widowControl/>
              <w:spacing w:after="0" w:before="0" w:lineRule="atLeast" w:line="300"/>
              <w:jc w:val="start"/>
              <w:bidi w:val="1"/>
            </w:pPr>
            <w:hyperlink w:anchor="ref_012">
              <w:r>
                <w:rPr>
                  <w:color w:val="245C7C"/>
                  <w:u w:val="single"/>
                  <w:rFonts w:ascii="Noto Naskh Arabic" w:hAnsi="Noto Naskh Arabic" w:cs="Noto Naskh Arabic"/>
                  <w:sz w:val="21"/>
                  <w:szCs w:val="21"/>
                  <w:rtl/>
                </w:rPr>
                <w:t>حوالہ 012</w:t>
              </w:r>
            </w:hyperlink>
            <w:r>
              <w:rPr>
                <w:rFonts w:ascii="Noto Naskh Arabic" w:hAnsi="Noto Naskh Arabic" w:cs="Noto Naskh Arabic" w:eastAsia="Noto Naskh Arabic"/>
                <w:b w:val="0"/>
                <w:color w:val="21313F"/>
                <w:sz w:val="21"/>
                <w:szCs w:val="21"/>
                <w:lang w:val="ur-PK" w:bidi="ur-PK"/>
                <w:rtl w:val="1"/>
              </w:rPr>
              <w:t xml:space="preserve"> — عبادت میں باطنی اور ظاہری اطاعت شامل ہے</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Al-Ghazali — Ihya Ulum al-Din</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غزالی — احیاء علوم الدین</w:t>
            </w:r>
          </w:p>
        </w:tc>
      </w:tr>
      <w:tr>
        <w:trPr>
          <w:cantSplit/>
        </w:trPr>
        <w:tc>
          <w:tcPr>
            <w:tcW w:type="dxa" w:w="5148"/>
            <w:vAlign w:val="top"/>
          </w:tcPr>
          <w:p>
            <w:pPr>
              <w:keepNext w:val="0"/>
              <w:widowControl/>
              <w:spacing w:after="0" w:before="0" w:lineRule="atLeast" w:line="250"/>
              <w:jc w:val="start"/>
              <w:bidi w:val="0"/>
            </w:pPr>
            <w:hyperlink w:anchor="ref_027">
              <w:r>
                <w:rPr>
                  <w:color w:val="245C7C"/>
                  <w:u w:val="single"/>
                  <w:rFonts w:ascii="Calibri" w:hAnsi="Calibri" w:cs="Calibri"/>
                  <w:sz w:val="18"/>
                  <w:szCs w:val="18"/>
                </w:rPr>
                <w:t>Reference 027</w:t>
              </w:r>
            </w:hyperlink>
            <w:r>
              <w:rPr>
                <w:rFonts w:ascii="Calibri" w:hAnsi="Calibri" w:cs="Calibri" w:eastAsia="Calibri"/>
                <w:b w:val="0"/>
                <w:color w:val="21313F"/>
                <w:sz w:val="19"/>
                <w:szCs w:val="19"/>
                <w:lang w:val="en-GB" w:bidi="ar-SA"/>
              </w:rPr>
              <w:t xml:space="preserve"> — Reasoned discussion of belief according to need</w:t>
            </w:r>
          </w:p>
        </w:tc>
        <w:tc>
          <w:tcPr>
            <w:tcW w:type="dxa" w:w="5148"/>
            <w:vAlign w:val="top"/>
          </w:tcPr>
          <w:p>
            <w:pPr>
              <w:keepNext w:val="0"/>
              <w:widowControl/>
              <w:spacing w:after="0" w:before="0" w:lineRule="atLeast" w:line="300"/>
              <w:jc w:val="start"/>
              <w:bidi w:val="1"/>
            </w:pPr>
            <w:hyperlink w:anchor="ref_027">
              <w:r>
                <w:rPr>
                  <w:color w:val="245C7C"/>
                  <w:u w:val="single"/>
                  <w:rFonts w:ascii="Noto Naskh Arabic" w:hAnsi="Noto Naskh Arabic" w:cs="Noto Naskh Arabic"/>
                  <w:sz w:val="21"/>
                  <w:szCs w:val="21"/>
                  <w:rtl/>
                </w:rPr>
                <w:t>حوالہ 027</w:t>
              </w:r>
            </w:hyperlink>
            <w:r>
              <w:rPr>
                <w:rFonts w:ascii="Noto Naskh Arabic" w:hAnsi="Noto Naskh Arabic" w:cs="Noto Naskh Arabic" w:eastAsia="Noto Naskh Arabic"/>
                <w:b w:val="0"/>
                <w:color w:val="21313F"/>
                <w:sz w:val="21"/>
                <w:szCs w:val="21"/>
                <w:lang w:val="ur-PK" w:bidi="ur-PK"/>
                <w:rtl w:val="1"/>
              </w:rPr>
              <w:t xml:space="preserve"> — ضرورت کے مطابق عقائد کی استدلالی بحث</w:t>
            </w:r>
          </w:p>
        </w:tc>
      </w:tr>
      <w:tr>
        <w:trPr>
          <w:cantSplit/>
        </w:trPr>
        <w:tc>
          <w:tcPr>
            <w:tcW w:type="dxa" w:w="5148"/>
            <w:vAlign w:val="top"/>
          </w:tcPr>
          <w:p>
            <w:pPr>
              <w:keepNext w:val="0"/>
              <w:widowControl/>
              <w:spacing w:after="0" w:before="0" w:lineRule="atLeast" w:line="250"/>
              <w:jc w:val="start"/>
              <w:bidi w:val="0"/>
            </w:pPr>
            <w:hyperlink w:anchor="ref_099">
              <w:r>
                <w:rPr>
                  <w:color w:val="245C7C"/>
                  <w:u w:val="single"/>
                  <w:rFonts w:ascii="Calibri" w:hAnsi="Calibri" w:cs="Calibri"/>
                  <w:sz w:val="18"/>
                  <w:szCs w:val="18"/>
                </w:rPr>
                <w:t>Reference 099</w:t>
              </w:r>
            </w:hyperlink>
            <w:r>
              <w:rPr>
                <w:rFonts w:ascii="Calibri" w:hAnsi="Calibri" w:cs="Calibri" w:eastAsia="Calibri"/>
                <w:b w:val="0"/>
                <w:color w:val="21313F"/>
                <w:sz w:val="19"/>
                <w:szCs w:val="19"/>
                <w:lang w:val="en-GB" w:bidi="ar-SA"/>
              </w:rPr>
              <w:t xml:space="preserve"> — Purification of conduct and the heart</w:t>
            </w:r>
          </w:p>
        </w:tc>
        <w:tc>
          <w:tcPr>
            <w:tcW w:type="dxa" w:w="5148"/>
            <w:vAlign w:val="top"/>
          </w:tcPr>
          <w:p>
            <w:pPr>
              <w:keepNext w:val="0"/>
              <w:widowControl/>
              <w:spacing w:after="0" w:before="0" w:lineRule="atLeast" w:line="300"/>
              <w:jc w:val="start"/>
              <w:bidi w:val="1"/>
            </w:pPr>
            <w:hyperlink w:anchor="ref_099">
              <w:r>
                <w:rPr>
                  <w:color w:val="245C7C"/>
                  <w:u w:val="single"/>
                  <w:rFonts w:ascii="Noto Naskh Arabic" w:hAnsi="Noto Naskh Arabic" w:cs="Noto Naskh Arabic"/>
                  <w:sz w:val="21"/>
                  <w:szCs w:val="21"/>
                  <w:rtl/>
                </w:rPr>
                <w:t>حوالہ 099</w:t>
              </w:r>
            </w:hyperlink>
            <w:r>
              <w:rPr>
                <w:rFonts w:ascii="Noto Naskh Arabic" w:hAnsi="Noto Naskh Arabic" w:cs="Noto Naskh Arabic" w:eastAsia="Noto Naskh Arabic"/>
                <w:b w:val="0"/>
                <w:color w:val="21313F"/>
                <w:sz w:val="21"/>
                <w:szCs w:val="21"/>
                <w:lang w:val="ur-PK" w:bidi="ur-PK"/>
                <w:rtl w:val="1"/>
              </w:rPr>
              <w:t xml:space="preserve"> — کردار اور دل کی پاکیزگی</w:t>
            </w:r>
          </w:p>
        </w:tc>
      </w:tr>
      <w:tr>
        <w:trPr>
          <w:cantSplit/>
        </w:trPr>
        <w:tc>
          <w:tcPr>
            <w:tcW w:type="dxa" w:w="5148"/>
            <w:vAlign w:val="top"/>
          </w:tcPr>
          <w:p>
            <w:pPr>
              <w:keepNext w:val="0"/>
              <w:widowControl/>
              <w:spacing w:after="0" w:before="0" w:lineRule="atLeast" w:line="250"/>
              <w:jc w:val="start"/>
              <w:bidi w:val="0"/>
            </w:pPr>
            <w:hyperlink w:anchor="ref_100">
              <w:r>
                <w:rPr>
                  <w:color w:val="245C7C"/>
                  <w:u w:val="single"/>
                  <w:rFonts w:ascii="Calibri" w:hAnsi="Calibri" w:cs="Calibri"/>
                  <w:sz w:val="18"/>
                  <w:szCs w:val="18"/>
                </w:rPr>
                <w:t>Reference 100</w:t>
              </w:r>
            </w:hyperlink>
            <w:r>
              <w:rPr>
                <w:rFonts w:ascii="Calibri" w:hAnsi="Calibri" w:cs="Calibri" w:eastAsia="Calibri"/>
                <w:b w:val="0"/>
                <w:color w:val="21313F"/>
                <w:sz w:val="19"/>
                <w:szCs w:val="19"/>
                <w:lang w:val="en-GB" w:bidi="ar-SA"/>
              </w:rPr>
              <w:t xml:space="preserve"> — Presence of heart and prayer’s inner life</w:t>
            </w:r>
          </w:p>
        </w:tc>
        <w:tc>
          <w:tcPr>
            <w:tcW w:type="dxa" w:w="5148"/>
            <w:vAlign w:val="top"/>
          </w:tcPr>
          <w:p>
            <w:pPr>
              <w:keepNext w:val="0"/>
              <w:widowControl/>
              <w:spacing w:after="0" w:before="0" w:lineRule="atLeast" w:line="300"/>
              <w:jc w:val="start"/>
              <w:bidi w:val="1"/>
            </w:pPr>
            <w:hyperlink w:anchor="ref_100">
              <w:r>
                <w:rPr>
                  <w:color w:val="245C7C"/>
                  <w:u w:val="single"/>
                  <w:rFonts w:ascii="Noto Naskh Arabic" w:hAnsi="Noto Naskh Arabic" w:cs="Noto Naskh Arabic"/>
                  <w:sz w:val="21"/>
                  <w:szCs w:val="21"/>
                  <w:rtl/>
                </w:rPr>
                <w:t>حوالہ 100</w:t>
              </w:r>
            </w:hyperlink>
            <w:r>
              <w:rPr>
                <w:rFonts w:ascii="Noto Naskh Arabic" w:hAnsi="Noto Naskh Arabic" w:cs="Noto Naskh Arabic" w:eastAsia="Noto Naskh Arabic"/>
                <w:b w:val="0"/>
                <w:color w:val="21313F"/>
                <w:sz w:val="21"/>
                <w:szCs w:val="21"/>
                <w:lang w:val="ur-PK" w:bidi="ur-PK"/>
                <w:rtl w:val="1"/>
              </w:rPr>
              <w:t xml:space="preserve"> — حضورِ قلب اور نماز کی باطنی زندگی</w:t>
            </w:r>
          </w:p>
        </w:tc>
      </w:tr>
      <w:tr>
        <w:trPr>
          <w:cantSplit/>
        </w:trPr>
        <w:tc>
          <w:tcPr>
            <w:tcW w:type="dxa" w:w="5148"/>
            <w:vAlign w:val="top"/>
          </w:tcPr>
          <w:p>
            <w:pPr>
              <w:keepNext w:val="0"/>
              <w:widowControl/>
              <w:spacing w:after="0" w:before="0" w:lineRule="atLeast" w:line="250"/>
              <w:jc w:val="start"/>
              <w:bidi w:val="0"/>
            </w:pPr>
            <w:hyperlink w:anchor="ref_107">
              <w:r>
                <w:rPr>
                  <w:color w:val="245C7C"/>
                  <w:u w:val="single"/>
                  <w:rFonts w:ascii="Calibri" w:hAnsi="Calibri" w:cs="Calibri"/>
                  <w:sz w:val="18"/>
                  <w:szCs w:val="18"/>
                </w:rPr>
                <w:t>Reference 107</w:t>
              </w:r>
            </w:hyperlink>
            <w:r>
              <w:rPr>
                <w:rFonts w:ascii="Calibri" w:hAnsi="Calibri" w:cs="Calibri" w:eastAsia="Calibri"/>
                <w:b w:val="0"/>
                <w:color w:val="21313F"/>
                <w:sz w:val="19"/>
                <w:szCs w:val="19"/>
                <w:lang w:val="en-GB" w:bidi="ar-SA"/>
              </w:rPr>
              <w:t xml:space="preserve"> — Levels of fasting and restraint after sunset</w:t>
            </w:r>
          </w:p>
        </w:tc>
        <w:tc>
          <w:tcPr>
            <w:tcW w:type="dxa" w:w="5148"/>
            <w:vAlign w:val="top"/>
          </w:tcPr>
          <w:p>
            <w:pPr>
              <w:keepNext w:val="0"/>
              <w:widowControl/>
              <w:spacing w:after="0" w:before="0" w:lineRule="atLeast" w:line="300"/>
              <w:jc w:val="start"/>
              <w:bidi w:val="1"/>
            </w:pPr>
            <w:hyperlink w:anchor="ref_107">
              <w:r>
                <w:rPr>
                  <w:color w:val="245C7C"/>
                  <w:u w:val="single"/>
                  <w:rFonts w:ascii="Noto Naskh Arabic" w:hAnsi="Noto Naskh Arabic" w:cs="Noto Naskh Arabic"/>
                  <w:sz w:val="21"/>
                  <w:szCs w:val="21"/>
                  <w:rtl/>
                </w:rPr>
                <w:t>حوالہ 107</w:t>
              </w:r>
            </w:hyperlink>
            <w:r>
              <w:rPr>
                <w:rFonts w:ascii="Noto Naskh Arabic" w:hAnsi="Noto Naskh Arabic" w:cs="Noto Naskh Arabic" w:eastAsia="Noto Naskh Arabic"/>
                <w:b w:val="0"/>
                <w:color w:val="21313F"/>
                <w:sz w:val="21"/>
                <w:szCs w:val="21"/>
                <w:lang w:val="ur-PK" w:bidi="ur-PK"/>
                <w:rtl w:val="1"/>
              </w:rPr>
              <w:t xml:space="preserve"> — روزے کے مراتب اور افطار کے بعد ضبط</w:t>
            </w:r>
          </w:p>
        </w:tc>
      </w:tr>
      <w:tr>
        <w:trPr>
          <w:cantSplit/>
        </w:trPr>
        <w:tc>
          <w:tcPr>
            <w:tcW w:type="dxa" w:w="5148"/>
            <w:vAlign w:val="top"/>
          </w:tcPr>
          <w:p>
            <w:pPr>
              <w:keepNext w:val="0"/>
              <w:widowControl/>
              <w:spacing w:after="0" w:before="0" w:lineRule="atLeast" w:line="250"/>
              <w:jc w:val="start"/>
              <w:bidi w:val="0"/>
            </w:pPr>
            <w:hyperlink w:anchor="ref_119">
              <w:r>
                <w:rPr>
                  <w:color w:val="245C7C"/>
                  <w:u w:val="single"/>
                  <w:rFonts w:ascii="Calibri" w:hAnsi="Calibri" w:cs="Calibri"/>
                  <w:sz w:val="18"/>
                  <w:szCs w:val="18"/>
                </w:rPr>
                <w:t>Reference 119</w:t>
              </w:r>
            </w:hyperlink>
            <w:r>
              <w:rPr>
                <w:rFonts w:ascii="Calibri" w:hAnsi="Calibri" w:cs="Calibri" w:eastAsia="Calibri"/>
                <w:b w:val="0"/>
                <w:color w:val="21313F"/>
                <w:sz w:val="19"/>
                <w:szCs w:val="19"/>
                <w:lang w:val="en-GB" w:bidi="ar-SA"/>
              </w:rPr>
              <w:t xml:space="preserve"> — Giving as discipline against avarice</w:t>
            </w:r>
          </w:p>
        </w:tc>
        <w:tc>
          <w:tcPr>
            <w:tcW w:type="dxa" w:w="5148"/>
            <w:vAlign w:val="top"/>
          </w:tcPr>
          <w:p>
            <w:pPr>
              <w:keepNext w:val="0"/>
              <w:widowControl/>
              <w:spacing w:after="0" w:before="0" w:lineRule="atLeast" w:line="300"/>
              <w:jc w:val="start"/>
              <w:bidi w:val="1"/>
            </w:pPr>
            <w:hyperlink w:anchor="ref_119">
              <w:r>
                <w:rPr>
                  <w:color w:val="245C7C"/>
                  <w:u w:val="single"/>
                  <w:rFonts w:ascii="Noto Naskh Arabic" w:hAnsi="Noto Naskh Arabic" w:cs="Noto Naskh Arabic"/>
                  <w:sz w:val="21"/>
                  <w:szCs w:val="21"/>
                  <w:rtl/>
                </w:rPr>
                <w:t>حوالہ 119</w:t>
              </w:r>
            </w:hyperlink>
            <w:r>
              <w:rPr>
                <w:rFonts w:ascii="Noto Naskh Arabic" w:hAnsi="Noto Naskh Arabic" w:cs="Noto Naskh Arabic" w:eastAsia="Noto Naskh Arabic"/>
                <w:b w:val="0"/>
                <w:color w:val="21313F"/>
                <w:sz w:val="21"/>
                <w:szCs w:val="21"/>
                <w:lang w:val="ur-PK" w:bidi="ur-PK"/>
                <w:rtl w:val="1"/>
              </w:rPr>
              <w:t xml:space="preserve"> — انفاق بطور بخل کی اصلاح</w:t>
            </w:r>
          </w:p>
        </w:tc>
      </w:tr>
      <w:tr>
        <w:trPr>
          <w:cantSplit/>
        </w:trPr>
        <w:tc>
          <w:tcPr>
            <w:tcW w:type="dxa" w:w="5148"/>
            <w:vAlign w:val="top"/>
          </w:tcPr>
          <w:p>
            <w:pPr>
              <w:keepNext w:val="0"/>
              <w:widowControl/>
              <w:spacing w:after="0" w:before="0" w:lineRule="atLeast" w:line="250"/>
              <w:jc w:val="start"/>
              <w:bidi w:val="0"/>
            </w:pPr>
            <w:hyperlink w:anchor="ref_126">
              <w:r>
                <w:rPr>
                  <w:color w:val="245C7C"/>
                  <w:u w:val="single"/>
                  <w:rFonts w:ascii="Calibri" w:hAnsi="Calibri" w:cs="Calibri"/>
                  <w:sz w:val="18"/>
                  <w:szCs w:val="18"/>
                </w:rPr>
                <w:t>Reference 126</w:t>
              </w:r>
            </w:hyperlink>
            <w:r>
              <w:rPr>
                <w:rFonts w:ascii="Calibri" w:hAnsi="Calibri" w:cs="Calibri" w:eastAsia="Calibri"/>
                <w:b w:val="0"/>
                <w:color w:val="21313F"/>
                <w:sz w:val="19"/>
                <w:szCs w:val="19"/>
                <w:lang w:val="en-GB" w:bidi="ar-SA"/>
              </w:rPr>
              <w:t xml:space="preserve"> — Pilgrimage as remembrance of accountability</w:t>
            </w:r>
          </w:p>
        </w:tc>
        <w:tc>
          <w:tcPr>
            <w:tcW w:type="dxa" w:w="5148"/>
            <w:vAlign w:val="top"/>
          </w:tcPr>
          <w:p>
            <w:pPr>
              <w:keepNext w:val="0"/>
              <w:widowControl/>
              <w:spacing w:after="0" w:before="0" w:lineRule="atLeast" w:line="300"/>
              <w:jc w:val="start"/>
              <w:bidi w:val="1"/>
            </w:pPr>
            <w:hyperlink w:anchor="ref_126">
              <w:r>
                <w:rPr>
                  <w:color w:val="245C7C"/>
                  <w:u w:val="single"/>
                  <w:rFonts w:ascii="Noto Naskh Arabic" w:hAnsi="Noto Naskh Arabic" w:cs="Noto Naskh Arabic"/>
                  <w:sz w:val="21"/>
                  <w:szCs w:val="21"/>
                  <w:rtl/>
                </w:rPr>
                <w:t>حوالہ 126</w:t>
              </w:r>
            </w:hyperlink>
            <w:r>
              <w:rPr>
                <w:rFonts w:ascii="Noto Naskh Arabic" w:hAnsi="Noto Naskh Arabic" w:cs="Noto Naskh Arabic" w:eastAsia="Noto Naskh Arabic"/>
                <w:b w:val="0"/>
                <w:color w:val="21313F"/>
                <w:sz w:val="21"/>
                <w:szCs w:val="21"/>
                <w:lang w:val="ur-PK" w:bidi="ur-PK"/>
                <w:rtl w:val="1"/>
              </w:rPr>
              <w:t xml:space="preserve"> — حج بطور یادِ آخرت</w:t>
            </w:r>
          </w:p>
        </w:tc>
      </w:tr>
      <w:tr>
        <w:trPr>
          <w:cantSplit/>
        </w:trPr>
        <w:tc>
          <w:tcPr>
            <w:tcW w:type="dxa" w:w="5148"/>
            <w:vAlign w:val="top"/>
          </w:tcPr>
          <w:p>
            <w:pPr>
              <w:keepNext w:val="0"/>
              <w:widowControl w:val="1"/>
              <w:bidi w:val="0"/>
              <w:jc w:val="start"/>
              <w:spacing w:before="0" w:after="20" w:line="250" w:lineRule="atLeast"/>
            </w:pPr>
            <w:hyperlink w:anchor="ref_223">
              <w:r>
                <w:rPr>
                  <w:rFonts w:ascii="Calibri" w:hAnsi="Calibri" w:cs="Calibri" w:eastAsia="Calibri"/>
                  <w:sz w:val="18"/>
                  <w:szCs w:val="18"/>
                  <w:b w:val="0"/>
                  <w:bCs w:val="0"/>
                  <w:color w:val="244B62"/>
                  <w:lang w:val="en-GB" w:bidi="en-GB"/>
                  <w:rtl w:val="0"/>
                  <w:u w:val="single"/>
                </w:rPr>
                <w:t>Reference 223</w:t>
              </w:r>
            </w:hyperlink>
            <w:r>
              <w:rPr>
                <w:rFonts w:ascii="Calibri" w:hAnsi="Calibri" w:cs="Calibri" w:eastAsia="Calibri"/>
                <w:sz w:val="18"/>
                <w:szCs w:val="18"/>
                <w:b w:val="0"/>
                <w:bCs w:val="0"/>
                <w:color w:val="21313F"/>
                <w:lang w:val="en-GB" w:bidi="en-GB"/>
                <w:rtl w:val="0"/>
              </w:rPr>
              <w:t xml:space="preserve"> — Gratitude as knowledge, inward state and action</w:t>
            </w:r>
          </w:p>
        </w:tc>
        <w:tc>
          <w:tcPr>
            <w:tcW w:type="dxa" w:w="5148"/>
            <w:vAlign w:val="top"/>
          </w:tcPr>
          <w:p>
            <w:pPr>
              <w:keepNext w:val="0"/>
              <w:widowControl w:val="1"/>
              <w:bidi w:val="1"/>
              <w:jc w:val="start"/>
              <w:spacing w:before="0" w:after="20" w:line="300" w:lineRule="atLeast"/>
            </w:pPr>
            <w:hyperlink w:anchor="ref_223">
              <w:r>
                <w:rPr>
                  <w:rFonts w:ascii="Noto Naskh Arabic" w:hAnsi="Noto Naskh Arabic" w:cs="Noto Naskh Arabic" w:eastAsia="Noto Naskh Arabic"/>
                  <w:sz w:val="20"/>
                  <w:szCs w:val="20"/>
                  <w:b w:val="0"/>
                  <w:bCs w:val="0"/>
                  <w:color w:val="244B62"/>
                  <w:lang w:val="ur-PK" w:bidi="ur-PK"/>
                  <w:rtl w:val="1"/>
                  <w:u w:val="single"/>
                </w:rPr>
                <w:t>حوالہ 223</w:t>
              </w:r>
            </w:hyperlink>
            <w:r>
              <w:rPr>
                <w:rFonts w:ascii="Noto Naskh Arabic" w:hAnsi="Noto Naskh Arabic" w:cs="Noto Naskh Arabic" w:eastAsia="Noto Naskh Arabic"/>
                <w:sz w:val="20"/>
                <w:szCs w:val="20"/>
                <w:b w:val="0"/>
                <w:bCs w:val="0"/>
                <w:color w:val="21313F"/>
                <w:lang w:val="ur-PK" w:bidi="ur-PK"/>
                <w:rtl w:val="1"/>
              </w:rPr>
              <w:t xml:space="preserve"> — شکر بطور علم، باطنی حال اور عمل</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Iqbal — The Reconstruction of Religious Thought in Islam</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اقبال — تشکیلِ جدید الٰہیاتِ اسلامیہ</w:t>
            </w:r>
          </w:p>
        </w:tc>
      </w:tr>
      <w:tr>
        <w:trPr>
          <w:cantSplit/>
        </w:trPr>
        <w:tc>
          <w:tcPr>
            <w:tcW w:type="dxa" w:w="5148"/>
            <w:vAlign w:val="top"/>
          </w:tcPr>
          <w:p>
            <w:pPr>
              <w:keepNext w:val="0"/>
              <w:widowControl/>
              <w:spacing w:after="0" w:before="0" w:lineRule="atLeast" w:line="250"/>
              <w:jc w:val="start"/>
              <w:bidi w:val="0"/>
            </w:pPr>
            <w:hyperlink w:anchor="ref_026">
              <w:r>
                <w:rPr>
                  <w:color w:val="245C7C"/>
                  <w:u w:val="single"/>
                  <w:rFonts w:ascii="Calibri" w:hAnsi="Calibri" w:cs="Calibri"/>
                  <w:sz w:val="18"/>
                  <w:szCs w:val="18"/>
                </w:rPr>
                <w:t>Reference 026</w:t>
              </w:r>
            </w:hyperlink>
            <w:r>
              <w:rPr>
                <w:rFonts w:ascii="Calibri" w:hAnsi="Calibri" w:cs="Calibri" w:eastAsia="Calibri"/>
                <w:b w:val="0"/>
                <w:color w:val="21313F"/>
                <w:sz w:val="19"/>
                <w:szCs w:val="19"/>
                <w:lang w:val="en-GB" w:bidi="ar-SA"/>
              </w:rPr>
              <w:t xml:space="preserve"> — Faith, thought and the direction of life</w:t>
            </w:r>
          </w:p>
        </w:tc>
        <w:tc>
          <w:tcPr>
            <w:tcW w:type="dxa" w:w="5148"/>
            <w:vAlign w:val="top"/>
          </w:tcPr>
          <w:p>
            <w:pPr>
              <w:keepNext w:val="0"/>
              <w:widowControl/>
              <w:spacing w:after="0" w:before="0" w:lineRule="atLeast" w:line="300"/>
              <w:jc w:val="start"/>
              <w:bidi w:val="1"/>
            </w:pPr>
            <w:hyperlink w:anchor="ref_026">
              <w:r>
                <w:rPr>
                  <w:color w:val="245C7C"/>
                  <w:u w:val="single"/>
                  <w:rFonts w:ascii="Noto Naskh Arabic" w:hAnsi="Noto Naskh Arabic" w:cs="Noto Naskh Arabic"/>
                  <w:sz w:val="21"/>
                  <w:szCs w:val="21"/>
                  <w:rtl/>
                </w:rPr>
                <w:t>حوالہ 026</w:t>
              </w:r>
            </w:hyperlink>
            <w:r>
              <w:rPr>
                <w:rFonts w:ascii="Noto Naskh Arabic" w:hAnsi="Noto Naskh Arabic" w:cs="Noto Naskh Arabic" w:eastAsia="Noto Naskh Arabic"/>
                <w:b w:val="0"/>
                <w:color w:val="21313F"/>
                <w:sz w:val="21"/>
                <w:szCs w:val="21"/>
                <w:lang w:val="ur-PK" w:bidi="ur-PK"/>
                <w:rtl w:val="1"/>
              </w:rPr>
              <w:t xml:space="preserve"> — ایمان، فکر اور سمتِ حیات</w:t>
            </w:r>
          </w:p>
        </w:tc>
      </w:tr>
      <w:tr>
        <w:trPr>
          <w:cantSplit/>
        </w:trPr>
        <w:tc>
          <w:tcPr>
            <w:tcW w:type="dxa" w:w="5148"/>
            <w:vAlign w:val="top"/>
          </w:tcPr>
          <w:p>
            <w:pPr>
              <w:keepNext w:val="0"/>
              <w:widowControl/>
              <w:spacing w:after="0" w:before="0" w:lineRule="atLeast" w:line="250"/>
              <w:jc w:val="start"/>
              <w:bidi w:val="0"/>
            </w:pPr>
            <w:hyperlink w:anchor="ref_055">
              <w:r>
                <w:rPr>
                  <w:color w:val="245C7C"/>
                  <w:u w:val="single"/>
                  <w:rFonts w:ascii="Calibri" w:hAnsi="Calibri" w:cs="Calibri"/>
                  <w:sz w:val="18"/>
                  <w:szCs w:val="18"/>
                </w:rPr>
                <w:t>Reference 055</w:t>
              </w:r>
            </w:hyperlink>
            <w:r>
              <w:rPr>
                <w:rFonts w:ascii="Calibri" w:hAnsi="Calibri" w:cs="Calibri" w:eastAsia="Calibri"/>
                <w:b w:val="0"/>
                <w:color w:val="21313F"/>
                <w:sz w:val="19"/>
                <w:szCs w:val="19"/>
                <w:lang w:val="en-GB" w:bidi="ar-SA"/>
              </w:rPr>
              <w:t xml:space="preserve"> — Nature and history as sources of knowledge</w:t>
            </w:r>
          </w:p>
        </w:tc>
        <w:tc>
          <w:tcPr>
            <w:tcW w:type="dxa" w:w="5148"/>
            <w:vAlign w:val="top"/>
          </w:tcPr>
          <w:p>
            <w:pPr>
              <w:keepNext w:val="0"/>
              <w:widowControl/>
              <w:spacing w:after="0" w:before="0" w:lineRule="atLeast" w:line="300"/>
              <w:jc w:val="start"/>
              <w:bidi w:val="1"/>
            </w:pPr>
            <w:hyperlink w:anchor="ref_055">
              <w:r>
                <w:rPr>
                  <w:color w:val="245C7C"/>
                  <w:u w:val="single"/>
                  <w:rFonts w:ascii="Noto Naskh Arabic" w:hAnsi="Noto Naskh Arabic" w:cs="Noto Naskh Arabic"/>
                  <w:sz w:val="21"/>
                  <w:szCs w:val="21"/>
                  <w:rtl/>
                </w:rPr>
                <w:t>حوالہ 055</w:t>
              </w:r>
            </w:hyperlink>
            <w:r>
              <w:rPr>
                <w:rFonts w:ascii="Noto Naskh Arabic" w:hAnsi="Noto Naskh Arabic" w:cs="Noto Naskh Arabic" w:eastAsia="Noto Naskh Arabic"/>
                <w:b w:val="0"/>
                <w:color w:val="21313F"/>
                <w:sz w:val="21"/>
                <w:szCs w:val="21"/>
                <w:lang w:val="ur-PK" w:bidi="ur-PK"/>
                <w:rtl w:val="1"/>
              </w:rPr>
              <w:t xml:space="preserve"> — فطرت اور تاریخ بطور ذرائعِ علم</w:t>
            </w:r>
          </w:p>
        </w:tc>
      </w:tr>
      <w:tr>
        <w:trPr>
          <w:cantSplit/>
        </w:trPr>
        <w:tc>
          <w:tcPr>
            <w:tcW w:type="dxa" w:w="5148"/>
            <w:vAlign w:val="top"/>
          </w:tcPr>
          <w:p>
            <w:pPr>
              <w:keepNext w:val="0"/>
              <w:widowControl/>
              <w:spacing w:after="0" w:before="0" w:lineRule="atLeast" w:line="250"/>
              <w:jc w:val="start"/>
              <w:bidi w:val="0"/>
            </w:pPr>
            <w:hyperlink w:anchor="ref_076">
              <w:r>
                <w:rPr>
                  <w:color w:val="245C7C"/>
                  <w:u w:val="single"/>
                  <w:rFonts w:ascii="Calibri" w:hAnsi="Calibri" w:cs="Calibri"/>
                  <w:sz w:val="18"/>
                  <w:szCs w:val="18"/>
                </w:rPr>
                <w:t>Reference 076</w:t>
              </w:r>
            </w:hyperlink>
            <w:r>
              <w:rPr>
                <w:rFonts w:ascii="Calibri" w:hAnsi="Calibri" w:cs="Calibri" w:eastAsia="Calibri"/>
                <w:b w:val="0"/>
                <w:color w:val="21313F"/>
                <w:sz w:val="19"/>
                <w:szCs w:val="19"/>
                <w:lang w:val="en-GB" w:bidi="ar-SA"/>
              </w:rPr>
              <w:t xml:space="preserve"> — Human agency and disciplined freedom</w:t>
            </w:r>
          </w:p>
        </w:tc>
        <w:tc>
          <w:tcPr>
            <w:tcW w:type="dxa" w:w="5148"/>
            <w:vAlign w:val="top"/>
          </w:tcPr>
          <w:p>
            <w:pPr>
              <w:keepNext w:val="0"/>
              <w:widowControl/>
              <w:spacing w:after="0" w:before="0" w:lineRule="atLeast" w:line="300"/>
              <w:jc w:val="start"/>
              <w:bidi w:val="1"/>
            </w:pPr>
            <w:hyperlink w:anchor="ref_076">
              <w:r>
                <w:rPr>
                  <w:color w:val="245C7C"/>
                  <w:u w:val="single"/>
                  <w:rFonts w:ascii="Noto Naskh Arabic" w:hAnsi="Noto Naskh Arabic" w:cs="Noto Naskh Arabic"/>
                  <w:sz w:val="21"/>
                  <w:szCs w:val="21"/>
                  <w:rtl/>
                </w:rPr>
                <w:t>حوالہ 076</w:t>
              </w:r>
            </w:hyperlink>
            <w:r>
              <w:rPr>
                <w:rFonts w:ascii="Noto Naskh Arabic" w:hAnsi="Noto Naskh Arabic" w:cs="Noto Naskh Arabic" w:eastAsia="Noto Naskh Arabic"/>
                <w:b w:val="0"/>
                <w:color w:val="21313F"/>
                <w:sz w:val="21"/>
                <w:szCs w:val="21"/>
                <w:lang w:val="ur-PK" w:bidi="ur-PK"/>
                <w:rtl w:val="1"/>
              </w:rPr>
              <w:t xml:space="preserve"> — انسانی اختیار اور تربیت یافتہ آزادی</w:t>
            </w:r>
          </w:p>
        </w:tc>
      </w:tr>
      <w:tr>
        <w:trPr>
          <w:cantSplit/>
        </w:trPr>
        <w:tc>
          <w:tcPr>
            <w:tcW w:type="dxa" w:w="5148"/>
            <w:vAlign w:val="top"/>
          </w:tcPr>
          <w:p>
            <w:pPr>
              <w:keepNext w:val="0"/>
              <w:widowControl/>
              <w:spacing w:after="0" w:before="0" w:lineRule="atLeast" w:line="250"/>
              <w:jc w:val="start"/>
              <w:bidi w:val="0"/>
            </w:pPr>
            <w:hyperlink w:anchor="ref_098">
              <w:r>
                <w:rPr>
                  <w:color w:val="245C7C"/>
                  <w:u w:val="single"/>
                  <w:rFonts w:ascii="Calibri" w:hAnsi="Calibri" w:cs="Calibri"/>
                  <w:sz w:val="18"/>
                  <w:szCs w:val="18"/>
                </w:rPr>
                <w:t>Reference 098</w:t>
              </w:r>
            </w:hyperlink>
            <w:r>
              <w:rPr>
                <w:rFonts w:ascii="Calibri" w:hAnsi="Calibri" w:cs="Calibri" w:eastAsia="Calibri"/>
                <w:b w:val="0"/>
                <w:color w:val="21313F"/>
                <w:sz w:val="19"/>
                <w:szCs w:val="19"/>
                <w:lang w:val="en-GB" w:bidi="ar-SA"/>
              </w:rPr>
              <w:t xml:space="preserve"> — Congregational prayer and human association</w:t>
            </w:r>
          </w:p>
        </w:tc>
        <w:tc>
          <w:tcPr>
            <w:tcW w:type="dxa" w:w="5148"/>
            <w:vAlign w:val="top"/>
          </w:tcPr>
          <w:p>
            <w:pPr>
              <w:keepNext w:val="0"/>
              <w:widowControl/>
              <w:spacing w:after="0" w:before="0" w:lineRule="atLeast" w:line="300"/>
              <w:jc w:val="start"/>
              <w:bidi w:val="1"/>
            </w:pPr>
            <w:hyperlink w:anchor="ref_098">
              <w:r>
                <w:rPr>
                  <w:color w:val="245C7C"/>
                  <w:u w:val="single"/>
                  <w:rFonts w:ascii="Noto Naskh Arabic" w:hAnsi="Noto Naskh Arabic" w:cs="Noto Naskh Arabic"/>
                  <w:sz w:val="21"/>
                  <w:szCs w:val="21"/>
                  <w:rtl/>
                </w:rPr>
                <w:t>حوالہ 098</w:t>
              </w:r>
            </w:hyperlink>
            <w:r>
              <w:rPr>
                <w:rFonts w:ascii="Noto Naskh Arabic" w:hAnsi="Noto Naskh Arabic" w:cs="Noto Naskh Arabic" w:eastAsia="Noto Naskh Arabic"/>
                <w:b w:val="0"/>
                <w:color w:val="21313F"/>
                <w:sz w:val="21"/>
                <w:szCs w:val="21"/>
                <w:lang w:val="ur-PK" w:bidi="ur-PK"/>
                <w:rtl w:val="1"/>
              </w:rPr>
              <w:t xml:space="preserve"> — باجماعت نماز اور انسانی اجتماع</w:t>
            </w:r>
          </w:p>
        </w:tc>
      </w:tr>
      <w:tr>
        <w:trPr>
          <w:cantSplit/>
        </w:trPr>
        <w:tc>
          <w:tcPr>
            <w:tcW w:type="dxa" w:w="5148"/>
            <w:vAlign w:val="top"/>
          </w:tcPr>
          <w:p>
            <w:pPr>
              <w:keepNext w:val="0"/>
              <w:widowControl w:val="1"/>
              <w:bidi w:val="0"/>
              <w:jc w:val="start"/>
              <w:spacing w:before="0" w:after="20" w:line="250" w:lineRule="atLeast"/>
            </w:pPr>
            <w:hyperlink w:anchor="ref_193">
              <w:r>
                <w:rPr>
                  <w:rFonts w:ascii="Calibri" w:hAnsi="Calibri" w:cs="Calibri" w:eastAsia="Calibri"/>
                  <w:sz w:val="18"/>
                  <w:szCs w:val="18"/>
                  <w:b w:val="0"/>
                  <w:bCs w:val="0"/>
                  <w:color w:val="244B62"/>
                  <w:lang w:val="en-GB" w:bidi="en-GB"/>
                  <w:rtl w:val="0"/>
                  <w:u w:val="single"/>
                </w:rPr>
                <w:t>Reference 193</w:t>
              </w:r>
            </w:hyperlink>
            <w:r>
              <w:rPr>
                <w:rFonts w:ascii="Calibri" w:hAnsi="Calibri" w:cs="Calibri" w:eastAsia="Calibri"/>
                <w:sz w:val="18"/>
                <w:szCs w:val="18"/>
                <w:b w:val="0"/>
                <w:bCs w:val="0"/>
                <w:color w:val="21313F"/>
                <w:lang w:val="en-GB" w:bidi="en-GB"/>
                <w:rtl w:val="0"/>
              </w:rPr>
              <w:t xml:space="preserve"> — Critical reasoning about arguments for God</w:t>
            </w:r>
          </w:p>
        </w:tc>
        <w:tc>
          <w:tcPr>
            <w:tcW w:type="dxa" w:w="5148"/>
            <w:vAlign w:val="top"/>
          </w:tcPr>
          <w:p>
            <w:pPr>
              <w:keepNext w:val="0"/>
              <w:widowControl w:val="1"/>
              <w:bidi w:val="1"/>
              <w:jc w:val="start"/>
              <w:spacing w:before="0" w:after="20" w:line="300" w:lineRule="atLeast"/>
            </w:pPr>
            <w:hyperlink w:anchor="ref_193">
              <w:r>
                <w:rPr>
                  <w:rFonts w:ascii="Noto Naskh Arabic" w:hAnsi="Noto Naskh Arabic" w:cs="Noto Naskh Arabic" w:eastAsia="Noto Naskh Arabic"/>
                  <w:sz w:val="20"/>
                  <w:szCs w:val="20"/>
                  <w:b w:val="0"/>
                  <w:bCs w:val="0"/>
                  <w:color w:val="244B62"/>
                  <w:lang w:val="ur-PK" w:bidi="ur-PK"/>
                  <w:rtl w:val="1"/>
                  <w:u w:val="single"/>
                </w:rPr>
                <w:t>حوالہ 193</w:t>
              </w:r>
            </w:hyperlink>
            <w:r>
              <w:rPr>
                <w:rFonts w:ascii="Noto Naskh Arabic" w:hAnsi="Noto Naskh Arabic" w:cs="Noto Naskh Arabic" w:eastAsia="Noto Naskh Arabic"/>
                <w:sz w:val="20"/>
                <w:szCs w:val="20"/>
                <w:b w:val="0"/>
                <w:bCs w:val="0"/>
                <w:color w:val="21313F"/>
                <w:lang w:val="ur-PK" w:bidi="ur-PK"/>
                <w:rtl w:val="1"/>
              </w:rPr>
              <w:t xml:space="preserve"> — وجودِ باری کے دلائل کا تنقیدی جائزہ</w:t>
            </w:r>
          </w:p>
        </w:tc>
      </w:tr>
    </w:tbl>
    <w:p>
      <w:pPr>
        <w:spacing w:before="0" w:after="80" w:line="20" w:lineRule="exact"/>
      </w:pPr>
      <w:r>
        <w:rPr>
          <w:rFonts w:ascii="Calibri" w:hAnsi="Calibri" w:cs="Calibri" w:eastAsia="Calibri"/>
          <w:b w:val="0"/>
          <w:color w:val="21313F"/>
          <w:sz w:val="2"/>
          <w:szCs w:val="2"/>
          <w:lang w:val="en-GB" w:bidi="ar-SA"/>
        </w:rPr>
      </w:r>
    </w:p>
    <w:tbl>
      <w:tblPr>
        <w:tblW w:type="auto" w:w="0"/>
        <w:jc w:val="center"/>
        <w:tblLayout w:type="fixed"/>
        <w:tblLook w:firstColumn="1" w:firstRow="1" w:lastColumn="0" w:lastRow="0" w:noHBand="0" w:noVBand="1" w:val="04A0"/>
        <w:tblLayout w:type="fixed"/>
        <w:tblW w:w="10296" w:type="dxa"/>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0"/>
              <w:widowControl/>
              <w:spacing w:after="20" w:before="0" w:lineRule="atLeast" w:line="250"/>
              <w:jc w:val="start"/>
              <w:bidi w:val="0"/>
            </w:pPr>
            <w:r>
              <w:rPr>
                <w:rFonts w:ascii="Calibri" w:hAnsi="Calibri" w:cs="Calibri" w:eastAsia="Calibri"/>
                <w:b/>
                <w:color w:val="21313F"/>
                <w:sz w:val="20"/>
                <w:szCs w:val="20"/>
                <w:lang w:val="en-GB" w:bidi="ar-SA"/>
              </w:rPr>
              <w:t>Schilbrack — “The Concept of Religion”</w:t>
            </w:r>
          </w:p>
        </w:tc>
        <w:tc>
          <w:tcPr>
            <w:tcW w:type="dxa" w:w="5148"/>
            <w:vAlign w:val="top"/>
            <w:shd w:fill="EDF3F6"/>
          </w:tcPr>
          <w:p>
            <w:pPr>
              <w:keepNext w:val="0"/>
              <w:widowControl/>
              <w:spacing w:after="20" w:before="0" w:lineRule="atLeast" w:line="300"/>
              <w:jc w:val="start"/>
              <w:bidi w:val="1"/>
            </w:pPr>
            <w:r>
              <w:rPr>
                <w:rFonts w:ascii="Noto Naskh Arabic" w:hAnsi="Noto Naskh Arabic" w:cs="Noto Naskh Arabic" w:eastAsia="Noto Naskh Arabic"/>
                <w:b/>
                <w:color w:val="21313F"/>
                <w:sz w:val="22"/>
                <w:szCs w:val="22"/>
                <w:lang w:val="ur-PK" w:bidi="ur-PK"/>
                <w:rtl w:val="1"/>
                <w:bCs/>
              </w:rPr>
              <w:t>شل بریک — «مذہب کا تصور»</w:t>
            </w:r>
          </w:p>
        </w:tc>
      </w:tr>
      <w:tr>
        <w:trPr>
          <w:cantSplit/>
        </w:trPr>
        <w:tc>
          <w:tcPr>
            <w:tcW w:type="dxa" w:w="5148"/>
            <w:vAlign w:val="top"/>
          </w:tcPr>
          <w:p>
            <w:pPr>
              <w:keepNext w:val="0"/>
              <w:widowControl/>
              <w:spacing w:after="0" w:before="0" w:lineRule="atLeast" w:line="250"/>
              <w:jc w:val="start"/>
              <w:bidi w:val="0"/>
            </w:pPr>
            <w:hyperlink w:anchor="ref_035">
              <w:r>
                <w:rPr>
                  <w:color w:val="245C7C"/>
                  <w:u w:val="single"/>
                  <w:rFonts w:ascii="Calibri" w:hAnsi="Calibri" w:cs="Calibri"/>
                  <w:sz w:val="18"/>
                  <w:szCs w:val="18"/>
                </w:rPr>
                <w:t>Reference 035</w:t>
              </w:r>
            </w:hyperlink>
            <w:r>
              <w:rPr>
                <w:rFonts w:ascii="Calibri" w:hAnsi="Calibri" w:cs="Calibri" w:eastAsia="Calibri"/>
                <w:b w:val="0"/>
                <w:color w:val="21313F"/>
                <w:sz w:val="19"/>
                <w:szCs w:val="19"/>
                <w:lang w:val="en-GB" w:bidi="ar-SA"/>
              </w:rPr>
              <w:t xml:space="preserve"> — Religion is a contested comparative category</w:t>
            </w:r>
          </w:p>
        </w:tc>
        <w:tc>
          <w:tcPr>
            <w:tcW w:type="dxa" w:w="5148"/>
            <w:vAlign w:val="top"/>
          </w:tcPr>
          <w:p>
            <w:pPr>
              <w:keepNext w:val="0"/>
              <w:widowControl/>
              <w:spacing w:after="0" w:before="0" w:lineRule="atLeast" w:line="300"/>
              <w:jc w:val="start"/>
              <w:bidi w:val="1"/>
            </w:pPr>
            <w:hyperlink w:anchor="ref_035">
              <w:r>
                <w:rPr>
                  <w:color w:val="245C7C"/>
                  <w:u w:val="single"/>
                  <w:rFonts w:ascii="Noto Naskh Arabic" w:hAnsi="Noto Naskh Arabic" w:cs="Noto Naskh Arabic"/>
                  <w:sz w:val="21"/>
                  <w:szCs w:val="21"/>
                  <w:rtl/>
                </w:rPr>
                <w:t>حوالہ 035</w:t>
              </w:r>
            </w:hyperlink>
            <w:r>
              <w:rPr>
                <w:rFonts w:ascii="Noto Naskh Arabic" w:hAnsi="Noto Naskh Arabic" w:cs="Noto Naskh Arabic" w:eastAsia="Noto Naskh Arabic"/>
                <w:b w:val="0"/>
                <w:color w:val="21313F"/>
                <w:sz w:val="21"/>
                <w:szCs w:val="21"/>
                <w:lang w:val="ur-PK" w:bidi="ur-PK"/>
                <w:rtl w:val="1"/>
              </w:rPr>
              <w:t xml:space="preserve"> — مذہب ایک اختلافی تقابلی زمرہ ہے</w:t>
            </w:r>
          </w:p>
        </w:tc>
      </w:tr>
    </w:tbl>
    <w:p>
      <w:pPr>
        <w:spacing w:before="0" w:after="80" w:line="20" w:lineRule="exact"/>
      </w:pPr>
      <w:r>
        <w:rPr>
          <w:rFonts w:ascii="Calibri" w:hAnsi="Calibri" w:cs="Calibri" w:eastAsia="Calibri"/>
          <w:b w:val="0"/>
          <w:color w:val="21313F"/>
          <w:sz w:val="2"/>
          <w:szCs w:val="2"/>
          <w:lang w:val="en-GB" w:bidi="ar-SA"/>
        </w:rPr>
      </w:r>
    </w:p>
    <w:p>
      <w:r>
        <w:br w:type="page"/>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Al-Raghib al-Isfahani — Al-Mufradat fi gharib al-Quran</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راغب اصفہانی — المفردات في غريب القرآن</w:t>
            </w:r>
          </w:p>
        </w:tc>
      </w:tr>
      <w:tr>
        <w:trPr>
          <w:cantSplit/>
        </w:trPr>
        <w:tc>
          <w:tcPr>
            <w:tcW w:type="dxa" w:w="5148"/>
            <w:vAlign w:val="top"/>
          </w:tcPr>
          <w:p>
            <w:pPr>
              <w:keepNext w:val="0"/>
              <w:widowControl w:val="1"/>
              <w:bidi w:val="0"/>
              <w:jc w:val="start"/>
              <w:spacing w:before="0" w:after="20" w:line="250" w:lineRule="atLeast"/>
            </w:pPr>
            <w:hyperlink w:anchor="ref_162">
              <w:r>
                <w:rPr>
                  <w:rFonts w:ascii="Calibri" w:hAnsi="Calibri" w:cs="Calibri" w:eastAsia="Calibri"/>
                  <w:sz w:val="18"/>
                  <w:szCs w:val="18"/>
                  <w:b w:val="0"/>
                  <w:bCs w:val="0"/>
                  <w:color w:val="244B62"/>
                  <w:lang w:val="en-GB" w:bidi="en-GB"/>
                  <w:rtl w:val="0"/>
                  <w:u w:val="single"/>
                </w:rPr>
                <w:t>Reference 162</w:t>
              </w:r>
            </w:hyperlink>
            <w:r>
              <w:rPr>
                <w:rFonts w:ascii="Calibri" w:hAnsi="Calibri" w:cs="Calibri" w:eastAsia="Calibri"/>
                <w:sz w:val="18"/>
                <w:szCs w:val="18"/>
                <w:b w:val="0"/>
                <w:bCs w:val="0"/>
                <w:color w:val="21313F"/>
                <w:lang w:val="en-GB" w:bidi="en-GB"/>
                <w:rtl w:val="0"/>
              </w:rPr>
              <w:t xml:space="preserve"> — Worship and voluntary devotion: a lexical distinction</w:t>
            </w:r>
          </w:p>
        </w:tc>
        <w:tc>
          <w:tcPr>
            <w:tcW w:type="dxa" w:w="5148"/>
            <w:vAlign w:val="top"/>
          </w:tcPr>
          <w:p>
            <w:pPr>
              <w:keepNext w:val="0"/>
              <w:widowControl w:val="1"/>
              <w:bidi w:val="1"/>
              <w:jc w:val="start"/>
              <w:spacing w:before="0" w:after="20" w:line="300" w:lineRule="atLeast"/>
            </w:pPr>
            <w:hyperlink w:anchor="ref_162">
              <w:r>
                <w:rPr>
                  <w:rFonts w:ascii="Noto Naskh Arabic" w:hAnsi="Noto Naskh Arabic" w:cs="Noto Naskh Arabic" w:eastAsia="Noto Naskh Arabic"/>
                  <w:sz w:val="20"/>
                  <w:szCs w:val="20"/>
                  <w:b w:val="0"/>
                  <w:bCs w:val="0"/>
                  <w:color w:val="244B62"/>
                  <w:lang w:val="ur-PK" w:bidi="ur-PK"/>
                  <w:rtl w:val="1"/>
                  <w:u w:val="single"/>
                </w:rPr>
                <w:t>حوالہ 162</w:t>
              </w:r>
            </w:hyperlink>
            <w:r>
              <w:rPr>
                <w:rFonts w:ascii="Noto Naskh Arabic" w:hAnsi="Noto Naskh Arabic" w:cs="Noto Naskh Arabic" w:eastAsia="Noto Naskh Arabic"/>
                <w:sz w:val="20"/>
                <w:szCs w:val="20"/>
                <w:b w:val="0"/>
                <w:bCs w:val="0"/>
                <w:color w:val="21313F"/>
                <w:lang w:val="ur-PK" w:bidi="ur-PK"/>
                <w:rtl w:val="1"/>
              </w:rPr>
              <w:t xml:space="preserve"> — عبادت اور اختیاری بندگی: لغوی امتیاز</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Al-Firuzabadi — Al-Qamus al-muhit</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فیروزآبادی — القاموس المحيط</w:t>
            </w:r>
          </w:p>
        </w:tc>
      </w:tr>
      <w:tr>
        <w:trPr>
          <w:cantSplit/>
        </w:trPr>
        <w:tc>
          <w:tcPr>
            <w:tcW w:type="dxa" w:w="5148"/>
            <w:vAlign w:val="top"/>
          </w:tcPr>
          <w:p>
            <w:pPr>
              <w:keepNext w:val="0"/>
              <w:widowControl w:val="1"/>
              <w:bidi w:val="0"/>
              <w:jc w:val="start"/>
              <w:spacing w:before="0" w:after="20" w:line="250" w:lineRule="atLeast"/>
            </w:pPr>
            <w:hyperlink w:anchor="ref_163">
              <w:r>
                <w:rPr>
                  <w:rFonts w:ascii="Calibri" w:hAnsi="Calibri" w:cs="Calibri" w:eastAsia="Calibri"/>
                  <w:sz w:val="18"/>
                  <w:szCs w:val="18"/>
                  <w:b w:val="0"/>
                  <w:bCs w:val="0"/>
                  <w:color w:val="244B62"/>
                  <w:lang w:val="en-GB" w:bidi="en-GB"/>
                  <w:rtl w:val="0"/>
                  <w:u w:val="single"/>
                </w:rPr>
                <w:t>Reference 163</w:t>
              </w:r>
            </w:hyperlink>
            <w:r>
              <w:rPr>
                <w:rFonts w:ascii="Calibri" w:hAnsi="Calibri" w:cs="Calibri" w:eastAsia="Calibri"/>
                <w:sz w:val="18"/>
                <w:szCs w:val="18"/>
                <w:b w:val="0"/>
                <w:bCs w:val="0"/>
                <w:color w:val="21313F"/>
                <w:lang w:val="en-GB" w:bidi="en-GB"/>
                <w:rtl w:val="0"/>
              </w:rPr>
              <w:t xml:space="preserve"> — Din is a context-sensitive word</w:t>
            </w:r>
          </w:p>
        </w:tc>
        <w:tc>
          <w:tcPr>
            <w:tcW w:type="dxa" w:w="5148"/>
            <w:vAlign w:val="top"/>
          </w:tcPr>
          <w:p>
            <w:pPr>
              <w:keepNext w:val="0"/>
              <w:widowControl w:val="1"/>
              <w:bidi w:val="1"/>
              <w:jc w:val="start"/>
              <w:spacing w:before="0" w:after="20" w:line="300" w:lineRule="atLeast"/>
            </w:pPr>
            <w:hyperlink w:anchor="ref_163">
              <w:r>
                <w:rPr>
                  <w:rFonts w:ascii="Noto Naskh Arabic" w:hAnsi="Noto Naskh Arabic" w:cs="Noto Naskh Arabic" w:eastAsia="Noto Naskh Arabic"/>
                  <w:sz w:val="20"/>
                  <w:szCs w:val="20"/>
                  <w:b w:val="0"/>
                  <w:bCs w:val="0"/>
                  <w:color w:val="244B62"/>
                  <w:lang w:val="ur-PK" w:bidi="ur-PK"/>
                  <w:rtl w:val="1"/>
                  <w:u w:val="single"/>
                </w:rPr>
                <w:t>حوالہ 163</w:t>
              </w:r>
            </w:hyperlink>
            <w:r>
              <w:rPr>
                <w:rFonts w:ascii="Noto Naskh Arabic" w:hAnsi="Noto Naskh Arabic" w:cs="Noto Naskh Arabic" w:eastAsia="Noto Naskh Arabic"/>
                <w:sz w:val="20"/>
                <w:szCs w:val="20"/>
                <w:b w:val="0"/>
                <w:bCs w:val="0"/>
                <w:color w:val="21313F"/>
                <w:lang w:val="ur-PK" w:bidi="ur-PK"/>
                <w:rtl w:val="1"/>
              </w:rPr>
              <w:t xml:space="preserve"> — دین ایک سیاق کے مطابق معنی رکھنے والا لفظ ہے</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Al-Shatibi — Al-Muwafaqat</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شاطبی — الموافقات</w:t>
            </w:r>
          </w:p>
        </w:tc>
      </w:tr>
      <w:tr>
        <w:trPr>
          <w:cantSplit/>
        </w:trPr>
        <w:tc>
          <w:tcPr>
            <w:tcW w:type="dxa" w:w="5148"/>
            <w:vAlign w:val="top"/>
          </w:tcPr>
          <w:p>
            <w:pPr>
              <w:keepNext w:val="0"/>
              <w:widowControl w:val="1"/>
              <w:bidi w:val="0"/>
              <w:jc w:val="start"/>
              <w:spacing w:before="0" w:after="20" w:line="250" w:lineRule="atLeast"/>
            </w:pPr>
            <w:hyperlink w:anchor="ref_164">
              <w:r>
                <w:rPr>
                  <w:rFonts w:ascii="Calibri" w:hAnsi="Calibri" w:cs="Calibri" w:eastAsia="Calibri"/>
                  <w:sz w:val="18"/>
                  <w:szCs w:val="18"/>
                  <w:b w:val="0"/>
                  <w:bCs w:val="0"/>
                  <w:color w:val="244B62"/>
                  <w:lang w:val="en-GB" w:bidi="en-GB"/>
                  <w:rtl w:val="0"/>
                  <w:u w:val="single"/>
                </w:rPr>
                <w:t>Reference 164</w:t>
              </w:r>
            </w:hyperlink>
            <w:r>
              <w:rPr>
                <w:rFonts w:ascii="Calibri" w:hAnsi="Calibri" w:cs="Calibri" w:eastAsia="Calibri"/>
                <w:sz w:val="18"/>
                <w:szCs w:val="18"/>
                <w:b w:val="0"/>
                <w:bCs w:val="0"/>
                <w:color w:val="21313F"/>
                <w:lang w:val="en-GB" w:bidi="en-GB"/>
                <w:rtl w:val="0"/>
              </w:rPr>
              <w:t xml:space="preserve"> — Religious obligation and freedom from caprice</w:t>
            </w:r>
          </w:p>
        </w:tc>
        <w:tc>
          <w:tcPr>
            <w:tcW w:type="dxa" w:w="5148"/>
            <w:vAlign w:val="top"/>
          </w:tcPr>
          <w:p>
            <w:pPr>
              <w:keepNext w:val="0"/>
              <w:widowControl w:val="1"/>
              <w:bidi w:val="1"/>
              <w:jc w:val="start"/>
              <w:spacing w:before="0" w:after="20" w:line="300" w:lineRule="atLeast"/>
            </w:pPr>
            <w:hyperlink w:anchor="ref_164">
              <w:r>
                <w:rPr>
                  <w:rFonts w:ascii="Noto Naskh Arabic" w:hAnsi="Noto Naskh Arabic" w:cs="Noto Naskh Arabic" w:eastAsia="Noto Naskh Arabic"/>
                  <w:sz w:val="20"/>
                  <w:szCs w:val="20"/>
                  <w:b w:val="0"/>
                  <w:bCs w:val="0"/>
                  <w:color w:val="244B62"/>
                  <w:lang w:val="ur-PK" w:bidi="ur-PK"/>
                  <w:rtl w:val="1"/>
                  <w:u w:val="single"/>
                </w:rPr>
                <w:t>حوالہ 164</w:t>
              </w:r>
            </w:hyperlink>
            <w:r>
              <w:rPr>
                <w:rFonts w:ascii="Noto Naskh Arabic" w:hAnsi="Noto Naskh Arabic" w:cs="Noto Naskh Arabic" w:eastAsia="Noto Naskh Arabic"/>
                <w:sz w:val="20"/>
                <w:szCs w:val="20"/>
                <w:b w:val="0"/>
                <w:bCs w:val="0"/>
                <w:color w:val="21313F"/>
                <w:lang w:val="ur-PK" w:bidi="ur-PK"/>
                <w:rtl w:val="1"/>
              </w:rPr>
              <w:t xml:space="preserve"> — دینی تکلیف اور خواہش کی بے قید پیروی سے آزادی</w:t>
            </w:r>
          </w:p>
        </w:tc>
      </w:tr>
      <w:tr>
        <w:trPr>
          <w:cantSplit/>
        </w:trPr>
        <w:tc>
          <w:tcPr>
            <w:tcW w:type="dxa" w:w="5148"/>
            <w:vAlign w:val="top"/>
          </w:tcPr>
          <w:p>
            <w:pPr>
              <w:keepNext w:val="0"/>
              <w:widowControl w:val="1"/>
              <w:bidi w:val="0"/>
              <w:jc w:val="start"/>
              <w:spacing w:before="0" w:after="20" w:line="250" w:lineRule="atLeast"/>
            </w:pPr>
            <w:hyperlink w:anchor="ref_203">
              <w:r>
                <w:rPr>
                  <w:rFonts w:ascii="Calibri" w:hAnsi="Calibri" w:cs="Calibri" w:eastAsia="Calibri"/>
                  <w:sz w:val="18"/>
                  <w:szCs w:val="18"/>
                  <w:b w:val="0"/>
                  <w:bCs w:val="0"/>
                  <w:color w:val="244B62"/>
                  <w:lang w:val="en-GB" w:bidi="en-GB"/>
                  <w:rtl w:val="0"/>
                  <w:u w:val="single"/>
                </w:rPr>
                <w:t>Reference 203</w:t>
              </w:r>
            </w:hyperlink>
            <w:r>
              <w:rPr>
                <w:rFonts w:ascii="Calibri" w:hAnsi="Calibri" w:cs="Calibri" w:eastAsia="Calibri"/>
                <w:sz w:val="18"/>
                <w:szCs w:val="18"/>
                <w:b w:val="0"/>
                <w:bCs w:val="0"/>
                <w:color w:val="21313F"/>
                <w:lang w:val="en-GB" w:bidi="en-GB"/>
                <w:rtl w:val="0"/>
              </w:rPr>
              <w:t xml:space="preserve"> — Mixed motives and lawful ordinary activity</w:t>
            </w:r>
          </w:p>
        </w:tc>
        <w:tc>
          <w:tcPr>
            <w:tcW w:type="dxa" w:w="5148"/>
            <w:vAlign w:val="top"/>
          </w:tcPr>
          <w:p>
            <w:pPr>
              <w:keepNext w:val="0"/>
              <w:widowControl w:val="1"/>
              <w:bidi w:val="1"/>
              <w:jc w:val="start"/>
              <w:spacing w:before="0" w:after="20" w:line="300" w:lineRule="atLeast"/>
            </w:pPr>
            <w:hyperlink w:anchor="ref_203">
              <w:r>
                <w:rPr>
                  <w:rFonts w:ascii="Noto Naskh Arabic" w:hAnsi="Noto Naskh Arabic" w:cs="Noto Naskh Arabic" w:eastAsia="Noto Naskh Arabic"/>
                  <w:sz w:val="20"/>
                  <w:szCs w:val="20"/>
                  <w:b w:val="0"/>
                  <w:bCs w:val="0"/>
                  <w:color w:val="244B62"/>
                  <w:lang w:val="ur-PK" w:bidi="ur-PK"/>
                  <w:rtl w:val="1"/>
                  <w:u w:val="single"/>
                </w:rPr>
                <w:t>حوالہ 203</w:t>
              </w:r>
            </w:hyperlink>
            <w:r>
              <w:rPr>
                <w:rFonts w:ascii="Noto Naskh Arabic" w:hAnsi="Noto Naskh Arabic" w:cs="Noto Naskh Arabic" w:eastAsia="Noto Naskh Arabic"/>
                <w:sz w:val="20"/>
                <w:szCs w:val="20"/>
                <w:b w:val="0"/>
                <w:bCs w:val="0"/>
                <w:color w:val="21313F"/>
                <w:lang w:val="ur-PK" w:bidi="ur-PK"/>
                <w:rtl w:val="1"/>
              </w:rPr>
              <w:t xml:space="preserve"> — ملے جلے محرکات اور جائز روزمرہ عمل</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Ibn Rajab — Jami al-ulum wa-l-hikam</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ابن رجب — جامع العلوم والحكم</w:t>
            </w:r>
          </w:p>
        </w:tc>
      </w:tr>
      <w:tr>
        <w:trPr>
          <w:cantSplit/>
        </w:trPr>
        <w:tc>
          <w:tcPr>
            <w:tcW w:type="dxa" w:w="5148"/>
            <w:vAlign w:val="top"/>
          </w:tcPr>
          <w:p>
            <w:pPr>
              <w:keepNext w:val="0"/>
              <w:widowControl w:val="1"/>
              <w:bidi w:val="0"/>
              <w:jc w:val="start"/>
              <w:spacing w:before="0" w:after="20" w:line="250" w:lineRule="atLeast"/>
            </w:pPr>
            <w:hyperlink w:anchor="ref_202">
              <w:r>
                <w:rPr>
                  <w:rFonts w:ascii="Calibri" w:hAnsi="Calibri" w:cs="Calibri" w:eastAsia="Calibri"/>
                  <w:sz w:val="18"/>
                  <w:szCs w:val="18"/>
                  <w:b w:val="0"/>
                  <w:bCs w:val="0"/>
                  <w:color w:val="244B62"/>
                  <w:lang w:val="en-GB" w:bidi="en-GB"/>
                  <w:rtl w:val="0"/>
                  <w:u w:val="single"/>
                </w:rPr>
                <w:t>Reference 202</w:t>
              </w:r>
            </w:hyperlink>
            <w:r>
              <w:rPr>
                <w:rFonts w:ascii="Calibri" w:hAnsi="Calibri" w:cs="Calibri" w:eastAsia="Calibri"/>
                <w:sz w:val="18"/>
                <w:szCs w:val="18"/>
                <w:b w:val="0"/>
                <w:bCs w:val="0"/>
                <w:color w:val="21313F"/>
                <w:lang w:val="en-GB" w:bidi="en-GB"/>
                <w:rtl w:val="0"/>
              </w:rPr>
              <w:t xml:space="preserve"> — Steadfastness begins with the heart and reaches the tongue</w:t>
            </w:r>
          </w:p>
        </w:tc>
        <w:tc>
          <w:tcPr>
            <w:tcW w:type="dxa" w:w="5148"/>
            <w:vAlign w:val="top"/>
          </w:tcPr>
          <w:p>
            <w:pPr>
              <w:keepNext w:val="0"/>
              <w:widowControl w:val="1"/>
              <w:bidi w:val="1"/>
              <w:jc w:val="start"/>
              <w:spacing w:before="0" w:after="20" w:line="300" w:lineRule="atLeast"/>
            </w:pPr>
            <w:hyperlink w:anchor="ref_202">
              <w:r>
                <w:rPr>
                  <w:rFonts w:ascii="Noto Naskh Arabic" w:hAnsi="Noto Naskh Arabic" w:cs="Noto Naskh Arabic" w:eastAsia="Noto Naskh Arabic"/>
                  <w:sz w:val="20"/>
                  <w:szCs w:val="20"/>
                  <w:b w:val="0"/>
                  <w:bCs w:val="0"/>
                  <w:color w:val="244B62"/>
                  <w:lang w:val="ur-PK" w:bidi="ur-PK"/>
                  <w:rtl w:val="1"/>
                  <w:u w:val="single"/>
                </w:rPr>
                <w:t>حوالہ 202</w:t>
              </w:r>
            </w:hyperlink>
            <w:r>
              <w:rPr>
                <w:rFonts w:ascii="Noto Naskh Arabic" w:hAnsi="Noto Naskh Arabic" w:cs="Noto Naskh Arabic" w:eastAsia="Noto Naskh Arabic"/>
                <w:sz w:val="20"/>
                <w:szCs w:val="20"/>
                <w:b w:val="0"/>
                <w:bCs w:val="0"/>
                <w:color w:val="21313F"/>
                <w:lang w:val="ur-PK" w:bidi="ur-PK"/>
                <w:rtl w:val="1"/>
              </w:rPr>
              <w:t xml:space="preserve"> — استقامت دل سے زبان تک پہنچتی ہے</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Ibn Qayyim — Madarij al-salikin</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ابن قیم — مدارج السالكين</w:t>
            </w:r>
          </w:p>
        </w:tc>
      </w:tr>
      <w:tr>
        <w:trPr>
          <w:cantSplit/>
        </w:trPr>
        <w:tc>
          <w:tcPr>
            <w:tcW w:type="dxa" w:w="5148"/>
            <w:vAlign w:val="top"/>
          </w:tcPr>
          <w:p>
            <w:pPr>
              <w:keepNext w:val="0"/>
              <w:widowControl w:val="1"/>
              <w:bidi w:val="0"/>
              <w:jc w:val="start"/>
              <w:spacing w:before="0" w:after="20" w:line="250" w:lineRule="atLeast"/>
            </w:pPr>
            <w:hyperlink w:anchor="ref_222">
              <w:r>
                <w:rPr>
                  <w:rFonts w:ascii="Calibri" w:hAnsi="Calibri" w:cs="Calibri" w:eastAsia="Calibri"/>
                  <w:sz w:val="18"/>
                  <w:szCs w:val="18"/>
                  <w:b w:val="0"/>
                  <w:bCs w:val="0"/>
                  <w:color w:val="244B62"/>
                  <w:lang w:val="en-GB" w:bidi="en-GB"/>
                  <w:rtl w:val="0"/>
                  <w:u w:val="single"/>
                </w:rPr>
                <w:t>Reference 222</w:t>
              </w:r>
            </w:hyperlink>
            <w:r>
              <w:rPr>
                <w:rFonts w:ascii="Calibri" w:hAnsi="Calibri" w:cs="Calibri" w:eastAsia="Calibri"/>
                <w:sz w:val="18"/>
                <w:szCs w:val="18"/>
                <w:b w:val="0"/>
                <w:bCs w:val="0"/>
                <w:color w:val="21313F"/>
                <w:lang w:val="en-GB" w:bidi="en-GB"/>
                <w:rtl w:val="0"/>
              </w:rPr>
              <w:t xml:space="preserve"> — Love and humility in worship</w:t>
            </w:r>
          </w:p>
        </w:tc>
        <w:tc>
          <w:tcPr>
            <w:tcW w:type="dxa" w:w="5148"/>
            <w:vAlign w:val="top"/>
          </w:tcPr>
          <w:p>
            <w:pPr>
              <w:keepNext w:val="0"/>
              <w:widowControl w:val="1"/>
              <w:bidi w:val="1"/>
              <w:jc w:val="start"/>
              <w:spacing w:before="0" w:after="20" w:line="300" w:lineRule="atLeast"/>
            </w:pPr>
            <w:hyperlink w:anchor="ref_222">
              <w:r>
                <w:rPr>
                  <w:rFonts w:ascii="Noto Naskh Arabic" w:hAnsi="Noto Naskh Arabic" w:cs="Noto Naskh Arabic" w:eastAsia="Noto Naskh Arabic"/>
                  <w:sz w:val="20"/>
                  <w:szCs w:val="20"/>
                  <w:b w:val="0"/>
                  <w:bCs w:val="0"/>
                  <w:color w:val="244B62"/>
                  <w:lang w:val="ur-PK" w:bidi="ur-PK"/>
                  <w:rtl w:val="1"/>
                  <w:u w:val="single"/>
                </w:rPr>
                <w:t>حوالہ 222</w:t>
              </w:r>
            </w:hyperlink>
            <w:r>
              <w:rPr>
                <w:rFonts w:ascii="Noto Naskh Arabic" w:hAnsi="Noto Naskh Arabic" w:cs="Noto Naskh Arabic" w:eastAsia="Noto Naskh Arabic"/>
                <w:sz w:val="20"/>
                <w:szCs w:val="20"/>
                <w:b w:val="0"/>
                <w:bCs w:val="0"/>
                <w:color w:val="21313F"/>
                <w:lang w:val="ur-PK" w:bidi="ur-PK"/>
                <w:rtl w:val="1"/>
              </w:rPr>
              <w:t xml:space="preserve"> — عبادت میں محبت اور عاجزی</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Clingingsmith, Khwaja and Kremer — Hajj study (2009)</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کلنگسمتھ، خواجہ اور کریمر — حج کا مطالعہ (2009)</w:t>
            </w:r>
          </w:p>
        </w:tc>
      </w:tr>
      <w:tr>
        <w:trPr>
          <w:cantSplit/>
        </w:trPr>
        <w:tc>
          <w:tcPr>
            <w:tcW w:type="dxa" w:w="5148"/>
            <w:vAlign w:val="top"/>
          </w:tcPr>
          <w:p>
            <w:pPr>
              <w:keepNext w:val="0"/>
              <w:widowControl w:val="1"/>
              <w:bidi w:val="0"/>
              <w:jc w:val="start"/>
              <w:spacing w:before="0" w:after="20" w:line="250" w:lineRule="atLeast"/>
            </w:pPr>
            <w:hyperlink w:anchor="ref_224">
              <w:r>
                <w:rPr>
                  <w:rFonts w:ascii="Calibri" w:hAnsi="Calibri" w:cs="Calibri" w:eastAsia="Calibri"/>
                  <w:sz w:val="18"/>
                  <w:szCs w:val="18"/>
                  <w:b w:val="0"/>
                  <w:bCs w:val="0"/>
                  <w:color w:val="244B62"/>
                  <w:lang w:val="en-GB" w:bidi="en-GB"/>
                  <w:rtl w:val="0"/>
                  <w:u w:val="single"/>
                </w:rPr>
                <w:t>Reference 224</w:t>
              </w:r>
            </w:hyperlink>
            <w:r>
              <w:rPr>
                <w:rFonts w:ascii="Calibri" w:hAnsi="Calibri" w:cs="Calibri" w:eastAsia="Calibri"/>
                <w:sz w:val="18"/>
                <w:szCs w:val="18"/>
                <w:b w:val="0"/>
                <w:bCs w:val="0"/>
                <w:color w:val="21313F"/>
                <w:lang w:val="en-GB" w:bidi="en-GB"/>
                <w:rtl w:val="0"/>
              </w:rPr>
              <w:t xml:space="preserve"> — Hajj and social attitudes: an empirical study</w:t>
            </w:r>
          </w:p>
        </w:tc>
        <w:tc>
          <w:tcPr>
            <w:tcW w:type="dxa" w:w="5148"/>
            <w:vAlign w:val="top"/>
          </w:tcPr>
          <w:p>
            <w:pPr>
              <w:keepNext w:val="0"/>
              <w:widowControl w:val="1"/>
              <w:bidi w:val="1"/>
              <w:jc w:val="start"/>
              <w:spacing w:before="0" w:after="20" w:line="300" w:lineRule="atLeast"/>
            </w:pPr>
            <w:hyperlink w:anchor="ref_224">
              <w:r>
                <w:rPr>
                  <w:rFonts w:ascii="Noto Naskh Arabic" w:hAnsi="Noto Naskh Arabic" w:cs="Noto Naskh Arabic" w:eastAsia="Noto Naskh Arabic"/>
                  <w:sz w:val="20"/>
                  <w:szCs w:val="20"/>
                  <w:b w:val="0"/>
                  <w:bCs w:val="0"/>
                  <w:color w:val="244B62"/>
                  <w:lang w:val="ur-PK" w:bidi="ur-PK"/>
                  <w:rtl w:val="1"/>
                  <w:u w:val="single"/>
                </w:rPr>
                <w:t>حوالہ 224</w:t>
              </w:r>
            </w:hyperlink>
            <w:r>
              <w:rPr>
                <w:rFonts w:ascii="Noto Naskh Arabic" w:hAnsi="Noto Naskh Arabic" w:cs="Noto Naskh Arabic" w:eastAsia="Noto Naskh Arabic"/>
                <w:sz w:val="20"/>
                <w:szCs w:val="20"/>
                <w:b w:val="0"/>
                <w:bCs w:val="0"/>
                <w:color w:val="21313F"/>
                <w:lang w:val="ur-PK" w:bidi="ur-PK"/>
                <w:rtl w:val="1"/>
              </w:rPr>
              <w:t xml:space="preserve"> — حج اور سماجی رویّے: ایک تجربی مطالعہ</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Campante and Yanagizawa-Drott — Ramadan study (2015)</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کمپانتے اور یاناگیزاوا ڈراٹ — رمضان کا مطالعہ (2015)</w:t>
            </w:r>
          </w:p>
        </w:tc>
      </w:tr>
      <w:tr>
        <w:trPr>
          <w:cantSplit/>
        </w:trPr>
        <w:tc>
          <w:tcPr>
            <w:tcW w:type="dxa" w:w="5148"/>
            <w:vAlign w:val="top"/>
          </w:tcPr>
          <w:p>
            <w:pPr>
              <w:keepNext w:val="0"/>
              <w:widowControl w:val="1"/>
              <w:bidi w:val="0"/>
              <w:jc w:val="start"/>
              <w:spacing w:before="0" w:after="20" w:line="250" w:lineRule="atLeast"/>
            </w:pPr>
            <w:hyperlink w:anchor="ref_225">
              <w:r>
                <w:rPr>
                  <w:rFonts w:ascii="Calibri" w:hAnsi="Calibri" w:cs="Calibri" w:eastAsia="Calibri"/>
                  <w:sz w:val="18"/>
                  <w:szCs w:val="18"/>
                  <w:b w:val="0"/>
                  <w:bCs w:val="0"/>
                  <w:color w:val="244B62"/>
                  <w:lang w:val="en-GB" w:bidi="en-GB"/>
                  <w:rtl w:val="0"/>
                  <w:u w:val="single"/>
                </w:rPr>
                <w:t>Reference 225</w:t>
              </w:r>
            </w:hyperlink>
            <w:r>
              <w:rPr>
                <w:rFonts w:ascii="Calibri" w:hAnsi="Calibri" w:cs="Calibri" w:eastAsia="Calibri"/>
                <w:sz w:val="18"/>
                <w:szCs w:val="18"/>
                <w:b w:val="0"/>
                <w:bCs w:val="0"/>
                <w:color w:val="21313F"/>
                <w:lang w:val="en-GB" w:bidi="en-GB"/>
                <w:rtl w:val="0"/>
              </w:rPr>
              <w:t xml:space="preserve"> — Ramadan: well-being and economic outcomes need not coincide</w:t>
            </w:r>
          </w:p>
        </w:tc>
        <w:tc>
          <w:tcPr>
            <w:tcW w:type="dxa" w:w="5148"/>
            <w:vAlign w:val="top"/>
          </w:tcPr>
          <w:p>
            <w:pPr>
              <w:keepNext w:val="0"/>
              <w:widowControl w:val="1"/>
              <w:bidi w:val="1"/>
              <w:jc w:val="start"/>
              <w:spacing w:before="0" w:after="20" w:line="300" w:lineRule="atLeast"/>
            </w:pPr>
            <w:hyperlink w:anchor="ref_225">
              <w:r>
                <w:rPr>
                  <w:rFonts w:ascii="Noto Naskh Arabic" w:hAnsi="Noto Naskh Arabic" w:cs="Noto Naskh Arabic" w:eastAsia="Noto Naskh Arabic"/>
                  <w:sz w:val="20"/>
                  <w:szCs w:val="20"/>
                  <w:b w:val="0"/>
                  <w:bCs w:val="0"/>
                  <w:color w:val="244B62"/>
                  <w:lang w:val="ur-PK" w:bidi="ur-PK"/>
                  <w:rtl w:val="1"/>
                  <w:u w:val="single"/>
                </w:rPr>
                <w:t>حوالہ 225</w:t>
              </w:r>
            </w:hyperlink>
            <w:r>
              <w:rPr>
                <w:rFonts w:ascii="Noto Naskh Arabic" w:hAnsi="Noto Naskh Arabic" w:cs="Noto Naskh Arabic" w:eastAsia="Noto Naskh Arabic"/>
                <w:sz w:val="20"/>
                <w:szCs w:val="20"/>
                <w:b w:val="0"/>
                <w:bCs w:val="0"/>
                <w:color w:val="21313F"/>
                <w:lang w:val="ur-PK" w:bidi="ur-PK"/>
                <w:rtl w:val="1"/>
              </w:rPr>
              <w:t xml:space="preserve"> — رمضان: بہبود اور معاشی نتائج کا یکساں ہونا لازم نہیں</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p>
      <w:pPr>
        <w:spacing w:before="0" w:after="0" w:line="60" w:lineRule="exact"/>
        <w:keepNext w:val="0"/>
      </w:pPr>
      <w:r>
        <w:br w:type="page"/>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bookmarkStart w:id="1081" w:name="expanded_audit"/>
            <w:r>
              <w:rPr>
                <w:rFonts w:ascii="Calibri" w:hAnsi="Calibri" w:cs="Calibri" w:eastAsia="Calibri"/>
                <w:sz w:val="22"/>
                <w:szCs w:val="22"/>
                <w:b w:val="1"/>
                <w:bCs w:val="1"/>
                <w:color w:val="21313F"/>
                <w:lang w:val="en-GB" w:bidi="en-GB"/>
                <w:rtl w:val="0"/>
              </w:rPr>
              <w:t>Final reference audit — expanded edition</w:t>
            </w:r>
            <w:bookmarkEnd w:id="1081"/>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حوالہ جات کی آخری جانچ — توسیعی نسخہ</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One primary category per counted entry. Arabic blocks, parallel translations, parallel Hadith citations and the book index are not counted again.</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ہر اندراج صرف ایک بنیادی زمرے میں شمار ہے۔ عربی خانے، متوازی تراجم، حدیث کے متوازی حوالے اور کتابی اشاریہ دوبارہ شمار نہیں ہوئے۔</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Quranic passages: 85 (60 retained + 25 added)</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قرآنی مقامات: 85 (60 برقرار + 25 اضافی)</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Authenticated Hadith / report entries: 75 (50 retained + 25 added)</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صحیح حدیثی / روایتی اندراجات: 75 (50 برقرار + 25 اضافی)</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Tafsir passages: 40 (25 retained + 15 added)</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تفسیری مقامات: 40 (25 برقرار + 15 اضافی)</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Scholarly, commentary and academic passages: 25 (15 retained + 10 added)</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علمی، شرحی اور جامعاتی مقامات: 25 (15 برقرار + 10 اضافی)</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TOTAL UNIQUE REFERENCES: 225</w:t>
              <w:br/>
              <w:t>150 retained + 75 additions; continuous numbering 001–225.</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کل منفرد حوالے: 225</w:t>
              <w:br/>
              <w:t>150 برقرار + 75 اضافی؛ مسلسل ترقیم 001 تا 225۔</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No stand-alone weak, very weak or fabricated reports have been admitted as authenticated evidence. Separately counted disputed-report entries: 0. Attributed interpretive disagreements remain qualified in their own entries.</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کسی مستقل ضعیف، بہت ضعیف یا موضوع روایت کو صحیح دلیل کے طور پر شامل نہیں کیا گیا۔ الگ شمار شدہ اختلافی روایتوں کے اندراجات: 0۔ منسوب تفسیری اختلافات متعلقہ اندراجات میں اپنی قیود کے ساتھ موجود ہیں۔</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This edition contains 225 references; that is the count of the material actually supplied, not a ceiling on the chapter’s possible evidence. The additions are distinct passages, not duplicated translations or alternate hosting links.</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اس نسخے میں 225 حوالے ہیں؛ یہ فراہم کردہ مواد کی حقیقی تعداد ہے، باب کے ممکنہ شواہد کی آخری حد نہیں۔ اضافے الگ مقامات ہیں، مکرر تراجم یا دوسرے میزبان روابط نہیں۔</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Revision and verification scope</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ترمیم اور تصدیق کا دائرہ</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References 001–150 are retained from the supplied earlier DOCX with its stated source checks and limitations. References 151–225 were researched for this expansion. The full 225-entry register was checked for sequential identifiers, category totals and substantive duplication; this does not assert that every original external link was fetched afresh during this revision.</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001 تا 150 فراہم کردہ سابقہ دستاویز سے اس کی بیان کردہ ماخذی جانچ اور حدود سمیت برقرار ہیں۔ حوالہ 151 تا 225 اس توسیع کے لیے تحقیق کیے گئے۔ 225 اندراجات کے پورے رجسٹر میں مسلسل شناخت، زمروں کے مجموعے اور معنوی تکرار دیکھی گئی؛ اس سے یہ دعویٰ نہیں کہ ہر پرانا بیرونی ربط اس ترمیم میں نئے سرے سے کھولا گیا۔</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The added material contributes 25 Quranic passages, 25 Hadith entries, 15 passage-specific Tafsir discussions and 10 scholarly or academic passages. It extends lexical distinctions concerning din and worship, personal accountability, dignity, knowledge, daily conduct, concessions in worship and documented social effects.</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اضافی مواد میں 25 قرآنی مقامات، 25 حدیثی اندراجات، 15 مخصوص تفسیری مباحث اور 10 علمی یا جامعاتی مقامات ہیں۔ ان سے دین و عبادت کے لغوی امتیازات، ذاتی جواب دہی، وقار، علم، روزمرہ کردار، عبادت میں رخصتوں اور تحقیق شدہ سماجی اثرات کی بحث وسیع ہوتی ہے۔</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Translation and verification limitations</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تراجم اور تصدیق کی حدود</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Published Urdu translation wording was not verified for 11 Hadith entries: eight retained gaps and three additional gaps. Their verified Arabic selections, English excerpts and precise source citations remain. No replacement Urdu Hadith translation has been invented.</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11 حدیثی اندراجات کے مطبوعہ اردو ترجمے کے الفاظ کی تصدیق نہیں ہو سکی: آٹھ سابقہ اور تین اضافی خلا۔ ان کے جانچے گئے عربی انتخاب، انگریزی اقتباسات اور دقیق ماخذ برقرار ہیں۔ ان کی جگہ خودساختہ اردو ترجمۂ حدیث نہیں لکھا گیا۔</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007 — Sahih Muslim 8a</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007 — صحیح مسلم 8a</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051 — Sahih al-Bukhari 69</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051 — صحیح البخاری 69</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081 — Sahih al-Bukhari 2697</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081 — صحیح البخاری 2697</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082 — Sahih al-Bukhari 6465</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082 — صحیح البخاری 6465</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092 — Sahih al-Bukhari 528</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092 — صحیح البخاری 528</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094 — Sahih al-Bukhari 631</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094 — صحیح البخاری 631</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104 — Sahih al-Bukhari 1923</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104 — صحیح البخاری 1923</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139 — Sahih al-Bukhari 6009</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139 — صحیح البخاری 6009</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157 — Sahih al-Bukhari 27</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157 — صحیح البخاری 27</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195 — Sahih al-Bukhari 33</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195 — صحیح البخاری 33</w:t>
            </w:r>
          </w:p>
        </w:tc>
      </w:tr>
    </w:tbl>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 217 — Sahih al-Bukhari 1445</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217 — صحیح البخاری 1445</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Quran: 85 entries use checked Arabic selections with Pickthall English and Fateh Muhammad Jalandhari Urdu wording, accessed through Quranic Arabic Corpus and SurahQuran respectively. The 25 additions were checked for this revision; the original 60 retain the earlier check record. Full verses and contiguous excerpts are distinguished.</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قرآن: 85 اندراجات میں جانچا گیا عربی انتخاب، انگریزی میں پکتھال اور اردو میں فتح محمد جالندھری کے الفاظ ہیں؛ رسائی بالترتیب قرآنی عربی کارپس اور سورہ قرآن سے ہے۔ 25 اضافے اس ترمیم میں جانچے گئے؛ اصل 60 کے ساتھ سابقہ جانچ کا ریکارڈ برقرار ہے۔ مکمل آیت اور مسلسل اقتباس کا فرق واضح ہے۔</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Hadith: all 75 primary entries are anchored in Sahih al-Bukhari or Sahih Muslim. Urdu wording is supplied where verified for 64 entries. Some translations are from an identified parallel version; these are qualified rather than silently presented as identical wording. Collection-based authentication does not grade every additional report quoted inside a commentary.</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حدیث: تمام 75 بنیادی اندراجات صحیح البخاری یا صحیح مسلم پر مبنی ہیں۔ 64 اندراجات میں جانچا گیا اردو متن دیا گیا ہے۔ بعض تراجم معین متوازی روایت سے ہیں؛ انہیں خاموشی سے بعینہٖ ایک متن قرار دینے کے بجائے قید واضح کی گئی ہے۔ مجموعے کی صحت سے شرح کے اندر نقل ہر اضافی روایت کی تصحیح مراد نہیں۔</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Translation access points include Sunnah.com, Islamic Urdu Books and HadeethEnc. These are identified as responsible display sources; a translator, publisher or printed edition is not inferred when the accessed source does not establish it. Scholarly paraphrases in both languages are the compiler’s summaries, not published translations.</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ترجمے کے رسائی مقامات میں Sunnah.com، اسلامک اردو بکس اور موسوعۃ الاحادیث النبویۃ شامل ہیں۔ انہیں پیش کردہ متن کے ذمہ دار ماخذ کے طور پر شناخت کیا گیا ہے؛ جہاں دستیاب ماخذ مترجم، ناشر یا مطبوعہ نسخہ ثابت نہیں کرتا، وہاں اسے قیاس سے منسوب نہیں کیا گیا۔ دونوں زبانوں کے علمی خلاصے مرتب کے مفہومی بیان ہیں، مطبوعہ تراجم نہیں۔</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Book verification is passage-specific. Editions, dates and pages are supplied only where established; HTML volume or section markers are not represented as inspected print pagination. Reference 223 uses the Ihya text as reproduced in al-Zabidi’s commentary, not a separately inspected Ihya edition.</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کتابی تصدیق مخصوص مقام تک محدود ہے۔ نسخہ، تاریخ اور صفحہ صرف ثابت ہونے پر دیے گئے ہیں؛ برقی جلد یا ذیلی عنوان کو معائنہ شدہ مطبوعہ صفحہ نہیں کہا گیا۔ حوالہ 223 میں احیاء کا متن زبیدی کی شرح کے اندر نقل شدہ صورت سے لیا گیا ہے، الگ احیاء کے نسخے کے معائنے سے نہیں۔</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References 224–225 use the published abstracts and checked bibliographic records of the 2009 Hajj study and the 2015 Ramadan study. They are not fresh replications or full-method reviews. Findings must remain tied to each study’s setting, sample, design and outcomes; religious prescriptions and observed average effects are different kinds of evidence.</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حوالہ 224 تا 225 میں حج کے 2009 اور رمضان کے 2015 کے مطالعوں کے مطبوعہ خلاصے اور جانچے گئے کتابی ریکارڈ استعمال ہوئے ہیں۔ یہ تحقیق کی نئی تکرار یا طریقۂ کار کا مکمل جائزہ نہیں۔ نتائج کو متعلقہ ماحول، نمونے، طریقے اور پیمانوں تک محدود رکھنا ضروری ہے؛ دینی ہدایت اور مشاہدہ شدہ اوسط اثر دو الگ قسم کے شواہد ہیں۔</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shd w:fill="EDF3F6"/>
          </w:tcPr>
          <w:p>
            <w:pPr>
              <w:keepNext w:val="1"/>
              <w:widowControl w:val="1"/>
              <w:bidi w:val="0"/>
              <w:jc w:val="start"/>
              <w:spacing w:before="0" w:after="20" w:line="250" w:lineRule="atLeast"/>
            </w:pPr>
            <w:r>
              <w:rPr>
                <w:rFonts w:ascii="Calibri" w:hAnsi="Calibri" w:cs="Calibri" w:eastAsia="Calibri"/>
                <w:sz w:val="22"/>
                <w:szCs w:val="22"/>
                <w:b w:val="1"/>
                <w:bCs w:val="1"/>
                <w:color w:val="21313F"/>
                <w:lang w:val="en-GB" w:bidi="en-GB"/>
                <w:rtl w:val="0"/>
              </w:rPr>
              <w:t>Coverage and remaining boundaries</w:t>
            </w:r>
          </w:p>
        </w:tc>
        <w:tc>
          <w:tcPr>
            <w:tcW w:type="dxa" w:w="5148"/>
            <w:vAlign w:val="top"/>
            <w:shd w:fill="EDF3F6"/>
          </w:tcPr>
          <w:p>
            <w:pPr>
              <w:keepNext w:val="1"/>
              <w:widowControl w:val="1"/>
              <w:bidi w:val="1"/>
              <w:jc w:val="start"/>
              <w:spacing w:before="0" w:after="20" w:line="300" w:lineRule="atLeast"/>
            </w:pPr>
            <w:r>
              <w:rPr>
                <w:rFonts w:ascii="Noto Naskh Arabic" w:hAnsi="Noto Naskh Arabic" w:cs="Noto Naskh Arabic" w:eastAsia="Noto Naskh Arabic"/>
                <w:sz w:val="24"/>
                <w:szCs w:val="24"/>
                <w:b w:val="1"/>
                <w:bCs w:val="1"/>
                <w:color w:val="21313F"/>
                <w:lang w:val="ur-PK" w:bidi="ur-PK"/>
                <w:rtl w:val="1"/>
              </w:rPr>
              <w:t>موضوعی احاطہ اور باقی حدود</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All six supplied topic areas are represented. The retained 11 themes and five expanded themes cover Islam and din, the comparison with religion, distinctive values, beliefs and responsibility, fundamentals, prayer, fasting, zakat, Hajj, supplication, remembrance and worship expressed through family and social conduct.</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فراہم کردہ چھ موضوعی دائروں کی نمائندگی موجود ہے۔ سابقہ 11 اور اضافی پانچ موضوعات میں اسلام و دین، مذہب سے تقابل، امتیازی اقدار، عقائد و جواب دہی، بنیادی تعلیمات، نماز، روزہ، زکوٰۃ، حج، دعا، ذکر، اور خاندانی و معاشرتی کردار میں عبادت کا اظہار شامل ہے۔</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tbl>
      <w:tblPr>
        <w:jc w:val="center"/>
        <w:tblLook w:firstColumn="1" w:firstRow="1" w:lastColumn="0" w:lastRow="0" w:noHBand="0" w:noVBand="1" w:val="04A0"/>
        <w:tblW w:w="10296" w:type="dxa"/>
        <w:tblLayout w:type="fixed"/>
        <w:tblBorders>
          <w:top w:val="single" w:sz="3" w:color="D6E1E7"/>
          <w:left w:val="single" w:sz="3" w:color="D6E1E7"/>
          <w:bottom w:val="single" w:sz="3" w:color="D6E1E7"/>
          <w:right w:val="single" w:sz="3" w:color="D6E1E7"/>
          <w:insideH w:val="single" w:sz="3" w:color="D6E1E7"/>
          <w:insideV w:val="single" w:sz="3" w:color="D6E1E7"/>
        </w:tblBorders>
        <w:tblCellMar>
          <w:top w:w="65" w:type="dxa"/>
          <w:bottom w:w="65" w:type="dxa"/>
          <w:left w:w="95" w:type="dxa"/>
          <w:right w:w="95" w:type="dxa"/>
        </w:tblCellMar>
      </w:tblPr>
      <w:tblGrid>
        <w:gridCol w:w="5148"/>
        <w:gridCol w:w="5148"/>
      </w:tblGrid>
      <w:tr>
        <w:trPr>
          <w:cantSplit/>
        </w:trPr>
        <w:tc>
          <w:tcPr>
            <w:tcW w:type="dxa" w:w="5148"/>
            <w:vAlign w:val="top"/>
          </w:tcPr>
          <w:p>
            <w:pPr>
              <w:keepNext w:val="0"/>
              <w:widowControl w:val="1"/>
              <w:bidi w:val="0"/>
              <w:jc w:val="start"/>
              <w:spacing w:before="0" w:after="20" w:line="250" w:lineRule="atLeast"/>
            </w:pPr>
            <w:r>
              <w:rPr>
                <w:rFonts w:ascii="Calibri" w:hAnsi="Calibri" w:cs="Calibri" w:eastAsia="Calibri"/>
                <w:sz w:val="20"/>
                <w:szCs w:val="20"/>
                <w:b w:val="0"/>
                <w:bCs w:val="0"/>
                <w:color w:val="21313F"/>
                <w:lang w:val="en-GB" w:bidi="en-GB"/>
                <w:rtl w:val="0"/>
              </w:rPr>
              <w:t>Historical and Seerah examples are principally grounded in authenticated reports rather than popular anecdotes. Detailed comparative theology, every juristic school’s ritual rulings and a comprehensive empirical literature review are outside this introductory bank. No claim is made that all worshippers necessarily display the intended spiritual, moral or social effects.</w:t>
            </w:r>
          </w:p>
        </w:tc>
        <w:tc>
          <w:tcPr>
            <w:tcW w:type="dxa" w:w="5148"/>
            <w:vAlign w:val="top"/>
          </w:tcPr>
          <w:p>
            <w:pPr>
              <w:keepNext w:val="0"/>
              <w:widowControl w:val="1"/>
              <w:bidi w:val="1"/>
              <w:jc w:val="start"/>
              <w:spacing w:before="0" w:after="20" w:line="300" w:lineRule="atLeast"/>
            </w:pPr>
            <w:r>
              <w:rPr>
                <w:rFonts w:ascii="Noto Naskh Arabic" w:hAnsi="Noto Naskh Arabic" w:cs="Noto Naskh Arabic" w:eastAsia="Noto Naskh Arabic"/>
                <w:sz w:val="22"/>
                <w:szCs w:val="22"/>
                <w:b w:val="0"/>
                <w:bCs w:val="0"/>
                <w:color w:val="21313F"/>
                <w:lang w:val="ur-PK" w:bidi="ur-PK"/>
                <w:rtl w:val="1"/>
              </w:rPr>
              <w:t>تاریخی و سیرتی مثالوں کی بنیاد زیادہ تر صحیح روایات ہیں، مقبول حکایات نہیں۔ مفصل تقابلی علمِ کلام، تمام فقہی مکاتب کے جزوی عباداتی احکام اور تجرباتی ادب کا مکمل جائزہ اس تعارفی ذخیرے کا دعویٰ نہیں۔ یہ بھی دعویٰ نہیں کہ ہر عبادت گزار میں مقصود روحانی، اخلاقی یا سماجی اثر لازماً ظاہر ہوتا ہے۔</w:t>
            </w:r>
          </w:p>
        </w:tc>
      </w:tr>
    </w:tbl>
    <w:p>
      <w:pPr>
        <w:spacing w:before="0" w:after="0" w:line="60" w:lineRule="exact"/>
        <w:keepNext w:val="0"/>
      </w:pPr>
      <w:r>
        <w:rPr>
          <w:rFonts w:ascii="Calibri" w:hAnsi="Calibri" w:cs="Calibri" w:eastAsia="Calibri"/>
          <w:sz w:val="4"/>
          <w:szCs w:val="4"/>
          <w:b w:val="0"/>
          <w:bCs w:val="0"/>
          <w:color w:val="21313F"/>
          <w:lang w:val="en-GB" w:bidi="en-GB"/>
          <w:rtl w:val="0"/>
        </w:rPr>
      </w:r>
    </w:p>
    <w:sectPr w:rsidR="00FC693F" w:rsidRPr="0006063C" w:rsidSect="00034616">
      <w:headerReference w:type="default" r:id="rId9"/>
      <w:footerReference w:type="default" r:id="rId10"/>
      <w:pgSz w:w="11909" w:h="16834"/>
      <w:pgMar w:top="821" w:right="806" w:bottom="792" w:left="806" w:header="331"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after="60" w:before="0" w:lineRule="atLeast" w:line="250"/>
      <w:jc w:val="center"/>
      <w:bidi w:val="0"/>
    </w:pPr>
    <w:r>
      <w:rPr>
        <w:rFonts w:ascii="Calibri" w:hAnsi="Calibri" w:cs="Calibri" w:eastAsia="Calibri"/>
        <w:b w:val="0"/>
        <w:color w:val="4F5D68"/>
        <w:sz w:val="16"/>
        <w:szCs w:val="16"/>
        <w:lang w:val="en-GB" w:bidi="ar-SA"/>
      </w:rPr>
      <w:t xml:space="preserve">— </w:t>
    </w:r>
    <w:fldSimple w:instr="PAGE"/>
    <w:r>
      <w:rPr>
        <w:rFonts w:ascii="Calibri" w:hAnsi="Calibri" w:cs="Calibri" w:eastAsia="Calibri"/>
        <w:b w:val="0"/>
        <w:color w:val="4F5D68"/>
        <w:sz w:val="16"/>
        <w:szCs w:val="16"/>
        <w:lang w:val="en-GB" w:bidi="ar-SA"/>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Pr>
  </w:p>
  <w:tbl>
    <w:tblPr>
      <w:tblW w:type="auto" w:w="0"/>
      <w:tblLayout w:type="fixed"/>
      <w:tblLook w:firstColumn="1" w:firstRow="1" w:lastColumn="0" w:lastRow="0" w:noHBand="0" w:noVBand="1" w:val="04A0"/>
    </w:tblPr>
    <w:tblGrid>
      <w:gridCol w:w="5148"/>
      <w:gridCol w:w="5148"/>
    </w:tblGrid>
    <w:tr>
      <w:tc>
        <w:tcPr>
          <w:tcW w:type="dxa" w:w="5148"/>
        </w:tcPr>
        <w:p>
          <w:pPr>
            <w:keepNext w:val="0"/>
            <w:widowControl/>
            <w:spacing w:after="0" w:before="0" w:lineRule="atLeast" w:line="250"/>
            <w:jc w:val="start"/>
            <w:bidi w:val="0"/>
          </w:pPr>
          <w:r>
            <w:rPr>
              <w:rFonts w:ascii="Calibri" w:hAnsi="Calibri" w:cs="Calibri" w:eastAsia="Calibri"/>
              <w:b/>
              <w:color w:val="4F5D68"/>
              <w:sz w:val="16"/>
              <w:szCs w:val="16"/>
              <w:lang w:val="en-GB" w:bidi="ar-SA"/>
            </w:rPr>
            <w:t>ISLAMIC STUDIES  |  REFERENCE BANK</w:t>
          </w:r>
        </w:p>
      </w:tc>
      <w:tc>
        <w:tcPr>
          <w:tcW w:type="dxa" w:w="5148"/>
        </w:tcPr>
        <w:p>
          <w:pPr>
            <w:keepNext w:val="0"/>
            <w:widowControl/>
            <w:spacing w:after="0" w:before="0" w:lineRule="atLeast" w:line="300"/>
            <w:jc w:val="start"/>
            <w:bidi w:val="1"/>
          </w:pPr>
          <w:r>
            <w:rPr>
              <w:rFonts w:ascii="Noto Naskh Arabic" w:hAnsi="Noto Naskh Arabic" w:cs="Noto Naskh Arabic" w:eastAsia="Noto Naskh Arabic"/>
              <w:b/>
              <w:color w:val="4F5D68"/>
              <w:sz w:val="18"/>
              <w:szCs w:val="18"/>
              <w:lang w:val="ur-PK" w:bidi="ur-PK"/>
              <w:rtl w:val="1"/>
              <w:bCs/>
            </w:rPr>
            <w:t>اسلامیات  |  ذخیرۂ حوالہ جات</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Hyphenat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Calibri" w:hAnsi="Calibri"/>
      <w:b/>
      <w:bCs/>
      <w:color w:val="244B62"/>
      <w:sz w:val="28"/>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Calibri" w:hAnsi="Calibri"/>
      <w:b/>
      <w:bCs/>
      <w:color w:val="244B62"/>
      <w:sz w:val="26"/>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Calibri" w:hAnsi="Calibri"/>
      <w:b/>
      <w:bCs/>
      <w:color w:val="244B6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80"/>
      <w:contextualSpacing/>
    </w:pPr>
    <w:rPr>
      <w:rFonts w:asciiTheme="majorHAnsi" w:eastAsiaTheme="majorEastAsia" w:hAnsiTheme="majorHAnsi" w:cstheme="majorBidi" w:ascii="Calibri" w:hAnsi="Calibri"/>
      <w:color w:val="244B6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80" w:after="80"/>
    </w:pPr>
    <w:rPr>
      <w:rFonts w:asciiTheme="majorHAnsi" w:eastAsiaTheme="majorEastAsia" w:hAnsiTheme="majorHAnsi" w:cstheme="majorBidi" w:ascii="Calibri" w:hAnsi="Calibri"/>
      <w:i/>
      <w:iCs/>
      <w:color w:val="244B6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rahquran.com/Urdu-aya-19-sora-3.html" TargetMode="External"/><Relationship Id="rId12" Type="http://schemas.openxmlformats.org/officeDocument/2006/relationships/hyperlink" Target="https://corpus.quran.com/translation.jsp?chapter=3&amp;verse=19" TargetMode="External"/><Relationship Id="rId13" Type="http://schemas.openxmlformats.org/officeDocument/2006/relationships/hyperlink" Target="https://surahquran.com/Urdu-aya-85-sora-3.html" TargetMode="External"/><Relationship Id="rId14" Type="http://schemas.openxmlformats.org/officeDocument/2006/relationships/hyperlink" Target="https://corpus.quran.com/translation.jsp?chapter=3&amp;verse=85" TargetMode="External"/><Relationship Id="rId15" Type="http://schemas.openxmlformats.org/officeDocument/2006/relationships/hyperlink" Target="https://surahquran.com/Urdu-aya-131-sora-2.html" TargetMode="External"/><Relationship Id="rId16" Type="http://schemas.openxmlformats.org/officeDocument/2006/relationships/hyperlink" Target="https://corpus.quran.com/translation.jsp?chapter=2&amp;verse=131" TargetMode="External"/><Relationship Id="rId17" Type="http://schemas.openxmlformats.org/officeDocument/2006/relationships/hyperlink" Target="https://surahquran.com/Urdu-aya-125-sora-4.html" TargetMode="External"/><Relationship Id="rId18" Type="http://schemas.openxmlformats.org/officeDocument/2006/relationships/hyperlink" Target="https://corpus.quran.com/translation.jsp?chapter=4&amp;verse=125" TargetMode="External"/><Relationship Id="rId19" Type="http://schemas.openxmlformats.org/officeDocument/2006/relationships/hyperlink" Target="https://surahquran.com/Urdu-aya-13-sora-42.html" TargetMode="External"/><Relationship Id="rId20" Type="http://schemas.openxmlformats.org/officeDocument/2006/relationships/hyperlink" Target="https://corpus.quran.com/translation.jsp?chapter=42&amp;verse=13" TargetMode="External"/><Relationship Id="rId21" Type="http://schemas.openxmlformats.org/officeDocument/2006/relationships/hyperlink" Target="https://surahquran.com/Urdu-aya-14-sora-49.html" TargetMode="External"/><Relationship Id="rId22" Type="http://schemas.openxmlformats.org/officeDocument/2006/relationships/hyperlink" Target="https://corpus.quran.com/translation.jsp?chapter=49&amp;verse=14" TargetMode="External"/><Relationship Id="rId23" Type="http://schemas.openxmlformats.org/officeDocument/2006/relationships/hyperlink" Target="https://sunnah.com/muslim:8a" TargetMode="External"/><Relationship Id="rId24" Type="http://schemas.openxmlformats.org/officeDocument/2006/relationships/hyperlink" Target="https://sunnah.com/bukhari:10" TargetMode="External"/><Relationship Id="rId25" Type="http://schemas.openxmlformats.org/officeDocument/2006/relationships/hyperlink" Target="https://islamicurdubooks.com/hadith/hadith-.php?bookid=1&amp;hadith_number=10" TargetMode="External"/><Relationship Id="rId26" Type="http://schemas.openxmlformats.org/officeDocument/2006/relationships/hyperlink" Target="https://sunnah.com/muslim:55a" TargetMode="External"/><Relationship Id="rId27" Type="http://schemas.openxmlformats.org/officeDocument/2006/relationships/hyperlink" Target="https://hadeethenc.com/ur/browse/hadith/4309" TargetMode="External"/><Relationship Id="rId28" Type="http://schemas.openxmlformats.org/officeDocument/2006/relationships/hyperlink" Target="https://quran.ksu.edu.sa/tafseer/katheer/sura49-aya14.html" TargetMode="External"/><Relationship Id="rId29" Type="http://schemas.openxmlformats.org/officeDocument/2006/relationships/hyperlink" Target="https://islamicstudies.info/tafheem.php?sura=3&amp;verse=19" TargetMode="External"/><Relationship Id="rId30" Type="http://schemas.openxmlformats.org/officeDocument/2006/relationships/hyperlink" Target="https://ar.wikisource.org/wiki/&#1575;&#1604;&#1593;&#1576;&#1608;&#1583;&#1610;&#1577;" TargetMode="External"/><Relationship Id="rId31" Type="http://schemas.openxmlformats.org/officeDocument/2006/relationships/hyperlink" Target="https://surahquran.com/Urdu-aya-162-sora-6.html" TargetMode="External"/><Relationship Id="rId32" Type="http://schemas.openxmlformats.org/officeDocument/2006/relationships/hyperlink" Target="https://corpus.quran.com/translation.jsp?chapter=6&amp;verse=162" TargetMode="External"/><Relationship Id="rId33" Type="http://schemas.openxmlformats.org/officeDocument/2006/relationships/hyperlink" Target="https://surahquran.com/Urdu-aya-30-sora-30.html" TargetMode="External"/><Relationship Id="rId34" Type="http://schemas.openxmlformats.org/officeDocument/2006/relationships/hyperlink" Target="https://corpus.quran.com/translation.jsp?chapter=30&amp;verse=30" TargetMode="External"/><Relationship Id="rId35" Type="http://schemas.openxmlformats.org/officeDocument/2006/relationships/hyperlink" Target="https://surahquran.com/Urdu-aya-56-sora-51.html" TargetMode="External"/><Relationship Id="rId36" Type="http://schemas.openxmlformats.org/officeDocument/2006/relationships/hyperlink" Target="https://corpus.quran.com/translation.jsp?chapter=51&amp;verse=56" TargetMode="External"/><Relationship Id="rId37" Type="http://schemas.openxmlformats.org/officeDocument/2006/relationships/hyperlink" Target="https://surahquran.com/Urdu-aya-201-sora-2.html" TargetMode="External"/><Relationship Id="rId38" Type="http://schemas.openxmlformats.org/officeDocument/2006/relationships/hyperlink" Target="https://corpus.quran.com/translation.jsp?chapter=2&amp;verse=201" TargetMode="External"/><Relationship Id="rId39" Type="http://schemas.openxmlformats.org/officeDocument/2006/relationships/hyperlink" Target="https://surahquran.com/Urdu-aya-124-sora-20.html" TargetMode="External"/><Relationship Id="rId40" Type="http://schemas.openxmlformats.org/officeDocument/2006/relationships/hyperlink" Target="https://corpus.quran.com/translation.jsp?chapter=20&amp;verse=124" TargetMode="External"/><Relationship Id="rId41" Type="http://schemas.openxmlformats.org/officeDocument/2006/relationships/hyperlink" Target="https://surahquran.com/Urdu-aya-97-sora-16.html" TargetMode="External"/><Relationship Id="rId42" Type="http://schemas.openxmlformats.org/officeDocument/2006/relationships/hyperlink" Target="https://corpus.quran.com/translation.jsp?chapter=16&amp;verse=97" TargetMode="External"/><Relationship Id="rId43" Type="http://schemas.openxmlformats.org/officeDocument/2006/relationships/hyperlink" Target="https://surahquran.com/Urdu-aya-53-sora-39.html" TargetMode="External"/><Relationship Id="rId44" Type="http://schemas.openxmlformats.org/officeDocument/2006/relationships/hyperlink" Target="https://corpus.quran.com/translation.jsp?chapter=39&amp;verse=53" TargetMode="External"/><Relationship Id="rId45" Type="http://schemas.openxmlformats.org/officeDocument/2006/relationships/hyperlink" Target="https://surahquran.com/Urdu-aya-4-sora-95.html" TargetMode="External"/><Relationship Id="rId46" Type="http://schemas.openxmlformats.org/officeDocument/2006/relationships/hyperlink" Target="https://corpus.quran.com/translation.jsp?chapter=95&amp;verse=4" TargetMode="External"/><Relationship Id="rId47" Type="http://schemas.openxmlformats.org/officeDocument/2006/relationships/hyperlink" Target="https://sunnah.com/bukhari:71" TargetMode="External"/><Relationship Id="rId48" Type="http://schemas.openxmlformats.org/officeDocument/2006/relationships/hyperlink" Target="https://islamicurdubooks.com/hadith/hadith-.php?bookid=1&amp;hadith_number=71" TargetMode="External"/><Relationship Id="rId49" Type="http://schemas.openxmlformats.org/officeDocument/2006/relationships/hyperlink" Target="https://sunnah.com/bukhari:1358" TargetMode="External"/><Relationship Id="rId50" Type="http://schemas.openxmlformats.org/officeDocument/2006/relationships/hyperlink" Target="https://islamicurdubooks.com/hadith/hadith-.php?bookid=1&amp;hadith_number=1358" TargetMode="External"/><Relationship Id="rId51" Type="http://schemas.openxmlformats.org/officeDocument/2006/relationships/hyperlink" Target="https://quran.ksu.edu.sa/tafseer/tabary/sura30-aya30.html" TargetMode="External"/><Relationship Id="rId52" Type="http://schemas.openxmlformats.org/officeDocument/2006/relationships/hyperlink" Target="https://quran.ksu.edu.sa/tafseer/katheer/sura16-aya97.html" TargetMode="External"/><Relationship Id="rId53" Type="http://schemas.openxmlformats.org/officeDocument/2006/relationships/hyperlink" Target="https://quran.ksu.edu.sa/tafseer/katheer/sura51-aya56.html" TargetMode="External"/><Relationship Id="rId54" Type="http://schemas.openxmlformats.org/officeDocument/2006/relationships/hyperlink" Target="https://www.iqbal.com.pk/allama-iqbal-prose-works/books/the-reconstructionof-religious-thought-in-islam/916-prose-works/books-of-allama-iqbal/reconstruction-of-religious-thought-in-islam/150-knowledge-and-religious-e" TargetMode="External"/><Relationship Id="rId55" Type="http://schemas.openxmlformats.org/officeDocument/2006/relationships/hyperlink" Target="https://ghazali.org/works/gz-faith.htm" TargetMode="External"/><Relationship Id="rId56" Type="http://schemas.openxmlformats.org/officeDocument/2006/relationships/hyperlink" Target="https://surahquran.com/Urdu-aya-76-sora-12.html" TargetMode="External"/><Relationship Id="rId57" Type="http://schemas.openxmlformats.org/officeDocument/2006/relationships/hyperlink" Target="https://corpus.quran.com/translation.jsp?chapter=12&amp;verse=76" TargetMode="External"/><Relationship Id="rId58" Type="http://schemas.openxmlformats.org/officeDocument/2006/relationships/hyperlink" Target="https://surahquran.com/Urdu-aya-6-sora-109.html" TargetMode="External"/><Relationship Id="rId59" Type="http://schemas.openxmlformats.org/officeDocument/2006/relationships/hyperlink" Target="https://corpus.quran.com/translation.jsp?chapter=109&amp;verse=6" TargetMode="External"/><Relationship Id="rId60" Type="http://schemas.openxmlformats.org/officeDocument/2006/relationships/hyperlink" Target="https://surahquran.com/Urdu-aya-4-sora-1.html" TargetMode="External"/><Relationship Id="rId61" Type="http://schemas.openxmlformats.org/officeDocument/2006/relationships/hyperlink" Target="https://corpus.quran.com/translation.jsp?chapter=1&amp;verse=4" TargetMode="External"/><Relationship Id="rId62" Type="http://schemas.openxmlformats.org/officeDocument/2006/relationships/hyperlink" Target="https://quran.ksu.edu.sa/tafseer/qortobi/sura2-aya256.html" TargetMode="External"/><Relationship Id="rId63" Type="http://schemas.openxmlformats.org/officeDocument/2006/relationships/hyperlink" Target="https://www.islamicstudies.info/tafheem.php?sura=12&amp;verse=76" TargetMode="External"/><Relationship Id="rId64" Type="http://schemas.openxmlformats.org/officeDocument/2006/relationships/hyperlink" Target="https://quran.ksu.edu.sa/tafseer/tabary/sura1-aya4.html" TargetMode="External"/><Relationship Id="rId65" Type="http://schemas.openxmlformats.org/officeDocument/2006/relationships/hyperlink" Target="https://quran.ksu.edu.sa/tafseer/tabary/sura12-aya76.html" TargetMode="External"/><Relationship Id="rId66" Type="http://schemas.openxmlformats.org/officeDocument/2006/relationships/hyperlink" Target="https://plato.stanford.edu/entries/concept-religion/" TargetMode="External"/><Relationship Id="rId67" Type="http://schemas.openxmlformats.org/officeDocument/2006/relationships/hyperlink" Target="https://surahquran.com/Urdu-aya-3-sora-5.html" TargetMode="External"/><Relationship Id="rId68" Type="http://schemas.openxmlformats.org/officeDocument/2006/relationships/hyperlink" Target="https://corpus.quran.com/translation.jsp?chapter=5&amp;verse=3" TargetMode="External"/><Relationship Id="rId69" Type="http://schemas.openxmlformats.org/officeDocument/2006/relationships/hyperlink" Target="https://surahquran.com/Urdu-aya-256-sora-2.html" TargetMode="External"/><Relationship Id="rId70" Type="http://schemas.openxmlformats.org/officeDocument/2006/relationships/hyperlink" Target="https://corpus.quran.com/translation.jsp?chapter=2&amp;verse=256" TargetMode="External"/><Relationship Id="rId71" Type="http://schemas.openxmlformats.org/officeDocument/2006/relationships/hyperlink" Target="https://surahquran.com/Urdu-aya-90-sora-16.html" TargetMode="External"/><Relationship Id="rId72" Type="http://schemas.openxmlformats.org/officeDocument/2006/relationships/hyperlink" Target="https://corpus.quran.com/translation.jsp?chapter=16&amp;verse=90" TargetMode="External"/><Relationship Id="rId73" Type="http://schemas.openxmlformats.org/officeDocument/2006/relationships/hyperlink" Target="https://surahquran.com/Urdu-aya-107-sora-21.html" TargetMode="External"/><Relationship Id="rId74" Type="http://schemas.openxmlformats.org/officeDocument/2006/relationships/hyperlink" Target="https://corpus.quran.com/translation.jsp?chapter=21&amp;verse=107" TargetMode="External"/><Relationship Id="rId75" Type="http://schemas.openxmlformats.org/officeDocument/2006/relationships/hyperlink" Target="https://surahquran.com/Urdu-aya-28-sora-34.html" TargetMode="External"/><Relationship Id="rId76" Type="http://schemas.openxmlformats.org/officeDocument/2006/relationships/hyperlink" Target="https://corpus.quran.com/translation.jsp?chapter=34&amp;verse=28" TargetMode="External"/><Relationship Id="rId77" Type="http://schemas.openxmlformats.org/officeDocument/2006/relationships/hyperlink" Target="https://surahquran.com/Urdu-aya-13-sora-49.html" TargetMode="External"/><Relationship Id="rId78" Type="http://schemas.openxmlformats.org/officeDocument/2006/relationships/hyperlink" Target="https://corpus.quran.com/translation.jsp?chapter=49&amp;verse=13" TargetMode="External"/><Relationship Id="rId79" Type="http://schemas.openxmlformats.org/officeDocument/2006/relationships/hyperlink" Target="https://surahquran.com/Urdu-aya-135-sora-4.html" TargetMode="External"/><Relationship Id="rId80" Type="http://schemas.openxmlformats.org/officeDocument/2006/relationships/hyperlink" Target="https://corpus.quran.com/translation.jsp?chapter=4&amp;verse=135" TargetMode="External"/><Relationship Id="rId81" Type="http://schemas.openxmlformats.org/officeDocument/2006/relationships/hyperlink" Target="https://surahquran.com/Urdu-aya-143-sora-2.html" TargetMode="External"/><Relationship Id="rId82" Type="http://schemas.openxmlformats.org/officeDocument/2006/relationships/hyperlink" Target="https://corpus.quran.com/translation.jsp?chapter=2&amp;verse=143" TargetMode="External"/><Relationship Id="rId83" Type="http://schemas.openxmlformats.org/officeDocument/2006/relationships/hyperlink" Target="https://surahquran.com/Urdu-aya-8-sora-5.html" TargetMode="External"/><Relationship Id="rId84" Type="http://schemas.openxmlformats.org/officeDocument/2006/relationships/hyperlink" Target="https://corpus.quran.com/translation.jsp?chapter=5&amp;verse=8" TargetMode="External"/><Relationship Id="rId85" Type="http://schemas.openxmlformats.org/officeDocument/2006/relationships/hyperlink" Target="https://surahquran.com/Urdu-aya-78-sora-16.html" TargetMode="External"/><Relationship Id="rId86" Type="http://schemas.openxmlformats.org/officeDocument/2006/relationships/hyperlink" Target="https://corpus.quran.com/translation.jsp?chapter=16&amp;verse=78" TargetMode="External"/><Relationship Id="rId87" Type="http://schemas.openxmlformats.org/officeDocument/2006/relationships/hyperlink" Target="https://surahquran.com/Urdu-aya-1-sora-96.html" TargetMode="External"/><Relationship Id="rId88" Type="http://schemas.openxmlformats.org/officeDocument/2006/relationships/hyperlink" Target="https://corpus.quran.com/translation.jsp?chapter=96&amp;verse=1" TargetMode="External"/><Relationship Id="rId89" Type="http://schemas.openxmlformats.org/officeDocument/2006/relationships/hyperlink" Target="https://surahquran.com/Urdu-aya-36-sora-17.html" TargetMode="External"/><Relationship Id="rId90" Type="http://schemas.openxmlformats.org/officeDocument/2006/relationships/hyperlink" Target="https://corpus.quran.com/translation.jsp?chapter=17&amp;verse=36" TargetMode="External"/><Relationship Id="rId91" Type="http://schemas.openxmlformats.org/officeDocument/2006/relationships/hyperlink" Target="https://surahquran.com/Urdu-aya-286-sora-2.html" TargetMode="External"/><Relationship Id="rId92" Type="http://schemas.openxmlformats.org/officeDocument/2006/relationships/hyperlink" Target="https://corpus.quran.com/translation.jsp?chapter=2&amp;verse=286" TargetMode="External"/><Relationship Id="rId93" Type="http://schemas.openxmlformats.org/officeDocument/2006/relationships/hyperlink" Target="https://sunnah.com/bukhari:39" TargetMode="External"/><Relationship Id="rId94" Type="http://schemas.openxmlformats.org/officeDocument/2006/relationships/hyperlink" Target="https://islamicurdubooks.com/hadith/hadith-.php?bookid=1&amp;hadith_number=39" TargetMode="External"/><Relationship Id="rId95" Type="http://schemas.openxmlformats.org/officeDocument/2006/relationships/hyperlink" Target="https://sunnah.com/bukhari:3559" TargetMode="External"/><Relationship Id="rId96" Type="http://schemas.openxmlformats.org/officeDocument/2006/relationships/hyperlink" Target="https://islamicurdubooks.com/hadith/hadith-.php?bookid=1&amp;hadith_number=3559" TargetMode="External"/><Relationship Id="rId97" Type="http://schemas.openxmlformats.org/officeDocument/2006/relationships/hyperlink" Target="https://sunnah.com/bukhari:69" TargetMode="External"/><Relationship Id="rId98" Type="http://schemas.openxmlformats.org/officeDocument/2006/relationships/hyperlink" Target="https://quran.ksu.edu.sa/tafseer/katheer/sura2-aya143.html" TargetMode="External"/><Relationship Id="rId99" Type="http://schemas.openxmlformats.org/officeDocument/2006/relationships/hyperlink" Target="https://quran.ksu.edu.sa/tafseer/katheer/sura39-aya53.html" TargetMode="External"/><Relationship Id="rId100" Type="http://schemas.openxmlformats.org/officeDocument/2006/relationships/hyperlink" Target="https://quran.ksu.edu.sa/tafseer/tabary/sura3-aya159.html" TargetMode="External"/><Relationship Id="rId101" Type="http://schemas.openxmlformats.org/officeDocument/2006/relationships/hyperlink" Target="https://www.iqbal.com.pk/allama-iqbal-prose-works/books/the-reconstructionof-religious-thought-in-islam/916-prose-works/books-of-allama-iqbal/reconstruction-of-religious-thought-in-islam/154-the-spirit-of-muslim-cult" TargetMode="External"/><Relationship Id="rId102" Type="http://schemas.openxmlformats.org/officeDocument/2006/relationships/hyperlink" Target="https://surahquran.com/Urdu-aya-1-sora-112.html" TargetMode="External"/><Relationship Id="rId103" Type="http://schemas.openxmlformats.org/officeDocument/2006/relationships/hyperlink" Target="https://corpus.quran.com/translation.jsp?chapter=112&amp;verse=1" TargetMode="External"/><Relationship Id="rId104" Type="http://schemas.openxmlformats.org/officeDocument/2006/relationships/hyperlink" Target="https://surahquran.com/Urdu-aya-255-sora-2.html" TargetMode="External"/><Relationship Id="rId105" Type="http://schemas.openxmlformats.org/officeDocument/2006/relationships/hyperlink" Target="https://corpus.quran.com/translation.jsp?chapter=2&amp;verse=255" TargetMode="External"/><Relationship Id="rId106" Type="http://schemas.openxmlformats.org/officeDocument/2006/relationships/hyperlink" Target="https://surahquran.com/Urdu-aya-11-sora-42.html" TargetMode="External"/><Relationship Id="rId107" Type="http://schemas.openxmlformats.org/officeDocument/2006/relationships/hyperlink" Target="https://corpus.quran.com/translation.jsp?chapter=42&amp;verse=11" TargetMode="External"/><Relationship Id="rId108" Type="http://schemas.openxmlformats.org/officeDocument/2006/relationships/hyperlink" Target="https://surahquran.com/Urdu-aya-285-sora-2.html" TargetMode="External"/><Relationship Id="rId109" Type="http://schemas.openxmlformats.org/officeDocument/2006/relationships/hyperlink" Target="https://corpus.quran.com/translation.jsp?chapter=2&amp;verse=285" TargetMode="External"/><Relationship Id="rId110" Type="http://schemas.openxmlformats.org/officeDocument/2006/relationships/hyperlink" Target="https://surahquran.com/Urdu-aya-136-sora-4.html" TargetMode="External"/><Relationship Id="rId111" Type="http://schemas.openxmlformats.org/officeDocument/2006/relationships/hyperlink" Target="https://corpus.quran.com/translation.jsp?chapter=4&amp;verse=136" TargetMode="External"/><Relationship Id="rId112" Type="http://schemas.openxmlformats.org/officeDocument/2006/relationships/hyperlink" Target="https://surahquran.com/Urdu-aya-40-sora-33.html" TargetMode="External"/><Relationship Id="rId113" Type="http://schemas.openxmlformats.org/officeDocument/2006/relationships/hyperlink" Target="https://corpus.quran.com/translation.jsp?chapter=33&amp;verse=40" TargetMode="External"/><Relationship Id="rId114" Type="http://schemas.openxmlformats.org/officeDocument/2006/relationships/hyperlink" Target="https://surahquran.com/Urdu-aya-7-sora-99.html" TargetMode="External"/><Relationship Id="rId115" Type="http://schemas.openxmlformats.org/officeDocument/2006/relationships/hyperlink" Target="https://corpus.quran.com/translation.jsp?chapter=99&amp;verse=7" TargetMode="External"/><Relationship Id="rId116" Type="http://schemas.openxmlformats.org/officeDocument/2006/relationships/hyperlink" Target="https://surahquran.com/Urdu-aya-22-sora-57.html" TargetMode="External"/><Relationship Id="rId117" Type="http://schemas.openxmlformats.org/officeDocument/2006/relationships/hyperlink" Target="https://corpus.quran.com/translation.jsp?chapter=57&amp;verse=22" TargetMode="External"/><Relationship Id="rId118" Type="http://schemas.openxmlformats.org/officeDocument/2006/relationships/hyperlink" Target="https://surahquran.com/Urdu-aya-11-sora-13.html" TargetMode="External"/><Relationship Id="rId119" Type="http://schemas.openxmlformats.org/officeDocument/2006/relationships/hyperlink" Target="https://corpus.quran.com/translation.jsp?chapter=13&amp;verse=11" TargetMode="External"/><Relationship Id="rId120" Type="http://schemas.openxmlformats.org/officeDocument/2006/relationships/hyperlink" Target="https://surahquran.com/Urdu-aya-2-sora-8.html" TargetMode="External"/><Relationship Id="rId121" Type="http://schemas.openxmlformats.org/officeDocument/2006/relationships/hyperlink" Target="https://corpus.quran.com/translation.jsp?chapter=8&amp;verse=2" TargetMode="External"/><Relationship Id="rId122" Type="http://schemas.openxmlformats.org/officeDocument/2006/relationships/hyperlink" Target="https://sunnah.com/bukhari:16" TargetMode="External"/><Relationship Id="rId123" Type="http://schemas.openxmlformats.org/officeDocument/2006/relationships/hyperlink" Target="https://islamicurdubooks.com/hadith/hadith-.php?bookid=1&amp;hadith_number=16" TargetMode="External"/><Relationship Id="rId124" Type="http://schemas.openxmlformats.org/officeDocument/2006/relationships/hyperlink" Target="https://sunnah.com/bukhari:6018" TargetMode="External"/><Relationship Id="rId125" Type="http://schemas.openxmlformats.org/officeDocument/2006/relationships/hyperlink" Target="https://islamicurdubooks.com/hadith/hadith-.php?bookid=1&amp;hadith_number=6018" TargetMode="External"/><Relationship Id="rId126" Type="http://schemas.openxmlformats.org/officeDocument/2006/relationships/hyperlink" Target="https://sunnah.com/muslim:35b" TargetMode="External"/><Relationship Id="rId127" Type="http://schemas.openxmlformats.org/officeDocument/2006/relationships/hyperlink" Target="https://hadeethenc.com/ur/browse/hadith/3276" TargetMode="External"/><Relationship Id="rId128" Type="http://schemas.openxmlformats.org/officeDocument/2006/relationships/hyperlink" Target="https://sunnah.com/muslim:2664" TargetMode="External"/><Relationship Id="rId129" Type="http://schemas.openxmlformats.org/officeDocument/2006/relationships/hyperlink" Target="https://hadeethenc.com/ur/browse/hadith/5493" TargetMode="External"/><Relationship Id="rId130" Type="http://schemas.openxmlformats.org/officeDocument/2006/relationships/hyperlink" Target="https://sunnah.com/muslim:2999" TargetMode="External"/><Relationship Id="rId131" Type="http://schemas.openxmlformats.org/officeDocument/2006/relationships/hyperlink" Target="https://hadeethenc.com/ur/browse/hadith/3298" TargetMode="External"/><Relationship Id="rId132" Type="http://schemas.openxmlformats.org/officeDocument/2006/relationships/hyperlink" Target="https://sunnah.com/muslim:2564c" TargetMode="External"/><Relationship Id="rId133" Type="http://schemas.openxmlformats.org/officeDocument/2006/relationships/hyperlink" Target="https://hadeethenc.com/ur/browse/hadith/4555" TargetMode="External"/><Relationship Id="rId134" Type="http://schemas.openxmlformats.org/officeDocument/2006/relationships/hyperlink" Target="https://quran.ksu.edu.sa/tafseer/katheer/sura13-aya11.html" TargetMode="External"/><Relationship Id="rId135" Type="http://schemas.openxmlformats.org/officeDocument/2006/relationships/hyperlink" Target="https://quran.ksu.edu.sa/tafseer/qortobi/sura42-aya11.html" TargetMode="External"/><Relationship Id="rId136" Type="http://schemas.openxmlformats.org/officeDocument/2006/relationships/hyperlink" Target="https://quran.ksu.edu.sa/tafseer/saadi/sura2-aya285.html" TargetMode="External"/><Relationship Id="rId137" Type="http://schemas.openxmlformats.org/officeDocument/2006/relationships/hyperlink" Target="https://quran.ksu.edu.sa/tafseer/saadi/sura57-aya22.html" TargetMode="External"/><Relationship Id="rId138" Type="http://schemas.openxmlformats.org/officeDocument/2006/relationships/hyperlink" Target="https://www.iqbal.com.pk/allama-iqbal-prose-works/books/the-reconstructionof-religious-thought-in-islam/916-prose-works/books-of-allama-iqbal/reconstruction-of-religious-thought-in-islam/153-the-human-ego-his-freedom" TargetMode="External"/><Relationship Id="rId139" Type="http://schemas.openxmlformats.org/officeDocument/2006/relationships/hyperlink" Target="https://surahquran.com/Urdu-aya-177-sora-2.html" TargetMode="External"/><Relationship Id="rId140" Type="http://schemas.openxmlformats.org/officeDocument/2006/relationships/hyperlink" Target="https://corpus.quran.com/translation.jsp?chapter=2&amp;verse=177" TargetMode="External"/><Relationship Id="rId141" Type="http://schemas.openxmlformats.org/officeDocument/2006/relationships/hyperlink" Target="https://sunnah.com/bukhari:8" TargetMode="External"/><Relationship Id="rId142" Type="http://schemas.openxmlformats.org/officeDocument/2006/relationships/hyperlink" Target="https://islamicurdubooks.com/hadith/hadith-.php?bookid=1&amp;hadith_number=8" TargetMode="External"/><Relationship Id="rId143" Type="http://schemas.openxmlformats.org/officeDocument/2006/relationships/hyperlink" Target="https://sunnah.com/muslim:16c" TargetMode="External"/><Relationship Id="rId144" Type="http://schemas.openxmlformats.org/officeDocument/2006/relationships/hyperlink" Target="https://sunnah.com/bukhari:1" TargetMode="External"/><Relationship Id="rId145" Type="http://schemas.openxmlformats.org/officeDocument/2006/relationships/hyperlink" Target="https://islamicurdubooks.com/hadith/hadith-.php?bookid=1&amp;hadith_number=1" TargetMode="External"/><Relationship Id="rId146" Type="http://schemas.openxmlformats.org/officeDocument/2006/relationships/hyperlink" Target="https://sunnah.com/muslim:1907a" TargetMode="External"/><Relationship Id="rId147" Type="http://schemas.openxmlformats.org/officeDocument/2006/relationships/hyperlink" Target="https://sunnah.com/bukhari:52" TargetMode="External"/><Relationship Id="rId148" Type="http://schemas.openxmlformats.org/officeDocument/2006/relationships/hyperlink" Target="https://islamicurdubooks.com/hadith/hadith-.php?bookid=1&amp;hadith_number=52" TargetMode="External"/><Relationship Id="rId149" Type="http://schemas.openxmlformats.org/officeDocument/2006/relationships/hyperlink" Target="https://sunnah.com/bukhari:2697" TargetMode="External"/><Relationship Id="rId150" Type="http://schemas.openxmlformats.org/officeDocument/2006/relationships/hyperlink" Target="https://sunnah.com/bukhari:6465" TargetMode="External"/><Relationship Id="rId151" Type="http://schemas.openxmlformats.org/officeDocument/2006/relationships/hyperlink" Target="https://quran.ksu.edu.sa/tafseer/katheer/sura2-aya177.html" TargetMode="External"/><Relationship Id="rId152" Type="http://schemas.openxmlformats.org/officeDocument/2006/relationships/hyperlink" Target="https://surahquran.com/Urdu-aya-28-sora-13.html" TargetMode="External"/><Relationship Id="rId153" Type="http://schemas.openxmlformats.org/officeDocument/2006/relationships/hyperlink" Target="https://corpus.quran.com/translation.jsp?chapter=13&amp;verse=28" TargetMode="External"/><Relationship Id="rId154" Type="http://schemas.openxmlformats.org/officeDocument/2006/relationships/hyperlink" Target="https://surahquran.com/Urdu-aya-2-sora-23.html" TargetMode="External"/><Relationship Id="rId155" Type="http://schemas.openxmlformats.org/officeDocument/2006/relationships/hyperlink" Target="https://corpus.quran.com/translation.jsp?chapter=23&amp;verse=2" TargetMode="External"/><Relationship Id="rId156" Type="http://schemas.openxmlformats.org/officeDocument/2006/relationships/hyperlink" Target="https://surahquran.com/Urdu-aya-45-sora-29.html" TargetMode="External"/><Relationship Id="rId157" Type="http://schemas.openxmlformats.org/officeDocument/2006/relationships/hyperlink" Target="https://corpus.quran.com/translation.jsp?chapter=29&amp;verse=45" TargetMode="External"/><Relationship Id="rId158" Type="http://schemas.openxmlformats.org/officeDocument/2006/relationships/hyperlink" Target="https://surahquran.com/Urdu-aya-6-sora-5.html" TargetMode="External"/><Relationship Id="rId159" Type="http://schemas.openxmlformats.org/officeDocument/2006/relationships/hyperlink" Target="https://corpus.quran.com/translation.jsp?chapter=5&amp;verse=6" TargetMode="External"/><Relationship Id="rId160" Type="http://schemas.openxmlformats.org/officeDocument/2006/relationships/hyperlink" Target="https://surahquran.com/Urdu-aya-9-sora-62.html" TargetMode="External"/><Relationship Id="rId161" Type="http://schemas.openxmlformats.org/officeDocument/2006/relationships/hyperlink" Target="https://corpus.quran.com/translation.jsp?chapter=62&amp;verse=9" TargetMode="External"/><Relationship Id="rId162" Type="http://schemas.openxmlformats.org/officeDocument/2006/relationships/hyperlink" Target="https://surahquran.com/Urdu-aya-152-sora-2.html" TargetMode="External"/><Relationship Id="rId163" Type="http://schemas.openxmlformats.org/officeDocument/2006/relationships/hyperlink" Target="https://corpus.quran.com/translation.jsp?chapter=2&amp;verse=152" TargetMode="External"/><Relationship Id="rId164" Type="http://schemas.openxmlformats.org/officeDocument/2006/relationships/hyperlink" Target="https://sunnah.com/bukhari:528" TargetMode="External"/><Relationship Id="rId165" Type="http://schemas.openxmlformats.org/officeDocument/2006/relationships/hyperlink" Target="https://sunnah.com/bukhari:645" TargetMode="External"/><Relationship Id="rId166" Type="http://schemas.openxmlformats.org/officeDocument/2006/relationships/hyperlink" Target="https://islamicurdubooks.com/hadith/hadith-.php?bookid=1&amp;hadith_number=645" TargetMode="External"/><Relationship Id="rId167" Type="http://schemas.openxmlformats.org/officeDocument/2006/relationships/hyperlink" Target="https://sunnah.com/bukhari:631" TargetMode="External"/><Relationship Id="rId168" Type="http://schemas.openxmlformats.org/officeDocument/2006/relationships/hyperlink" Target="https://sunnah.com/muslim:223" TargetMode="External"/><Relationship Id="rId169" Type="http://schemas.openxmlformats.org/officeDocument/2006/relationships/hyperlink" Target="https://hadeethenc.com/ur/browse/hadith/65004" TargetMode="External"/><Relationship Id="rId170" Type="http://schemas.openxmlformats.org/officeDocument/2006/relationships/hyperlink" Target="https://quran.ksu.edu.sa/tafseer/katheer/sura29-aya45.html" TargetMode="External"/><Relationship Id="rId171" Type="http://schemas.openxmlformats.org/officeDocument/2006/relationships/hyperlink" Target="https://islamicstudies.info/tafheem.php?sura=23&amp;verse=2" TargetMode="External"/><Relationship Id="rId172" Type="http://schemas.openxmlformats.org/officeDocument/2006/relationships/hyperlink" Target="https://www.iqbal.com.pk/allama-iqbal-prose-works/books/the-reconstructionof-religious-thought-in-islam/916-prose-works/books-of-allama-iqbal/reconstruction-of-religious-thought-in-islam/152-the-conception-of-god-and" TargetMode="External"/><Relationship Id="rId173" Type="http://schemas.openxmlformats.org/officeDocument/2006/relationships/hyperlink" Target="https://ar.wikisource.org/wiki/&#1573;&#1581;&#1610;&#1575;&#1569;_&#1593;&#1604;&#1608;&#1605;_&#1575;&#1604;&#1583;&#1610;&#1606;/&#1603;&#1578;&#1575;&#1576;_&#1571;&#1587;&#1585;&#1575;&#1585;_&#1575;&#1604;&#1591;&#1607;&#1575;&#1585;&#1577;" TargetMode="External"/><Relationship Id="rId174" Type="http://schemas.openxmlformats.org/officeDocument/2006/relationships/hyperlink" Target="https://ghazali.org/books/purity.pdf" TargetMode="External"/><Relationship Id="rId175" Type="http://schemas.openxmlformats.org/officeDocument/2006/relationships/hyperlink" Target="https://ghazali.org/books/ghazali_worship.htm" TargetMode="External"/><Relationship Id="rId176" Type="http://schemas.openxmlformats.org/officeDocument/2006/relationships/hyperlink" Target="https://surahquran.com/Urdu-aya-183-sora-2.html" TargetMode="External"/><Relationship Id="rId177" Type="http://schemas.openxmlformats.org/officeDocument/2006/relationships/hyperlink" Target="https://corpus.quran.com/translation.jsp?chapter=2&amp;verse=183" TargetMode="External"/><Relationship Id="rId178" Type="http://schemas.openxmlformats.org/officeDocument/2006/relationships/hyperlink" Target="https://sunnah.com/bukhari:1903" TargetMode="External"/><Relationship Id="rId179" Type="http://schemas.openxmlformats.org/officeDocument/2006/relationships/hyperlink" Target="https://islamicurdubooks.com/hadith/hadith-.php?bookid=1&amp;hadith_number=1903" TargetMode="External"/><Relationship Id="rId180" Type="http://schemas.openxmlformats.org/officeDocument/2006/relationships/hyperlink" Target="https://sunnah.com/bukhari:1904" TargetMode="External"/><Relationship Id="rId181" Type="http://schemas.openxmlformats.org/officeDocument/2006/relationships/hyperlink" Target="https://islamicurdubooks.com/hadith/hadith-.php?bookid=1&amp;hadith_number=1904" TargetMode="External"/><Relationship Id="rId182" Type="http://schemas.openxmlformats.org/officeDocument/2006/relationships/hyperlink" Target="https://sunnah.com/bukhari:1923" TargetMode="External"/><Relationship Id="rId183" Type="http://schemas.openxmlformats.org/officeDocument/2006/relationships/hyperlink" Target="https://sunnah.com/bukhari:38" TargetMode="External"/><Relationship Id="rId184" Type="http://schemas.openxmlformats.org/officeDocument/2006/relationships/hyperlink" Target="https://islamicurdubooks.com/hadith/hadith-.php?bookid=1&amp;hadith_number=38" TargetMode="External"/><Relationship Id="rId185" Type="http://schemas.openxmlformats.org/officeDocument/2006/relationships/hyperlink" Target="https://quran.ksu.edu.sa/tafseer/qortobi/sura2-aya183.html" TargetMode="External"/><Relationship Id="rId186" Type="http://schemas.openxmlformats.org/officeDocument/2006/relationships/hyperlink" Target="https://ghazali.org/books/fast.pdf" TargetMode="External"/><Relationship Id="rId187" Type="http://schemas.openxmlformats.org/officeDocument/2006/relationships/hyperlink" Target="https://surahquran.com/Urdu-aya-103-sora-9.html" TargetMode="External"/><Relationship Id="rId188" Type="http://schemas.openxmlformats.org/officeDocument/2006/relationships/hyperlink" Target="https://corpus.quran.com/translation.jsp?chapter=9&amp;verse=103" TargetMode="External"/><Relationship Id="rId189" Type="http://schemas.openxmlformats.org/officeDocument/2006/relationships/hyperlink" Target="https://surahquran.com/Urdu-aya-60-sora-9.html" TargetMode="External"/><Relationship Id="rId190" Type="http://schemas.openxmlformats.org/officeDocument/2006/relationships/hyperlink" Target="https://corpus.quran.com/translation.jsp?chapter=9&amp;verse=60" TargetMode="External"/><Relationship Id="rId191" Type="http://schemas.openxmlformats.org/officeDocument/2006/relationships/hyperlink" Target="https://surahquran.com/Urdu-aya-7-sora-59.html" TargetMode="External"/><Relationship Id="rId192" Type="http://schemas.openxmlformats.org/officeDocument/2006/relationships/hyperlink" Target="https://corpus.quran.com/translation.jsp?chapter=59&amp;verse=7" TargetMode="External"/><Relationship Id="rId193" Type="http://schemas.openxmlformats.org/officeDocument/2006/relationships/hyperlink" Target="https://sunnah.com/bukhari:1395" TargetMode="External"/><Relationship Id="rId194" Type="http://schemas.openxmlformats.org/officeDocument/2006/relationships/hyperlink" Target="https://islamicurdubooks.com/hadith/hadith-.php?bookid=1&amp;hadith_number=1395" TargetMode="External"/><Relationship Id="rId195" Type="http://schemas.openxmlformats.org/officeDocument/2006/relationships/hyperlink" Target="https://sunnah.com/bukhari:1417" TargetMode="External"/><Relationship Id="rId196" Type="http://schemas.openxmlformats.org/officeDocument/2006/relationships/hyperlink" Target="https://islamicurdubooks.com/hadith/hadith-.php?bookid=1&amp;hadith_number=1417" TargetMode="External"/><Relationship Id="rId197" Type="http://schemas.openxmlformats.org/officeDocument/2006/relationships/hyperlink" Target="https://sunnah.com/bukhari:1423" TargetMode="External"/><Relationship Id="rId198" Type="http://schemas.openxmlformats.org/officeDocument/2006/relationships/hyperlink" Target="https://islamicurdubooks.com/hadith/hadith-.php?bookid=1&amp;hadith_number=1423" TargetMode="External"/><Relationship Id="rId199" Type="http://schemas.openxmlformats.org/officeDocument/2006/relationships/hyperlink" Target="https://sunnah.com/bukhari:1503" TargetMode="External"/><Relationship Id="rId200" Type="http://schemas.openxmlformats.org/officeDocument/2006/relationships/hyperlink" Target="https://islamicurdubooks.com/hadith/hadith-.php?bookid=1&amp;hadith_number=1503" TargetMode="External"/><Relationship Id="rId201" Type="http://schemas.openxmlformats.org/officeDocument/2006/relationships/hyperlink" Target="https://sunnah.com/bukhari:1399" TargetMode="External"/><Relationship Id="rId202" Type="http://schemas.openxmlformats.org/officeDocument/2006/relationships/hyperlink" Target="https://islamicurdubooks.com/hadith/hadith-.php?bookid=1&amp;hadith_number=1400" TargetMode="External"/><Relationship Id="rId203" Type="http://schemas.openxmlformats.org/officeDocument/2006/relationships/hyperlink" Target="https://sunnah.com/bukhari:2737" TargetMode="External"/><Relationship Id="rId204" Type="http://schemas.openxmlformats.org/officeDocument/2006/relationships/hyperlink" Target="https://islamicurdubooks.com/hadith/hadith-.php?bookid=1&amp;hadith_number=2737" TargetMode="External"/><Relationship Id="rId205" Type="http://schemas.openxmlformats.org/officeDocument/2006/relationships/hyperlink" Target="https://quran.ksu.edu.sa/tafseer/qortobi/sura9-aya60.html" TargetMode="External"/><Relationship Id="rId206" Type="http://schemas.openxmlformats.org/officeDocument/2006/relationships/hyperlink" Target="https://ghazali.org/books/zakat.pdf" TargetMode="External"/><Relationship Id="rId207" Type="http://schemas.openxmlformats.org/officeDocument/2006/relationships/hyperlink" Target="https://surahquran.com/Urdu-aya-37-sora-22.html" TargetMode="External"/><Relationship Id="rId208" Type="http://schemas.openxmlformats.org/officeDocument/2006/relationships/hyperlink" Target="https://corpus.quran.com/translation.jsp?chapter=22&amp;verse=37" TargetMode="External"/><Relationship Id="rId209" Type="http://schemas.openxmlformats.org/officeDocument/2006/relationships/hyperlink" Target="https://surahquran.com/Urdu-aya-27-sora-22.html" TargetMode="External"/><Relationship Id="rId210" Type="http://schemas.openxmlformats.org/officeDocument/2006/relationships/hyperlink" Target="https://corpus.quran.com/translation.jsp?chapter=22&amp;verse=27" TargetMode="External"/><Relationship Id="rId211" Type="http://schemas.openxmlformats.org/officeDocument/2006/relationships/hyperlink" Target="https://surahquran.com/Urdu-aya-197-sora-2.html" TargetMode="External"/><Relationship Id="rId212" Type="http://schemas.openxmlformats.org/officeDocument/2006/relationships/hyperlink" Target="https://corpus.quran.com/translation.jsp?chapter=2&amp;verse=197" TargetMode="External"/><Relationship Id="rId213" Type="http://schemas.openxmlformats.org/officeDocument/2006/relationships/hyperlink" Target="https://sunnah.com/bukhari:1773" TargetMode="External"/><Relationship Id="rId214" Type="http://schemas.openxmlformats.org/officeDocument/2006/relationships/hyperlink" Target="https://islamicurdubooks.com/hadith/hadith-.php?bookid=1&amp;hadith_number=1773" TargetMode="External"/><Relationship Id="rId215" Type="http://schemas.openxmlformats.org/officeDocument/2006/relationships/hyperlink" Target="https://sunnah.com/bukhari:1521" TargetMode="External"/><Relationship Id="rId216" Type="http://schemas.openxmlformats.org/officeDocument/2006/relationships/hyperlink" Target="https://islamicurdubooks.com/hadith/hadith-.php?bookid=1&amp;hadith_number=1521" TargetMode="External"/><Relationship Id="rId217" Type="http://schemas.openxmlformats.org/officeDocument/2006/relationships/hyperlink" Target="https://quran.ksu.edu.sa/tafseer/katheer/sura22-aya37.html" TargetMode="External"/><Relationship Id="rId218" Type="http://schemas.openxmlformats.org/officeDocument/2006/relationships/hyperlink" Target="https://ghazali.org/books/hajj-text.htm" TargetMode="External"/><Relationship Id="rId219" Type="http://schemas.openxmlformats.org/officeDocument/2006/relationships/hyperlink" Target="https://surahquran.com/Urdu-aya-3-sora-103.html" TargetMode="External"/><Relationship Id="rId220" Type="http://schemas.openxmlformats.org/officeDocument/2006/relationships/hyperlink" Target="https://corpus.quran.com/translation.jsp?chapter=103&amp;verse=3" TargetMode="External"/><Relationship Id="rId221" Type="http://schemas.openxmlformats.org/officeDocument/2006/relationships/hyperlink" Target="https://surahquran.com/Urdu-aya-36-sora-4.html" TargetMode="External"/><Relationship Id="rId222" Type="http://schemas.openxmlformats.org/officeDocument/2006/relationships/hyperlink" Target="https://corpus.quran.com/translation.jsp?chapter=4&amp;verse=36" TargetMode="External"/><Relationship Id="rId223" Type="http://schemas.openxmlformats.org/officeDocument/2006/relationships/hyperlink" Target="https://surahquran.com/Urdu-aya-7-sora-107.html" TargetMode="External"/><Relationship Id="rId224" Type="http://schemas.openxmlformats.org/officeDocument/2006/relationships/hyperlink" Target="https://corpus.quran.com/translation.jsp?chapter=107&amp;verse=7" TargetMode="External"/><Relationship Id="rId225" Type="http://schemas.openxmlformats.org/officeDocument/2006/relationships/hyperlink" Target="https://surahquran.com/Urdu-aya-3-sora-61.html" TargetMode="External"/><Relationship Id="rId226" Type="http://schemas.openxmlformats.org/officeDocument/2006/relationships/hyperlink" Target="https://corpus.quran.com/translation.jsp?chapter=61&amp;verse=3" TargetMode="External"/><Relationship Id="rId227" Type="http://schemas.openxmlformats.org/officeDocument/2006/relationships/hyperlink" Target="https://surahquran.com/Urdu-aya-159-sora-3.html" TargetMode="External"/><Relationship Id="rId228" Type="http://schemas.openxmlformats.org/officeDocument/2006/relationships/hyperlink" Target="https://corpus.quran.com/translation.jsp?chapter=3&amp;verse=159" TargetMode="External"/><Relationship Id="rId229" Type="http://schemas.openxmlformats.org/officeDocument/2006/relationships/hyperlink" Target="https://surahquran.com/Urdu-aya-38-sora-42.html" TargetMode="External"/><Relationship Id="rId230" Type="http://schemas.openxmlformats.org/officeDocument/2006/relationships/hyperlink" Target="https://corpus.quran.com/translation.jsp?chapter=42&amp;verse=38" TargetMode="External"/><Relationship Id="rId231" Type="http://schemas.openxmlformats.org/officeDocument/2006/relationships/hyperlink" Target="https://sunnah.com/bukhari:12" TargetMode="External"/><Relationship Id="rId232" Type="http://schemas.openxmlformats.org/officeDocument/2006/relationships/hyperlink" Target="https://islamicurdubooks.com/hadith/hadith-.php?bookid=1&amp;hadith_number=12" TargetMode="External"/><Relationship Id="rId233" Type="http://schemas.openxmlformats.org/officeDocument/2006/relationships/hyperlink" Target="https://sunnah.com/bukhari:13" TargetMode="External"/><Relationship Id="rId234" Type="http://schemas.openxmlformats.org/officeDocument/2006/relationships/hyperlink" Target="https://islamicurdubooks.com/hadith/hadith-.php?bookid=1&amp;hadith_number=13" TargetMode="External"/><Relationship Id="rId235" Type="http://schemas.openxmlformats.org/officeDocument/2006/relationships/hyperlink" Target="https://sunnah.com/muslim:45a" TargetMode="External"/><Relationship Id="rId236" Type="http://schemas.openxmlformats.org/officeDocument/2006/relationships/hyperlink" Target="https://sunnah.com/bukhari:56" TargetMode="External"/><Relationship Id="rId237" Type="http://schemas.openxmlformats.org/officeDocument/2006/relationships/hyperlink" Target="https://islamicurdubooks.com/hadith/hadith-.php?bookid=1&amp;hadith_number=56" TargetMode="External"/><Relationship Id="rId238" Type="http://schemas.openxmlformats.org/officeDocument/2006/relationships/hyperlink" Target="https://sunnah.com/bukhari:6114" TargetMode="External"/><Relationship Id="rId239" Type="http://schemas.openxmlformats.org/officeDocument/2006/relationships/hyperlink" Target="https://islamicurdubooks.com/hadith/hadith-.php?bookid=1&amp;hadith_number=6114" TargetMode="External"/><Relationship Id="rId240" Type="http://schemas.openxmlformats.org/officeDocument/2006/relationships/hyperlink" Target="https://sunnah.com/muslim:2609a" TargetMode="External"/><Relationship Id="rId241" Type="http://schemas.openxmlformats.org/officeDocument/2006/relationships/hyperlink" Target="https://sunnah.com/bukhari:6014" TargetMode="External"/><Relationship Id="rId242" Type="http://schemas.openxmlformats.org/officeDocument/2006/relationships/hyperlink" Target="https://islamicurdubooks.com/hadith/hadith-.php?bookid=1&amp;hadith_number=6014" TargetMode="External"/><Relationship Id="rId243" Type="http://schemas.openxmlformats.org/officeDocument/2006/relationships/hyperlink" Target="https://sunnah.com/bukhari:6005" TargetMode="External"/><Relationship Id="rId244" Type="http://schemas.openxmlformats.org/officeDocument/2006/relationships/hyperlink" Target="https://islamicurdubooks.com/hadith/hadith-.php?bookid=1&amp;hadith_number=6005" TargetMode="External"/><Relationship Id="rId245" Type="http://schemas.openxmlformats.org/officeDocument/2006/relationships/hyperlink" Target="https://sunnah.com/bukhari:6009" TargetMode="External"/><Relationship Id="rId246" Type="http://schemas.openxmlformats.org/officeDocument/2006/relationships/hyperlink" Target="https://sunnah.com/bukhari:5971" TargetMode="External"/><Relationship Id="rId247" Type="http://schemas.openxmlformats.org/officeDocument/2006/relationships/hyperlink" Target="https://islamicurdubooks.com/hadith/hadith-.php?bookid=1&amp;hadith_number=5971" TargetMode="External"/><Relationship Id="rId248" Type="http://schemas.openxmlformats.org/officeDocument/2006/relationships/hyperlink" Target="https://sunnah.com/bukhari:2320" TargetMode="External"/><Relationship Id="rId249" Type="http://schemas.openxmlformats.org/officeDocument/2006/relationships/hyperlink" Target="https://islamicurdubooks.com/hadith/hadith-.php?bookid=1&amp;hadith_number=2320" TargetMode="External"/><Relationship Id="rId250" Type="http://schemas.openxmlformats.org/officeDocument/2006/relationships/hyperlink" Target="https://sunnah.com/bukhari:3" TargetMode="External"/><Relationship Id="rId251" Type="http://schemas.openxmlformats.org/officeDocument/2006/relationships/hyperlink" Target="https://islamicurdubooks.com/hadith/hadith-.php?bookid=1&amp;hadith_number=3" TargetMode="External"/><Relationship Id="rId252" Type="http://schemas.openxmlformats.org/officeDocument/2006/relationships/hyperlink" Target="https://sunnah.com/bukhari:1968" TargetMode="External"/><Relationship Id="rId253" Type="http://schemas.openxmlformats.org/officeDocument/2006/relationships/hyperlink" Target="https://islamicurdubooks.com/hadith/hadith-.php?bookid=1&amp;hadith_number=1968" TargetMode="External"/><Relationship Id="rId254" Type="http://schemas.openxmlformats.org/officeDocument/2006/relationships/hyperlink" Target="https://sunnah.com/bukhari:6038" TargetMode="External"/><Relationship Id="rId255" Type="http://schemas.openxmlformats.org/officeDocument/2006/relationships/hyperlink" Target="https://islamicurdubooks.com/hadith/hadith-.php?bookid=1&amp;hadith_number=6038" TargetMode="External"/><Relationship Id="rId256" Type="http://schemas.openxmlformats.org/officeDocument/2006/relationships/hyperlink" Target="https://sunnah.com/bukhari:5353" TargetMode="External"/><Relationship Id="rId257" Type="http://schemas.openxmlformats.org/officeDocument/2006/relationships/hyperlink" Target="https://islamicurdubooks.com/hadith/hadith-.php?bookid=1&amp;hadith_number=5353" TargetMode="External"/><Relationship Id="rId258" Type="http://schemas.openxmlformats.org/officeDocument/2006/relationships/hyperlink" Target="https://sunnah.com/muslim:2581" TargetMode="External"/><Relationship Id="rId259" Type="http://schemas.openxmlformats.org/officeDocument/2006/relationships/hyperlink" Target="https://hadeethenc.com/ur/browse/hadith/6454" TargetMode="External"/><Relationship Id="rId260" Type="http://schemas.openxmlformats.org/officeDocument/2006/relationships/hyperlink" Target="https://sunnah.com/muslim:1006" TargetMode="External"/><Relationship Id="rId261" Type="http://schemas.openxmlformats.org/officeDocument/2006/relationships/hyperlink" Target="https://hadeethenc.com/ur/browse/hadith/4558" TargetMode="External"/><Relationship Id="rId262" Type="http://schemas.openxmlformats.org/officeDocument/2006/relationships/hyperlink" Target="https://quran.ksu.edu.sa/tafseer/katheer/sura107-aya7.html" TargetMode="External"/><Relationship Id="rId263" Type="http://schemas.openxmlformats.org/officeDocument/2006/relationships/hyperlink" Target="https://quran.ksu.edu.sa/tafseer/qortobi/sura4-aya36.html" TargetMode="External"/><Relationship Id="rId264" Type="http://schemas.openxmlformats.org/officeDocument/2006/relationships/hyperlink" Target="https://quran.ksu.edu.sa/tafseer/saadi/sura42-aya38.html" TargetMode="External"/><Relationship Id="rId265" Type="http://schemas.openxmlformats.org/officeDocument/2006/relationships/hyperlink" Target="https://surahquran.com/Urdu-aya-208-sora-2.html" TargetMode="External"/><Relationship Id="rId266" Type="http://schemas.openxmlformats.org/officeDocument/2006/relationships/hyperlink" Target="https://corpus.quran.com/translation.jsp?chapter=2&amp;verse=208" TargetMode="External"/><Relationship Id="rId267" Type="http://schemas.openxmlformats.org/officeDocument/2006/relationships/hyperlink" Target="https://surahquran.com/Urdu-aya-65-sora-4.html" TargetMode="External"/><Relationship Id="rId268" Type="http://schemas.openxmlformats.org/officeDocument/2006/relationships/hyperlink" Target="https://corpus.quran.com/translation.jsp?chapter=4&amp;verse=65" TargetMode="External"/><Relationship Id="rId269" Type="http://schemas.openxmlformats.org/officeDocument/2006/relationships/hyperlink" Target="https://surahquran.com/Urdu-aya-57-sora-10.html" TargetMode="External"/><Relationship Id="rId270" Type="http://schemas.openxmlformats.org/officeDocument/2006/relationships/hyperlink" Target="https://corpus.quran.com/translation.jsp?chapter=10&amp;verse=57" TargetMode="External"/><Relationship Id="rId271" Type="http://schemas.openxmlformats.org/officeDocument/2006/relationships/hyperlink" Target="https://surahquran.com/Urdu-aya-40-sora-12.html" TargetMode="External"/><Relationship Id="rId272" Type="http://schemas.openxmlformats.org/officeDocument/2006/relationships/hyperlink" Target="https://corpus.quran.com/translation.jsp?chapter=12&amp;verse=40" TargetMode="External"/><Relationship Id="rId273" Type="http://schemas.openxmlformats.org/officeDocument/2006/relationships/hyperlink" Target="https://surahquran.com/Urdu-aya-36-sora-16.html" TargetMode="External"/><Relationship Id="rId274" Type="http://schemas.openxmlformats.org/officeDocument/2006/relationships/hyperlink" Target="https://corpus.quran.com/translation.jsp?chapter=16&amp;verse=36" TargetMode="External"/><Relationship Id="rId275" Type="http://schemas.openxmlformats.org/officeDocument/2006/relationships/hyperlink" Target="https://surahquran.com/Urdu-aya-2-sora-67.html" TargetMode="External"/><Relationship Id="rId276" Type="http://schemas.openxmlformats.org/officeDocument/2006/relationships/hyperlink" Target="https://corpus.quran.com/translation.jsp?chapter=67&amp;verse=2" TargetMode="External"/><Relationship Id="rId277" Type="http://schemas.openxmlformats.org/officeDocument/2006/relationships/hyperlink" Target="https://sunnah.com/bukhari:27" TargetMode="External"/><Relationship Id="rId278" Type="http://schemas.openxmlformats.org/officeDocument/2006/relationships/hyperlink" Target="https://quran.ksu.edu.sa/tafseer/tabary/sura2-aya208.html" TargetMode="External"/><Relationship Id="rId279" Type="http://schemas.openxmlformats.org/officeDocument/2006/relationships/hyperlink" Target="https://quran.ksu.edu.sa/tafseer/katheer/sura4-aya65.html" TargetMode="External"/><Relationship Id="rId280" Type="http://schemas.openxmlformats.org/officeDocument/2006/relationships/hyperlink" Target="https://quran.ksu.edu.sa/tafseer/saadi/sura10-aya57.html" TargetMode="External"/><Relationship Id="rId281" Type="http://schemas.openxmlformats.org/officeDocument/2006/relationships/hyperlink" Target="https://quran.ksu.edu.sa/tafseer/tabary/sura12-aya40.html" TargetMode="External"/><Relationship Id="rId282" Type="http://schemas.openxmlformats.org/officeDocument/2006/relationships/hyperlink" Target="https://ghareeb.app/ar/entry/mufradat-raghib/&#1593;&#1576;&#1583;" TargetMode="External"/><Relationship Id="rId283" Type="http://schemas.openxmlformats.org/officeDocument/2006/relationships/hyperlink" Target="https://ghareeb.app/ar/entry/qamus-al-muheet/&#1575;&#1604;&#1583;&#1610;&#1606;" TargetMode="External"/><Relationship Id="rId284" Type="http://schemas.openxmlformats.org/officeDocument/2006/relationships/hyperlink" Target="https://islamweb.net/ar/library/content/99/167/&#1571;&#1583;&#1604;&#1577;-&#1584;&#1604;&#1603;" TargetMode="External"/><Relationship Id="rId285" Type="http://schemas.openxmlformats.org/officeDocument/2006/relationships/hyperlink" Target="https://surahquran.com/Urdu-aya-190-sora-3.html" TargetMode="External"/><Relationship Id="rId286" Type="http://schemas.openxmlformats.org/officeDocument/2006/relationships/hyperlink" Target="https://corpus.quran.com/translation.jsp?chapter=3&amp;verse=190" TargetMode="External"/><Relationship Id="rId287" Type="http://schemas.openxmlformats.org/officeDocument/2006/relationships/hyperlink" Target="https://surahquran.com/Urdu-aya-70-sora-17.html" TargetMode="External"/><Relationship Id="rId288" Type="http://schemas.openxmlformats.org/officeDocument/2006/relationships/hyperlink" Target="https://corpus.quran.com/translation.jsp?chapter=17&amp;verse=70" TargetMode="External"/><Relationship Id="rId289" Type="http://schemas.openxmlformats.org/officeDocument/2006/relationships/hyperlink" Target="https://surahquran.com/Urdu-aya-78-sora-22.html" TargetMode="External"/><Relationship Id="rId290" Type="http://schemas.openxmlformats.org/officeDocument/2006/relationships/hyperlink" Target="https://corpus.quran.com/translation.jsp?chapter=22&amp;verse=78" TargetMode="External"/><Relationship Id="rId291" Type="http://schemas.openxmlformats.org/officeDocument/2006/relationships/hyperlink" Target="https://surahquran.com/Urdu-aya-22-sora-30.html" TargetMode="External"/><Relationship Id="rId292" Type="http://schemas.openxmlformats.org/officeDocument/2006/relationships/hyperlink" Target="https://corpus.quran.com/translation.jsp?chapter=30&amp;verse=22" TargetMode="External"/><Relationship Id="rId293" Type="http://schemas.openxmlformats.org/officeDocument/2006/relationships/hyperlink" Target="https://surahquran.com/Urdu-aya-9-sora-39.html" TargetMode="External"/><Relationship Id="rId294" Type="http://schemas.openxmlformats.org/officeDocument/2006/relationships/hyperlink" Target="https://corpus.quran.com/translation.jsp?chapter=39&amp;verse=9" TargetMode="External"/><Relationship Id="rId295" Type="http://schemas.openxmlformats.org/officeDocument/2006/relationships/hyperlink" Target="https://surahquran.com/Urdu-aya-35-sora-33.html" TargetMode="External"/><Relationship Id="rId296" Type="http://schemas.openxmlformats.org/officeDocument/2006/relationships/hyperlink" Target="https://corpus.quran.com/translation.jsp?chapter=33&amp;verse=35" TargetMode="External"/><Relationship Id="rId297" Type="http://schemas.openxmlformats.org/officeDocument/2006/relationships/hyperlink" Target="https://sunnah.com/bukhari:73" TargetMode="External"/><Relationship Id="rId298" Type="http://schemas.openxmlformats.org/officeDocument/2006/relationships/hyperlink" Target="https://hadeethenc.com/ur/browse/hadith/3772" TargetMode="External"/><Relationship Id="rId299" Type="http://schemas.openxmlformats.org/officeDocument/2006/relationships/hyperlink" Target="https://sunnah.com/bukhari:2072" TargetMode="External"/><Relationship Id="rId300" Type="http://schemas.openxmlformats.org/officeDocument/2006/relationships/hyperlink" Target="https://hadeethenc.com/ur/browse/hadith/3752" TargetMode="External"/><Relationship Id="rId301" Type="http://schemas.openxmlformats.org/officeDocument/2006/relationships/hyperlink" Target="https://sunnah.com/bukhari:2079" TargetMode="External"/><Relationship Id="rId302" Type="http://schemas.openxmlformats.org/officeDocument/2006/relationships/hyperlink" Target="https://islamicurdubooks.com/hadith/hadith-.php?bookid=1&amp;hadith_number=2079" TargetMode="External"/><Relationship Id="rId303" Type="http://schemas.openxmlformats.org/officeDocument/2006/relationships/hyperlink" Target="https://sunnah.com/bukhari:2444" TargetMode="External"/><Relationship Id="rId304" Type="http://schemas.openxmlformats.org/officeDocument/2006/relationships/hyperlink" Target="https://islamicurdubooks.com/hadith/hadith-.php?bookid=1&amp;hadith_number=2444" TargetMode="External"/><Relationship Id="rId305" Type="http://schemas.openxmlformats.org/officeDocument/2006/relationships/hyperlink" Target="https://quran.ksu.edu.sa/tafseer/katheer/sura17-aya70.html" TargetMode="External"/><Relationship Id="rId306" Type="http://schemas.openxmlformats.org/officeDocument/2006/relationships/hyperlink" Target="https://quran.ksu.edu.sa/tafseer/katheer/sura30-aya22.html" TargetMode="External"/><Relationship Id="rId307" Type="http://schemas.openxmlformats.org/officeDocument/2006/relationships/hyperlink" Target="https://quran.ksu.edu.sa/tafseer/saadi/sura39-aya9.html" TargetMode="External"/><Relationship Id="rId308" Type="http://schemas.openxmlformats.org/officeDocument/2006/relationships/hyperlink" Target="https://surahquran.com/Urdu-aya-164-sora-6.html" TargetMode="External"/><Relationship Id="rId309" Type="http://schemas.openxmlformats.org/officeDocument/2006/relationships/hyperlink" Target="https://corpus.quran.com/translation.jsp?chapter=6&amp;verse=164" TargetMode="External"/><Relationship Id="rId310" Type="http://schemas.openxmlformats.org/officeDocument/2006/relationships/hyperlink" Target="https://surahquran.com/Urdu-aya-47-sora-21.html" TargetMode="External"/><Relationship Id="rId311" Type="http://schemas.openxmlformats.org/officeDocument/2006/relationships/hyperlink" Target="https://corpus.quran.com/translation.jsp?chapter=21&amp;verse=47" TargetMode="External"/><Relationship Id="rId312" Type="http://schemas.openxmlformats.org/officeDocument/2006/relationships/hyperlink" Target="https://surahquran.com/Urdu-aya-1-sora-35.html" TargetMode="External"/><Relationship Id="rId313" Type="http://schemas.openxmlformats.org/officeDocument/2006/relationships/hyperlink" Target="https://corpus.quran.com/translation.jsp?chapter=35&amp;verse=1" TargetMode="External"/><Relationship Id="rId314" Type="http://schemas.openxmlformats.org/officeDocument/2006/relationships/hyperlink" Target="https://surahquran.com/Urdu-aya-18-sora-50.html" TargetMode="External"/><Relationship Id="rId315" Type="http://schemas.openxmlformats.org/officeDocument/2006/relationships/hyperlink" Target="https://corpus.quran.com/translation.jsp?chapter=50&amp;verse=18" TargetMode="External"/><Relationship Id="rId316" Type="http://schemas.openxmlformats.org/officeDocument/2006/relationships/hyperlink" Target="https://surahquran.com/Urdu-aya-49-sora-54.html" TargetMode="External"/><Relationship Id="rId317" Type="http://schemas.openxmlformats.org/officeDocument/2006/relationships/hyperlink" Target="https://corpus.quran.com/translation.jsp?chapter=54&amp;verse=49" TargetMode="External"/><Relationship Id="rId318" Type="http://schemas.openxmlformats.org/officeDocument/2006/relationships/hyperlink" Target="https://surahquran.com/Urdu-aya-18-sora-59.html" TargetMode="External"/><Relationship Id="rId319" Type="http://schemas.openxmlformats.org/officeDocument/2006/relationships/hyperlink" Target="https://corpus.quran.com/translation.jsp?chapter=59&amp;verse=18" TargetMode="External"/><Relationship Id="rId320" Type="http://schemas.openxmlformats.org/officeDocument/2006/relationships/hyperlink" Target="https://surahquran.com/Urdu-aya-11-sora-64.html" TargetMode="External"/><Relationship Id="rId321" Type="http://schemas.openxmlformats.org/officeDocument/2006/relationships/hyperlink" Target="https://corpus.quran.com/translation.jsp?chapter=64&amp;verse=11" TargetMode="External"/><Relationship Id="rId322" Type="http://schemas.openxmlformats.org/officeDocument/2006/relationships/hyperlink" Target="https://sunnah.com/bukhari:3209" TargetMode="External"/><Relationship Id="rId323" Type="http://schemas.openxmlformats.org/officeDocument/2006/relationships/hyperlink" Target="https://islamicurdubooks.com/hadith/hadith-.php?bookid=1&amp;hadith_number=3209" TargetMode="External"/><Relationship Id="rId324" Type="http://schemas.openxmlformats.org/officeDocument/2006/relationships/hyperlink" Target="https://sunnah.com/muslim:2996" TargetMode="External"/><Relationship Id="rId325" Type="http://schemas.openxmlformats.org/officeDocument/2006/relationships/hyperlink" Target="https://hadeethenc.com/ur/browse/hadith/8264" TargetMode="External"/><Relationship Id="rId326" Type="http://schemas.openxmlformats.org/officeDocument/2006/relationships/hyperlink" Target="https://sunnah.com/bukhari:4949" TargetMode="External"/><Relationship Id="rId327" Type="http://schemas.openxmlformats.org/officeDocument/2006/relationships/hyperlink" Target="https://islamicurdubooks.com/hadith/hadith-.php?bookid=1&amp;hadith_number=4949" TargetMode="External"/><Relationship Id="rId328" Type="http://schemas.openxmlformats.org/officeDocument/2006/relationships/hyperlink" Target="https://quran.ksu.edu.sa/tafseer/qortobi/sura6-aya164.html" TargetMode="External"/><Relationship Id="rId329" Type="http://schemas.openxmlformats.org/officeDocument/2006/relationships/hyperlink" Target="https://quran.ksu.edu.sa/tafseer/katheer/sura21-aya47.html" TargetMode="External"/><Relationship Id="rId330" Type="http://schemas.openxmlformats.org/officeDocument/2006/relationships/hyperlink" Target="https://quran.ksu.edu.sa/tafseer/katheer/sura35-aya1.html" TargetMode="External"/><Relationship Id="rId331" Type="http://schemas.openxmlformats.org/officeDocument/2006/relationships/hyperlink" Target="https://quran.ksu.edu.sa/tafseer/tabary/sura50-aya18.html" TargetMode="External"/><Relationship Id="rId332" Type="http://schemas.openxmlformats.org/officeDocument/2006/relationships/hyperlink" Target="https://quran.ksu.edu.sa/tafseer/saadi/sura64-aya11.html" TargetMode="External"/><Relationship Id="rId333" Type="http://schemas.openxmlformats.org/officeDocument/2006/relationships/hyperlink" Target="https://iqbal.com.pk/allama-iqbal-prose-works/letter-of-allama-iqbal/916-prose-works/books-of-allama-iqbal/reconstruction-of-religious-thought-in-islam/151-the-philosophical-test-of-the-revelations-of-religious-e" TargetMode="External"/><Relationship Id="rId334" Type="http://schemas.openxmlformats.org/officeDocument/2006/relationships/hyperlink" Target="https://surahquran.com/Urdu-aya-5-sora-98.html" TargetMode="External"/><Relationship Id="rId335" Type="http://schemas.openxmlformats.org/officeDocument/2006/relationships/hyperlink" Target="https://corpus.quran.com/translation.jsp?chapter=98&amp;verse=5" TargetMode="External"/><Relationship Id="rId336" Type="http://schemas.openxmlformats.org/officeDocument/2006/relationships/hyperlink" Target="https://sunnah.com/bukhari:33" TargetMode="External"/><Relationship Id="rId337" Type="http://schemas.openxmlformats.org/officeDocument/2006/relationships/hyperlink" Target="https://sunnah.com/muslim:38" TargetMode="External"/><Relationship Id="rId338" Type="http://schemas.openxmlformats.org/officeDocument/2006/relationships/hyperlink" Target="https://hadeethenc.com/ur/browse/hadith/65018" TargetMode="External"/><Relationship Id="rId339" Type="http://schemas.openxmlformats.org/officeDocument/2006/relationships/hyperlink" Target="https://sunnah.com/bukhari:6412" TargetMode="External"/><Relationship Id="rId340" Type="http://schemas.openxmlformats.org/officeDocument/2006/relationships/hyperlink" Target="https://hadeethenc.com/ur/browse/hadith/5449" TargetMode="External"/><Relationship Id="rId341" Type="http://schemas.openxmlformats.org/officeDocument/2006/relationships/hyperlink" Target="https://sunnah.com/bukhari:6463" TargetMode="External"/><Relationship Id="rId342" Type="http://schemas.openxmlformats.org/officeDocument/2006/relationships/hyperlink" Target="https://hadeethenc.com/ur/browse/hadith/3469" TargetMode="External"/><Relationship Id="rId343" Type="http://schemas.openxmlformats.org/officeDocument/2006/relationships/hyperlink" Target="https://sunnah.com/bukhari:6094" TargetMode="External"/><Relationship Id="rId344" Type="http://schemas.openxmlformats.org/officeDocument/2006/relationships/hyperlink" Target="https://islamicurdubooks.com/hadith/hadith-.php?bookid=1&amp;hadith_number=6094" TargetMode="External"/><Relationship Id="rId345" Type="http://schemas.openxmlformats.org/officeDocument/2006/relationships/hyperlink" Target="https://sunnah.com/bukhari:1469" TargetMode="External"/><Relationship Id="rId346" Type="http://schemas.openxmlformats.org/officeDocument/2006/relationships/hyperlink" Target="https://hadeethenc.com/ur/browse/hadith/4967" TargetMode="External"/><Relationship Id="rId347" Type="http://schemas.openxmlformats.org/officeDocument/2006/relationships/hyperlink" Target="https://quran.ksu.edu.sa/tafseer/katheer/sura98-aya5.html" TargetMode="External"/><Relationship Id="rId348" Type="http://schemas.openxmlformats.org/officeDocument/2006/relationships/hyperlink" Target="https://www.islamweb.org/ar/library/content/81/113/&#1575;&#1604;&#1581;&#1583;&#1610;&#1579;-&#1575;&#1604;&#1581;&#1575;&#1583;&#1610;-&#1608;&#1575;&#1604;&#1593;&#1588;&#1585;&#1608;&#1606;-&#1602;&#1604;-&#1570;&#1605;&#1606;&#1578;-&#1576;&#1575;&#1604;&#1604;&#1607;-&#1579;&#1605;-&#1575;&#1587;&#1578;&#1602;&#1605;" TargetMode="External"/><Relationship Id="rId349" Type="http://schemas.openxmlformats.org/officeDocument/2006/relationships/hyperlink" Target="https://www.islamweb.net/ar/library/content/99/168/&#1602;&#1608;&#1575;&#1593;&#1583;-&#1610;&#1606;&#1576;&#1606;&#1610;-&#1593;&#1604;&#1610;&#1607;&#1575;-&#1605;&#1575;-&#1587;&#1576;&#1602;" TargetMode="External"/><Relationship Id="rId350" Type="http://schemas.openxmlformats.org/officeDocument/2006/relationships/hyperlink" Target="https://surahquran.com/Urdu-aya-31-sora-7.html" TargetMode="External"/><Relationship Id="rId351" Type="http://schemas.openxmlformats.org/officeDocument/2006/relationships/hyperlink" Target="https://corpus.quran.com/translation.jsp?chapter=7&amp;verse=31" TargetMode="External"/><Relationship Id="rId352" Type="http://schemas.openxmlformats.org/officeDocument/2006/relationships/hyperlink" Target="https://surahquran.com/Urdu-aya-60-sora-40.html" TargetMode="External"/><Relationship Id="rId353" Type="http://schemas.openxmlformats.org/officeDocument/2006/relationships/hyperlink" Target="https://corpus.quran.com/translation.jsp?chapter=40&amp;verse=60" TargetMode="External"/><Relationship Id="rId354" Type="http://schemas.openxmlformats.org/officeDocument/2006/relationships/hyperlink" Target="https://surahquran.com/Urdu-aya-10-sora-49.html" TargetMode="External"/><Relationship Id="rId355" Type="http://schemas.openxmlformats.org/officeDocument/2006/relationships/hyperlink" Target="https://corpus.quran.com/translation.jsp?chapter=49&amp;verse=10" TargetMode="External"/><Relationship Id="rId356" Type="http://schemas.openxmlformats.org/officeDocument/2006/relationships/hyperlink" Target="https://surahquran.com/Urdu-aya-9-sora-76.html" TargetMode="External"/><Relationship Id="rId357" Type="http://schemas.openxmlformats.org/officeDocument/2006/relationships/hyperlink" Target="https://corpus.quran.com/translation.jsp?chapter=76&amp;verse=9" TargetMode="External"/><Relationship Id="rId358" Type="http://schemas.openxmlformats.org/officeDocument/2006/relationships/hyperlink" Target="https://surahquran.com/Urdu-aya-14-sora-90.html" TargetMode="External"/><Relationship Id="rId359" Type="http://schemas.openxmlformats.org/officeDocument/2006/relationships/hyperlink" Target="https://corpus.quran.com/translation.jsp?chapter=90&amp;verse=14" TargetMode="External"/><Relationship Id="rId360" Type="http://schemas.openxmlformats.org/officeDocument/2006/relationships/hyperlink" Target="https://sunnah.com/bukhari:7405" TargetMode="External"/><Relationship Id="rId361" Type="http://schemas.openxmlformats.org/officeDocument/2006/relationships/hyperlink" Target="https://islamicurdubooks.com/hadith/hadith-.php?bookid=1&amp;hadith_number=7405" TargetMode="External"/><Relationship Id="rId362" Type="http://schemas.openxmlformats.org/officeDocument/2006/relationships/hyperlink" Target="https://sunnah.com/bukhari:703" TargetMode="External"/><Relationship Id="rId363" Type="http://schemas.openxmlformats.org/officeDocument/2006/relationships/hyperlink" Target="https://islamicurdubooks.com/hadith/hadith-.php?bookid=1&amp;hadith_number=703" TargetMode="External"/><Relationship Id="rId364" Type="http://schemas.openxmlformats.org/officeDocument/2006/relationships/hyperlink" Target="https://sunnah.com/bukhari:707" TargetMode="External"/><Relationship Id="rId365" Type="http://schemas.openxmlformats.org/officeDocument/2006/relationships/hyperlink" Target="https://islamicurdubooks.com/hadith/hadith-.php?bookid=1&amp;hadith_number=707" TargetMode="External"/><Relationship Id="rId366" Type="http://schemas.openxmlformats.org/officeDocument/2006/relationships/hyperlink" Target="https://sunnah.com/bukhari:1981" TargetMode="External"/><Relationship Id="rId367" Type="http://schemas.openxmlformats.org/officeDocument/2006/relationships/hyperlink" Target="https://islamicurdubooks.com/hadith/hadith-.php?bookid=1&amp;hadith_number=1981" TargetMode="External"/><Relationship Id="rId368" Type="http://schemas.openxmlformats.org/officeDocument/2006/relationships/hyperlink" Target="https://sunnah.com/bukhari:1782" TargetMode="External"/><Relationship Id="rId369" Type="http://schemas.openxmlformats.org/officeDocument/2006/relationships/hyperlink" Target="https://hadeethenc.com/ur/browse/hadith/2753" TargetMode="External"/><Relationship Id="rId370" Type="http://schemas.openxmlformats.org/officeDocument/2006/relationships/hyperlink" Target="https://sunnah.com/bukhari:2014" TargetMode="External"/><Relationship Id="rId371" Type="http://schemas.openxmlformats.org/officeDocument/2006/relationships/hyperlink" Target="https://www.islamicurdubooks.com/hadith/hadith-.php?bookid=1&amp;hadith_number=2014" TargetMode="External"/><Relationship Id="rId372" Type="http://schemas.openxmlformats.org/officeDocument/2006/relationships/hyperlink" Target="https://sunnah.com/bukhari:1902" TargetMode="External"/><Relationship Id="rId373" Type="http://schemas.openxmlformats.org/officeDocument/2006/relationships/hyperlink" Target="https://www.islamicurdubooks.com/hadith/hadith-.php?bookid=1&amp;hadith_number=1902" TargetMode="External"/><Relationship Id="rId374" Type="http://schemas.openxmlformats.org/officeDocument/2006/relationships/hyperlink" Target="https://sunnah.com/bukhari:1426" TargetMode="External"/><Relationship Id="rId375" Type="http://schemas.openxmlformats.org/officeDocument/2006/relationships/hyperlink" Target="https://islamicurdubooks.com/hadith/hadith-.php?bookid=1&amp;hadith_number=1426" TargetMode="External"/><Relationship Id="rId376" Type="http://schemas.openxmlformats.org/officeDocument/2006/relationships/hyperlink" Target="https://sunnah.com/bukhari:1445" TargetMode="External"/><Relationship Id="rId377" Type="http://schemas.openxmlformats.org/officeDocument/2006/relationships/hyperlink" Target="https://hadeethenc.com/ar/browse/hadith/65605" TargetMode="External"/><Relationship Id="rId378" Type="http://schemas.openxmlformats.org/officeDocument/2006/relationships/hyperlink" Target="https://sunnah.com/bukhari:676" TargetMode="External"/><Relationship Id="rId379" Type="http://schemas.openxmlformats.org/officeDocument/2006/relationships/hyperlink" Target="https://islamicurdubooks.com/hadith/hadith-.php?bookid=1&amp;hadith_number=676" TargetMode="External"/><Relationship Id="rId380" Type="http://schemas.openxmlformats.org/officeDocument/2006/relationships/hyperlink" Target="https://sunnah.com/muslim:2699a" TargetMode="External"/><Relationship Id="rId381" Type="http://schemas.openxmlformats.org/officeDocument/2006/relationships/hyperlink" Target="https://hadeethenc.com/ur/browse/hadith/4801" TargetMode="External"/><Relationship Id="rId382" Type="http://schemas.openxmlformats.org/officeDocument/2006/relationships/hyperlink" Target="https://quran.ksu.edu.sa/tafseer/qortobi/sura7-aya31.html" TargetMode="External"/><Relationship Id="rId383" Type="http://schemas.openxmlformats.org/officeDocument/2006/relationships/hyperlink" Target="https://quran.ksu.edu.sa/tafseer/qortobi/sura22-aya78.html" TargetMode="External"/><Relationship Id="rId384" Type="http://schemas.openxmlformats.org/officeDocument/2006/relationships/hyperlink" Target="https://islamweb.net/ar/library/content/119/483/&#1601;&#1589;&#1604;-&#1601;&#1610;-&#1605;&#1585;&#1575;&#1578;&#1576;-&#1575;&#1604;&#1605;&#1581;&#1576;&#1577;" TargetMode="External"/><Relationship Id="rId385" Type="http://schemas.openxmlformats.org/officeDocument/2006/relationships/hyperlink" Target="https://www.islamweb.net/amp/ar/library/content/411/7414/&#1576;&#1610;&#1575;&#1606;-&#1581;&#1583;-&#1575;&#1604;&#1588;&#1603;&#1585;-&#1608;&#1581;&#1602;&#1610;&#1602;&#1578;&#1607;" TargetMode="External"/><Relationship Id="rId386" Type="http://schemas.openxmlformats.org/officeDocument/2006/relationships/hyperlink" Target="https://www.hks.harvard.edu/publications/estimating-impact-hajj-religion-and-tolerance-islams-global-gathering-0" TargetMode="External"/><Relationship Id="rId387" Type="http://schemas.openxmlformats.org/officeDocument/2006/relationships/hyperlink" Target="https://academic.oup.com/qje/article-abstract/124/3/1133/1905120" TargetMode="External"/><Relationship Id="rId388" Type="http://schemas.openxmlformats.org/officeDocument/2006/relationships/hyperlink" Target="https://academic.oup.com/qje/article-abstract/130/2/615/23303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Introduction to Islam — Expanded Bilingual Reference Bank (225 References)</dc:title>
  <dc:subject>English–Urdu reference bank; 150 retained entries and 75 researched additions</dc:subject>
  <dc:creator/>
  <cp:keywords>Islam, Din, beliefs, worship, Quran, Hadith, Tafsir, English, Urdu</cp:keywords>
  <dc:description>Source and translation limitations are recorded in the entries and final audit.</dc:description>
  <cp:lastModifiedBy/>
  <cp:revision>1</cp:revision>
  <dcterms:created xsi:type="dcterms:W3CDTF">2013-12-23T23:15:00Z</dcterms:created>
  <dcterms:modified xsi:type="dcterms:W3CDTF">2013-12-23T23:15:00Z</dcterms:modified>
  <cp:category/>
</cp:coreProperties>
</file>