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part-i-accountancy-auditing-200-marks"/>
    <w:p>
      <w:pPr>
        <w:pStyle w:val="Heading1"/>
      </w:pPr>
      <w:r>
        <w:t xml:space="preserve">Part I — Accountancy &amp; Auditing (200 Marks)</w:t>
      </w:r>
    </w:p>
    <w:p>
      <w:pPr>
        <w:pStyle w:val="FirstParagraph"/>
      </w:pPr>
      <w:r>
        <w:t xml:space="preserve">This subject is one connected story, not five unrelated papers: financial accounting records what happened and turns transactions into statements; cost and managerial accounting works out what products, jobs and decisions cost; auditing checks whether reported information is backed by sufficient, appropriate evidence; taxation applies legal rules to income and supplies; and finance asks how money should be raised, invested and valued over time. Each area uses information the others produce, so the papers below build on each other.</w:t>
      </w:r>
    </w:p>
    <w:bookmarkStart w:id="29" w:name="paper-i---financial-accounting-50-marks"/>
    <w:p>
      <w:pPr>
        <w:pStyle w:val="Heading2"/>
      </w:pPr>
      <w:r>
        <w:t xml:space="preserve">Paper I - Financial Accounting (50 Marks)</w:t>
      </w:r>
    </w:p>
    <w:p>
      <w:pPr>
        <w:pStyle w:val="FirstParagraph"/>
      </w:pPr>
      <w:r>
        <w:t xml:space="preserve">Test paragraph only.</w:t>
      </w:r>
    </w:p>
    <w:p>
      <w:pPr>
        <w:pStyle w:val="BodyText"/>
      </w:pPr>
      <w:r>
        <w:t xml:space="preserve">Treat this paper as one continuous story rather than 29 separate facts. A transaction happens; it is recorded through double entry; entries are grouped into ledger accounts; the ledger is checked through a trial balance; end-of-period adjustments correct timing issues; the corrected figures become four connected statements; and those statements are then read and compared through ratios. Everything below sits somewhere on that line.</w:t>
      </w:r>
    </w:p>
    <w:bookmarkStart w:id="20" w:name="Xdbd8b4eda5bc4f16a5355cfd3a3637e595ff249"/>
    <w:p>
      <w:pPr>
        <w:pStyle w:val="Heading3"/>
      </w:pPr>
      <w:r>
        <w:t xml:space="preserve">A. The Ideas Behind the Rules (Accounting Concepts and Qualities)</w:t>
      </w:r>
    </w:p>
    <w:p>
      <w:pPr>
        <w:pStyle w:val="FirstParagraph"/>
      </w:pPr>
      <w:r>
        <w:t xml:space="preserve">Before any numbers, accounting rests on a small set of assumptions and qualities. Each one exists to stop financial statements from becoming misleading, and each shows up later as a reason why a specific rule works the way it does.</w:t>
      </w:r>
    </w:p>
    <w:p>
      <w:pPr>
        <w:numPr>
          <w:ilvl w:val="0"/>
          <w:numId w:val="1001"/>
        </w:numPr>
        <w:pStyle w:val="Compact"/>
      </w:pPr>
      <w:r>
        <w:t xml:space="preserve">Accrual and matching: Income is recorded when it is earned, and expenses when they are incurred, not simply when cash changes hands. Matching then ties an expense to the period whose revenue it helped generate. Why it matters: without accrual accounting, a firm that delays paying its bills would look artificially profitable, and one that pays early would look artificially poor. Example: electricity used in June but paid in July is still June’s expense, because the use happened in June.</w:t>
      </w:r>
    </w:p>
    <w:p>
      <w:pPr>
        <w:numPr>
          <w:ilvl w:val="0"/>
          <w:numId w:val="1001"/>
        </w:numPr>
        <w:pStyle w:val="Compact"/>
      </w:pPr>
      <w:r>
        <w:t xml:space="preserve">Consistency and comparability: The same accounting method should be used period after period unless there is a genuine, disclosed reason to change. This is what makes a trend meaningful rather than an artifact of switching methods.</w:t>
      </w:r>
    </w:p>
    <w:p>
      <w:pPr>
        <w:numPr>
          <w:ilvl w:val="0"/>
          <w:numId w:val="1001"/>
        </w:numPr>
        <w:pStyle w:val="Compact"/>
      </w:pPr>
      <w:r>
        <w:t xml:space="preserve">True and fair presentation: The overall objective that statements should faithfully represent the entity’s actual financial reality, not just satisfy a checklist.</w:t>
      </w:r>
    </w:p>
    <w:p>
      <w:pPr>
        <w:numPr>
          <w:ilvl w:val="0"/>
          <w:numId w:val="1001"/>
        </w:numPr>
        <w:pStyle w:val="Compact"/>
      </w:pPr>
      <w:r>
        <w:t xml:space="preserve">Neutrality, materiality, prudence, completeness, understandability: These are the qualities that make information useful. Neutral means not deliberately slanted. Material means important enough that its omission could change a user’s decision, and materiality is relative to the size of the entity. Prudence means exercising care under uncertainty; it is not permission to deliberately understate profit or assets. Completeness means nothing relevant has been left out. Understandability means a reasonably informed reader can follow the report.</w:t>
      </w:r>
    </w:p>
    <w:p>
      <w:pPr>
        <w:numPr>
          <w:ilvl w:val="0"/>
          <w:numId w:val="1001"/>
        </w:numPr>
        <w:pStyle w:val="Compact"/>
      </w:pPr>
      <w:r>
        <w:t xml:space="preserve">Going concern and substance over form: Going concern assumes the business will keep operating for the foreseeable future, which justifies carrying assets at cost rather than forced-sale value. Substance over form means the economic reality of a transaction governs its accounting treatment, even if its legal label suggests otherwise.</w:t>
      </w:r>
    </w:p>
    <w:p>
      <w:pPr>
        <w:pStyle w:val="FirstParagraph"/>
      </w:pPr>
      <w:r>
        <w:t xml:space="preserve">Key takeaway: every one of these concepts answers the same question: what would make this information misleading, and how do we stop that? Learn them that way rather than as unconnected vocabulary.</w:t>
      </w:r>
    </w:p>
    <w:bookmarkEnd w:id="20"/>
    <w:bookmarkStart w:id="21" w:name="Xa90e73f8a4336a910d5ddb7adfc49930afba7be"/>
    <w:p>
      <w:pPr>
        <w:pStyle w:val="Heading3"/>
      </w:pPr>
      <w:r>
        <w:t xml:space="preserve">B. The Accounting Equation and Double Entry</w:t>
      </w:r>
    </w:p>
    <w:p>
      <w:pPr>
        <w:pStyle w:val="FirstParagraph"/>
      </w:pPr>
      <w:r>
        <w:t xml:space="preserve">The entire system rests on one identity that must hold after every single transaction: Assets = Liabilities + Equity.</w:t>
      </w:r>
    </w:p>
    <w:p>
      <w:pPr>
        <w:pStyle w:val="BodyText"/>
      </w:pPr>
      <w:r>
        <w:t xml:space="preserve">Double entry is the mechanism that keeps this equation balanced: every transaction is recorded as at least one debit and one equal credit. A common beginner error is treating</w:t>
      </w:r>
      <w:r>
        <w:t xml:space="preserve"> </w:t>
      </w:r>
      <w:r>
        <w:t xml:space="preserve">“</w:t>
      </w:r>
      <w:r>
        <w:t xml:space="preserve">debit</w:t>
      </w:r>
      <w:r>
        <w:t xml:space="preserve">”</w:t>
      </w:r>
      <w:r>
        <w:t xml:space="preserve"> </w:t>
      </w:r>
      <w:r>
        <w:t xml:space="preserve">as meaning</w:t>
      </w:r>
      <w:r>
        <w:t xml:space="preserve"> </w:t>
      </w:r>
      <w:r>
        <w:t xml:space="preserve">“</w:t>
      </w:r>
      <w:r>
        <w:t xml:space="preserve">increase</w:t>
      </w:r>
      <w:r>
        <w:t xml:space="preserve">”</w:t>
      </w:r>
      <w:r>
        <w:t xml:space="preserve"> </w:t>
      </w:r>
      <w:r>
        <w:t xml:space="preserve">in general; it depends entirely on the account type:</w:t>
      </w:r>
    </w:p>
    <w:p>
      <w:pPr>
        <w:numPr>
          <w:ilvl w:val="0"/>
          <w:numId w:val="1002"/>
        </w:numPr>
        <w:pStyle w:val="Compact"/>
      </w:pPr>
      <w:r>
        <w:t xml:space="preserve">Assets and expenses normally increase with a debit and decrease with a credit.</w:t>
      </w:r>
    </w:p>
    <w:p>
      <w:pPr>
        <w:numPr>
          <w:ilvl w:val="0"/>
          <w:numId w:val="1002"/>
        </w:numPr>
        <w:pStyle w:val="Compact"/>
      </w:pPr>
      <w:r>
        <w:t xml:space="preserve">Liabilities, equity and income normally increase with a credit and decrease with a debit.</w:t>
      </w:r>
    </w:p>
    <w:p>
      <w:pPr>
        <w:pStyle w:val="FirstParagraph"/>
      </w:pPr>
      <w:r>
        <w:t xml:space="preserve">Worked example: the owner invests Rs 100,000 cash into the business. Cash (an asset) increases, so it is debited Rs 100,000. Capital (equity) increases, so it is credited Rs 100,000. The equation still balances.</w:t>
      </w:r>
    </w:p>
    <w:p>
      <w:pPr>
        <w:pStyle w:val="BodyText"/>
      </w:pPr>
      <w:r>
        <w:t xml:space="preserve">The practical skill here is not memorizing rules but being able to ask, for any transaction: which two (or more) accounts changed, and in which direction? Working through many small transactions by hand, at least 30 as a starting target, is what turns this from a rule you look up into a reflex.</w:t>
      </w:r>
    </w:p>
    <w:bookmarkEnd w:id="21"/>
    <w:bookmarkStart w:id="28" w:name="Xcfa67f9a9694055a8d3a353ad24feb4573675ea"/>
    <w:p>
      <w:pPr>
        <w:pStyle w:val="Heading3"/>
      </w:pPr>
      <w:r>
        <w:t xml:space="preserve">C. The Recording Cycle: Journal to Ledger to Trial Balance</w:t>
      </w:r>
    </w:p>
    <w:p>
      <w:pPr>
        <w:numPr>
          <w:ilvl w:val="0"/>
          <w:numId w:val="1003"/>
        </w:numPr>
      </w:pPr>
      <w:r>
        <w:t xml:space="preserve">General journal. Transactions are first recorded chronologically with a debit line, a credit line, and a short narration explaining what occurred. Example: a credit sale of Rs 20,000 is recorded as Debit Accounts Receivable 20,000, Credit Sales 20,000, because the business now has a right to collect cash later and has earned revenue now.</w:t>
      </w:r>
    </w:p>
    <w:p>
      <w:pPr>
        <w:numPr>
          <w:ilvl w:val="0"/>
          <w:numId w:val="1003"/>
        </w:numPr>
      </w:pPr>
      <w:r>
        <w:t xml:space="preserve">General ledger. The journal tells you what happened and when; the ledger reorganizes that same information by account, so you can ask what the balance of Cash is right now and get a single answer.</w:t>
      </w:r>
    </w:p>
    <w:p>
      <w:pPr>
        <w:numPr>
          <w:ilvl w:val="0"/>
          <w:numId w:val="1003"/>
        </w:numPr>
      </w:pPr>
      <w:r>
        <w:t xml:space="preserve">Trial balance. This lists every ledger account’s closing balance in two columns and checks that total debits equal total credits. It is a mechanical check, not a proof of correctness: some errors, such as omitting a transaction entirely, leave the trial balance perfectly balanced while the records are still wrong.</w:t>
      </w:r>
    </w:p>
    <w:p>
      <w:pPr>
        <w:numPr>
          <w:ilvl w:val="0"/>
          <w:numId w:val="1003"/>
        </w:numPr>
        <w:pStyle w:val="Heading3"/>
      </w:pPr>
      <w:bookmarkStart w:id="22" w:name="d.-period-end-adjustments"/>
      <w:r>
        <w:t xml:space="preserve">D. Period-End Adjustments</w:t>
      </w:r>
      <w:bookmarkEnd w:id="22"/>
    </w:p>
    <w:p>
      <w:pPr>
        <w:numPr>
          <w:ilvl w:val="0"/>
          <w:numId w:val="1000"/>
        </w:numPr>
      </w:pPr>
      <w:r>
        <w:t xml:space="preserve">Before final statements can be prepared, the trial balance is adjusted to reflect the accrual concept properly. The four classic adjustments are:</w:t>
      </w:r>
    </w:p>
    <w:p>
      <w:pPr>
        <w:numPr>
          <w:ilvl w:val="1"/>
          <w:numId w:val="1004"/>
        </w:numPr>
        <w:pStyle w:val="Compact"/>
      </w:pPr>
      <w:r>
        <w:t xml:space="preserve">Accrued expense: incurred but not yet paid or recorded, such as wages earned by staff in the last week of the period but paid next month.</w:t>
      </w:r>
    </w:p>
    <w:p>
      <w:pPr>
        <w:numPr>
          <w:ilvl w:val="1"/>
          <w:numId w:val="1004"/>
        </w:numPr>
        <w:pStyle w:val="Compact"/>
      </w:pPr>
      <w:r>
        <w:t xml:space="preserve">Prepaid expense: paid in advance but not yet used up. A 12-month insurance premium of Rs 12,000 paid at the start of the year means that after 3 months, Rs 3,000 has been used and is an expense, and Rs 9,000 remains an asset called prepaid insurance.</w:t>
      </w:r>
    </w:p>
    <w:p>
      <w:pPr>
        <w:numPr>
          <w:ilvl w:val="1"/>
          <w:numId w:val="1004"/>
        </w:numPr>
        <w:pStyle w:val="Compact"/>
      </w:pPr>
      <w:r>
        <w:t xml:space="preserve">Accrued income: earned but not yet received or recorded.</w:t>
      </w:r>
    </w:p>
    <w:p>
      <w:pPr>
        <w:numPr>
          <w:ilvl w:val="1"/>
          <w:numId w:val="1004"/>
        </w:numPr>
        <w:pStyle w:val="Compact"/>
      </w:pPr>
      <w:r>
        <w:t xml:space="preserve">Unearned income: cash received, but the service or goods have not yet been delivered, so it is a liability until earned.</w:t>
      </w:r>
    </w:p>
    <w:p>
      <w:pPr>
        <w:numPr>
          <w:ilvl w:val="0"/>
          <w:numId w:val="1000"/>
        </w:numPr>
      </w:pPr>
      <w:r>
        <w:t xml:space="preserve">Once these are posted, an adjusted trial balance is produced, and this, not the original trial balance, is what final statements are built from.</w:t>
      </w:r>
    </w:p>
    <w:p>
      <w:pPr>
        <w:numPr>
          <w:ilvl w:val="0"/>
          <w:numId w:val="1000"/>
        </w:numPr>
      </w:pPr>
      <w:r>
        <w:t xml:space="preserve">A worksheet is an internal working paper used to organize the unadjusted balances, the adjustments, and the resulting adjusted figures side by side before the statements are typed up; it is a working tool, not a reported statement. Closing entries then transfer all temporary accounts, meaning revenue and expense accounts, into equity, because these accounts must start each new period at zero; permanent accounts simply carry their balances forward. Reversing entries, used optionally at the start of the next period, are a bookkeeping convenience that simplifies handling certain accruals.</w:t>
      </w:r>
    </w:p>
    <w:p>
      <w:pPr>
        <w:numPr>
          <w:ilvl w:val="0"/>
          <w:numId w:val="1000"/>
        </w:numPr>
      </w:pPr>
      <w:r>
        <w:t xml:space="preserve">Key takeaway (Sections B to D): the whole cycle is transaction, then journal, then ledger, then trial balance, then adjustments, then adjusted trial balance, then statements, then closing entries, then post-closing trial balance. If any stage feels abstract, carry one small transaction through the entire sequence by hand rather than memorizing each stage separately.</w:t>
      </w:r>
    </w:p>
    <w:p>
      <w:pPr>
        <w:numPr>
          <w:ilvl w:val="0"/>
          <w:numId w:val="1003"/>
        </w:numPr>
        <w:pStyle w:val="Heading3"/>
      </w:pPr>
      <w:bookmarkStart w:id="23" w:name="X7011287ee5bbc1ebd27668f5cca28693e70c066"/>
      <w:r>
        <w:t xml:space="preserve">E. The Four Financial Statements, and How They Connect</w:t>
      </w:r>
      <w:bookmarkEnd w:id="23"/>
    </w:p>
    <w:p>
      <w:pPr>
        <w:numPr>
          <w:ilvl w:val="0"/>
          <w:numId w:val="1000"/>
        </w:numPr>
      </w:pPr>
      <w:r>
        <w:t xml:space="preserve">A common mistake is treating profit, cash, and financial position as if they were the same thing. They are not, and each statement answers a different question.</w:t>
      </w:r>
    </w:p>
    <w:p>
      <w:pPr>
        <w:numPr>
          <w:ilvl w:val="1"/>
          <w:numId w:val="1005"/>
        </w:numPr>
        <w:pStyle w:val="Compact"/>
      </w:pPr>
      <w:r>
        <w:t xml:space="preserve">Income statement: did we make a profit or loss over the period? Revenue minus expenses equals profit or loss. Example: revenue 500,000 minus expenses 420,000 gives profit 80,000.</w:t>
      </w:r>
    </w:p>
    <w:p>
      <w:pPr>
        <w:numPr>
          <w:ilvl w:val="1"/>
          <w:numId w:val="1005"/>
        </w:numPr>
        <w:pStyle w:val="Compact"/>
      </w:pPr>
      <w:r>
        <w:t xml:space="preserve">Statement of financial position (balance sheet): what do we own and owe right now, at a single date? It lists assets (resources the entity controls), liabilities (present obligations it owes), and equity (the residual claim left after liabilities are deducted from assets), usually split into current and non-current items. Cash is normally current; a building used in operations is normally non-current.</w:t>
      </w:r>
    </w:p>
    <w:p>
      <w:pPr>
        <w:numPr>
          <w:ilvl w:val="1"/>
          <w:numId w:val="1005"/>
        </w:numPr>
        <w:pStyle w:val="Compact"/>
      </w:pPr>
      <w:r>
        <w:t xml:space="preserve">Statement of cash flows: where did our cash actually come from and go, over the period? It explains cash movement under three headings: operating (day-to-day trading), investing (buying or selling long-term assets), and financing (borrowing, repaying, or raising capital). A firm can be profitable on paper while cash is tight, for example because customers haven’t paid yet, which is exactly why this statement exists alongside the income statement.</w:t>
      </w:r>
    </w:p>
    <w:p>
      <w:pPr>
        <w:numPr>
          <w:ilvl w:val="1"/>
          <w:numId w:val="1005"/>
        </w:numPr>
        <w:pStyle w:val="Compact"/>
      </w:pPr>
      <w:r>
        <w:t xml:space="preserve">Statement of changes in equity: why did owners’ equity change over the period? It reconciles opening equity to closing equity by adding profit and any new owner contributions, and subtracting dividends or drawings and losses. Example: opening equity 1,000,000 plus profit 200,000 minus dividends 80,000 equals closing equity 1,120,000. This closing figure must always agree with the equity section of the statement of financial position, which is a good way to catch errors.</w:t>
      </w:r>
    </w:p>
    <w:p>
      <w:pPr>
        <w:numPr>
          <w:ilvl w:val="0"/>
          <w:numId w:val="1000"/>
        </w:numPr>
      </w:pPr>
      <w:r>
        <w:t xml:space="preserve">The connection to hold onto: profit from the income statement flows into equity via the statement of changes in equity, and the resulting equity balance appears on the statement of financial position, while the statement of cash flows tracks something related but genuinely different: cash movement, not profit.</w:t>
      </w:r>
    </w:p>
    <w:p>
      <w:pPr>
        <w:numPr>
          <w:ilvl w:val="0"/>
          <w:numId w:val="1003"/>
        </w:numPr>
        <w:pStyle w:val="Heading3"/>
      </w:pPr>
      <w:bookmarkStart w:id="24" w:name="f.-who-reads-this-and-why-it-matters"/>
      <w:r>
        <w:t xml:space="preserve">F. Who Reads This, and Why It Matters</w:t>
      </w:r>
      <w:bookmarkEnd w:id="24"/>
    </w:p>
    <w:p>
      <w:pPr>
        <w:numPr>
          <w:ilvl w:val="0"/>
          <w:numId w:val="1000"/>
        </w:numPr>
      </w:pPr>
      <w:r>
        <w:t xml:space="preserve">Different users read the same statements looking for different things.</w:t>
      </w:r>
    </w:p>
    <w:p>
      <w:pPr>
        <w:numPr>
          <w:ilvl w:val="1"/>
          <w:numId w:val="1006"/>
        </w:numPr>
        <w:pStyle w:val="Compact"/>
      </w:pPr>
      <w:r>
        <w:t xml:space="preserve">External users: investors and shareholders look mainly at profitability and growth; lenders and banks look mainly at repayment capacity and cash flow; suppliers look mainly at short-term liquidity, meaning whether they will be paid on time; government and regulators look mainly at compliance and tax.</w:t>
      </w:r>
    </w:p>
    <w:p>
      <w:pPr>
        <w:numPr>
          <w:ilvl w:val="1"/>
          <w:numId w:val="1006"/>
        </w:numPr>
        <w:pStyle w:val="Compact"/>
      </w:pPr>
      <w:r>
        <w:t xml:space="preserve">Internal users: directors and managers care about efficiency and decision-making; employees care about job security and stability.</w:t>
      </w:r>
    </w:p>
    <w:p>
      <w:pPr>
        <w:numPr>
          <w:ilvl w:val="0"/>
          <w:numId w:val="1000"/>
        </w:numPr>
      </w:pPr>
      <w:r>
        <w:t xml:space="preserve">A useful exam technique: build a user-to-information-need table for any organizational-form question, because it converts a vague theory prompt into a structured, markable answer.</w:t>
      </w:r>
    </w:p>
    <w:p>
      <w:pPr>
        <w:numPr>
          <w:ilvl w:val="0"/>
          <w:numId w:val="1000"/>
        </w:numPr>
        <w:pStyle w:val="Heading3"/>
      </w:pPr>
      <w:bookmarkStart w:id="25" w:name="X4675e2d47c1cf27b073bf417b8430d5be6322cc"/>
      <w:r>
        <w:t xml:space="preserve">G. Accounting for Different Forms of Organization</w:t>
      </w:r>
      <w:bookmarkEnd w:id="25"/>
    </w:p>
    <w:p>
      <w:pPr>
        <w:numPr>
          <w:ilvl w:val="0"/>
          <w:numId w:val="1000"/>
        </w:numPr>
      </w:pPr>
      <w:r>
        <w:t xml:space="preserve">The accounting mechanics, meaning double entry, adjustments, and statements, stay the same across organizational forms. What changes is mainly the equity section and the reporting emphasis, because the legal form changes who owns the entity and who is accountable to whom.</w:t>
      </w:r>
    </w:p>
    <w:p>
      <w:pPr>
        <w:numPr>
          <w:ilvl w:val="1"/>
          <w:numId w:val="1007"/>
        </w:numPr>
        <w:pStyle w:val="Compact"/>
      </w:pPr>
      <w:r>
        <w:t xml:space="preserve">Sole proprietorship: one owner. Equity tracks capital, additional investment, profit or loss, and drawings. Drawings, meaning cash or goods the owner takes for personal use, reduce equity directly; they are not a business expense, because they are not incurred to earn revenue.</w:t>
      </w:r>
    </w:p>
    <w:p>
      <w:pPr>
        <w:numPr>
          <w:ilvl w:val="1"/>
          <w:numId w:val="1007"/>
        </w:numPr>
        <w:pStyle w:val="Compact"/>
      </w:pPr>
      <w:r>
        <w:t xml:space="preserve">Partnership: two or more partners under an agreement. Each partner has a capital or current account, and profit or loss is split according to the agreed profit-sharing ratio, plus interest on capital or drawings or partner salary if the agreement provides for these. Example: partners A and B share profit 3 to 2; a distributable profit of Rs 100,000 splits into Rs 60,000 and Rs 40,000 before any other agreement-specific adjustments. The agreement, not a default assumption, governs every distribution detail.</w:t>
      </w:r>
    </w:p>
    <w:p>
      <w:pPr>
        <w:numPr>
          <w:ilvl w:val="1"/>
          <w:numId w:val="1007"/>
        </w:numPr>
        <w:pStyle w:val="Compact"/>
      </w:pPr>
      <w:r>
        <w:t xml:space="preserve">Joint-stock company: a separate legal entity from its owners, with share capital, reserves, retained earnings, and a more formal reporting structure. Issuing shares for cash increases both cash and share capital. At this syllabus level, advanced company-accounting topics such as amalgamation, capital reduction, and consolidation of group accounts are explicitly outside scope.</w:t>
      </w:r>
    </w:p>
    <w:p>
      <w:pPr>
        <w:numPr>
          <w:ilvl w:val="1"/>
          <w:numId w:val="1007"/>
        </w:numPr>
        <w:pStyle w:val="Compact"/>
      </w:pPr>
      <w:r>
        <w:t xml:space="preserve">Banking companies: a fundamentally different business model. Banks accept deposits, which are a major liability since the bank owes this money back to depositors, and extend financing, which is an asset, so their statements reflect a liquidity- and risk-driven structure rather than a typical trading firm’s inventory-and-sales structure.</w:t>
      </w:r>
    </w:p>
    <w:p>
      <w:pPr>
        <w:numPr>
          <w:ilvl w:val="1"/>
          <w:numId w:val="1007"/>
        </w:numPr>
        <w:pStyle w:val="Compact"/>
      </w:pPr>
      <w:r>
        <w:t xml:space="preserve">Not-for-profit associations: formed to pursue a purpose, not to distribute profit. Their statements often use receipts-and-payments, a cash basis, or income-and-expenditure, an accrual basis, depending on what is required. Example: a membership subscription can count as income of the period it relates to even if the cash arrives at a different time, once accrual logic is applied.</w:t>
      </w:r>
    </w:p>
    <w:p>
      <w:pPr>
        <w:numPr>
          <w:ilvl w:val="1"/>
          <w:numId w:val="1007"/>
        </w:numPr>
        <w:pStyle w:val="Compact"/>
      </w:pPr>
      <w:r>
        <w:t xml:space="preserve">Public-sector accounting: the accountability question shifts from did we earn a profit, to was public money used lawfully, transparently, and for its intended service purpose. The FPSC syllabus points toward the IPSAS-oriented framework used in Pakistan’s public sector as the reference point for this stewardship-centered reporting.</w:t>
      </w:r>
    </w:p>
    <w:p>
      <w:pPr>
        <w:numPr>
          <w:ilvl w:val="0"/>
          <w:numId w:val="1000"/>
        </w:numPr>
      </w:pPr>
      <w:r>
        <w:t xml:space="preserve">Key takeaway (Sections F and G): for any accounting-for-organizational-form question, first ask who is accountable to whom, and for what purpose does this entity exist. The accounting treatment follows from that, not the other way around.</w:t>
      </w:r>
    </w:p>
    <w:p>
      <w:pPr>
        <w:numPr>
          <w:ilvl w:val="0"/>
          <w:numId w:val="1003"/>
        </w:numPr>
        <w:pStyle w:val="Heading3"/>
      </w:pPr>
      <w:bookmarkStart w:id="26" w:name="Xa65db48294f225260af7fa7e3c988cf76286390"/>
      <w:r>
        <w:t xml:space="preserve">H. Non-Current Tangible Assets and Depreciation</w:t>
      </w:r>
      <w:bookmarkEnd w:id="26"/>
    </w:p>
    <w:p>
      <w:pPr>
        <w:numPr>
          <w:ilvl w:val="0"/>
          <w:numId w:val="1000"/>
        </w:numPr>
      </w:pPr>
      <w:r>
        <w:t xml:space="preserve">Non-current tangible assets are physical resources used for more than one accounting period, such as buildings or machinery. Key vocabulary: cost is what was paid to acquire and prepare the asset for use; residual value is the expected value at the end of useful life; depreciable amount is cost minus residual value, the amount that will be spread over the asset’s life; useful life is the period over which the asset is expected to be used.</w:t>
      </w:r>
    </w:p>
    <w:p>
      <w:pPr>
        <w:numPr>
          <w:ilvl w:val="0"/>
          <w:numId w:val="1000"/>
        </w:numPr>
      </w:pPr>
      <w:r>
        <w:t xml:space="preserve">A critical point: depreciation is an allocation of cost over time, not a cash payment. No money leaves the business when depreciation is recorded; it simply spreads an already-incurred cost across the periods that benefit from using the asset, matching expense to the revenue the asset helps generate.</w:t>
      </w:r>
    </w:p>
    <w:p>
      <w:pPr>
        <w:numPr>
          <w:ilvl w:val="0"/>
          <w:numId w:val="1000"/>
        </w:numPr>
      </w:pPr>
      <w:r>
        <w:t xml:space="preserve">Three common methods, using a machine costing Rs 500,000, with residual value Rs 50,000 and useful life 5 years, giving a depreciable amount of Rs 450,000:</w:t>
      </w:r>
    </w:p>
    <w:p>
      <w:pPr>
        <w:numPr>
          <w:ilvl w:val="1"/>
          <w:numId w:val="1008"/>
        </w:numPr>
        <w:pStyle w:val="Compact"/>
      </w:pPr>
      <w:r>
        <w:t xml:space="preserve">Straight-line: depreciable amount divided by useful life, so 450,000 divided by 5 equals Rs 90,000 per year, every year, assuming assumptions don’t change. Simple and appropriate when the asset is used roughly evenly over time.</w:t>
      </w:r>
    </w:p>
    <w:p>
      <w:pPr>
        <w:numPr>
          <w:ilvl w:val="1"/>
          <w:numId w:val="1008"/>
        </w:numPr>
        <w:pStyle w:val="Compact"/>
      </w:pPr>
      <w:r>
        <w:t xml:space="preserve">Reducing-balance: a fixed percentage is applied each year to the asset’s remaining book value, not the original cost, so depreciation is highest in early years and falls over time. This suits assets that lose most of their usefulness early, such as some vehicles and technology.</w:t>
      </w:r>
    </w:p>
    <w:p>
      <w:pPr>
        <w:numPr>
          <w:ilvl w:val="1"/>
          <w:numId w:val="1008"/>
        </w:numPr>
        <w:pStyle w:val="Compact"/>
      </w:pPr>
      <w:r>
        <w:t xml:space="preserve">Units-of-production: depreciation is tied to actual usage, such as machine-hours or units produced, rather than time, so it varies with how intensively the asset is used in a given period. Most appropriate when wear is driven by use rather than the passage of time.</w:t>
      </w:r>
    </w:p>
    <w:p>
      <w:pPr>
        <w:numPr>
          <w:ilvl w:val="0"/>
          <w:numId w:val="1000"/>
        </w:numPr>
      </w:pPr>
      <w:r>
        <w:t xml:space="preserve">Choosing the wrong method distorts profit trends and asset values on the statement of financial position, which is exactly why the consistency concept from Section A applies directly here: switching depreciation methods without disclosure would make one year’s profit incomparable to another’s for reasons that have nothing to do with real performance.</w:t>
      </w:r>
    </w:p>
    <w:p>
      <w:pPr>
        <w:numPr>
          <w:ilvl w:val="0"/>
          <w:numId w:val="1000"/>
        </w:numPr>
        <w:pStyle w:val="Heading3"/>
      </w:pPr>
      <w:bookmarkStart w:id="27" w:name="Xb832add8e983814d23962e688cde6a6b54880f2"/>
      <w:r>
        <w:t xml:space="preserve">I. Reading the Statements: Financial-Statement Analysis</w:t>
      </w:r>
      <w:bookmarkEnd w:id="27"/>
    </w:p>
    <w:p>
      <w:pPr>
        <w:numPr>
          <w:ilvl w:val="0"/>
          <w:numId w:val="1000"/>
        </w:numPr>
      </w:pPr>
      <w:r>
        <w:t xml:space="preserve">Once statements exist, they need to be read, not just prepared.</w:t>
      </w:r>
    </w:p>
    <w:p>
      <w:pPr>
        <w:numPr>
          <w:ilvl w:val="1"/>
          <w:numId w:val="1009"/>
        </w:numPr>
        <w:pStyle w:val="Compact"/>
      </w:pPr>
      <w:r>
        <w:t xml:space="preserve">Horizontal analysis, also called trend analysis, compares the same line item across multiple periods, such as sales in Year 1 versus Year 2 versus Year 3, to spot growth, decline, or volatility over time.</w:t>
      </w:r>
    </w:p>
    <w:p>
      <w:pPr>
        <w:numPr>
          <w:ilvl w:val="1"/>
          <w:numId w:val="1009"/>
        </w:numPr>
        <w:pStyle w:val="Compact"/>
      </w:pPr>
      <w:r>
        <w:t xml:space="preserve">Vertical analysis expresses each line item as a percentage of a base figure within the same period, such as each expense as a percentage of sales. Ratio analysis goes further by relating two figures to each other: profitability ratios such as net profit margin, liquidity ratios such as the current ratio (current assets divided by current liabilities), and solvency ratios such as debt-to-equity.</w:t>
      </w:r>
    </w:p>
    <w:p>
      <w:pPr>
        <w:numPr>
          <w:ilvl w:val="0"/>
          <w:numId w:val="1000"/>
        </w:numPr>
      </w:pPr>
      <w:r>
        <w:t xml:space="preserve">The consistency concept matters again here: ratios and trends are only meaningful if the underlying accounting methods haven’t silently changed between the periods being compared. Technical and industry analysis goes one step further by placing a company’s ratios in the context of its specific industry’s norms, since a good current ratio for a retailer and for a heavy manufacturer can look very different.</w:t>
      </w:r>
    </w:p>
    <w:p>
      <w:r>
        <w:pict>
          <v:rect style="width:0;height:1.5pt" o:hralign="center" o:hrstd="t" o:hr="t"/>
        </w:pict>
      </w:r>
    </w:p>
    <w:p>
      <w:pPr>
        <w:numPr>
          <w:ilvl w:val="0"/>
          <w:numId w:val="1000"/>
        </w:numPr>
      </w:pPr>
      <w:r>
        <w:t xml:space="preserve">Paper I (Financial Accounting) key takeaways: the whole paper is one connected cycle, from transaction to journal to ledger to trial balance to adjustments to the four statements to closing entries to ratio analysis. Every foundational concept, such as accrual, matching, consistency, prudence, going concern, and substance over form, exists to prevent a specific kind of misleading information; learn the reason, not just the label. Double-entry direction depends on account type, not a universal rule. A balanced trial balance is a necessary but not sufficient check. Depreciation reallocates cost over time and is never a cash outflow. The organizational form mainly changes the equity treatment and the accountability lens, not the underlying mechanics. Ratios and trends are only trustworthy when accounting methods have been applied consistently across the periods being compared.</w:t>
      </w:r>
    </w:p>
    <w:bookmarkEnd w:id="28"/>
    <w:bookmarkEnd w:id="29"/>
    <w:bookmarkStart w:id="40" w:name="Xc53ac4539e23922e9c8c2c700d5f586bbe78266"/>
    <w:p>
      <w:pPr>
        <w:pStyle w:val="Heading2"/>
      </w:pPr>
      <w:r>
        <w:t xml:space="preserve">Paper I - Cost &amp; Managerial Accounting (50 Marks)</w:t>
      </w:r>
    </w:p>
    <w:p>
      <w:pPr>
        <w:pStyle w:val="FirstParagraph"/>
      </w:pPr>
      <w:r>
        <w:t xml:space="preserve">This paper asks how cost information is built, and then how it is used for planning and decisions. The logical order: classify costs and their elements, accumulate them through job or process costing, turn plans into budgets, use contribution and break-even thinking for short-term decisions, and finally compare planned against actual performance through standard costing and variances. Keep the decision purpose in view throughout: the same cost figure can matter for different reasons depending on what question is being asked.</w:t>
      </w:r>
    </w:p>
    <w:bookmarkStart w:id="30" w:name="X79d81c3050ea26190c9982c38e6b06ea7a3112a"/>
    <w:p>
      <w:pPr>
        <w:pStyle w:val="Heading3"/>
      </w:pPr>
      <w:r>
        <w:t xml:space="preserve">A. Three Accounting Lenses on the Same Business</w:t>
      </w:r>
    </w:p>
    <w:p>
      <w:pPr>
        <w:pStyle w:val="FirstParagraph"/>
      </w:pPr>
      <w:r>
        <w:t xml:space="preserve">Financial, cost, and management accounting are not three separate subjects; they are three questions asked of the same underlying data.</w:t>
      </w:r>
    </w:p>
    <w:p>
      <w:pPr>
        <w:numPr>
          <w:ilvl w:val="0"/>
          <w:numId w:val="1010"/>
        </w:numPr>
        <w:pStyle w:val="Compact"/>
      </w:pPr>
      <w:r>
        <w:t xml:space="preserve">Financial accounting reports overall performance and position to broad external users, following prescribed formats.</w:t>
      </w:r>
    </w:p>
    <w:p>
      <w:pPr>
        <w:numPr>
          <w:ilvl w:val="0"/>
          <w:numId w:val="1010"/>
        </w:numPr>
        <w:pStyle w:val="Compact"/>
      </w:pPr>
      <w:r>
        <w:t xml:space="preserve">Cost accounting measures and assigns cost to products, jobs, or services, so that a per-unit or per-job cost figure can be produced.</w:t>
      </w:r>
    </w:p>
    <w:p>
      <w:pPr>
        <w:numPr>
          <w:ilvl w:val="0"/>
          <w:numId w:val="1010"/>
        </w:numPr>
        <w:pStyle w:val="Compact"/>
      </w:pPr>
      <w:r>
        <w:t xml:space="preserve">Management accounting uses both financial and non-financial information to help managers plan, decide, and control, often with no prescribed format at all.</w:t>
      </w:r>
    </w:p>
    <w:p>
      <w:pPr>
        <w:pStyle w:val="FirstParagraph"/>
      </w:pPr>
      <w:r>
        <w:t xml:space="preserve">Example: a cost sheet built by cost accounting shows the unit manufacturing cost of a product; management accounting then uses that same figure to decide pricing or which product mix to emphasize. A useful way to compare the three is along purpose, users, time orientation, level of detail, and degree of external regulation.</w:t>
      </w:r>
    </w:p>
    <w:bookmarkEnd w:id="30"/>
    <w:bookmarkStart w:id="31" w:name="Xa5817c5db125285848094d2a8c91aa4157d4ad6"/>
    <w:p>
      <w:pPr>
        <w:pStyle w:val="Heading3"/>
      </w:pPr>
      <w:r>
        <w:t xml:space="preserve">B. Cost Concepts, Elements and Classification</w:t>
      </w:r>
    </w:p>
    <w:p>
      <w:pPr>
        <w:pStyle w:val="FirstParagraph"/>
      </w:pPr>
      <w:r>
        <w:t xml:space="preserve">A cost is simply a resource sacrifice measured for a stated purpose, and the same cost can honestly be described several different ways depending on why it is being classified.</w:t>
      </w:r>
    </w:p>
    <w:p>
      <w:pPr>
        <w:numPr>
          <w:ilvl w:val="0"/>
          <w:numId w:val="1011"/>
        </w:numPr>
        <w:pStyle w:val="Compact"/>
      </w:pPr>
      <w:r>
        <w:t xml:space="preserve">By element: direct material (traceable raw material), direct labour (traceable wages), and manufacturing overhead (everything else needed to run the factory that cannot be economically traced to a single unit).</w:t>
      </w:r>
    </w:p>
    <w:p>
      <w:pPr>
        <w:numPr>
          <w:ilvl w:val="0"/>
          <w:numId w:val="1011"/>
        </w:numPr>
        <w:pStyle w:val="Compact"/>
      </w:pPr>
      <w:r>
        <w:t xml:space="preserve">By behaviour: fixed (does not change with activity within a relevant range, such as factory rent) versus variable (changes roughly in proportion to activity, such as material used per unit).</w:t>
      </w:r>
    </w:p>
    <w:p>
      <w:pPr>
        <w:numPr>
          <w:ilvl w:val="0"/>
          <w:numId w:val="1011"/>
        </w:numPr>
        <w:pStyle w:val="Compact"/>
      </w:pPr>
      <w:r>
        <w:t xml:space="preserve">By traceability: direct (traced to one cost object) versus indirect (shared across several cost objects and assigned on some basis).</w:t>
      </w:r>
    </w:p>
    <w:p>
      <w:pPr>
        <w:numPr>
          <w:ilvl w:val="0"/>
          <w:numId w:val="1011"/>
        </w:numPr>
        <w:pStyle w:val="Compact"/>
      </w:pPr>
      <w:r>
        <w:t xml:space="preserve">By financial reporting role: product cost (attached to the unit and expensed only when sold) versus period cost (expensed in the period incurred, regardless of sales).</w:t>
      </w:r>
    </w:p>
    <w:p>
      <w:pPr>
        <w:numPr>
          <w:ilvl w:val="0"/>
          <w:numId w:val="1011"/>
        </w:numPr>
        <w:pStyle w:val="Compact"/>
      </w:pPr>
      <w:r>
        <w:t xml:space="preserve">By decision relevance: controllable versus uncontrollable, and relevant versus irrelevant to a specific decision (see Section F).</w:t>
      </w:r>
    </w:p>
    <w:p>
      <w:pPr>
        <w:pStyle w:val="FirstParagraph"/>
      </w:pPr>
      <w:r>
        <w:t xml:space="preserve">Example: factory rent is typically indirect and fixed within a relevant range, while material used specifically in one product is typically direct and variable. The exam skill is not reciting definitions but correctly classifying a mixed list of real costs, because the same rent figure could be called fixed in one question and irrelevant in another, depending on what is being asked.</w:t>
      </w:r>
    </w:p>
    <w:bookmarkEnd w:id="31"/>
    <w:bookmarkStart w:id="32" w:name="c.-material-labour-and-factory-overhead"/>
    <w:p>
      <w:pPr>
        <w:pStyle w:val="Heading3"/>
      </w:pPr>
      <w:r>
        <w:t xml:space="preserve">C. Material, Labour and Factory Overhead</w:t>
      </w:r>
    </w:p>
    <w:p>
      <w:pPr>
        <w:pStyle w:val="FirstParagraph"/>
      </w:pPr>
      <w:r>
        <w:t xml:space="preserve">These are the three manufacturing cost elements in more depth.</w:t>
      </w:r>
    </w:p>
    <w:p>
      <w:pPr>
        <w:numPr>
          <w:ilvl w:val="0"/>
          <w:numId w:val="1012"/>
        </w:numPr>
        <w:pStyle w:val="Compact"/>
      </w:pPr>
      <w:r>
        <w:t xml:space="preserve">Material: accounting tracks purchase, storage, issue, and use of raw material. Control aims to avoid shortages, excess stock, waste, and loss while keeping production running, using inventory records, reorder decisions, and a chosen valuation or issue method. If production requires 100 units of raw material, the stores record should show the authorized issue and the remaining balance, linking physical control to accounting control.</w:t>
      </w:r>
    </w:p>
    <w:p>
      <w:pPr>
        <w:numPr>
          <w:ilvl w:val="0"/>
          <w:numId w:val="1012"/>
        </w:numPr>
        <w:pStyle w:val="Compact"/>
      </w:pPr>
      <w:r>
        <w:t xml:space="preserve">Labour: workers can be paid by time worked (time rate), output produced (piece rate), or an incentive scheme that rewards productivity while sharing the benefit with the worker. Example: Rs 500 per unit times 20 units gives a piece-rate gross amount of Rs 10,000, before other payroll effects. Direct labour is assigned to the specific job or process it worked on; indirect labour, such as a supervisor’s wage, is treated as overhead.</w:t>
      </w:r>
    </w:p>
    <w:p>
      <w:pPr>
        <w:numPr>
          <w:ilvl w:val="0"/>
          <w:numId w:val="1012"/>
        </w:numPr>
        <w:pStyle w:val="Compact"/>
      </w:pPr>
      <w:r>
        <w:t xml:space="preserve">Factory overhead (FOH): includes manufacturing costs that cannot be economically traced directly to one job or unit, such as indirect material, indirect labour, and factory utilities. Because it cannot be traced directly, it must be collected and then assigned to production using a rational base, often through a predetermined overhead rate calculated as budgeted overhead divided by budgeted activity. Example: budgeted FOH of Rs 1,200,000 over 60,000 budgeted labour hours gives a predetermined rate of Rs 20 per labour hour. Applying this rate to actual hours worked, and comparing it to actual overhead incurred, produces over-absorption or under-absorption of overhead.</w:t>
      </w:r>
    </w:p>
    <w:bookmarkEnd w:id="32"/>
    <w:bookmarkStart w:id="33" w:name="d.-departmentalization-of-overhead"/>
    <w:p>
      <w:pPr>
        <w:pStyle w:val="Heading3"/>
      </w:pPr>
      <w:r>
        <w:t xml:space="preserve">D. Departmentalization of Overhead</w:t>
      </w:r>
    </w:p>
    <w:p>
      <w:pPr>
        <w:pStyle w:val="FirstParagraph"/>
      </w:pPr>
      <w:r>
        <w:t xml:space="preserve">Overhead often has to be shared across several departments before it can be applied to production, and this happens in two stages.</w:t>
      </w:r>
    </w:p>
    <w:p>
      <w:pPr>
        <w:numPr>
          <w:ilvl w:val="0"/>
          <w:numId w:val="1013"/>
        </w:numPr>
        <w:pStyle w:val="Compact"/>
      </w:pPr>
      <w:r>
        <w:t xml:space="preserve">Allocation: a whole cost is charged directly to one department, because it clearly belongs there.</w:t>
      </w:r>
    </w:p>
    <w:p>
      <w:pPr>
        <w:numPr>
          <w:ilvl w:val="0"/>
          <w:numId w:val="1013"/>
        </w:numPr>
        <w:pStyle w:val="Compact"/>
      </w:pPr>
      <w:r>
        <w:t xml:space="preserve">Apportionment: a common cost is divided among several departments on a reasonable basis. Example: canteen cost may be apportioned by number of employees in each department; power cost may be apportioned by machine hours or meter readings.</w:t>
      </w:r>
    </w:p>
    <w:p>
      <w:pPr>
        <w:numPr>
          <w:ilvl w:val="0"/>
          <w:numId w:val="1013"/>
        </w:numPr>
        <w:pStyle w:val="Compact"/>
      </w:pPr>
      <w:r>
        <w:t xml:space="preserve">Reapportionment: after this primary distribution, service-department costs (canteen, maintenance, stores) are moved on to the production departments they actually support, using methods such as repeated distribution or algebraic methods when departments provide services to each other reciprocally.</w:t>
      </w:r>
    </w:p>
    <w:p>
      <w:pPr>
        <w:pStyle w:val="FirstParagraph"/>
      </w:pPr>
      <w:r>
        <w:t xml:space="preserve">The underlying logic is always the same: costs should end up resting on the production departments that ultimately caused them, even when they were first recorded against a department that does not itself make anything.</w:t>
      </w:r>
    </w:p>
    <w:bookmarkEnd w:id="33"/>
    <w:bookmarkStart w:id="34" w:name="e.-job-order-costing-and-process-costing"/>
    <w:p>
      <w:pPr>
        <w:pStyle w:val="Heading3"/>
      </w:pPr>
      <w:r>
        <w:t xml:space="preserve">E. Job-Order Costing and Process Costing</w:t>
      </w:r>
    </w:p>
    <w:p>
      <w:pPr>
        <w:pStyle w:val="FirstParagraph"/>
      </w:pPr>
      <w:r>
        <w:t xml:space="preserve">Both are methods for accumulating production cost, and the first decision is which one fits the business: is output made as distinguishable, separately identifiable jobs, or as a continuous flow of similar units?</w:t>
      </w:r>
    </w:p>
    <w:p>
      <w:pPr>
        <w:numPr>
          <w:ilvl w:val="0"/>
          <w:numId w:val="1014"/>
        </w:numPr>
        <w:pStyle w:val="Compact"/>
      </w:pPr>
      <w:r>
        <w:t xml:space="preserve">Job-order costing accumulates cost for a specific job, batch, or customer order. A job cost sheet collects direct material, direct labour, and applied overhead for that one job. Example: a custom furniture order’s manufacturing cost is built from the wood used, the carpenter’s hours, and the overhead assigned to that job.</w:t>
      </w:r>
    </w:p>
    <w:p>
      <w:pPr>
        <w:numPr>
          <w:ilvl w:val="0"/>
          <w:numId w:val="1014"/>
        </w:numPr>
        <w:pStyle w:val="Compact"/>
      </w:pPr>
      <w:r>
        <w:t xml:space="preserve">Process costing is used when many similar units flow through continuous stages, such as a chemical plant passing material through a Mixing department and then a Finishing department. Costs are accumulated by process or department and averaged over output. A cost of production report is the working document that explains the physical flow of units, equivalent production where partially completed units exist, cost per equivalent unit, and how total cost is assigned between units finished and units still in process.</w:t>
      </w:r>
    </w:p>
    <w:p>
      <w:pPr>
        <w:pStyle w:val="FirstParagraph"/>
      </w:pPr>
      <w:r>
        <w:t xml:space="preserve">In both methods, keep physical units and cost flows as two separate tracking exercises, especially wherever work-in-process is involved, because confusing the two is the most common source of errors.</w:t>
      </w:r>
    </w:p>
    <w:bookmarkEnd w:id="34"/>
    <w:bookmarkStart w:id="35" w:name="f.-budgeting"/>
    <w:p>
      <w:pPr>
        <w:pStyle w:val="Heading3"/>
      </w:pPr>
      <w:r>
        <w:t xml:space="preserve">F. Budgeting</w:t>
      </w:r>
    </w:p>
    <w:p>
      <w:pPr>
        <w:pStyle w:val="FirstParagraph"/>
      </w:pPr>
      <w:r>
        <w:t xml:space="preserve">A budget is a quantified plan for a future period, converting objectives into expected sales, production, resource, cash, and financial outcomes. Budgets should be read as a linked system, not as separate isolated formats.</w:t>
      </w:r>
    </w:p>
    <w:p>
      <w:pPr>
        <w:numPr>
          <w:ilvl w:val="0"/>
          <w:numId w:val="1015"/>
        </w:numPr>
        <w:pStyle w:val="Compact"/>
      </w:pPr>
      <w:r>
        <w:t xml:space="preserve">Sales budget: estimates units and revenue to be sold, and it is the starting point that drives everything else.</w:t>
      </w:r>
    </w:p>
    <w:p>
      <w:pPr>
        <w:numPr>
          <w:ilvl w:val="0"/>
          <w:numId w:val="1015"/>
        </w:numPr>
        <w:pStyle w:val="Compact"/>
      </w:pPr>
      <w:r>
        <w:t xml:space="preserve">Production budget: estimates units to produce, following the relation Production equals Sales plus Desired Ending Finished Goods minus Opening Finished Goods. Example: expected sales 10,000, desired ending inventory 1,500, opening inventory 1,000, gives a production requirement of 10,500 units. Because opening inventory for one month is the previous month’s closing inventory, this formula links one period to the next.</w:t>
      </w:r>
    </w:p>
    <w:p>
      <w:pPr>
        <w:numPr>
          <w:ilvl w:val="0"/>
          <w:numId w:val="1015"/>
        </w:numPr>
        <w:pStyle w:val="Compact"/>
      </w:pPr>
      <w:r>
        <w:t xml:space="preserve">Cash budget: forecasts cash receipts, payments, financing needs, and ending cash. A profitable company can still face a cash shortage if collections from customers arrive after its own payments are due. Example: opening cash 100, receipts 500, payments 550, gives an ending balance of 50 before any financing is arranged. Non-cash expenses like depreciation are excluded from a cash budget, since they involve no cash movement.</w:t>
      </w:r>
    </w:p>
    <w:p>
      <w:pPr>
        <w:numPr>
          <w:ilvl w:val="0"/>
          <w:numId w:val="1015"/>
        </w:numPr>
        <w:pStyle w:val="Compact"/>
      </w:pPr>
      <w:r>
        <w:t xml:space="preserve">Flexible, zero-based, and master budgets: a flexible budget adjusts allowed costs and revenues to the actual activity level actually achieved, which is fairer than a static budget when comparing performance. Example: comparing actual cost at 12,000 units against a static budget built for 10,000 units is misleading; a flexible budget restates the expected cost for 12,000 units before comparing. Zero-based budgeting requires every activity to be justified from a zero base each period rather than simply rolling forward last year’s numbers plus an increase. The master budget is the full integrated set of operating and financial budgets, built up from the sales budget through to a budgeted income statement and balance sheet.</w:t>
      </w:r>
    </w:p>
    <w:p>
      <w:pPr>
        <w:pStyle w:val="FirstParagraph"/>
      </w:pPr>
      <w:r>
        <w:t xml:space="preserve">When actual results are later compared with any budget, the key analytical skill is separating a difference caused by a different activity level from one caused by price, efficiency, or a planning assumption that turned out to be wrong — a budget is only useful when the reason behind a variance can be explained, not merely reported.</w:t>
      </w:r>
    </w:p>
    <w:bookmarkEnd w:id="35"/>
    <w:bookmarkStart w:id="36" w:name="X0879a95b5883f77b83a30bbda27ddc10496e272"/>
    <w:p>
      <w:pPr>
        <w:pStyle w:val="Heading3"/>
      </w:pPr>
      <w:r>
        <w:t xml:space="preserve">G. Marginal (Variable) Costing versus Absorption Costing</w:t>
      </w:r>
    </w:p>
    <w:p>
      <w:pPr>
        <w:pStyle w:val="FirstParagraph"/>
      </w:pPr>
      <w:r>
        <w:t xml:space="preserve">The two methods differ in exactly one respect: how fixed manufacturing overhead is treated.</w:t>
      </w:r>
    </w:p>
    <w:p>
      <w:pPr>
        <w:numPr>
          <w:ilvl w:val="0"/>
          <w:numId w:val="1016"/>
        </w:numPr>
        <w:pStyle w:val="Compact"/>
      </w:pPr>
      <w:r>
        <w:t xml:space="preserve">Variable (marginal) costing treats fixed manufacturing overhead as a period cost, expensed in full in the period it is incurred, regardless of how much was sold.</w:t>
      </w:r>
    </w:p>
    <w:p>
      <w:pPr>
        <w:numPr>
          <w:ilvl w:val="0"/>
          <w:numId w:val="1016"/>
        </w:numPr>
        <w:pStyle w:val="Compact"/>
      </w:pPr>
      <w:r>
        <w:t xml:space="preserve">Absorption costing includes fixed manufacturing overhead inside product cost, so a portion of it sits in inventory value whenever some units produced are not yet sold.</w:t>
      </w:r>
    </w:p>
    <w:p>
      <w:pPr>
        <w:pStyle w:val="FirstParagraph"/>
      </w:pPr>
      <w:r>
        <w:t xml:space="preserve">This single difference means the two methods can report different profit figures whenever production and sales volumes differ within a period. Example: if production exceeds sales, some units remain in closing inventory, and under absorption costing a slice of fixed overhead sits inside that inventory value rather than hitting the income statement, so absorption-costing profit is typically higher than variable-costing profit in that period. When production equals sales, the two methods give the same profit, because no fixed overhead is left behind in inventory. Being able to reconcile the profit figures between the two methods (the difference equals the fixed overhead in the change in inventory) is a core exam skill.</w:t>
      </w:r>
    </w:p>
    <w:bookmarkEnd w:id="36"/>
    <w:bookmarkStart w:id="37" w:name="X3306cd740168e9411c4c6caba401ae6625a6182"/>
    <w:p>
      <w:pPr>
        <w:pStyle w:val="Heading3"/>
      </w:pPr>
      <w:r>
        <w:t xml:space="preserve">H. Contribution, Cost-Volume-Profit Analysis and Break-Even</w:t>
      </w:r>
    </w:p>
    <w:p>
      <w:pPr>
        <w:pStyle w:val="FirstParagraph"/>
      </w:pPr>
      <w:r>
        <w:t xml:space="preserve">Contribution is the foundation for almost every short-term decision technique in this paper: Contribution per unit equals Selling price minus Variable cost per unit. Contribution first covers fixed cost; whatever is left over after that becomes profit. Example: selling price 100, variable cost 60, gives a contribution of 40 per unit. The contribution margin ratio, contribution divided by sales, expresses this as a percentage.</w:t>
      </w:r>
    </w:p>
    <w:p>
      <w:pPr>
        <w:pStyle w:val="BodyText"/>
      </w:pPr>
      <w:r>
        <w:t xml:space="preserve">Cost-volume-profit (CVP) analysis studies how volume, price, variable cost, and fixed cost interact to determine profit, and break-even point is its simplest application: the activity level at which total contribution exactly equals fixed cost, so profit is exactly zero.</w:t>
      </w:r>
    </w:p>
    <w:p>
      <w:pPr>
        <w:numPr>
          <w:ilvl w:val="0"/>
          <w:numId w:val="1017"/>
        </w:numPr>
        <w:pStyle w:val="Compact"/>
      </w:pPr>
      <w:r>
        <w:t xml:space="preserve">Break-even units equal Fixed Cost divided by Contribution per unit.</w:t>
      </w:r>
    </w:p>
    <w:p>
      <w:pPr>
        <w:numPr>
          <w:ilvl w:val="0"/>
          <w:numId w:val="1017"/>
        </w:numPr>
        <w:pStyle w:val="Compact"/>
      </w:pPr>
      <w:r>
        <w:t xml:space="preserve">Break-even sales value equals Fixed Cost divided by Contribution margin ratio.</w:t>
      </w:r>
    </w:p>
    <w:p>
      <w:pPr>
        <w:pStyle w:val="FirstParagraph"/>
      </w:pPr>
      <w:r>
        <w:t xml:space="preserve">Example: fixed cost 200,000, contribution 40 per unit, gives a break-even point of 5,000 units. The same logic extends naturally to target-profit questions (treat the target profit as an addition to fixed cost in the formula) and margin-of-safety questions (how far actual or budgeted sales exceed the break-even point, which measures how much sales can fall before a loss occurs).</w:t>
      </w:r>
    </w:p>
    <w:bookmarkEnd w:id="37"/>
    <w:bookmarkStart w:id="38" w:name="i.-relevant-costing-for-decisions"/>
    <w:p>
      <w:pPr>
        <w:pStyle w:val="Heading3"/>
      </w:pPr>
      <w:r>
        <w:t xml:space="preserve">I. Relevant Costing for Decisions</w:t>
      </w:r>
    </w:p>
    <w:p>
      <w:pPr>
        <w:pStyle w:val="FirstParagraph"/>
      </w:pPr>
      <w:r>
        <w:t xml:space="preserve">Decision-making requires incremental thinking, not blindly reading off full accounting cost. Relevant costs are future costs and revenues that actually differ between the alternatives being compared; sunk costs, already incurred in the past, do not change with today’s decision and should be ignored no matter how large they were. Example: a machine bought last year for Rs 1,000,000 is a sunk historical cost when deciding today whether to accept a special order; only future avoidable costs and incremental revenues matter to that decision. This logic underlies a family of standard question types at this syllabus level: make-or-buy, accepting a special order, allocating a scarce (limiting) resource across products, deciding whether to discontinue or retain a product line, and equipment-replacement decisions. In each case, the exam technique is the same: list only the costs and revenues that change between the alternatives, ignore sunk costs and costs common to all alternatives, and compare the incremental result.</w:t>
      </w:r>
    </w:p>
    <w:bookmarkEnd w:id="38"/>
    <w:bookmarkStart w:id="39" w:name="X7d642695b585ac8911c1b6f38e4a27db52d7d82"/>
    <w:p>
      <w:pPr>
        <w:pStyle w:val="Heading3"/>
      </w:pPr>
      <w:r>
        <w:t xml:space="preserve">J. Standard Costing and Variance Analysis</w:t>
      </w:r>
    </w:p>
    <w:p>
      <w:pPr>
        <w:pStyle w:val="FirstParagraph"/>
      </w:pPr>
      <w:r>
        <w:t xml:space="preserve">A standard is a planned benchmark for quantity or price, set in advance of production. A variance is simply the difference between standard (expected) and actual performance, and its purpose is to prompt management to investigate why results differed from the plan — a variance is a starting point for asking why, not an end in itself.</w:t>
      </w:r>
    </w:p>
    <w:p>
      <w:pPr>
        <w:pStyle w:val="BodyText"/>
      </w:pPr>
      <w:r>
        <w:t xml:space="preserve">The syllabus groups variances into material, labour, and factory-overhead variances, and each of these can usually be split into two underlying causes:</w:t>
      </w:r>
    </w:p>
    <w:p>
      <w:pPr>
        <w:numPr>
          <w:ilvl w:val="0"/>
          <w:numId w:val="1018"/>
        </w:numPr>
        <w:pStyle w:val="Compact"/>
      </w:pPr>
      <w:r>
        <w:t xml:space="preserve">A price or rate effect: did we pay a different price (for material) or rate (for labour) than planned?</w:t>
      </w:r>
    </w:p>
    <w:p>
      <w:pPr>
        <w:numPr>
          <w:ilvl w:val="0"/>
          <w:numId w:val="1018"/>
        </w:numPr>
        <w:pStyle w:val="Compact"/>
      </w:pPr>
      <w:r>
        <w:t xml:space="preserve">A quantity or efficiency effect: did we use a different quantity of material, or take a different amount of time, than planned?</w:t>
      </w:r>
    </w:p>
    <w:p>
      <w:pPr>
        <w:pStyle w:val="FirstParagraph"/>
      </w:pPr>
      <w:r>
        <w:t xml:space="preserve">Example: if material was budgeted to cost Rs 10 per kilogram but actually cost Rs 11 per kilogram, that difference contributes to an unfavourable material price variance, separate from any variance caused by using more or less material than the standard allowed for the output actually achieved. The most reliable way to learn the formulas is to first be able to state, in plain words, what each variance is actually asking, and only then attach the formula to that question.</w:t>
      </w:r>
    </w:p>
    <w:p>
      <w:r>
        <w:pict>
          <v:rect style="width:0;height:1.5pt" o:hralign="center" o:hrstd="t" o:hr="t"/>
        </w:pict>
      </w:r>
    </w:p>
    <w:p>
      <w:pPr>
        <w:pStyle w:val="FirstParagraph"/>
      </w:pPr>
      <w:r>
        <w:t xml:space="preserve">Paper I (Cost &amp; Managerial Accounting) key takeaways: financial, cost, and management accounting are three different questions asked of the same data, not three unrelated subjects. The same cost can be validly classified several different ways depending on the purpose of the question. Overhead has to be allocated, apportioned, and then reapportioned before it reaches production departments. Job costing suits distinguishable jobs; process costing suits a continuous flow of similar units. Budgets form one linked system driven by the sales forecast. Absorption and variable costing differ only in the treatment of fixed manufacturing overhead, and this alone can explain a profit difference between them. Contribution is the foundation of break-even and CVP analysis. Only future, incremental costs and revenues are relevant to a decision; sunk costs are never relevant. Every variance decomposes into a price/rate effect and a quantity/efficiency effect, and the formula matters less than being able to state what question the variance is actually answering.</w:t>
      </w:r>
    </w:p>
    <w:bookmarkEnd w:id="39"/>
    <w:bookmarkEnd w:id="40"/>
    <w:bookmarkStart w:id="48" w:name="paper-ii---auditing"/>
    <w:p>
      <w:pPr>
        <w:pStyle w:val="Heading2"/>
      </w:pPr>
      <w:r>
        <w:t xml:space="preserve">Paper II - Auditing</w:t>
      </w:r>
    </w:p>
    <w:p>
      <w:pPr>
        <w:pStyle w:val="FirstParagraph"/>
      </w:pPr>
      <w:r>
        <w:t xml:space="preserve">Auditing is a chain: risk leads to evidence, and evidence leads to judgment. For every topic below, keep asking the same three questions: what could be materially wrong here, what evidence would actually address that risk, and how would the finding change the auditor’s conclusion or report? Memorizing a list of procedures without knowing what each one is meant to test is the single most common way this paper is prepared badly.</w:t>
      </w:r>
    </w:p>
    <w:bookmarkStart w:id="41" w:name="a.-what-an-audit-is-and-what-it-is-not"/>
    <w:p>
      <w:pPr>
        <w:pStyle w:val="Heading3"/>
      </w:pPr>
      <w:r>
        <w:t xml:space="preserve">A. What an Audit Is, and What It Is Not</w:t>
      </w:r>
    </w:p>
    <w:p>
      <w:pPr>
        <w:pStyle w:val="FirstParagraph"/>
      </w:pPr>
      <w:r>
        <w:t xml:space="preserve">An external financial-statement audit is an independent examination that lets the auditor express an opinion on whether the financial statements are prepared and presented in accordance with the applicable reporting framework, in all material respects. Management prepares the statements; the auditor examines evidence and forms an opinion on them; these are two clearly separate roles, and confusing them is a conceptual error. An audit provides reasonable assurance, not absolute assurance: the auditor tests a sample of, say, sales invoices and related controls rather than re-performing every single transaction in the business, because absolute certainty would be both practically impossible and prohibitively expensive. This is why professional skepticism, treating management’s representations as needing corroboration rather than automatic acceptance, is central to the whole exercise.</w:t>
      </w:r>
    </w:p>
    <w:bookmarkEnd w:id="41"/>
    <w:bookmarkStart w:id="42" w:name="X50d7a33a643a80e68c7ad9bd2512d4f54de667a"/>
    <w:p>
      <w:pPr>
        <w:pStyle w:val="Heading3"/>
      </w:pPr>
      <w:r>
        <w:t xml:space="preserve">B. Management Assertions and Audit Evidence</w:t>
      </w:r>
    </w:p>
    <w:p>
      <w:pPr>
        <w:pStyle w:val="FirstParagraph"/>
      </w:pPr>
      <w:r>
        <w:t xml:space="preserve">Assertions are management’s implicit or explicit claims embedded in the financial statements about transactions, balances, and disclosures, and they exist to tell the auditor exactly what needs to be proven. Common assertions include existence or occurrence (did the recorded asset or transaction actually happen or exist?), completeness (has everything that should have been recorded actually been recorded?), rights and obligations, accuracy or valuation, cut-off (is it recorded in the right period?), and classification and presentation. Example: for inventory, existence asks is the recorded inventory actually there, while completeness asks the opposite question, has all inventory that should be recorded been included. These two assertions pull in opposite directions and require different procedures.</w:t>
      </w:r>
    </w:p>
    <w:p>
      <w:pPr>
        <w:pStyle w:val="BodyText"/>
      </w:pPr>
      <w:r>
        <w:t xml:space="preserve">Audit evidence is the information used to support the auditor’s conclusions, and its quality depends on relevance and reliability together; a large quantity of irrelevant evidence never compensates for evidence that does not actually address the assertion at risk. The standard evidence-gathering techniques are inspection, observation, external confirmation, recalculation, reperformance, analytical procedures, and inquiry. Example: an external bank confirmation can provide reliable evidence about a bank balance because it comes from an independent third party, subject to how the confirmation procedure is actually carried out. The exam skill worth practising is not listing these techniques but, for any given procedure, identifying which specific assertion it is designed to test.</w:t>
      </w:r>
    </w:p>
    <w:bookmarkEnd w:id="42"/>
    <w:bookmarkStart w:id="43" w:name="X00a0225632ec85d0ea3de89160c287d0f9a4fc5"/>
    <w:p>
      <w:pPr>
        <w:pStyle w:val="Heading3"/>
      </w:pPr>
      <w:r>
        <w:t xml:space="preserve">C. Planning the Audit: Programme, Risk and Materiality</w:t>
      </w:r>
    </w:p>
    <w:p>
      <w:pPr>
        <w:pStyle w:val="FirstParagraph"/>
      </w:pPr>
      <w:r>
        <w:t xml:space="preserve">An audit programme is a planned list of procedures for each area of the audit; it improves organization, delegation, and review, but a rigid, unchanging programme becomes a liability when circumstances on the ground turn out to be different from what was assumed at the planning stage. Example: a cash audit programme may include bank confirmations, bank reconciliation testing, and selected tests of cash receipts and payments.</w:t>
      </w:r>
    </w:p>
    <w:p>
      <w:pPr>
        <w:pStyle w:val="BodyText"/>
      </w:pPr>
      <w:r>
        <w:t xml:space="preserve">Audit risk is the risk that the auditor expresses an inappropriate opinion when the financial statements are, in fact, materially misstated. Materiality concerns misstatements that could reasonably be expected to influence the economic decisions users make based on the statements; it is not simply any error above a fixed percentage, because qualitative factors matter too. Example: a small illegal payment may be material because of its nature, even though the amount involved is not large. Risk assessment is what actually drives the nature, timing, and extent of audit procedures: the higher the assessed risk in an area, the stronger the evidence response needs to be there.</w:t>
      </w:r>
    </w:p>
    <w:bookmarkEnd w:id="43"/>
    <w:bookmarkStart w:id="44" w:name="Xb0f4fdc145e3aefaba6af658e3dfa763780a78f"/>
    <w:p>
      <w:pPr>
        <w:pStyle w:val="Heading3"/>
      </w:pPr>
      <w:r>
        <w:t xml:space="preserve">D. Internal Control and the Two Kinds of Procedure</w:t>
      </w:r>
    </w:p>
    <w:p>
      <w:pPr>
        <w:pStyle w:val="FirstParagraph"/>
      </w:pPr>
      <w:r>
        <w:t xml:space="preserve">Internal control is the system of policies, processes, and activities an entity designs to help it achieve objectives such as reliable reporting, efficient operations, and legal compliance. Controls can either prevent errors and fraud from happening, or detect and correct them after the fact. Segregation of duties is a classic control principle: the person who physically receives cash should ideally not also be the only person recording and reconciling that same cash, because combining custody and recording in one person removes the natural cross-check that catches both error and deliberate misappropriation.</w:t>
      </w:r>
    </w:p>
    <w:p>
      <w:pPr>
        <w:pStyle w:val="BodyText"/>
      </w:pPr>
      <w:r>
        <w:t xml:space="preserve">Once controls are understood, the auditor chooses between two broad kinds of procedure. Tests of controls evaluate whether a relevant control actually operates effectively in practice, not just on paper. Substantive procedures directly seek evidence about whether transactions, balances, or disclosures are materially misstated, regardless of how well the related control performed. Example: checking that purchase orders carry proper approval signatures is a test of a control; independently confirming outstanding receivable balances with customers is a substantive procedure providing direct evidence about receivables. The audit mix between the two depends on the risk assessment and on how much reliance the auditor plans to place on controls: strong, well-tested controls can justify less extensive substantive testing, and weak or unreliable controls require more.</w:t>
      </w:r>
    </w:p>
    <w:bookmarkEnd w:id="44"/>
    <w:bookmarkStart w:id="45" w:name="e.-internal-audit-versus-external-audit"/>
    <w:p>
      <w:pPr>
        <w:pStyle w:val="Heading3"/>
      </w:pPr>
      <w:r>
        <w:t xml:space="preserve">E. Internal Audit versus External Audit</w:t>
      </w:r>
    </w:p>
    <w:p>
      <w:pPr>
        <w:pStyle w:val="FirstParagraph"/>
      </w:pPr>
      <w:r>
        <w:t xml:space="preserve">Internal audit is a function within the organization providing assurance and advisory services focused on governance, risk management, and controls, typically reporting to those charged with governance (such as an audit committee). External audit is independent of management altogether and is commonly focused on the financial-statement opinion required by the applicable reporting framework or law. Their objectives, reporting lines, and independence requirements differ significantly, even though their work can sometimes overlap or inform each other. Example: internal audit may review procurement controls continuously throughout the year as part of ongoing governance oversight, while external audit draws on whatever evidence is relevant to support its single annual opinion. A clean comparison across purpose, scope, independence, reporting line, timing, and legal basis is a reliable way to answer any exam question asking for the distinction.</w:t>
      </w:r>
    </w:p>
    <w:bookmarkEnd w:id="45"/>
    <w:bookmarkStart w:id="46" w:name="Xf14684326669f56ca582e8a905e135c56956e50"/>
    <w:p>
      <w:pPr>
        <w:pStyle w:val="Heading3"/>
      </w:pPr>
      <w:r>
        <w:t xml:space="preserve">F. The Audit Process, Computerized Environments, and Fraud</w:t>
      </w:r>
    </w:p>
    <w:p>
      <w:pPr>
        <w:pStyle w:val="FirstParagraph"/>
      </w:pPr>
      <w:r>
        <w:t xml:space="preserve">The audit as a whole is a process, not a single event: accept or continue the client relationship, understand the entity and its environment, assess risk and set materiality, plan the response, perform control and substantive work, complete the audit (including subsequent events and misstatement evaluation), and finally form the opinion and issue the report. Planning is iterative, not a one-time step frozen at the start: unexpected evidence, such as unexplained inventory discrepancies discovered mid-audit, can and should cause more testing than was originally planned.</w:t>
      </w:r>
    </w:p>
    <w:p>
      <w:pPr>
        <w:pStyle w:val="BodyText"/>
      </w:pPr>
      <w:r>
        <w:t xml:space="preserve">When an entity’s records and controls are computerized, the auditor needs to understand IT-specific risks: access controls (who can get into the system), change controls (how modifications to programs are authorized and tracked), data integrity, backups and system interfaces, and audit trails. Auditors may use computer-assisted audit techniques (CAATs) to analyze an entire sales file for duplicate invoice numbers or unusual entries, rather than testing only a small manual sample.</w:t>
      </w:r>
      <w:r>
        <w:t xml:space="preserve"> </w:t>
      </w:r>
      <w:r>
        <w:t xml:space="preserve">“</w:t>
      </w:r>
      <w:r>
        <w:t xml:space="preserve">Computerized</w:t>
      </w:r>
      <w:r>
        <w:t xml:space="preserve">”</w:t>
      </w:r>
      <w:r>
        <w:t xml:space="preserve"> </w:t>
      </w:r>
      <w:r>
        <w:t xml:space="preserve">should never be read as meaning</w:t>
      </w:r>
      <w:r>
        <w:t xml:space="preserve"> </w:t>
      </w:r>
      <w:r>
        <w:t xml:space="preserve">“</w:t>
      </w:r>
      <w:r>
        <w:t xml:space="preserve">error-free</w:t>
      </w:r>
      <w:r>
        <w:t xml:space="preserve">”</w:t>
      </w:r>
      <w:r>
        <w:t xml:space="preserve"> </w:t>
      </w:r>
      <w:r>
        <w:t xml:space="preserve">— automation can just as easily automate and multiply an error at scale.</w:t>
      </w:r>
    </w:p>
    <w:p>
      <w:pPr>
        <w:pStyle w:val="BodyText"/>
      </w:pPr>
      <w:r>
        <w:t xml:space="preserve">Fraud involves intentional deception; error is unintentional. Management bears the primary responsibility for fraud prevention and detection through governance and controls, while the auditor’s role is to assess fraud risk and perform procedures responsive to that risk within the audit’s own objective — an audit is not a guarantee that every fraud will be uncovered. Fraud risk tends to be highest where three factors combine: pressure or incentive to commit the fraud, an opportunity created by weak controls, and a rationalization that lets the person justify the act to themselves. Example: cash theft is easier to conceal through falsified records when one person alone controls both custody of the cash and the recording of it — exactly the segregation-of-duties failure described in Section D.</w:t>
      </w:r>
    </w:p>
    <w:bookmarkEnd w:id="46"/>
    <w:bookmarkStart w:id="47" w:name="X1b7054a99e9626abe4e005bc7dcf2a792ca31ae"/>
    <w:p>
      <w:pPr>
        <w:pStyle w:val="Heading3"/>
      </w:pPr>
      <w:r>
        <w:t xml:space="preserve">G. Going Concern, Auditor Responsibility, and the Audit Opinion</w:t>
      </w:r>
    </w:p>
    <w:p>
      <w:pPr>
        <w:pStyle w:val="FirstParagraph"/>
      </w:pPr>
      <w:r>
        <w:t xml:space="preserve">Auditors must consider whether events or conditions create material uncertainty about an entity’s ability to continue as a going concern, and whether related disclosures and reporting are appropriate under the applicable financial-reporting framework and auditing standards. Going-concern problems can affect how assets and liabilities are measured, what must be disclosed, and ultimately the audit report itself. Warning signs include severe recurring losses, inability to pay debts as they fall due, and loss of major financing — but no single sign automatically decides the conclusion; it is always a matter of overall judgment based on the combination of evidence available.</w:t>
      </w:r>
    </w:p>
    <w:p>
      <w:pPr>
        <w:pStyle w:val="BodyText"/>
      </w:pPr>
      <w:r>
        <w:t xml:space="preserve">Company law and professional auditing standards together define the auditor’s appointment, right of access to information, reporting duties, and possible civil, criminal, or professional consequences for failing to meet those duties. Because this area of law changes over time, current statutory wording (the current Companies Act rather than any superseded ordinance) must always be checked before relying on it, and statutory duties should be kept conceptually distinct from separate ethical or professional duties.</w:t>
      </w:r>
    </w:p>
    <w:p>
      <w:pPr>
        <w:pStyle w:val="BodyText"/>
      </w:pPr>
      <w:r>
        <w:t xml:space="preserve">Finally, the audit report communicates the auditor’s opinion, built around one central question: are the statements materially misstated, and was sufficient appropriate evidence obtained to reach a conclusion on that? An unmodified (</w:t>
      </w:r>
      <w:r>
        <w:t xml:space="preserve">“</w:t>
      </w:r>
      <w:r>
        <w:t xml:space="preserve">clean</w:t>
      </w:r>
      <w:r>
        <w:t xml:space="preserve">”</w:t>
      </w:r>
      <w:r>
        <w:t xml:space="preserve">) opinion is issued when the auditor concludes the statements are fairly presented in all material respects. Modified opinions exist on a spectrum depending on how material and how pervasive an identified issue is: a qualified opinion for a matter that is material but not pervasive, an adverse opinion where misstatements are both material and pervasive, and a disclaimer of opinion where the auditor simply could not obtain sufficient appropriate evidence at all. Example: a material but not pervasive misstatement typically leads to a qualified opinion, though the exact wording and form of any report must follow the current auditing standards in force, not a memorized template. The reasoning behind each opinion type is worth understanding properly; the exact phrasing used in a real report is a secondary, updatable detail.</w:t>
      </w:r>
    </w:p>
    <w:p>
      <w:r>
        <w:pict>
          <v:rect style="width:0;height:1.5pt" o:hralign="center" o:hrstd="t" o:hr="t"/>
        </w:pict>
      </w:r>
    </w:p>
    <w:p>
      <w:pPr>
        <w:pStyle w:val="FirstParagraph"/>
      </w:pPr>
      <w:r>
        <w:t xml:space="preserve">Paper II (Auditing) key takeaways: an audit gives reasonable assurance, never absolute assurance, because evidence is sampled and judged, not exhaustively verified. Every assertion tells you what specifically needs to be proven, and every procedure should be traceable back to the assertion it tests. Risk assessment drives how much and what kind of evidence is needed. Tests of controls ask whether a control works; substantive procedures ask directly whether a balance or transaction is right. Fraud requires pressure, opportunity, and rationalization together, and auditors respond to fraud risk without ever guaranteeing fraud will be found. The audit opinion’s type depends on how material and how pervasive an issue is, not on a fixed formula.</w:t>
      </w:r>
    </w:p>
    <w:bookmarkEnd w:id="47"/>
    <w:bookmarkEnd w:id="48"/>
    <w:bookmarkStart w:id="53" w:name="paper-ii---business-taxation"/>
    <w:p>
      <w:pPr>
        <w:pStyle w:val="Heading2"/>
      </w:pPr>
      <w:r>
        <w:t xml:space="preserve">Paper II - Business Taxation</w:t>
      </w:r>
    </w:p>
    <w:p>
      <w:pPr>
        <w:pStyle w:val="FirstParagraph"/>
      </w:pPr>
      <w:r>
        <w:t xml:space="preserve">Taxation is conceptually simple but legally sensitive: rates, thresholds, exemptions, and even section numbers change over time, while the underlying logic barely does. The safe method for every sub-topic here is the same four-step sequence: identify the taxpayer, identify the tax year, identify the correct legal head of income or type of taxable transaction, and only then apply the relevant statutory rule to calculate a figure. The two federal statutes this syllabus centers on are the Income Tax Ordinance, 2001 and the Sales Tax Act, 1990; because FBR periodically republishes consolidated, amended versions of both, any numerical answer close to an exam should be checked against the current official text rather than an older summary, including this one.</w:t>
      </w:r>
    </w:p>
    <w:bookmarkStart w:id="49" w:name="X967aa04d4f28d5289d1010883fc2cd878096897"/>
    <w:p>
      <w:pPr>
        <w:pStyle w:val="Heading3"/>
      </w:pPr>
      <w:r>
        <w:t xml:space="preserve">A. Tax Structure, Terminology and Heads of Income</w:t>
      </w:r>
    </w:p>
    <w:p>
      <w:pPr>
        <w:pStyle w:val="FirstParagraph"/>
      </w:pPr>
      <w:r>
        <w:t xml:space="preserve">Definitions are not a formality in tax law; they are the switch that decides which rule applies. Terms worth mastering precisely, from the current statutory text, include person, taxpayer, tax year, resident versus non-resident, income, and taxable income. Once a taxpayer and tax year are established, income must be classified into one of the legally recognized heads before it can be computed: salary, income from property, income from business, capital gains, and income from other sources. This classification is not a bookkeeping nicety — the ordinance applies genuinely different rules, deductions, and rates to each head, so the same rupee amount can be taxed quite differently depending on which head it falls under. Example: rent from a property and salary from employment are never simply added into one undifferentiated figure; each head has its own computation pattern, inclusions, and permitted deductions or exclusions under current law. The reliable way to prepare each head is to learn, for each one: what is included, the major deductions or exclusions named by current law, the calculation pattern, and one worked problem.</w:t>
      </w:r>
    </w:p>
    <w:bookmarkEnd w:id="49"/>
    <w:bookmarkStart w:id="50" w:name="Xd46aca74e15059f19d3f3fc44237f152cf14ffd"/>
    <w:p>
      <w:pPr>
        <w:pStyle w:val="Heading3"/>
      </w:pPr>
      <w:r>
        <w:t xml:space="preserve">B. Salary Income and Income from Business</w:t>
      </w:r>
    </w:p>
    <w:p>
      <w:pPr>
        <w:pStyle w:val="FirstParagraph"/>
      </w:pPr>
      <w:r>
        <w:t xml:space="preserve">Salary taxation covers amounts and benefits arising from employment. Cash salary is only one component; allowances and benefits-in-kind (perquisites) can also be taxable depending on the specific inclusion and valuation rules in force for that tax year — which is exactly why an old rate table should never be reused for a new year; keep the conceptual computation method separate from the annually-updated rates.</w:t>
      </w:r>
    </w:p>
    <w:p>
      <w:pPr>
        <w:pStyle w:val="BodyText"/>
      </w:pPr>
      <w:r>
        <w:t xml:space="preserve">Business income starts from ordinary commercial activity, but taxable income is a statutory computation, not simply the accounting profit shown in the financial statements. Some accounting expenses fail to meet a statutory deduction condition and must be added back, while tax depreciation or allowances can differ from the accounting depreciation covered in Paper I. The reliable computation bridge is: start with accounting profit, add back disallowed items, deduct allowable tax adjustments not already reflected in the accounts, and arrive at taxable business income under current law.</w:t>
      </w:r>
    </w:p>
    <w:bookmarkEnd w:id="50"/>
    <w:bookmarkStart w:id="51" w:name="X4e693ffbd2a0e026ac73580de5747c32411925c"/>
    <w:p>
      <w:pPr>
        <w:pStyle w:val="Heading3"/>
      </w:pPr>
      <w:r>
        <w:t xml:space="preserve">C. Capital Gains, Other Sources, and Tax Credits</w:t>
      </w:r>
    </w:p>
    <w:p>
      <w:pPr>
        <w:pStyle w:val="FirstParagraph"/>
      </w:pPr>
      <w:r>
        <w:t xml:space="preserve">Capital gains concern gains arising from disposals or events specifically covered by the ordinance;</w:t>
      </w:r>
      <w:r>
        <w:t xml:space="preserve"> </w:t>
      </w:r>
      <w:r>
        <w:t xml:space="preserve">“</w:t>
      </w:r>
      <w:r>
        <w:t xml:space="preserve">income from other sources</w:t>
      </w:r>
      <w:r>
        <w:t xml:space="preserve">”</w:t>
      </w:r>
      <w:r>
        <w:t xml:space="preserve"> </w:t>
      </w:r>
      <w:r>
        <w:t xml:space="preserve">is a residual head for income that falls within its own statutory scope rather than fitting neatly into one of the other heads. Classification here genuinely changes outcomes, because rates, deductions, and exemptions differ by head — an everyday description of a gain (</w:t>
      </w:r>
      <w:r>
        <w:t xml:space="preserve">“</w:t>
      </w:r>
      <w:r>
        <w:t xml:space="preserve">I sold my shop</w:t>
      </w:r>
      <w:r>
        <w:t xml:space="preserve">”</w:t>
      </w:r>
      <w:r>
        <w:t xml:space="preserve">) is not enough; the current statutory provisions actually applicable to that transaction have to be checked.</w:t>
      </w:r>
    </w:p>
    <w:p>
      <w:pPr>
        <w:pStyle w:val="BodyText"/>
      </w:pPr>
      <w:r>
        <w:t xml:space="preserve">Tax credits reduce the final tax liability once statutory conditions are met, and it is important not to confuse a credit against tax with a deduction from income — a deduction reduces the income being taxed, while a credit reduces the tax bill directly, and each is applied at its own distinct stage of the computation. Individuals, associations of persons (AOPs), and companies can be treated differently, so the computation sequence has to be learned separately for each type of person from a current tax text, with full practice questions rather than isolated definitions.</w:t>
      </w:r>
    </w:p>
    <w:bookmarkEnd w:id="51"/>
    <w:bookmarkStart w:id="52" w:name="d.-withholding-tax-and-sales-tax"/>
    <w:p>
      <w:pPr>
        <w:pStyle w:val="Heading3"/>
      </w:pPr>
      <w:r>
        <w:t xml:space="preserve">D. Withholding Tax and Sales Tax</w:t>
      </w:r>
    </w:p>
    <w:p>
      <w:pPr>
        <w:pStyle w:val="FirstParagraph"/>
      </w:pPr>
      <w:r>
        <w:t xml:space="preserve">The tax system relies heavily on advance and withholding mechanisms, under which specified persons deduct or collect tax at the point of certain payments and then deposit and report it as the law requires. Withholding tax can be adjustable (a prepayment credited against final liability), a minimum tax, or a final tax, entirely depending on the specific provision that applies to that payment — there is no single universal treatment, so this always has to be checked against the current section and rules rather than assumed. Example: employer withholding from an employee’s salary is the most familiar case, but payments made by businesses to suppliers, contractors, and others carry their own separate withholding provisions.</w:t>
      </w:r>
    </w:p>
    <w:p>
      <w:pPr>
        <w:pStyle w:val="BodyText"/>
      </w:pPr>
      <w:r>
        <w:t xml:space="preserve">Sales tax is an indirect tax, meaning it is ultimately borne by the end consumer while being collected and remitted along the supply chain, governed federally by the Sales Tax Act, 1990 for the areas within its scope. The core mechanics: a registered person charges output tax on taxable supplies made, and can generally set this against input tax paid on eligible purchases, with the difference being the net liability. Example: output tax of 200 compared against admissible input tax of 150 (same units) gives a simplified net liability of 50, before considering any further exclusions, exemptions, or documentation conditions that current law may impose. As with income tax, the reliable approach is to master the definitions and computation logic conceptually, then apply the current Act and rules for the specific period in question.</w:t>
      </w:r>
    </w:p>
    <w:p>
      <w:r>
        <w:pict>
          <v:rect style="width:0;height:1.5pt" o:hralign="center" o:hrstd="t" o:hr="t"/>
        </w:pict>
      </w:r>
    </w:p>
    <w:p>
      <w:pPr>
        <w:pStyle w:val="FirstParagraph"/>
      </w:pPr>
      <w:r>
        <w:t xml:space="preserve">Paper II (Business Taxation) key takeaways: always identify the taxpayer, the tax year, and the correct head of income or transaction type before calculating anything. Classification into the correct head changes the applicable rate, deduction, and exemption rules, so it is never a formality. Business income is a bridge from accounting profit to taxable income, not the accounting profit itself. A tax credit and an income deduction reduce different things at different stages of the computation. Withholding tax can be adjustable, minimum, or final depending on the specific provision, never by default assumption. Sales tax liability is, at its simplest, output tax minus admissible input tax. Because rates, thresholds, and even section numbers change, every numerical answer needs verification against the current official consolidated law close to the exam, not a fixed memorized table.</w:t>
      </w:r>
    </w:p>
    <w:bookmarkEnd w:id="52"/>
    <w:bookmarkEnd w:id="53"/>
    <w:bookmarkStart w:id="59" w:name="paper-ii---business-studies-finance"/>
    <w:p>
      <w:pPr>
        <w:pStyle w:val="Heading2"/>
      </w:pPr>
      <w:r>
        <w:t xml:space="preserve">Paper II - Business Studies &amp; Finance</w:t>
      </w:r>
    </w:p>
    <w:p>
      <w:pPr>
        <w:pStyle w:val="FirstParagraph"/>
      </w:pPr>
      <w:r>
        <w:t xml:space="preserve">This paper joins business organization with financial decision-making. The organizational half asks how firms are formed, combined, and operated within a wider environment. The finance half rests on one central idea that runs through every numerical topic here: future cash flows must be brought to a common point in time, adjusted for risk and required return, before they can be validly compared.</w:t>
      </w:r>
    </w:p>
    <w:bookmarkStart w:id="54" w:name="X3d012755053f8fbcd8bf841b2c9c4dc2d031f77"/>
    <w:p>
      <w:pPr>
        <w:pStyle w:val="Heading3"/>
      </w:pPr>
      <w:r>
        <w:t xml:space="preserve">A. Business, Its Environment, and Its Forms</w:t>
      </w:r>
    </w:p>
    <w:p>
      <w:pPr>
        <w:pStyle w:val="FirstParagraph"/>
      </w:pPr>
      <w:r>
        <w:t xml:space="preserve">Business organizes resources to provide goods or services and pursue objectives, but always within a wider economic, legal, technological, and social environment — an internally sound decision can still be undone by external conditions the firm does not control. Example: higher financing costs (an external, economy-wide condition) can discourage an otherwise sensible investment even where genuine customer demand exists. The business cycle — expansion, peak, contraction, trough — is the simplest framework for understanding how that external environment shifts over time, and a strong answer connects firm-level decisions to where the economy sits in this cycle.</w:t>
      </w:r>
    </w:p>
    <w:p>
      <w:pPr>
        <w:pStyle w:val="BodyText"/>
      </w:pPr>
      <w:r>
        <w:t xml:space="preserve">The common organizational forms are sole proprietorship, partnership, and company (already covered in accounting terms in Paper I), and firms sometimes combine for scale, market access, additional resources, or restructuring — though every combination carries its own financial, legal, and competition-law implications. Choosing among forms, or deciding whether to combine with another firm, comes down to weighing control, liability exposure, access to capital, continuity, regulatory compliance, and taxation against each other — a sole proprietor keeps direct control but has limited access to outside equity capital compared with a company, for instance.</w:t>
      </w:r>
    </w:p>
    <w:p>
      <w:pPr>
        <w:pStyle w:val="BodyText"/>
      </w:pPr>
      <w:r>
        <w:t xml:space="preserve">Information technology now runs through nearly every part of this environment: it supports communication, accounting, inventory management, payments, customer service, and analytics, but each of these benefits comes paired with a corresponding risk in cybersecurity, privacy, or business continuity. Example: an ERP system can usefully integrate sales and inventory data across a firm, but weak access controls on that same system can just as easily expose it to misuse. The right way to discuss IT in an exam answer is never</w:t>
      </w:r>
      <w:r>
        <w:t xml:space="preserve"> </w:t>
      </w:r>
      <w:r>
        <w:t xml:space="preserve">“</w:t>
      </w:r>
      <w:r>
        <w:t xml:space="preserve">technology is good</w:t>
      </w:r>
      <w:r>
        <w:t xml:space="preserve">”</w:t>
      </w:r>
      <w:r>
        <w:t xml:space="preserve"> </w:t>
      </w:r>
      <w:r>
        <w:t xml:space="preserve">on its own, but value, paired with its risk, paired with the controls that manage that risk.</w:t>
      </w:r>
    </w:p>
    <w:bookmarkEnd w:id="54"/>
    <w:bookmarkStart w:id="55" w:name="X0f5cf6041edb344a64f27da15e6218e0f69ea15"/>
    <w:p>
      <w:pPr>
        <w:pStyle w:val="Heading3"/>
      </w:pPr>
      <w:r>
        <w:t xml:space="preserve">B. Financial Management and Financial Markets</w:t>
      </w:r>
    </w:p>
    <w:p>
      <w:pPr>
        <w:pStyle w:val="FirstParagraph"/>
      </w:pPr>
      <w:r>
        <w:t xml:space="preserve">Financial management is the function that decides how to raise funds, how to invest them, and how to manage cash and risk so the organization can meet its objectives and build sustainable value. It is traditionally organized around three decision types: investment decisions (should we buy this machine?), financing decisions (should we fund it with debt or equity?), and working-capital or liquidity decisions (do we have enough short-term cash to operate day to day?). Every one of these decisions ultimately trades off risk, return, liquidity, and value against each other.</w:t>
      </w:r>
    </w:p>
    <w:p>
      <w:pPr>
        <w:pStyle w:val="BodyText"/>
      </w:pPr>
      <w:r>
        <w:t xml:space="preserve">Financial markets exist to connect savers, who have surplus funds, with users of funds, who need capital, and intermediaries such as banks help channel that connection while also transforming maturities and managing information and risk, subject to regulation. Two useful classifications: money markets deal in short-term instruments while capital markets deal in longer-term debt and equity; primary markets are where new securities are first issued, while secondary markets are where existing securities are subsequently traded among investors. Example: a company issuing new shares raises funds in a primary-market transaction; the later buying and selling of those same shares between investors is secondary-market activity that does not raise any new funds for the company itself.</w:t>
      </w:r>
    </w:p>
    <w:bookmarkEnd w:id="55"/>
    <w:bookmarkStart w:id="56" w:name="Xf4e7b48a912fdc1c5b02c11942b456047a1c87e"/>
    <w:p>
      <w:pPr>
        <w:pStyle w:val="Heading3"/>
      </w:pPr>
      <w:r>
        <w:t xml:space="preserve">C. Time Value of Money, Valuation, and Cost of Capital</w:t>
      </w:r>
    </w:p>
    <w:p>
      <w:pPr>
        <w:pStyle w:val="FirstParagraph"/>
      </w:pPr>
      <w:r>
        <w:t xml:space="preserve">A rupee today and a rupee received later are not economically identical, because money in hand can earn a return, and money owed in the future carries uncertainty and inflation exposure. This is the time value of money (TVM), and it is the mechanical foundation for every remaining topic in this section.</w:t>
      </w:r>
    </w:p>
    <w:p>
      <w:pPr>
        <w:numPr>
          <w:ilvl w:val="0"/>
          <w:numId w:val="1019"/>
        </w:numPr>
        <w:pStyle w:val="Compact"/>
      </w:pPr>
      <w:r>
        <w:t xml:space="preserve">Future value: FV = PV(1+r)^n. Example: Rs 100 invested at 10% for one year grows to a future value of Rs 110.</w:t>
      </w:r>
    </w:p>
    <w:p>
      <w:pPr>
        <w:numPr>
          <w:ilvl w:val="0"/>
          <w:numId w:val="1019"/>
        </w:numPr>
        <w:pStyle w:val="Compact"/>
      </w:pPr>
      <w:r>
        <w:t xml:space="preserve">Present value: PV = FV / (1+r)^n for a single sum. Example: Rs 110 due in one year, discounted at 10%, has a present value of Rs 100 today — the same relationship as above, read in reverse.</w:t>
      </w:r>
    </w:p>
    <w:p>
      <w:pPr>
        <w:numPr>
          <w:ilvl w:val="0"/>
          <w:numId w:val="1019"/>
        </w:numPr>
        <w:pStyle w:val="Compact"/>
      </w:pPr>
      <w:r>
        <w:t xml:space="preserve">Annuities extend this exact discounting logic to a repeated series of equal cash flows rather than a single sum, and uneven cash flow streams are handled by discounting each individual cash flow separately and summing the results.</w:t>
      </w:r>
    </w:p>
    <w:p>
      <w:pPr>
        <w:pStyle w:val="FirstParagraph"/>
      </w:pPr>
      <w:r>
        <w:t xml:space="preserve">Bond and share valuation both apply this same logic to a financial asset: its value is the present value of the cash flows it is expected to pay in the future, discounted at a rate reflecting the investor’s required return given the asset’s risk. For a bond, those cash flows are normally the periodic coupon payments plus the maturity (face) value repaid at the end. For shares, valuation models typically use expected future dividends or cash flows together with a growth assumption. One useful pattern to remember: a longer-maturity, fixed-coupon bond is generally more sensitive to a given change in market yield than a similar shorter-maturity bond, because more of its cash flows sit further out in time and are therefore discounted over more periods. A model’s output is an estimate of value under stated assumptions, never a guaranteed market price.</w:t>
      </w:r>
    </w:p>
    <w:p>
      <w:pPr>
        <w:pStyle w:val="BodyText"/>
      </w:pPr>
      <w:r>
        <w:t xml:space="preserve">Cost of capital is the required return demanded by the providers of a firm’s finance, and it functions as the benchmark hurdle rate against which investment decisions are judged. Debt and equity each carry their own distinct cost, and the weighted average cost of capital (WACC) combines these component costs according to their relative weights in the firm’s financing structure, subject to whatever assumptions the specific model uses (for example, how debt’s tax-deductibility is treated). Example: if an investment is expected to earn a return below the firm’s relevant required return, it may destroy value under this model, precisely because it fails to clear its own hurdle rate.</w:t>
      </w:r>
    </w:p>
    <w:bookmarkEnd w:id="56"/>
    <w:bookmarkStart w:id="57" w:name="d.-capital-budgeting"/>
    <w:p>
      <w:pPr>
        <w:pStyle w:val="Heading3"/>
      </w:pPr>
      <w:r>
        <w:t xml:space="preserve">D. Capital Budgeting</w:t>
      </w:r>
    </w:p>
    <w:p>
      <w:pPr>
        <w:pStyle w:val="FirstParagraph"/>
      </w:pPr>
      <w:r>
        <w:t xml:space="preserve">Capital budgeting evaluates long-term investment projects, and its most important tool is net present value (NPV): discount every expected project cash flow back to today at the firm’s required rate, sum these present values, and subtract the initial investment outflow. Example: an initial outflow of 1,000 against a present value of future inflows of 1,150 gives an NPV of +150. A positive NPV indicates the project is expected to create value under the model and its stated assumptions; a negative NPV indicates the opposite. Other common tools include the payback period (how long until the initial outflow is recovered, ignoring the time value of money in its simplest form) and the internal rate of return, IRR (the discount rate at which a project’s NPV would be exactly zero). NPV is generally the most theoretically sound of these, since it directly measures value created in currency terms and properly accounts for the time value of money; payback and IRR each have well-known limitations worth understanding (payback ignores cash flows after the payback point; IRR can behave oddly with unconventional cash-flow patterns) rather than being treated as simple substitutes for NPV. After-tax cash flows should only be used when a question or the relevant tax law actually specifies the inputs needed to compute them.</w:t>
      </w:r>
    </w:p>
    <w:bookmarkEnd w:id="57"/>
    <w:bookmarkStart w:id="58" w:name="Xcffadc69bfa966719f5de8998af2a832c854922"/>
    <w:p>
      <w:pPr>
        <w:pStyle w:val="Heading3"/>
      </w:pPr>
      <w:r>
        <w:t xml:space="preserve">Accountancy &amp; Auditing — Essential Formula Reference</w:t>
      </w:r>
    </w:p>
    <w:p>
      <w:pPr>
        <w:numPr>
          <w:ilvl w:val="0"/>
          <w:numId w:val="1020"/>
        </w:numPr>
        <w:pStyle w:val="Compact"/>
      </w:pPr>
      <w:r>
        <w:t xml:space="preserve">Accounting equation: Assets = Liabilities + Equity</w:t>
      </w:r>
    </w:p>
    <w:p>
      <w:pPr>
        <w:numPr>
          <w:ilvl w:val="0"/>
          <w:numId w:val="1020"/>
        </w:numPr>
        <w:pStyle w:val="Compact"/>
      </w:pPr>
      <w:r>
        <w:t xml:space="preserve">Straight-line depreciation: (Cost minus Residual value) divided by Useful life</w:t>
      </w:r>
    </w:p>
    <w:p>
      <w:pPr>
        <w:numPr>
          <w:ilvl w:val="0"/>
          <w:numId w:val="1020"/>
        </w:numPr>
        <w:pStyle w:val="Compact"/>
      </w:pPr>
      <w:r>
        <w:t xml:space="preserve">Current ratio: Current assets divided by Current liabilities</w:t>
      </w:r>
    </w:p>
    <w:p>
      <w:pPr>
        <w:numPr>
          <w:ilvl w:val="0"/>
          <w:numId w:val="1020"/>
        </w:numPr>
        <w:pStyle w:val="Compact"/>
      </w:pPr>
      <w:r>
        <w:t xml:space="preserve">Gross margin: Gross profit divided by Sales, times 100</w:t>
      </w:r>
    </w:p>
    <w:p>
      <w:pPr>
        <w:numPr>
          <w:ilvl w:val="0"/>
          <w:numId w:val="1020"/>
        </w:numPr>
        <w:pStyle w:val="Compact"/>
      </w:pPr>
      <w:r>
        <w:t xml:space="preserve">Net margin: Net profit divided by Sales, times 100</w:t>
      </w:r>
    </w:p>
    <w:p>
      <w:pPr>
        <w:numPr>
          <w:ilvl w:val="0"/>
          <w:numId w:val="1020"/>
        </w:numPr>
        <w:pStyle w:val="Compact"/>
      </w:pPr>
      <w:r>
        <w:t xml:space="preserve">Inventory turnover: Cost of goods sold divided by Average inventory</w:t>
      </w:r>
    </w:p>
    <w:p>
      <w:pPr>
        <w:numPr>
          <w:ilvl w:val="0"/>
          <w:numId w:val="1020"/>
        </w:numPr>
        <w:pStyle w:val="Compact"/>
      </w:pPr>
      <w:r>
        <w:t xml:space="preserve">Contribution per unit: Selling price per unit minus Variable cost per unit</w:t>
      </w:r>
    </w:p>
    <w:p>
      <w:pPr>
        <w:numPr>
          <w:ilvl w:val="0"/>
          <w:numId w:val="1020"/>
        </w:numPr>
        <w:pStyle w:val="Compact"/>
      </w:pPr>
      <w:r>
        <w:t xml:space="preserve">Break-even units: Fixed cost divided by Contribution per unit</w:t>
      </w:r>
    </w:p>
    <w:p>
      <w:pPr>
        <w:numPr>
          <w:ilvl w:val="0"/>
          <w:numId w:val="1020"/>
        </w:numPr>
        <w:pStyle w:val="Compact"/>
      </w:pPr>
      <w:r>
        <w:t xml:space="preserve">Contribution margin ratio: Contribution divided by Sales</w:t>
      </w:r>
    </w:p>
    <w:p>
      <w:pPr>
        <w:numPr>
          <w:ilvl w:val="0"/>
          <w:numId w:val="1020"/>
        </w:numPr>
        <w:pStyle w:val="Compact"/>
      </w:pPr>
      <w:r>
        <w:t xml:space="preserve">Target-profit units: (Fixed cost plus target profit) divided by Contribution per unit</w:t>
      </w:r>
    </w:p>
    <w:p>
      <w:pPr>
        <w:numPr>
          <w:ilvl w:val="0"/>
          <w:numId w:val="1020"/>
        </w:numPr>
        <w:pStyle w:val="Compact"/>
      </w:pPr>
      <w:r>
        <w:t xml:space="preserve">Production budget units: Sales plus desired ending finished goods minus opening finished goods</w:t>
      </w:r>
    </w:p>
    <w:p>
      <w:pPr>
        <w:numPr>
          <w:ilvl w:val="0"/>
          <w:numId w:val="1020"/>
        </w:numPr>
        <w:pStyle w:val="Compact"/>
      </w:pPr>
      <w:r>
        <w:t xml:space="preserve">Predetermined FOH rate: Budgeted factory overhead divided by budgeted activity base</w:t>
      </w:r>
    </w:p>
    <w:p>
      <w:pPr>
        <w:numPr>
          <w:ilvl w:val="0"/>
          <w:numId w:val="1020"/>
        </w:numPr>
        <w:pStyle w:val="Compact"/>
      </w:pPr>
      <w:r>
        <w:t xml:space="preserve">Future value: PV(1+r)^n</w:t>
      </w:r>
    </w:p>
    <w:p>
      <w:pPr>
        <w:numPr>
          <w:ilvl w:val="0"/>
          <w:numId w:val="1020"/>
        </w:numPr>
        <w:pStyle w:val="Compact"/>
      </w:pPr>
      <w:r>
        <w:t xml:space="preserve">Present value: FV/(1+r)^n</w:t>
      </w:r>
    </w:p>
    <w:p>
      <w:pPr>
        <w:numPr>
          <w:ilvl w:val="0"/>
          <w:numId w:val="1020"/>
        </w:numPr>
        <w:pStyle w:val="Compact"/>
      </w:pPr>
      <w:r>
        <w:t xml:space="preserve">NPV: present value of future net cash flows minus initial investment</w:t>
      </w:r>
    </w:p>
    <w:p>
      <w:pPr>
        <w:pStyle w:val="FirstParagraph"/>
      </w:pPr>
      <w:r>
        <w:t xml:space="preserve">Ratio names sometimes carry alternative textbook definitions, especially for debt and market ratios — always state which definition is being used and follow whatever data or definition a specific question supplies, rather than assuming one universal formula.</w:t>
      </w:r>
    </w:p>
    <w:p>
      <w:r>
        <w:pict>
          <v:rect style="width:0;height:1.5pt" o:hralign="center" o:hrstd="t" o:hr="t"/>
        </w:pict>
      </w:r>
    </w:p>
    <w:p>
      <w:pPr>
        <w:pStyle w:val="FirstParagraph"/>
      </w:pPr>
      <w:r>
        <w:t xml:space="preserve">Paper II (Business Studies &amp; Finance) key takeaways: an internally sound business decision can still be undermined by external economic or legal conditions, so firm behaviour and the wider environment must be discussed together. IT creates value only alongside genuine risk and the controls that manage it. Financial management balances investment, financing, and liquidity decisions against each other. Every valuation, cost-of-capital, and capital-budgeting technique in this paper is one application of the same underlying idea: the timing and risk of a cash flow determine its present value, and only present values, not raw future amounts, can be validly compared or added together. NPV is the most theoretically robust capital-budgeting tool because it directly measures value created while properly accounting for the time value of money.</w:t>
      </w:r>
    </w:p>
    <w:p>
      <w:r>
        <w:pict>
          <v:rect style="width:0;height:1.5pt" o:hralign="center" o:hrstd="t" o:hr="t"/>
        </w:pict>
      </w:r>
    </w:p>
    <w:p>
      <w:pPr>
        <w:pStyle w:val="FirstParagraph"/>
      </w:pPr>
      <w:r>
        <w:t xml:space="preserve">With Paper I (Financial Accounting), Paper I (Cost &amp; Managerial Accounting), Paper II (Auditing), Paper II (Business Taxation), and Paper II (Business Studies &amp; Finance) now complete, Part I — Accountancy &amp; Auditing is fully expanded. Economics is next.</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2026-09-20T16:49:16Z</dcterms:created>
  <dcterms:modified xsi:type="dcterms:W3CDTF">2026-09-20T16:49:16Z</dcterms:modified>
</cp:coreProperties>
</file>

<file path=docProps/custom.xml><?xml version="1.0" encoding="utf-8"?>
<Properties xmlns="http://schemas.openxmlformats.org/officeDocument/2006/custom-properties" xmlns:vt="http://schemas.openxmlformats.org/officeDocument/2006/docPropsVTypes"/>
</file>