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part-ii-economics-200-marks"/>
    <w:p>
      <w:pPr>
        <w:pStyle w:val="Heading1"/>
      </w:pPr>
      <w:r>
        <w:t xml:space="preserve">Part II — Economics (200 Marks)</w:t>
      </w:r>
    </w:p>
    <w:p>
      <w:pPr>
        <w:pStyle w:val="FirstParagraph"/>
      </w:pPr>
      <w:r>
        <w:t xml:space="preserve">Economics studies how scarce resources are allocated. Paper I builds the theoretical toolkit: how individuals and firms decide (microeconomics), how the economy as a whole behaves (macroeconomics), how money and banking work, how government taxing and spending affects the economy (fiscal policy), and how countries trade and develop. Paper II applies that same toolkit specifically to Pakistan. The single most useful habit across both papers is separating a movement along a curve (caused by a change in the variable on that curve’s own axis) from a shift of the whole curve (caused by a change in something else) - most exam confusion traces back to blurring this distinction.</w:t>
      </w:r>
    </w:p>
    <w:bookmarkStart w:id="25" w:name="microeconomics"/>
    <w:p>
      <w:pPr>
        <w:pStyle w:val="Heading2"/>
      </w:pPr>
      <w:r>
        <w:t xml:space="preserve">Microeconomics</w:t>
      </w:r>
    </w:p>
    <w:p>
      <w:pPr>
        <w:pStyle w:val="FirstParagraph"/>
      </w:pPr>
      <w:r>
        <w:t xml:space="preserve">Every microeconomics topic answers the same underlying question: who is the decision-maker, what constrains them, what changes, and what new choice or market outcome follows? Wherever a diagram is involved, the discipline that separates a strong answer from a weak one is distinguishing a movement along a curve (caused only by a change in that curve’s own price variable) from a shift of the whole curve (caused by anything else), always under a stated ceteris-paribus assumption (everything else held constant).</w:t>
      </w:r>
    </w:p>
    <w:bookmarkStart w:id="20" w:name="a.-consumer-behaviour"/>
    <w:p>
      <w:pPr>
        <w:pStyle w:val="Heading3"/>
      </w:pPr>
      <w:r>
        <w:t xml:space="preserve">A. Consumer Behaviour</w:t>
      </w:r>
    </w:p>
    <w:p>
      <w:pPr>
        <w:pStyle w:val="FirstParagraph"/>
      </w:pPr>
      <w:r>
        <w:t xml:space="preserve">Consumer theory asks how a person with limited income chooses among goods and services to obtain the greatest possible satisfaction. Two complementary tools are used: utility analysis and indifference-curve analysis. In utility analysis, marginal utility is the extra satisfaction from one more unit of a good, and the law of diminishing marginal utility says this extra satisfaction typically falls as consumption of the good increases. In indifference-curve analysis, a consumer’s preferences are represented by indifference curves (combinations of goods giving equal satisfaction), while a budget line represents what the consumer can actually afford given income and prices. Consumer equilibrium occurs where the consumer reaches the highest attainable indifference curve given the budget line — geometrically, where the budget line is tangent to an indifference curve, meaning the marginal rate of substitution (how much of one good the consumer is willing to trade for another) equals the price ratio between the two goods. Example: with income of Rs 1,000, a consumer cannot buy unlimited quantities of every good; if the price of one good rises, the set of affordable combinations shrinks on that side, which can shift the final chosen combination even if income and other prices stay the same.</w:t>
      </w:r>
    </w:p>
    <w:bookmarkEnd w:id="20"/>
    <w:bookmarkStart w:id="21" w:name="X49b5a47b0a074c59afed852123198da05df5969"/>
    <w:p>
      <w:pPr>
        <w:pStyle w:val="Heading3"/>
      </w:pPr>
      <w:r>
        <w:t xml:space="preserve">B. Market Demand and Supply, and Elasticity</w:t>
      </w:r>
    </w:p>
    <w:p>
      <w:pPr>
        <w:pStyle w:val="FirstParagraph"/>
      </w:pPr>
      <w:r>
        <w:t xml:space="preserve">Demand shows how much buyers are willing and able to buy at different prices; supply shows how much sellers are willing and able to sell at different prices. Market equilibrium is the price and quantity at which quantity demanded equals quantity supplied. A movement along a demand or supply curve is caused only by a change in the good’s own price; a shift of the entire curve is caused by any other determinant, such as income, tastes, the price of related goods, input costs, technology, or expectations. Example: if new technology lowers production cost, the supply curve shifts right, producing a lower equilibrium price and a higher equilibrium quantity, other things unchanged. Confusing these two — treating a shift as if it were a movement, or vice versa — is the single most common error in this whole paper.</w:t>
      </w:r>
    </w:p>
    <w:p>
      <w:pPr>
        <w:pStyle w:val="BodyText"/>
      </w:pPr>
      <w:r>
        <w:t xml:space="preserve">Elasticity measures how strongly quantity responds to a change in price, income, or another determinant. Price elasticity of demand compares the percentage change in quantity demanded with the percentage change in price; demand is called elastic when this ratio exceeds one, inelastic when it is below one, and unit-elastic when it equals one. Example: if price rises 10% and quantity demanded falls 20%, the absolute price elasticity is 2, so demand is elastic over that price range. Income elasticity and cross-price elasticity extend the same percentage-responsiveness logic to classify goods (normal versus inferior, substitutes versus complements) rather than just describing the price-quantity relationship. Elasticity also determines how a price change affects total revenue: when demand is elastic, a price cut increases total revenue (the percentage rise in quantity outweighs the percentage fall in price); when demand is inelastic, a price cut decreases total revenue. Supply elasticity depends strongly on time: supply tends to be more elastic (responsive) the longer the time period allowed for producers to adjust their production.</w:t>
      </w:r>
    </w:p>
    <w:bookmarkEnd w:id="21"/>
    <w:bookmarkStart w:id="22" w:name="Xc0413a025403195a3ccfbd941d9584c67645354"/>
    <w:p>
      <w:pPr>
        <w:pStyle w:val="Heading3"/>
      </w:pPr>
      <w:r>
        <w:t xml:space="preserve">C. Static, Comparative Static, and General Equilibrium Analysis</w:t>
      </w:r>
    </w:p>
    <w:p>
      <w:pPr>
        <w:pStyle w:val="FirstParagraph"/>
      </w:pPr>
      <w:r>
        <w:t xml:space="preserve">Static analysis studies an equilibrium at a single point in time or under one given set of conditions. Comparative statics compares one equilibrium against another after some condition has changed, typically telling us the direction and, often, the size of the resulting change — without necessarily modeling the exact time-path the market follows while adjusting from the old equilibrium to the new one. Example: comparing the market equilibrium before and after a rise in consumer income shows the new price and quantity directly, without describing every intermediate step of the adjustment process.</w:t>
      </w:r>
    </w:p>
    <w:p>
      <w:pPr>
        <w:pStyle w:val="BodyText"/>
      </w:pPr>
      <w:r>
        <w:t xml:space="preserve">Partial equilibrium studies one market largely in isolation, which is simpler and perfectly adequate when spillover effects into other markets are small. General equilibrium instead studies many interconnected markets together, recognizing that a change in one market can ripple into others’ income, costs, demand, and prices. Example: a tax on fuel affects the fuel market directly (a partial-equilibrium view), but it can also raise transport costs across the economy and thereby influence many other markets at once (a general-equilibrium view) — the same event, analyzed at two different levels of scope.</w:t>
      </w:r>
    </w:p>
    <w:bookmarkEnd w:id="22"/>
    <w:bookmarkStart w:id="23" w:name="X8f88ba74358fa98a9cad6381a1cf1a33aaa38d7"/>
    <w:p>
      <w:pPr>
        <w:pStyle w:val="Heading3"/>
      </w:pPr>
      <w:r>
        <w:t xml:space="preserve">D. Theory of the Firm and Producer’s Equilibrium</w:t>
      </w:r>
    </w:p>
    <w:p>
      <w:pPr>
        <w:pStyle w:val="FirstParagraph"/>
      </w:pPr>
      <w:r>
        <w:t xml:space="preserve">The theory of the firm explains how a producer chooses output, inputs, and production methods while facing given costs, technology, and market conditions. Core tools: the production function relates inputs to output; total, average, and marginal product describe output as one input (commonly labour) is varied while others (commonly capital) are held fixed in the short run; total, average, and marginal cost mirror this on the cost side; and revenue curves depend on the market structure the firm sells into. Example: a bakery may add more workers while its oven size stays fixed — output typically rises quickly at first, but as the fixed oven becomes crowded, each additional worker adds a progressively smaller increment to output. This pattern is the law of diminishing marginal returns, and it is the microeconomic foundation for the shape of short-run cost curves.</w:t>
      </w:r>
    </w:p>
    <w:p>
      <w:pPr>
        <w:pStyle w:val="BodyText"/>
      </w:pPr>
      <w:r>
        <w:t xml:space="preserve">Market structure changes how much pricing power a firm has: perfect competition (many firms, identical product, no individual pricing power), monopoly (a single seller with significant pricing power), monopolistic competition (many firms, differentiated products, some pricing power), and oligopoly (few firms, strategic interdependence between rivals) each imply a different relationship between price, output, and profit.</w:t>
      </w:r>
    </w:p>
    <w:p>
      <w:pPr>
        <w:pStyle w:val="BodyText"/>
      </w:pPr>
      <w:r>
        <w:t xml:space="preserve">Producer’s equilibrium is the output or input combination at which the firm has no incentive to change its decision, given its objective and constraints. For a profit-maximizing firm choosing output, the standard condition is that marginal revenue equals marginal cost: a competitive firm compares the extra revenue from producing one more unit against the extra cost of producing it, and increases output whenever extra revenue exceeds extra cost, stopping exactly where the two are equal. For choosing the least-cost combination of inputs to produce a given output, isoquant (equal-output) and isocost (equal-cost) analysis plays the same equilibrium role that indifference curves and budget lines played for the consumer in Section A — the logic of tangency-based equilibrium repeats across the whole subject.</w:t>
      </w:r>
    </w:p>
    <w:bookmarkEnd w:id="23"/>
    <w:bookmarkStart w:id="24" w:name="e.-pricing-of-factors-of-production"/>
    <w:p>
      <w:pPr>
        <w:pStyle w:val="Heading3"/>
      </w:pPr>
      <w:r>
        <w:t xml:space="preserve">E. Pricing of Factors of Production</w:t>
      </w:r>
    </w:p>
    <w:p>
      <w:pPr>
        <w:pStyle w:val="FirstParagraph"/>
      </w:pPr>
      <w:r>
        <w:t xml:space="preserve">The factors of production — labour, land, capital, and entrepreneurship — receive payments conventionally described as wages, rent, interest, and profit respectively. Factor demand is generally a derived demand: firms do not want labour or capital for their own sake but because they help produce a final good or service that is itself demanded, so factor demand ultimately traces back to demand for the final product. Marginal productivity theory captures this at a basic level: a factor that adds more value to output tends to generate stronger demand for itself. Example: a worker who adds more value to output can create stronger demand for labour, but the wage actually paid also depends on labour supply conditions, bargaining power, institutions such as minimum-wage laws or unions, and the overall market structure — productivity alone does not fully determine the wage.</w:t>
      </w:r>
    </w:p>
    <w:p>
      <w:r>
        <w:pict>
          <v:rect style="width:0;height:1.5pt" o:hralign="center" o:hrstd="t" o:hr="t"/>
        </w:pict>
      </w:r>
    </w:p>
    <w:p>
      <w:pPr>
        <w:pStyle w:val="FirstParagraph"/>
      </w:pPr>
      <w:r>
        <w:t xml:space="preserve">Microeconomics key takeaways: every topic reduces to decision-maker, constraint, changing variable, and resulting outcome. Consumer and producer equilibrium share the same tangency logic (marginal rate of substitution equals price ratio for the consumer; least-cost input combination for the firm). A movement along a curve is never the same thing as a shift of the curve, and every diagram-based answer should state its ceteris-paribus assumption explicitly. Elasticity determines the direction in which a price change moves total revenue. Partial equilibrium is a simplification of general equilibrium, valid when spillovers to other markets are small. Factor prices depend on marginal productivity, but also on supply-side and institutional conditions that productivity alone does not capture.</w:t>
      </w:r>
    </w:p>
    <w:bookmarkEnd w:id="24"/>
    <w:bookmarkEnd w:id="25"/>
    <w:bookmarkStart w:id="31" w:name="macroeconomics"/>
    <w:p>
      <w:pPr>
        <w:pStyle w:val="Heading2"/>
      </w:pPr>
      <w:r>
        <w:t xml:space="preserve">Macroeconomics</w:t>
      </w:r>
    </w:p>
    <w:p>
      <w:pPr>
        <w:pStyle w:val="FirstParagraph"/>
      </w:pPr>
      <w:r>
        <w:t xml:space="preserve">Macroeconomics studies the economy as a whole: total output, income, employment, inflation, growth, and the general price level. Two habits carry across every topic below: keep aggregate (economy-wide) variables separate from individual-market variables, and trace a clear causal chain from an initial shock through to its effect on output, income, employment, or the price level. When a school of thought is involved, state its assumption about how the economy adjusts before giving its policy conclusion, since different assumptions about adjustment can explain the very same recession or inflation quite differently.</w:t>
      </w:r>
    </w:p>
    <w:bookmarkStart w:id="26" w:name="Xf215e68791eeecb8aac5c17e5839a80783f6c77"/>
    <w:p>
      <w:pPr>
        <w:pStyle w:val="Heading3"/>
      </w:pPr>
      <w:r>
        <w:t xml:space="preserve">A. Foundational Concepts and National Income Accounting</w:t>
      </w:r>
    </w:p>
    <w:p>
      <w:pPr>
        <w:pStyle w:val="FirstParagraph"/>
      </w:pPr>
      <w:r>
        <w:t xml:space="preserve">A few distinctions prevent most beginner errors: stock versus flow (a stock is measured at a point in time, such as the stock of public debt; a flow is measured over a period, such as GDP), nominal versus real values (nominal is measured in current prices; real strips out the effect of price-level changes, isolating genuine quantity changes), and saving versus investment (saving is income not consumed; investment is spending on capital goods — the two are linked in macro models but are not the same act).</w:t>
      </w:r>
    </w:p>
    <w:p>
      <w:pPr>
        <w:pStyle w:val="BodyText"/>
      </w:pPr>
      <w:r>
        <w:t xml:space="preserve">National income accounting measures the value of economic activity and links production, income, and expenditure together through the identity Y = C + I + G + (X − M): output/income equals consumption plus investment plus government spending plus net exports (exports minus imports). GDP can, in principle, be measured through the production approach, the income approach, or the expenditure approach, and all three should agree if the underlying data are fully consistent. Example: consumption 500, investment 100, government spending 150, exports 80, and imports 100 gives expenditure-side GDP of 730 in the same units. Key related terms: GNP/GNI adjusts for income earned by residents abroad versus foreigners domestically; the GDP deflator converts nominal GDP into real GDP; and per-capita measures divide by population to allow comparison across countries or over time. GDP is a useful but limited measure — it says little directly about income distribution, unpaid work, environmental costs, or overall wellbeing, which is why it is best treated as a measure of economic activity, not a complete welfare measure.</w:t>
      </w:r>
    </w:p>
    <w:bookmarkEnd w:id="26"/>
    <w:bookmarkStart w:id="27" w:name="X880814c3dfd53d50af09014e07bf6fdf7f22423"/>
    <w:p>
      <w:pPr>
        <w:pStyle w:val="Heading3"/>
      </w:pPr>
      <w:r>
        <w:t xml:space="preserve">B. Consumption, Multiplier, and Accelerator</w:t>
      </w:r>
    </w:p>
    <w:p>
      <w:pPr>
        <w:pStyle w:val="FirstParagraph"/>
      </w:pPr>
      <w:r>
        <w:t xml:space="preserve">The consumption function describes how household consumption changes with income and other influences. In the simple Keynesian form, C = a + bYd, where a is autonomous consumption (spending that happens even with zero income), b is the marginal propensity to consume, MPC (the fraction of an extra rupee of disposable income that is spent), and Yd is disposable income. Saving is simply the part of disposable income not consumed. Example: if C = 100 + 0.8Yd and disposable income is 1,000, consumption is 900 and saving is 100. Four related ratios are worth knowing precisely: average propensity to consume (APC, total consumption divided by total income), MPC (the extra consumption from extra income), average propensity to save (APS), and marginal propensity to save (MPS) — and MPC plus MPS always equal 1, since every extra rupee of disposable income is either spent or saved.</w:t>
      </w:r>
    </w:p>
    <w:p>
      <w:pPr>
        <w:pStyle w:val="BodyText"/>
      </w:pPr>
      <w:r>
        <w:t xml:space="preserve">The multiplier explains how an initial change in autonomous spending can produce a larger total change in equilibrium income, because one person’s spending becomes another person’s income, which is partly spent again, and so on through repeated rounds. In the simplest closed model with no taxes or imports, the spending multiplier equals 1/(1 minus MPC). Example: if MPC = 0.8, the multiplier is 5, so an initial autonomous increase of 10 can, under the model’s assumptions, raise equilibrium income by 50. Leakages such as saving, taxes, and imports reduce the size of the multiplier in richer, more realistic models, because each leakage removes some spending from continuing around the circular flow. The multiplier is a model relationship built on stated assumptions, not a guaranteed real-world outcome, and this caveat is worth stating explicitly in an answer.</w:t>
      </w:r>
    </w:p>
    <w:p>
      <w:pPr>
        <w:pStyle w:val="BodyText"/>
      </w:pPr>
      <w:r>
        <w:t xml:space="preserve">The accelerator is a related but distinct idea: rather than moving from spending to income like the multiplier, it links changes in demand or output to induced investment, because firms may need more capital when expected production rises. Example: if firms need Rs 3 of capital for every Rs 1 of annual output capacity, a sustained increase in desired output requires additional investment to expand capacity accordingly. The accelerator’s real-world strength is limited by spare capacity (firms with idle capacity may not need new investment at all), expectations (investment responds to expected, not just current, demand), finance constraints, and available technology.</w:t>
      </w:r>
    </w:p>
    <w:bookmarkEnd w:id="27"/>
    <w:bookmarkStart w:id="28" w:name="X8245c64046c36c79903a6f89f0680609f28ab6a"/>
    <w:p>
      <w:pPr>
        <w:pStyle w:val="Heading3"/>
      </w:pPr>
      <w:r>
        <w:t xml:space="preserve">C. Aggregate Demand and the Labour Market</w:t>
      </w:r>
    </w:p>
    <w:p>
      <w:pPr>
        <w:pStyle w:val="FirstParagraph"/>
      </w:pPr>
      <w:r>
        <w:t xml:space="preserve">Aggregate demand is total planned spending on domestically produced final goods and services at different price levels, and it has the same four components as the national-income identity in Section A: consumption, investment, government purchases, and net exports. Its curve slopes downward against the price level, and it can shift for reasons distinct from a change in the price level itself: a fall in interest rates may encourage both investment and some consumption, shifting aggregate demand rightward, other things unchanged; changes in expectations, fiscal policy, foreign income, and exchange rates can shift it as well. This is the same movement-versus-shift discipline from microeconomics, now applied to the whole economy.</w:t>
      </w:r>
    </w:p>
    <w:p>
      <w:pPr>
        <w:pStyle w:val="BodyText"/>
      </w:pPr>
      <w:r>
        <w:t xml:space="preserve">The labour market connects employers seeking workers with people offering their labour, and unemployment means people who are able and willing to work at prevailing wages and conditions cannot find work, under whatever statistical definition is being used. Three standard categories: frictional unemployment (short-term, arising from the normal process of matching workers to jobs), structural unemployment (a mismatch between workers’ skills or location and available jobs), and cyclical unemployment (caused by a downturn in overall economic activity). Example: a recession can reduce firms’ sales and therefore their demand for labour, producing cyclical unemployment even though the affected workers’ underlying skills have not changed at all — the cause lies in demand conditions, not in the workers themselves. Labour demand depends on worker productivity and demand for the final product being produced (the same derived-demand logic covered in the microeconomics section); labour supply depends on wages, demographics, preferences, skill levels, and labour-market institutions.</w:t>
      </w:r>
    </w:p>
    <w:bookmarkEnd w:id="28"/>
    <w:bookmarkStart w:id="29" w:name="X6b54ac9cb8ae14443be24cdd16e0a4f20389527"/>
    <w:p>
      <w:pPr>
        <w:pStyle w:val="Heading3"/>
      </w:pPr>
      <w:r>
        <w:t xml:space="preserve">D. Competing Schools on Equilibrium Income and Output</w:t>
      </w:r>
    </w:p>
    <w:p>
      <w:pPr>
        <w:pStyle w:val="FirstParagraph"/>
      </w:pPr>
      <w:r>
        <w:t xml:space="preserve">Different schools of macroeconomic thought offer different explanations for how, or whether, an economy reaches full-employment output, and it helps to compare them along the same dimensions: their core assumption about how prices and wages adjust, what they see as the cause of unemployment, and their preferred policy response.</w:t>
      </w:r>
    </w:p>
    <w:p>
      <w:pPr>
        <w:numPr>
          <w:ilvl w:val="0"/>
          <w:numId w:val="1001"/>
        </w:numPr>
        <w:pStyle w:val="Compact"/>
      </w:pPr>
      <w:r>
        <w:t xml:space="preserve">The classical view emphasizes flexible prices and wages that adjust to clear markets on their own, so unemployment above the natural rate is seen as temporary, and markets are trusted to self-correct without active government intervention.</w:t>
      </w:r>
    </w:p>
    <w:p>
      <w:pPr>
        <w:numPr>
          <w:ilvl w:val="0"/>
          <w:numId w:val="1001"/>
        </w:numPr>
        <w:pStyle w:val="Compact"/>
      </w:pPr>
      <w:r>
        <w:t xml:space="preserve">The Keynesian view allows for demand deficiency and prolonged unemployment, because prices and especially wages may be sticky (slow to adjust downward), so a shortfall in aggregate demand can persist and requires active government policy to close the gap.</w:t>
      </w:r>
    </w:p>
    <w:p>
      <w:pPr>
        <w:numPr>
          <w:ilvl w:val="0"/>
          <w:numId w:val="1001"/>
        </w:numPr>
        <w:pStyle w:val="Compact"/>
      </w:pPr>
      <w:r>
        <w:t xml:space="preserve">Monetarist and new-classical approaches place stronger emphasis on the role of money supply, on expectations (particularly whether they are formed rationally), and on the economy’s own capacity to adjust, generally favoring rules-based rather than discretionary policy.</w:t>
      </w:r>
    </w:p>
    <w:p>
      <w:pPr>
        <w:pStyle w:val="FirstParagraph"/>
      </w:pPr>
      <w:r>
        <w:t xml:space="preserve">Example: a Keynesian description of a recession centers on inadequate aggregate demand keeping output below its potential level; a classical account instead gives greater weight to price and wage adjustment eventually restoring equilibrium on its own, with less need for active intervention. These are broad families of thought, not single, identical models, and it is worth remembering that within each family there is real variation.</w:t>
      </w:r>
    </w:p>
    <w:bookmarkEnd w:id="29"/>
    <w:bookmarkStart w:id="30" w:name="e.-inflation"/>
    <w:p>
      <w:pPr>
        <w:pStyle w:val="Heading3"/>
      </w:pPr>
      <w:r>
        <w:t xml:space="preserve">E. Inflation</w:t>
      </w:r>
    </w:p>
    <w:p>
      <w:pPr>
        <w:pStyle w:val="FirstParagraph"/>
      </w:pPr>
      <w:r>
        <w:t xml:space="preserve">Inflation is a sustained increase in the general price level, which reduces the purchasing power of money — the same amount of money buys progressively less over time. Three broad sources are worth distinguishing: demand-pull inflation (aggregate demand outpacing the economy’s productive capacity), cost-push inflation (rising input costs, such as wages or imported raw materials, pushing up prices), and expectations-related pressures (if people expect prices to rise, they may act in ways — demanding higher wages, raising prices pre-emptively — that help bring that inflation about). Very rapid money-supply growth can be inflationary, particularly over the longer run, but real-world inflation episodes often also reflect supply shocks, exchange-rate depreciation (which raises the domestic price of imports), and administered or regulated prices, so a single-cause explanation is rarely the full picture. Example: if a broad price index rises from 200 to 210 over a period, the measured inflation rate over that interval is 5%. Headline inflation measures can differ depending on which price index is used and which goods are included, which is why the specific index behind any inflation figure should always be identified rather than assumed.</w:t>
      </w:r>
    </w:p>
    <w:p>
      <w:r>
        <w:pict>
          <v:rect style="width:0;height:1.5pt" o:hralign="center" o:hrstd="t" o:hr="t"/>
        </w:pict>
      </w:r>
    </w:p>
    <w:p>
      <w:pPr>
        <w:pStyle w:val="FirstParagraph"/>
      </w:pPr>
      <w:r>
        <w:t xml:space="preserve">Macroeconomics key takeaways: keep stocks distinct from flows and nominal from real values throughout, since most beginner errors trace back to blurring one of these pairs. The national-income identity, Y = C + I + G + (X minus M), is the accounting skeleton that every other macro topic in this paper attaches to. The multiplier and accelerator are two different mechanisms — one running from spending to income, the other from output changes to induced investment — and neither is a guaranteed real-world outcome outside its stated model assumptions. Unemployment has frictional, structural, and cyclical causes that call for different policy responses. Different schools of thought disagree mainly about how quickly and how completely prices and wages adjust, and that single assumption drives most of their other disagreements. Inflation can arise from demand, cost, or expectations channels, often in combination, so a full explanation of any real inflation episode usually draws on more than one of these.</w:t>
      </w:r>
    </w:p>
    <w:bookmarkEnd w:id="30"/>
    <w:bookmarkEnd w:id="31"/>
    <w:bookmarkStart w:id="37" w:name="money-banking-and-monetary-policy"/>
    <w:p>
      <w:pPr>
        <w:pStyle w:val="Heading2"/>
      </w:pPr>
      <w:r>
        <w:t xml:space="preserve">Money, Banking and Monetary Policy</w:t>
      </w:r>
    </w:p>
    <w:p>
      <w:pPr>
        <w:pStyle w:val="FirstParagraph"/>
      </w:pPr>
      <w:r>
        <w:t xml:space="preserve">This section keeps three things distinct throughout: the demand for money, the supply of money, and the role banks and the central bank play in connecting the two. Wherever an equation or multiplier appears, its assumptions matter as much as its formula — these are model relationships, not automatic real-world predictions.</w:t>
      </w:r>
    </w:p>
    <w:bookmarkStart w:id="32" w:name="Xbadb6cb6352f04ceac904eb823f9088ae2fd85e"/>
    <w:p>
      <w:pPr>
        <w:pStyle w:val="Heading3"/>
      </w:pPr>
      <w:r>
        <w:t xml:space="preserve">A. Functions of Money and Money Demand/Supply</w:t>
      </w:r>
    </w:p>
    <w:p>
      <w:pPr>
        <w:pStyle w:val="FirstParagraph"/>
      </w:pPr>
      <w:r>
        <w:t xml:space="preserve">Money serves several functions — a medium of exchange, a unit of account, and a store of value — and money demand is the desire people have to hold liquid balances rather than other assets, for a mix of motives: transactions (day-to-day spending), precaution (unexpected needs), and speculation (holding money while waiting for a better investment opportunity). Example: a person may keep some income in cash or a current account for daily purchases even when another asset would offer a higher return, because that money is needed for its liquidity, not its yield.</w:t>
      </w:r>
    </w:p>
    <w:p>
      <w:pPr>
        <w:pStyle w:val="BodyText"/>
      </w:pPr>
      <w:r>
        <w:t xml:space="preserve">Money supply describes the stock of money available under a chosen definition — narrow money typically covers currency and readily spendable deposits, while broad money adds less liquid deposit types. The actual stock of broad money in an economy is shaped jointly by central-bank actions, commercial-bank lending behaviour, and the public’s own choices about how much to hold as cash versus bank deposits — it is not simply set unilaterally by the central bank.</w:t>
      </w:r>
    </w:p>
    <w:bookmarkEnd w:id="32"/>
    <w:bookmarkStart w:id="33" w:name="Xb4e8eff28656308c7924f1b0828c61b6f0b2ff1"/>
    <w:p>
      <w:pPr>
        <w:pStyle w:val="Heading3"/>
      </w:pPr>
      <w:r>
        <w:t xml:space="preserve">B. Quantity Theory and Bank Credit Creation</w:t>
      </w:r>
    </w:p>
    <w:p>
      <w:pPr>
        <w:pStyle w:val="FirstParagraph"/>
      </w:pPr>
      <w:r>
        <w:t xml:space="preserve">The quantity theory of money links money, prices, and economic activity, and it has two classic formulations. Fisher’s version is commonly written MV = PY, where M is the money supply, V is the velocity of money (how many times a unit of money changes hands in a given period), P is the price level, and Y is real output — the identity says total spending (MV) must equal the value of total output (PY). The Cambridge version is written M = kPY, where k represents desired cash balances as a fraction of nominal income, placing the emphasis on money-holding behaviour rather than transactions directly. Example: if M doubles while V and real output Y are held fixed, the simple Fisher framework implies the price level P must also double — but this conclusion depends entirely on the assumption that V and Y are unaffected, which need not hold in reality.</w:t>
      </w:r>
    </w:p>
    <w:p>
      <w:pPr>
        <w:pStyle w:val="BodyText"/>
      </w:pPr>
      <w:r>
        <w:t xml:space="preserve">Bank credit creation explains how commercial-bank lending and deposit creation can expand the broader money supply beyond the currency issued by the central bank. In a simplified reserve model, a bank receiving a deposit keeps only a required fraction as reserves and lends out the rest; that lent money often returns to the banking system as a new deposit elsewhere, which itself supports further lending, and so on. This textbook deposit multiplier is a useful teaching device, but real credit creation is constrained by reserve and liquidity rules, capital requirements, loan demand, risk appetite, central-bank policy, and the public’s own cash-versus-deposit preferences — banks do not, in practice, create unlimited money purely mechanically.</w:t>
      </w:r>
    </w:p>
    <w:bookmarkEnd w:id="33"/>
    <w:bookmarkStart w:id="34" w:name="Xa04cac0368005cf54184ce1ac733d83052a8e88"/>
    <w:p>
      <w:pPr>
        <w:pStyle w:val="Heading3"/>
      </w:pPr>
      <w:r>
        <w:t xml:space="preserve">C. Central Bank Functions and the Policy Framework</w:t>
      </w:r>
    </w:p>
    <w:p>
      <w:pPr>
        <w:pStyle w:val="FirstParagraph"/>
      </w:pPr>
      <w:r>
        <w:t xml:space="preserve">A central bank manages monetary conditions and performs system-level functions such as currency issuance, oversight of the banking system, reserve management, and acting as lender of last resort within its legal mandate. Its standard toolkit includes the policy interest rate, reserve requirements, open-market and liquidity operations, and various regulatory instruments — the exact combination used varies by country and period. Example: raising the policy rate can transmit through to market borrowing costs and reduce interest-sensitive spending, though this transmission is neither instantaneous nor perfectly mechanical; it works with a lag and depends on how financial markets and expectations respond.</w:t>
      </w:r>
    </w:p>
    <w:p>
      <w:pPr>
        <w:pStyle w:val="BodyText"/>
      </w:pPr>
      <w:r>
        <w:t xml:space="preserve">Monetary policy is usually organized as a hierarchy: final goals (such as price stability, within whatever mandate the central bank legally operates under), intermediate targets (variables that are believed to be reliably linked to those final goals), and operational targets (variables the central bank can control fairly directly over a short horizon to actually implement its policy). Example: a central bank may adjust a short-term operating interest-rate condition today because it expects this to influence credit conditions, spending, and ultimately inflation only after some delay. This hierarchy differs across countries and time periods, so no single country’s specific framework should be treated as a universal template.</w:t>
      </w:r>
    </w:p>
    <w:bookmarkEnd w:id="34"/>
    <w:bookmarkStart w:id="35" w:name="X49cdd8ac5ba9397ad52c6e6dcd2bfd8c06b0150"/>
    <w:p>
      <w:pPr>
        <w:pStyle w:val="Heading3"/>
      </w:pPr>
      <w:r>
        <w:t xml:space="preserve">D. Reserves, Liquidity Preference, and the Term Structure</w:t>
      </w:r>
    </w:p>
    <w:p>
      <w:pPr>
        <w:pStyle w:val="FirstParagraph"/>
      </w:pPr>
      <w:r>
        <w:t xml:space="preserve">Reserves are highly liquid balances banks hold for settlement and to meet regulatory or liquidity requirements. Liquidity preference, a concept originating with Keynes, describes the general desire to hold wealth in liquid, money form rather than in less liquid assets. The term structure of interest rates describes how yields vary across different maturities of otherwise similar instruments, and this pattern (the yield curve) reflects two things together: the liquidity premium investors typically demand for holding longer or less liquid instruments (extra compensation for tying up funds for longer), and market expectations about future short-term interest rates. Example: a ten-year government security can carry a different yield from a one-year security issued by the same government, purely because maturity, expectations about future rates, and risk or liquidity considerations differ between them — no single theory fully explains every yield-curve movement on its own.</w:t>
      </w:r>
    </w:p>
    <w:bookmarkEnd w:id="35"/>
    <w:bookmarkStart w:id="36" w:name="Xe2f852bc06f4be2ff3083c827e33ca501500596"/>
    <w:p>
      <w:pPr>
        <w:pStyle w:val="Heading3"/>
      </w:pPr>
      <w:r>
        <w:t xml:space="preserve">E. Monetary Transmission and the IS-LM Framework</w:t>
      </w:r>
    </w:p>
    <w:p>
      <w:pPr>
        <w:pStyle w:val="FirstParagraph"/>
      </w:pPr>
      <w:r>
        <w:t xml:space="preserve">Monetary transmission is the overall chain through which a policy action affects financial conditions, then spending, then output and prices — the central bank does not affect inflation directly, but only through this longer chain of intermediate effects. The IS-LM model is a simplified way of representing two markets clearing simultaneously: the IS curve shows combinations of income and the interest rate consistent with equilibrium in the goods market, while the LM curve shows combinations consistent with equilibrium in the money market. Fiscal and monetary policy changes shift these curves under the model’s specific assumptions. Example: an increase in the money supply can shift the LM curve, in a simple version of this model lowering the equilibrium interest rate while raising equilibrium income, other things unchanged. The model is best used as a teaching framework for organizing this transmission logic clearly, not as a complete, literal description of how a modern central bank actually operates.</w:t>
      </w:r>
    </w:p>
    <w:p>
      <w:r>
        <w:pict>
          <v:rect style="width:0;height:1.5pt" o:hralign="center" o:hrstd="t" o:hr="t"/>
        </w:pict>
      </w:r>
    </w:p>
    <w:p>
      <w:pPr>
        <w:pStyle w:val="FirstParagraph"/>
      </w:pPr>
      <w:r>
        <w:t xml:space="preserve">Money, Banking and Monetary Policy key takeaways: money demand and money supply are shaped by different forces and should never be treated as automatically equal outside of an equilibrium condition. The quantity theory’s strong conclusions (like a proportional relationship between money and prices) depend on assumptions about velocity and real output holding steady, which real economies do not guarantee. Bank credit creation is limited in practice by reserve requirements, capital, risk, and behaviour, not just by a simple textbook multiplier. Central banks operate through a hierarchy of goals, intermediate targets, and operational targets rather than controlling inflation directly. The yield curve reflects both a liquidity premium and interest-rate expectations together, not either factor alone. IS-LM is a simplified, assumption-laden model of monetary transmission, useful for organizing thinking rather than for literal real-world prediction.</w:t>
      </w:r>
    </w:p>
    <w:bookmarkEnd w:id="36"/>
    <w:bookmarkEnd w:id="37"/>
    <w:bookmarkStart w:id="43" w:name="Xbff51021e887cf398c47620cacc8ee0c7179baf"/>
    <w:p>
      <w:pPr>
        <w:pStyle w:val="Heading2"/>
      </w:pPr>
      <w:r>
        <w:t xml:space="preserve">Public Finance, International Economics, and Growth and Development</w:t>
      </w:r>
    </w:p>
    <w:bookmarkStart w:id="38" w:name="X14a7eafadc93ac0a76a2ec708f1928919da15ce"/>
    <w:p>
      <w:pPr>
        <w:pStyle w:val="Heading3"/>
      </w:pPr>
      <w:r>
        <w:t xml:space="preserve">A. Public Finance: Revenue, Taxation, and Debt</w:t>
      </w:r>
    </w:p>
    <w:p>
      <w:pPr>
        <w:pStyle w:val="FirstParagraph"/>
      </w:pPr>
      <w:r>
        <w:t xml:space="preserve">Public finance studies how government raises resources and spends them to provide services, redistribute income, stabilize the economy, and support development. Revenue divides into tax revenue and non-tax revenue (fees, dividends from state enterprises, royalties, and similar receipts); spending divides into current or recurrent spending (keeping existing services running, such as wages) and development or capital spending (creating new assets, such as roads). Both spending types matter, but they affect the budget and the economy’s future capacity quite differently. Every fiscal analysis should weigh efficiency, equity, incentive effects, revenue adequacy, debt sustainability, and macroeconomic effects together, rather than describing a tax or spending instrument in isolation.</w:t>
      </w:r>
    </w:p>
    <w:p>
      <w:pPr>
        <w:pStyle w:val="BodyText"/>
      </w:pPr>
      <w:r>
        <w:t xml:space="preserve">A tax is a compulsory payment required by law, distinct from non-tax revenue as defined above. Tax incidence asks who ultimately bears the economic burden of a tax — and this is not always the person legally required to pay it. In a simple market model, the relative elasticities of demand and supply determine how the burden splits: the side of the market that is less elastic (less able to adjust its quantity in response to the price change) tends to bear more of the burden. Example: a tax formally imposed on sellers can still partly raise the price consumers pay and partly reduce what sellers net after tax — the legal point of collection and the actual economic burden are two different things. Taxes are also classified as direct (levied on income or wealth directly) versus indirect (levied on transactions, such as sales), and as progressive, proportional, or regressive depending on how the tax rate changes as income rises.</w:t>
      </w:r>
    </w:p>
    <w:p>
      <w:pPr>
        <w:pStyle w:val="BodyText"/>
      </w:pPr>
      <w:r>
        <w:t xml:space="preserve">Public debt arises when government borrows, and deficit financing covers the gap when expenditure exceeds revenue and grants for a given budget period. Debt is not inherently bad: borrowing to finance an investment that raises future productivity has a genuinely different economic case from repeated borrowing to cover an unsustainable structural gap, even though both increase liabilities in the short run. Persistently high debt raises interest costs, refinancing risk, and future policy constraints, which is why debt sustainability (whether an economy can service its debt without an unsustainable and ever-rising burden) is a central concern, alongside the distinction between domestic and external debt and the inflationary risk specifically associated with financing deficits through money creation.</w:t>
      </w:r>
    </w:p>
    <w:bookmarkEnd w:id="38"/>
    <w:bookmarkStart w:id="39" w:name="b.-welfare-economics-and-fiscal-policy"/>
    <w:p>
      <w:pPr>
        <w:pStyle w:val="Heading3"/>
      </w:pPr>
      <w:r>
        <w:t xml:space="preserve">B. Welfare Economics and Fiscal Policy</w:t>
      </w:r>
    </w:p>
    <w:p>
      <w:pPr>
        <w:pStyle w:val="FirstParagraph"/>
      </w:pPr>
      <w:r>
        <w:t xml:space="preserve">Welfare economics evaluates how a given allocation of resources affects social wellbeing, and it is important to keep two different questions separate: efficiency (is output as large as possible given available resources?) and equity (is the resulting distribution fair?). Pareto efficiency — a situation where no one can be made better off without making someone else worse off — does not, by itself, guarantee a fair or desirable distribution: two policies can produce identical total output yet very different income distributions, so a full welfare judgment usually needs to weigh more than efficiency alone. Market failures such as externalities (costs or benefits falling on parties outside a transaction) and public goods (non-excludable, non-rival goods that private markets tend to under-provide) are the standard justifications economists give for government intervention on efficiency grounds, separate from any redistributive motive.</w:t>
      </w:r>
    </w:p>
    <w:p>
      <w:pPr>
        <w:pStyle w:val="BodyText"/>
      </w:pPr>
      <w:r>
        <w:t xml:space="preserve">Fiscal policy uses government spending and taxation deliberately to influence the economy. Fiscal expansion (higher spending or lower taxes) can raise aggregate demand during a downturn, working through the multiplier logic covered earlier; fiscal consolidation (lower spending or higher taxes) may instead be used when high debt or inflation pressures dominate the policy priority — which approach is appropriate depends heavily on the specific macroeconomic context, not a fixed rule. Automatic stabilizers, such as taxes and unemployment-linked transfers that automatically rise or fall with the economic cycle without requiring new legislation each time, provide some fiscal support to demand even without any discretionary policy action.</w:t>
      </w:r>
    </w:p>
    <w:bookmarkEnd w:id="39"/>
    <w:bookmarkStart w:id="40" w:name="c.-international-trade-theory"/>
    <w:p>
      <w:pPr>
        <w:pStyle w:val="Heading3"/>
      </w:pPr>
      <w:r>
        <w:t xml:space="preserve">C. International Trade Theory</w:t>
      </w:r>
    </w:p>
    <w:p>
      <w:pPr>
        <w:pStyle w:val="FirstParagraph"/>
      </w:pPr>
      <w:r>
        <w:t xml:space="preserve">Comparative advantage is the core insight of trade theory: countries can gain from specializing according to relative opportunity cost, even when one country is absolutely more productive at producing everything. Example: if country A gives up fewer units of cloth to produce one unit of wheat than country B does, A has a comparative advantage in wheat, even if A happens to be absolutely more efficient at producing both goods — comparative, not absolute, advantage is what drives mutually beneficial specialization and trade. Ricardian trade theory emphasizes relative productivity differences as the source of comparative advantage; factor-endowment theory instead links trade patterns to a country’s relative abundance of factors such as labour and capital, under a specific and fairly strong set of assumptions.</w:t>
      </w:r>
    </w:p>
    <w:p>
      <w:pPr>
        <w:pStyle w:val="BodyText"/>
      </w:pPr>
      <w:r>
        <w:t xml:space="preserve">Trade can support growth through larger markets, greater specialization, technology transfer, and access to needed inputs — but a historically balanced account also recognizes that real-world trading systems have sometimes reflected coercive power, unequal bargaining, and colonial extraction rather than purely voluntary, mutually beneficial exchange. A useful discipline here is separating the gains predicted by voluntary-exchange models from the historical institutions and dependency relationships studied under colonialism and imperialism, using specific historical examples only when they can be verified.</w:t>
      </w:r>
    </w:p>
    <w:p>
      <w:pPr>
        <w:pStyle w:val="BodyText"/>
      </w:pPr>
      <w:r>
        <w:t xml:space="preserve">Governments influence trade through tariffs, quotas, standards, and subsidies. A tariff raises the domestic price of an imported good in the simple model, protecting domestic producers but imposing costs on consumers, while also generating government revenue and creating an efficiency loss overall. Economic integration among countries proceeds in progressively deeper standard stages: a free-trade area (internal tariffs removed, individual external tariffs retained), a customs union (internal tariffs removed plus a common external tariff), a common market (a customs union plus free movement of factors like labour and capital), and an economic union (a common market plus coordinated economic policy). Trade creation (new, more efficient trade replacing less efficient domestic production) and trade diversion (trade shifting from a more efficient outside producer to a less efficient member of the union, purely because of the union’s preferential tariff treatment) are the key concepts for evaluating whether a specific integration arrangement is, on net, welfare-improving.</w:t>
      </w:r>
    </w:p>
    <w:bookmarkEnd w:id="40"/>
    <w:bookmarkStart w:id="41" w:name="X0f7b7127ed2a29d970fc003d3548b0236837211"/>
    <w:p>
      <w:pPr>
        <w:pStyle w:val="Heading3"/>
      </w:pPr>
      <w:r>
        <w:t xml:space="preserve">D. Balance of Payments and Exchange Rates</w:t>
      </w:r>
    </w:p>
    <w:p>
      <w:pPr>
        <w:pStyle w:val="FirstParagraph"/>
      </w:pPr>
      <w:r>
        <w:t xml:space="preserve">The balance of payments (BOP) records transactions between residents of an economy and the rest of the world, organized into accounting categories, principally the current account (trade in goods and services, income flows, and transfers) and the financial account (cross-border investment and lending flows). Example: an import of goods enters the current account as an outflow, while however that import is financed — through drawing down reserves, borrowing, or attracting inward investment — appears in the corresponding financial-account entries, since the two sides of the BOP are linked by construction.</w:t>
      </w:r>
    </w:p>
    <w:p>
      <w:pPr>
        <w:pStyle w:val="BodyText"/>
      </w:pPr>
      <w:r>
        <w:t xml:space="preserve">Exchange rates are simply the prices of currencies relative to each other, and they can move in response to trade flows, capital flows, inflation expectations, interest-rate differentials between countries, policy actions, and market confidence. Under a fixed exchange-rate regime, the central bank commits to maintaining the rate at a set level (often at the cost of using reserves or adjusting policy to defend it); under a flexible (floating) regime, the rate is allowed to adjust with market supply and demand. An exchange-rate change does not produce the same outcome under every condition — its effect depends on the relevant elasticities of exports and demand for imports, existing contracts, and broader market conditions, so blanket statements like</w:t>
      </w:r>
      <w:r>
        <w:t xml:space="preserve"> </w:t>
      </w:r>
      <w:r>
        <w:t xml:space="preserve">“</w:t>
      </w:r>
      <w:r>
        <w:t xml:space="preserve">depreciation always improves the trade balance</w:t>
      </w:r>
      <w:r>
        <w:t xml:space="preserve">”</w:t>
      </w:r>
      <w:r>
        <w:t xml:space="preserve"> </w:t>
      </w:r>
      <w:r>
        <w:t xml:space="preserve">should be treated with appropriate caution. The international monetary system refers to the broader set of rules and institutions governing cross-border payments and reserve assets across countries as a whole.</w:t>
      </w:r>
    </w:p>
    <w:bookmarkEnd w:id="41"/>
    <w:bookmarkStart w:id="42" w:name="X4204bf37cbc3217cf1f94405ae05ddefe1b9925"/>
    <w:p>
      <w:pPr>
        <w:pStyle w:val="Heading3"/>
      </w:pPr>
      <w:r>
        <w:t xml:space="preserve">E. Growth, Development, and Structural Issues</w:t>
      </w:r>
    </w:p>
    <w:p>
      <w:pPr>
        <w:pStyle w:val="FirstParagraph"/>
      </w:pPr>
      <w:r>
        <w:t xml:space="preserve">Economic growth is an increase in real output; development is a broader concept covering changes in living standards, human capabilities, institutions, and structural conditions — a country can record rising GDP per person while still facing weak schooling, poor health access, or high inequality, which is exactly why development cannot be reduced to a single number. Human development approaches (such as those built around the Human Development Index) deliberately track health, education, and income together, treating human capabilities as the actual goal, with income as one means toward that goal rather than the goal itself.</w:t>
      </w:r>
    </w:p>
    <w:p>
      <w:pPr>
        <w:pStyle w:val="BodyText"/>
      </w:pPr>
      <w:r>
        <w:t xml:space="preserve">Several families of development theory try to explain why some economies transform faster than others: stages-of-growth models, structural-change approaches (emphasizing the movement of labour from low-productivity agriculture into higher-productivity industry and services), dependency perspectives (emphasizing unequal relationships between richer and poorer economies), neoclassical market-based approaches, endogenous-growth theories (emphasizing knowledge and innovation as internally generated drivers of growth), and institution-focused explanations (emphasizing the role of governance, property rights, and incentives). Each theory highlights a different mechanism and rests on different assumptions, and the reliable way to prepare each is: central claim, then mechanism, then policy implication, then criticism — no single theory should be presented as universally correct.</w:t>
      </w:r>
    </w:p>
    <w:p>
      <w:pPr>
        <w:pStyle w:val="BodyText"/>
      </w:pPr>
      <w:r>
        <w:t xml:space="preserve">Structural issues are deep, slow-moving features of an economy — sector composition, productivity levels, institutions, demographics, infrastructure, and access to finance — that shape long-run development prospects. Income distribution concerns how income is shared across a population, while poverty can be measured against either an absolute threshold (a fixed minimum standard) or a relative standard (relative to the wider population’s living standards); growth can reduce poverty, but the actual outcome depends heavily on how that growth’s benefits are distributed, on job creation, on prices, and on access to public services. Example: two economies can share the same average income yet show very different poverty and inequality outcomes, purely because income is distributed differently between them. Sustainable development finally requires healthy interaction among agriculture, industry, trade, finance, and the environment together — a serious bottleneck or environmental cost in any one sector can hold back the others, so a narrow focus on output growth alone, without attention to sustainability, risks converting a short-term gain into a longer-term loss.</w:t>
      </w:r>
    </w:p>
    <w:p>
      <w:r>
        <w:pict>
          <v:rect style="width:0;height:1.5pt" o:hralign="center" o:hrstd="t" o:hr="t"/>
        </w:pict>
      </w:r>
    </w:p>
    <w:p>
      <w:pPr>
        <w:pStyle w:val="FirstParagraph"/>
      </w:pPr>
      <w:r>
        <w:t xml:space="preserve">Public Finance, International Economics, and Growth/Development key takeaways: government revenue-raising and spending decisions should be judged together against efficiency, equity, incentive, revenue, debt sustainability, and macroeconomic criteria — never on just one of these. Tax incidence depends on relative elasticities, not on who is legally required to remit the tax. Comparative, not absolute, advantage explains why voluntary trade benefits both parties, while historical trading systems have not always been voluntary. Exchange-rate effects depend on underlying elasticities and conditions, and should never be assumed to be automatic or uniform. Growth and development are related but distinct concepts, with development covering capabilities, structure, and distribution, not output alone.</w:t>
      </w:r>
    </w:p>
    <w:bookmarkEnd w:id="42"/>
    <w:bookmarkEnd w:id="43"/>
    <w:bookmarkStart w:id="49" w:name="Xcc5973ed4eaefa92f30176bc822d42743855d0d"/>
    <w:p>
      <w:pPr>
        <w:pStyle w:val="Heading2"/>
      </w:pPr>
      <w:r>
        <w:t xml:space="preserve">Paper II - Economics of Pakistan (100 Marks)</w:t>
      </w:r>
    </w:p>
    <w:p>
      <w:pPr>
        <w:pStyle w:val="FirstParagraph"/>
      </w:pPr>
      <w:r>
        <w:t xml:space="preserve">This paper is not a list of statistics to memorize. Use the economic theory built up in Paper I to explain Pakistan’s structural issues, institutions, and policy choices, and only then support that analysis with current official evidence — the Pakistan Economic Survey, the Federal Budget, State Bank publications, and current IMF/World Bank material. A single reliable habit runs through every topic here: separate the long-run structural story (which changes slowly) from the latest yearly movement (which changes constantly), so a temporary number never gets mistaken for the underlying explanation.</w:t>
      </w:r>
    </w:p>
    <w:bookmarkStart w:id="44" w:name="X844ebd9ad632a1b41c3b601fafd950c83f58995"/>
    <w:p>
      <w:pPr>
        <w:pStyle w:val="Heading3"/>
      </w:pPr>
      <w:r>
        <w:t xml:space="preserve">A. Measuring Development, Growth versus Redistribution, and Poverty</w:t>
      </w:r>
    </w:p>
    <w:p>
      <w:pPr>
        <w:pStyle w:val="FirstParagraph"/>
      </w:pPr>
      <w:r>
        <w:t xml:space="preserve">Measuring development asks whether people are becoming more productive, secure, and capable, not merely whether nominal output is rising. Common indicators span real GDP per capita, productivity, poverty rates, employment, health, education, inequality, and composite human-development measures.</w:t>
      </w:r>
      <w:r>
        <w:t xml:space="preserve"> </w:t>
      </w:r>
      <w:r>
        <w:t xml:space="preserve">“</w:t>
      </w:r>
      <w:r>
        <w:t xml:space="preserve">Underdevelopment</w:t>
      </w:r>
      <w:r>
        <w:t xml:space="preserve">”</w:t>
      </w:r>
      <w:r>
        <w:t xml:space="preserve"> </w:t>
      </w:r>
      <w:r>
        <w:t xml:space="preserve">is best analyzed through specific structural constraints rather than used as a vague label: low tax-collection capacity, weak learning outcomes, unreliable energy supply, low productivity, and limited formal-sector employment tend to reinforce one another, which is why development problems in practice often arrive as a connected cluster rather than a single isolated weakness.</w:t>
      </w:r>
    </w:p>
    <w:p>
      <w:pPr>
        <w:pStyle w:val="BodyText"/>
      </w:pPr>
      <w:r>
        <w:t xml:space="preserve">Growth expands the overall size of the economy; redistributive justice concerns how the resulting opportunities, burdens, and gains are actually shared. Badly designed policy can create real trade-offs between the two, but growth and inclusion can also reinforce each other, when education, health, fair competition, and social protection raise overall productivity rather than merely redistributing a fixed pie. Example: a subsidy can genuinely help a vulnerable group, but if poorly targeted it can also become fiscally very costly; well-targeted support can protect the same group at a meaningfully lower budget cost — so the productive framing of this debate is efficiency plus equity plus fiscal sustainability together, not</w:t>
      </w:r>
      <w:r>
        <w:t xml:space="preserve"> </w:t>
      </w:r>
      <w:r>
        <w:t xml:space="preserve">“</w:t>
      </w:r>
      <w:r>
        <w:t xml:space="preserve">growth or justice</w:t>
      </w:r>
      <w:r>
        <w:t xml:space="preserve">”</w:t>
      </w:r>
      <w:r>
        <w:t xml:space="preserve"> </w:t>
      </w:r>
      <w:r>
        <w:t xml:space="preserve">treated as strict opposites.</w:t>
      </w:r>
    </w:p>
    <w:p>
      <w:pPr>
        <w:pStyle w:val="BodyText"/>
      </w:pPr>
      <w:r>
        <w:t xml:space="preserve">Absolute poverty compares a person’s resources against a fixed minimum standard; relative poverty compares them against the living standard of the wider society at the same time. The basic-needs approach emphasizes guaranteed minimum access to essentials such as food, shelter, health, and education. Sustainable development means meeting present needs without undermining future generations’ capacity to meet their own — and environmental degradation is very much an economic-development problem, not a separate topic: polluted water, for instance, can raise disease incidence and treatment costs while directly reducing worker productivity.</w:t>
      </w:r>
    </w:p>
    <w:bookmarkEnd w:id="44"/>
    <w:bookmarkStart w:id="45" w:name="X76f97ebec1808f03edbb061413ec8dffbc958ed"/>
    <w:p>
      <w:pPr>
        <w:pStyle w:val="Heading3"/>
      </w:pPr>
      <w:r>
        <w:t xml:space="preserve">B. Planning Experience, Agriculture, and Industry</w:t>
      </w:r>
    </w:p>
    <w:p>
      <w:pPr>
        <w:pStyle w:val="FirstParagraph"/>
      </w:pPr>
      <w:r>
        <w:t xml:space="preserve">Economic planning in Pakistan has moved through different plans, policy regimes, and institutional arrangements over time. The useful exam skill is not memorizing plan names in sequence, but judging each period’s goals, implementation, and actual outcomes together. Planning tends to fail when targets exceed administrative capacity, when policies are inconsistent over time, when incentives for implementers are weak, when projects are poorly selected, or when political or institutional instability disrupts continuity — a plan can contain entirely sound targets on paper yet still underperform if financing is uncertain or agencies fail to coordinate. Strong institutions improve implementation, monitoring, and accountability, which is why institutional quality is as important to development outcomes as the specific policy content of any given plan.</w:t>
      </w:r>
    </w:p>
    <w:p>
      <w:pPr>
        <w:pStyle w:val="BodyText"/>
      </w:pPr>
      <w:r>
        <w:t xml:space="preserve">Agriculture matters for food security, rural incomes, employment, industrial inputs, and exports, and its performance depends jointly on water availability, seed quality, technology, land tenure arrangements, access to finance, functioning markets, and climate conditions. The Green Revolution raised yields substantially through improved seeds, expanded irrigation, and fertilizer use, but its benefits were distributed unevenly wherever farmers’ access to these inputs differed — a farmer with improved seed but unreliable irrigation and no affordable credit may still be unable to adopt the full technology package, illustrating why any single input improvement rarely transforms outcomes on its own. Land-reform debates in Pakistan’s history center on the tension between efficiency, equity, and tenure security, and cooperative farming has been proposed at various points as one way to combine small landholdings into more efficient production units.</w:t>
      </w:r>
    </w:p>
    <w:p>
      <w:pPr>
        <w:pStyle w:val="BodyText"/>
      </w:pPr>
      <w:r>
        <w:t xml:space="preserve">Industrial policy asks how Pakistan built, and can further deepen, its manufacturing capacity, productivity, exports, and technological capability. Early import-substitution strategy protected domestic production behind tariff and other barriers, which can genuinely help a new industry learn and grow — but permanent protection also reduces the competitive pressure that would otherwise push firms toward efficiency, which is the central trade-off in any import-substitution debate. Nationalization expanded state ownership of industry substantially in the 1970s; subsequent privatization and deregulation moved policy in the opposite direction. Export-oriented firms, by contrast, face direct world competition and therefore need reliable energy, logistics, and product standards to compete internationally — a different and generally more demanding requirement than serving a protected domestic market alone.</w:t>
      </w:r>
    </w:p>
    <w:bookmarkEnd w:id="45"/>
    <w:bookmarkStart w:id="46" w:name="X7a77de2cfd591cbb8b45c228530b65862a3c919"/>
    <w:p>
      <w:pPr>
        <w:pStyle w:val="Heading3"/>
      </w:pPr>
      <w:r>
        <w:t xml:space="preserve">C. External Sector, Privatization, and Islamic Banking</w:t>
      </w:r>
    </w:p>
    <w:p>
      <w:pPr>
        <w:pStyle w:val="FirstParagraph"/>
      </w:pPr>
      <w:r>
        <w:t xml:space="preserve">Pakistan’s external sector depends jointly on exports, imports, services trade, remittances, capital flows, borrowing, and foreign-exchange reserves, and a persistent external gap can create sustained pressure on the exchange rate and on financing needs. The terms of trade compare export prices against import prices: if import prices rise sharply while export prices do not, the terms of trade deteriorate, meaning more exports are needed to pay for the same volume of imports as before. Remittances (money sent home by workers abroad) support household income and foreign-exchange availability, but they are not a substitute for genuine export competitiveness, since they depend on migration patterns and destination-country conditions rather than domestic productive capacity. Foreign aid and foreign investment can help finance development, but their real value depends on their cost, attached conditions, technology transfer, effect on productivity, and any repayment obligations involved — none of these forms of external financing should be treated as costless.</w:t>
      </w:r>
    </w:p>
    <w:p>
      <w:pPr>
        <w:pStyle w:val="BodyText"/>
      </w:pPr>
      <w:r>
        <w:t xml:space="preserve">Privatization transfers ownership or control of a state enterprise or state assets to private investors; denationalization specifically reverses an earlier act of nationalization; deregulation reduces or redesigns state controls to increase competition or flexibility in a sector. The economic case for privatization typically includes efficiency gains, new investment, and fiscal relief for government, but the risks include weak competition, undervaluation of the asset sold, disruption to existing jobs, and — importantly — simply creating a private monopoly in place of a public one if the post-privatization regulatory framework is poor. Example: selling a monopoly without an effective regulator can replace a public monopoly with an equally uncompetitive private one, delivering none of the competitive benefits privatization is meant to produce. A sound process for evaluating any privatization requires transparency, genuine competition in the sale process, and a clear regulatory framework established afterward.</w:t>
      </w:r>
    </w:p>
    <w:p>
      <w:pPr>
        <w:pStyle w:val="BodyText"/>
      </w:pPr>
      <w:r>
        <w:t xml:space="preserve">Islamic (interest-free) banking structures finance in accordance with Shariah principles, avoiding conventional interest-based lending in favour of approved sale, lease, partnership, and investment structures. Core contract types include mudarabah (a profit-sharing partnership), musharakah (a joint-venture partnership), murabaha (a cost-plus sale), ijara (a lease), and sukuk (an Islamic financial certificate functioning similarly to a bond but structured around an underlying asset). Example: in a murabaha structure, the bank purchases an asset and then sells it on to the customer at a disclosed mark-up under an agreed contract, rather than extending a conventional interest-bearing cash loan — the economic substance of financing an asset purchase is similar, but the legal and risk structure is genuinely different. A proper economic analysis of Islamic banking examines risk-sharing arrangements, the link to a real underlying asset, governance, liquidity management, and the regulatory transition involved, not merely the Arabic terminology for each contract type.</w:t>
      </w:r>
    </w:p>
    <w:bookmarkEnd w:id="46"/>
    <w:bookmarkStart w:id="47" w:name="Xe669502433eed3870fe6a46f9390b7845314f46"/>
    <w:p>
      <w:pPr>
        <w:pStyle w:val="Heading3"/>
      </w:pPr>
      <w:r>
        <w:t xml:space="preserve">D. Energy, Social Sector Development, and a Connected Framework of Major Issues</w:t>
      </w:r>
    </w:p>
    <w:p>
      <w:pPr>
        <w:pStyle w:val="FirstParagraph"/>
      </w:pPr>
      <w:r>
        <w:t xml:space="preserve">Energy policy aims to provide reliable, affordable, and sustainable energy while keeping the sector’s own finances viable. The major economic questions here include the generation fuel mix, fuel-import dependence, transmission and distribution losses, pricing policy, subsidies, circular debt (unpaid obligations accumulating through the energy supply chain when tariffs are held below actual cost without a properly funded subsidy), investment needs, sector governance, and the ongoing shift toward cleaner energy sources. Example: keeping tariffs below cost without a properly funded subsidy creates unpaid obligations that accumulate through the energy supply chain (this is exactly circular debt), while raising prices abruptly instead can hurt households and industry directly — genuinely good energy-policy design has to manage both of these pressures simultaneously, not treat them as separate problems.</w:t>
      </w:r>
    </w:p>
    <w:p>
      <w:pPr>
        <w:pStyle w:val="BodyText"/>
      </w:pPr>
      <w:r>
        <w:t xml:space="preserve">Social-sector development covers health, education, social protection, and water and sanitation services — areas that build human capability directly. These are not merely welfare spending: better health and stronger learning outcomes raise labour productivity, labour-force participation, and long-run growth, which is why social-sector spending has a genuine economic, not only humanitarian, justification. The central issues are access, quality, equity, financing, the division of responsibilities between provincial and federal government, and implementation capacity. Example: building a new school physically increases access, but learning outcomes do not automatically improve unless teacher quality, student attendance, learning materials, and institutional accountability all function together — access alone is necessary but not sufficient.</w:t>
      </w:r>
    </w:p>
    <w:p>
      <w:pPr>
        <w:pStyle w:val="BodyText"/>
      </w:pPr>
      <w:r>
        <w:t xml:space="preserve">Pakistan’s commonly cited major economic issues — the energy crisis, corruption, weak governance, external debt accumulation, unemployment, income inequality, inflation, fiscal and trade deficits, balance-of-payments pressure, and irrigation-water shortages — should be treated as one interconnected system, not as ten unrelated essay topics. Weak governance can reduce tax collection and the quality of public investment; fiscal deficits raise government borrowing needs; external imbalances increase financing pressure on the exchange rate; energy problems raise production costs across the whole economy; and low productivity together with weak human capital limits both export competitiveness and job creation. Example: a single energy-price shock can raise import costs, widen the trade deficit, increase inflation, raise pressure for fiscal subsidies, and weaken industrial competitiveness, all essentially at the same time — which is exactly why the issues above interact rather than sitting in separate boxes. Corruption itself is best analyzed through institutions, incentives, enforcement, and transparency, rather than treated as a moral slogan disconnected from its economic mechanisms. For any of these issues, a reliable answer structure is: current evidence, then root causes, then the economic transmission mechanism, then the groups or sectors affected, then possible reforms, then the practical constraints on implementing those reforms.</w:t>
      </w:r>
    </w:p>
    <w:p>
      <w:r>
        <w:pict>
          <v:rect style="width:0;height:1.5pt" o:hralign="center" o:hrstd="t" o:hr="t"/>
        </w:pict>
      </w:r>
    </w:p>
    <w:p>
      <w:pPr>
        <w:pStyle w:val="FirstParagraph"/>
      </w:pPr>
      <w:r>
        <w:t xml:space="preserve">Paper II (Economics of Pakistan) key takeaways: always separate a long-run structural weakness from a temporary yearly shock before drawing a policy conclusion. Planning outcomes depend as much on institutional quality and implementation capacity as on the technical soundness of the plan itself. Agricultural and industrial policy both illustrate the same tension between short-run support (irrigation and credit access; import protection) and long-run competitiveness (water productivity and climate resilience; export orientation). Privatization only delivers its promised efficiency gains when it is paired with genuine post-sale competition and effective regulation. Pakistan’s major economic issues form one connected system, in which governance, fiscal, external, energy, and human-capital weaknesses continuously reinforce each other, so a credible reform proposal for any single issue has to acknowledge its links to the others.</w:t>
      </w:r>
    </w:p>
    <w:bookmarkEnd w:id="47"/>
    <w:bookmarkStart w:id="48" w:name="economics-essential-formula-reference"/>
    <w:p>
      <w:pPr>
        <w:pStyle w:val="Heading3"/>
      </w:pPr>
      <w:r>
        <w:t xml:space="preserve">Economics — Essential Formula Reference</w:t>
      </w:r>
    </w:p>
    <w:p>
      <w:pPr>
        <w:numPr>
          <w:ilvl w:val="0"/>
          <w:numId w:val="1002"/>
        </w:numPr>
        <w:pStyle w:val="Compact"/>
      </w:pPr>
      <w:r>
        <w:t xml:space="preserve">Price elasticity of demand: percentage change in quantity demanded divided by percentage change in price (use the absolute value for classifying elastic versus inelastic demand)</w:t>
      </w:r>
    </w:p>
    <w:p>
      <w:pPr>
        <w:numPr>
          <w:ilvl w:val="0"/>
          <w:numId w:val="1002"/>
        </w:numPr>
        <w:pStyle w:val="Compact"/>
      </w:pPr>
      <w:r>
        <w:t xml:space="preserve">National-income identity: Y = C + I + G + (X minus M)</w:t>
      </w:r>
    </w:p>
    <w:p>
      <w:pPr>
        <w:numPr>
          <w:ilvl w:val="0"/>
          <w:numId w:val="1002"/>
        </w:numPr>
        <w:pStyle w:val="Compact"/>
      </w:pPr>
      <w:r>
        <w:t xml:space="preserve">Simple consumption function: C = a + bYd; simple saving: S = Yd minus C</w:t>
      </w:r>
    </w:p>
    <w:p>
      <w:pPr>
        <w:numPr>
          <w:ilvl w:val="0"/>
          <w:numId w:val="1002"/>
        </w:numPr>
        <w:pStyle w:val="Compact"/>
      </w:pPr>
      <w:r>
        <w:t xml:space="preserve">Simple spending multiplier: k = 1/(1 minus MPC), under restrictive model assumptions</w:t>
      </w:r>
    </w:p>
    <w:p>
      <w:pPr>
        <w:numPr>
          <w:ilvl w:val="0"/>
          <w:numId w:val="1002"/>
        </w:numPr>
        <w:pStyle w:val="Compact"/>
      </w:pPr>
      <w:r>
        <w:t xml:space="preserve">Present value: PV = FV/(1+r)^n; future value: FV = PV(1+r)^n</w:t>
      </w:r>
    </w:p>
    <w:p>
      <w:pPr>
        <w:numPr>
          <w:ilvl w:val="0"/>
          <w:numId w:val="1002"/>
        </w:numPr>
        <w:pStyle w:val="Compact"/>
      </w:pPr>
      <w:r>
        <w:t xml:space="preserve">Quantity equation: MV = PY; Cambridge cash-balance form: M = kPY</w:t>
      </w:r>
    </w:p>
    <w:p>
      <w:r>
        <w:pict>
          <v:rect style="width:0;height:1.5pt" o:hralign="center" o:hrstd="t" o:hr="t"/>
        </w:pict>
      </w:r>
    </w:p>
    <w:p>
      <w:pPr>
        <w:pStyle w:val="FirstParagraph"/>
      </w:pPr>
      <w:r>
        <w:t xml:space="preserve">With Economics (Part II) now complete across microeconomics, macroeconomics, money and banking, public finance and international economics, and the Economics of Pakistan, Computer Science (Part III) is next.</w:t>
      </w:r>
    </w:p>
    <w:bookmarkEnd w:id="48"/>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2026-09-20T16:49:16Z</dcterms:created>
  <dcterms:modified xsi:type="dcterms:W3CDTF">2026-09-20T16:49:16Z</dcterms:modified>
</cp:coreProperties>
</file>

<file path=docProps/custom.xml><?xml version="1.0" encoding="utf-8"?>
<Properties xmlns="http://schemas.openxmlformats.org/officeDocument/2006/custom-properties" xmlns:vt="http://schemas.openxmlformats.org/officeDocument/2006/docPropsVTypes"/>
</file>