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5" w:name="subject-4-botany"/>
    <w:p>
      <w:pPr>
        <w:pStyle w:val="Heading1"/>
      </w:pPr>
      <w:r>
        <w:t xml:space="preserve">Subject 4 — Botany</w:t>
      </w:r>
    </w:p>
    <w:bookmarkStart w:id="31" w:name="i.-algae-fungi-and-bryophytes"/>
    <w:p>
      <w:pPr>
        <w:pStyle w:val="Heading2"/>
      </w:pPr>
      <w:r>
        <w:t xml:space="preserve">I. Algae, Fungi and Bryophytes</w:t>
      </w:r>
    </w:p>
    <w:bookmarkStart w:id="20" w:name="Xc9a176d557021f424e00b1446c3c31d4e2ae916"/>
    <w:p>
      <w:pPr>
        <w:pStyle w:val="Heading3"/>
      </w:pPr>
      <w:r>
        <w:t xml:space="preserve">1. Phycology: Algae Distribution and Habitats</w:t>
      </w:r>
    </w:p>
    <w:p>
      <w:pPr>
        <w:pStyle w:val="FirstParagraph"/>
      </w:pPr>
      <w:r>
        <w:t xml:space="preserve">Phycology is the branch of botany dedicated to the study of algae — a highly diverse group of primarily aquatic, photosynthetic organisms ranging from single-celled microscopic forms to large multicellular seaweeds, united mainly by their photosynthetic capability and aquatic or moisture-dependent lifestyle rather than by close evolutionary relationship (algae are, in fact, a polyphyletic group, meaning different algal lineages evolved photosynthesis and their algal characteristics independently rather than from one single common algal ancestor).</w:t>
      </w:r>
    </w:p>
    <w:p>
      <w:pPr>
        <w:pStyle w:val="BodyText"/>
      </w:pPr>
      <w:r>
        <w:rPr>
          <w:bCs/>
          <w:b/>
        </w:rPr>
        <w:t xml:space="preserve">Distribution and habitat diversity.</w:t>
      </w:r>
      <w:r>
        <w:t xml:space="preserve"> </w:t>
      </w:r>
      <w:r>
        <w:t xml:space="preserve">Algae occupy an unusually wide range of habitats given their generally simple structure:</w:t>
      </w:r>
      <w:r>
        <w:t xml:space="preserve"> </w:t>
      </w:r>
      <w:r>
        <w:rPr>
          <w:bCs/>
          <w:b/>
        </w:rPr>
        <w:t xml:space="preserve">marine habitats</w:t>
      </w:r>
      <w:r>
        <w:t xml:space="preserve"> </w:t>
      </w:r>
      <w:r>
        <w:t xml:space="preserve">(from nutrient-rich, sunlit coastal waters supporting dense seaweed and phytoplankton growth, to the open ocean where phytoplankton form the base of marine food webs);</w:t>
      </w:r>
      <w:r>
        <w:t xml:space="preserve"> </w:t>
      </w:r>
      <w:r>
        <w:rPr>
          <w:bCs/>
          <w:b/>
        </w:rPr>
        <w:t xml:space="preserve">freshwater habitats</w:t>
      </w:r>
      <w:r>
        <w:t xml:space="preserve"> </w:t>
      </w:r>
      <w:r>
        <w:t xml:space="preserve">(lakes, ponds, rivers, and streams, where algae contribute significantly to primary production, connecting directly to the food chain and ecosystem productivity concepts covered in Plant Ecology, Topics 53–55); and</w:t>
      </w:r>
      <w:r>
        <w:t xml:space="preserve"> </w:t>
      </w:r>
      <w:r>
        <w:rPr>
          <w:bCs/>
          <w:b/>
        </w:rPr>
        <w:t xml:space="preserve">terrestrial and extreme habitats</w:t>
      </w:r>
      <w:r>
        <w:t xml:space="preserve"> </w:t>
      </w:r>
      <w:r>
        <w:t xml:space="preserve">(algae can be found on damp soil, tree bark, and rock surfaces, and certain specialised algae tolerate extreme conditions including hot springs, snow and ice surfaces, and highly saline environments, reflecting significant physiological adaptability within the group).</w:t>
      </w:r>
    </w:p>
    <w:p>
      <w:pPr>
        <w:pStyle w:val="BodyText"/>
      </w:pPr>
      <w:r>
        <w:rPr>
          <w:bCs/>
          <w:b/>
        </w:rPr>
        <w:t xml:space="preserve">Key factors determining algal distribution.</w:t>
      </w:r>
      <w:r>
        <w:t xml:space="preserve"> </w:t>
      </w:r>
      <w:r>
        <w:t xml:space="preserve">Light availability (since algae are photosynthetic, they require sufficient light penetration, which directly limits the depth at which most algae can grow in water bodies — the</w:t>
      </w:r>
      <w:r>
        <w:t xml:space="preserve"> </w:t>
      </w:r>
      <w:r>
        <w:t xml:space="preserve">“</w:t>
      </w:r>
      <w:r>
        <w:t xml:space="preserve">euphotic zone</w:t>
      </w:r>
      <w:r>
        <w:t xml:space="preserve">”</w:t>
      </w:r>
      <w:r>
        <w:t xml:space="preserve">), nutrient availability (particularly nitrogen and phosphorus, whose excess availability from pollution runoff drives the eutrophication process discussed in the Environmental Sciences subject), temperature, and water chemistry (salinity, pH) together determine which algal species can thrive in a given habitat.</w:t>
      </w:r>
    </w:p>
    <w:p>
      <w:pPr>
        <w:pStyle w:val="BodyText"/>
      </w:pPr>
      <w:r>
        <w:rPr>
          <w:bCs/>
          <w:b/>
        </w:rPr>
        <w:t xml:space="preserve">Ecological and economic significance of algal distribution patterns.</w:t>
      </w:r>
      <w:r>
        <w:t xml:space="preserve"> </w:t>
      </w:r>
      <w:r>
        <w:t xml:space="preserve">Phytoplankton (free-floating microscopic algae) form the foundational base of most aquatic food webs, meaning their distribution and abundance directly determines the productivity of the fisheries discussed in the Agriculture &amp; Forestry subject; understanding algal habitat requirements is also essential for managing eutrophication and harmful algal blooms, and for identifying suitable sites for algae-based aquaculture and biotechnology applications (Topic 4).</w:t>
      </w:r>
    </w:p>
    <w:p>
      <w:pPr>
        <w:pStyle w:val="BodyText"/>
      </w:pPr>
      <w:r>
        <w:rPr>
          <w:bCs/>
          <w:b/>
        </w:rPr>
        <w:t xml:space="preserve">Key Takeaways</w:t>
      </w:r>
    </w:p>
    <w:p>
      <w:pPr>
        <w:numPr>
          <w:ilvl w:val="0"/>
          <w:numId w:val="1001"/>
        </w:numPr>
        <w:pStyle w:val="Compact"/>
      </w:pPr>
      <w:r>
        <w:t xml:space="preserve">Algae occupy marine, freshwater, terrestrial, and extreme habitats, unified by photosynthetic capability rather than close evolutionary relationship (they are polyphyletic).</w:t>
      </w:r>
    </w:p>
    <w:p>
      <w:pPr>
        <w:numPr>
          <w:ilvl w:val="0"/>
          <w:numId w:val="1001"/>
        </w:numPr>
        <w:pStyle w:val="Compact"/>
      </w:pPr>
      <w:r>
        <w:t xml:space="preserve">Light availability, nutrient levels, temperature, and water chemistry are the key factors determining algal distribution.</w:t>
      </w:r>
    </w:p>
    <w:p>
      <w:pPr>
        <w:numPr>
          <w:ilvl w:val="0"/>
          <w:numId w:val="1001"/>
        </w:numPr>
        <w:pStyle w:val="Compact"/>
      </w:pPr>
      <w:r>
        <w:t xml:space="preserve">Phytoplankton’s role as the base of aquatic food webs directly connects algal ecology to fisheries productivity and eutrophication management.</w:t>
      </w:r>
    </w:p>
    <w:bookmarkEnd w:id="20"/>
    <w:bookmarkStart w:id="21" w:name="classification-of-major-algal-groups"/>
    <w:p>
      <w:pPr>
        <w:pStyle w:val="Heading3"/>
      </w:pPr>
      <w:r>
        <w:t xml:space="preserve">2. Classification of Major Algal Groups</w:t>
      </w:r>
    </w:p>
    <w:p>
      <w:pPr>
        <w:pStyle w:val="FirstParagraph"/>
      </w:pPr>
      <w:r>
        <w:t xml:space="preserve">Algae are classified into several major groups (traditionally called</w:t>
      </w:r>
      <w:r>
        <w:t xml:space="preserve"> </w:t>
      </w:r>
      <w:r>
        <w:t xml:space="preserve">“</w:t>
      </w:r>
      <w:r>
        <w:t xml:space="preserve">divisions</w:t>
      </w:r>
      <w:r>
        <w:t xml:space="preserve">”</w:t>
      </w:r>
      <w:r>
        <w:t xml:space="preserve"> </w:t>
      </w:r>
      <w:r>
        <w:t xml:space="preserve">in botanical nomenclature) primarily based on differences in photosynthetic pigment composition, cell wall chemistry, stored food reserves, and flagellar structure — criteria that reflect their genuinely independent evolutionary origins rather than a single unified algal lineage.</w:t>
      </w:r>
    </w:p>
    <w:p>
      <w:pPr>
        <w:pStyle w:val="BodyText"/>
      </w:pPr>
      <w:r>
        <w:rPr>
          <w:bCs/>
          <w:b/>
        </w:rPr>
        <w:t xml:space="preserve">Major algal groups:</w:t>
      </w:r>
    </w:p>
    <w:p>
      <w:pPr>
        <w:numPr>
          <w:ilvl w:val="0"/>
          <w:numId w:val="1002"/>
        </w:numPr>
        <w:pStyle w:val="Compact"/>
      </w:pPr>
      <w:r>
        <w:rPr>
          <w:bCs/>
          <w:b/>
        </w:rPr>
        <w:t xml:space="preserve">Chlorophyta (green algae)</w:t>
      </w:r>
      <w:r>
        <w:t xml:space="preserve"> </w:t>
      </w:r>
      <w:r>
        <w:t xml:space="preserve">— contain chlorophyll a and b (the same pigment combination found in land plants, reflecting green algae’s status as the evolutionary ancestors of land plants, a relationship developed further in the bryophyte and pteridophyte topics that follow), store starch as their food reserve, and range from single-celled forms to complex multicellular seaweeds.</w:t>
      </w:r>
    </w:p>
    <w:p>
      <w:pPr>
        <w:numPr>
          <w:ilvl w:val="0"/>
          <w:numId w:val="1002"/>
        </w:numPr>
        <w:pStyle w:val="Compact"/>
      </w:pPr>
      <w:r>
        <w:rPr>
          <w:bCs/>
          <w:b/>
        </w:rPr>
        <w:t xml:space="preserve">Phaeophyta (brown algae)</w:t>
      </w:r>
      <w:r>
        <w:t xml:space="preserve"> </w:t>
      </w:r>
      <w:r>
        <w:t xml:space="preserve">— contain chlorophyll a and c along with the accessory pigment fucoxanthin (giving them their characteristic brown colour), almost exclusively marine, and include the largest and most structurally complex algae, such as the giant kelps that form extensive underwater</w:t>
      </w:r>
      <w:r>
        <w:t xml:space="preserve"> </w:t>
      </w:r>
      <w:r>
        <w:t xml:space="preserve">“</w:t>
      </w:r>
      <w:r>
        <w:t xml:space="preserve">kelp forest</w:t>
      </w:r>
      <w:r>
        <w:t xml:space="preserve">”</w:t>
      </w:r>
      <w:r>
        <w:t xml:space="preserve"> </w:t>
      </w:r>
      <w:r>
        <w:t xml:space="preserve">ecosystems.</w:t>
      </w:r>
    </w:p>
    <w:p>
      <w:pPr>
        <w:numPr>
          <w:ilvl w:val="0"/>
          <w:numId w:val="1002"/>
        </w:numPr>
        <w:pStyle w:val="Compact"/>
      </w:pPr>
      <w:r>
        <w:rPr>
          <w:bCs/>
          <w:b/>
        </w:rPr>
        <w:t xml:space="preserve">Rhodophyta (red algae)</w:t>
      </w:r>
      <w:r>
        <w:t xml:space="preserve"> </w:t>
      </w:r>
      <w:r>
        <w:t xml:space="preserve">— contain chlorophyll a along with phycobilin pigments (which allow them to absorb the blue-green light wavelengths that penetrate deepest into water, enabling red algae to survive at greater ocean depths than most other algae), predominantly marine.</w:t>
      </w:r>
    </w:p>
    <w:p>
      <w:pPr>
        <w:numPr>
          <w:ilvl w:val="0"/>
          <w:numId w:val="1002"/>
        </w:numPr>
        <w:pStyle w:val="Compact"/>
      </w:pPr>
      <w:r>
        <w:rPr>
          <w:bCs/>
          <w:b/>
        </w:rPr>
        <w:t xml:space="preserve">Bacillariophyta (diatoms)</w:t>
      </w:r>
      <w:r>
        <w:t xml:space="preserve"> </w:t>
      </w:r>
      <w:r>
        <w:t xml:space="preserve">— a major group of single-celled algae with a distinctive silica-based cell wall, ecologically crucial as a dominant component of phytoplankton in both marine and freshwater systems.</w:t>
      </w:r>
    </w:p>
    <w:p>
      <w:pPr>
        <w:numPr>
          <w:ilvl w:val="0"/>
          <w:numId w:val="1002"/>
        </w:numPr>
        <w:pStyle w:val="Compact"/>
      </w:pPr>
      <w:r>
        <w:rPr>
          <w:bCs/>
          <w:b/>
        </w:rPr>
        <w:t xml:space="preserve">Cyanophyta (cyanobacteria/blue-green algae)</w:t>
      </w:r>
      <w:r>
        <w:t xml:space="preserve"> </w:t>
      </w:r>
      <w:r>
        <w:t xml:space="preserve">— technically prokaryotic bacteria rather than true (eukaryotic) algae, but traditionally studied within phycology given their shared photosynthetic, often aquatic ecology; notably capable of nitrogen fixation (connecting to the biological nitrogen fixation discussion in the Agriculture &amp; Forestry subject) and, in some cases, responsible for harmful algal blooms and associated toxin production.</w:t>
      </w:r>
    </w:p>
    <w:p>
      <w:pPr>
        <w:pStyle w:val="FirstParagraph"/>
      </w:pPr>
      <w:r>
        <w:rPr>
          <w:bCs/>
          <w:b/>
        </w:rPr>
        <w:t xml:space="preserve">Why pigment composition is the primary classification criterion.</w:t>
      </w:r>
      <w:r>
        <w:t xml:space="preserve"> </w:t>
      </w:r>
      <w:r>
        <w:t xml:space="preserve">Different photosynthetic pigments absorb different wavelengths of light most efficiently, and this pigment diversity across algal groups reflects adaptation to different light environments (for example, red algae’s phycobilin pigments suit the dim, blue-shifted light available at ocean depth) — making pigment composition both a practically useful classification tool and a biologically meaningful reflection of each group’s ecological niche and evolutionary history.</w:t>
      </w:r>
    </w:p>
    <w:p>
      <w:pPr>
        <w:pStyle w:val="BodyText"/>
      </w:pPr>
      <w:r>
        <w:rPr>
          <w:bCs/>
          <w:b/>
        </w:rPr>
        <w:t xml:space="preserve">Key Takeaways</w:t>
      </w:r>
    </w:p>
    <w:p>
      <w:pPr>
        <w:numPr>
          <w:ilvl w:val="0"/>
          <w:numId w:val="1003"/>
        </w:numPr>
        <w:pStyle w:val="Compact"/>
      </w:pPr>
      <w:r>
        <w:t xml:space="preserve">Major algal groups (Chlorophyta, Phaeophyta, Rhodophyta, Bacillariophyta, Cyanophyta) are distinguished primarily by photosynthetic pigment composition, cell wall chemistry, and stored food reserves.</w:t>
      </w:r>
    </w:p>
    <w:p>
      <w:pPr>
        <w:numPr>
          <w:ilvl w:val="0"/>
          <w:numId w:val="1003"/>
        </w:numPr>
        <w:pStyle w:val="Compact"/>
      </w:pPr>
      <w:r>
        <w:t xml:space="preserve">Chlorophyta (green algae) share pigments with land plants, reflecting their status as land plants’ evolutionary ancestors.</w:t>
      </w:r>
    </w:p>
    <w:p>
      <w:pPr>
        <w:numPr>
          <w:ilvl w:val="0"/>
          <w:numId w:val="1003"/>
        </w:numPr>
        <w:pStyle w:val="Compact"/>
      </w:pPr>
      <w:r>
        <w:t xml:space="preserve">Pigment diversity reflects adaptation to different light environments, explaining why different algal groups dominate different depths and habitats.</w:t>
      </w:r>
    </w:p>
    <w:bookmarkEnd w:id="21"/>
    <w:bookmarkStart w:id="22" w:name="structure-and-life-histories-of-algae"/>
    <w:p>
      <w:pPr>
        <w:pStyle w:val="Heading3"/>
      </w:pPr>
      <w:r>
        <w:t xml:space="preserve">3. Structure and Life Histories of Algae</w:t>
      </w:r>
    </w:p>
    <w:p>
      <w:pPr>
        <w:pStyle w:val="FirstParagraph"/>
      </w:pPr>
      <w:r>
        <w:t xml:space="preserve">Algal body structure (called a</w:t>
      </w:r>
      <w:r>
        <w:t xml:space="preserve"> </w:t>
      </w:r>
      <w:r>
        <w:t xml:space="preserve">“</w:t>
      </w:r>
      <w:r>
        <w:t xml:space="preserve">thallus,</w:t>
      </w:r>
      <w:r>
        <w:t xml:space="preserve">”</w:t>
      </w:r>
      <w:r>
        <w:t xml:space="preserve"> </w:t>
      </w:r>
      <w:r>
        <w:t xml:space="preserve">since it lacks the true differentiated roots, stems, and leaves of higher plants) and life history patterns show enormous diversity across the group, ranging from the simplest possible organismal structure to considerable multicellular complexity.</w:t>
      </w:r>
    </w:p>
    <w:p>
      <w:pPr>
        <w:pStyle w:val="BodyText"/>
      </w:pPr>
      <w:r>
        <w:rPr>
          <w:bCs/>
          <w:b/>
        </w:rPr>
        <w:t xml:space="preserve">Range of thallus organisation.</w:t>
      </w:r>
      <w:r>
        <w:t xml:space="preserve"> </w:t>
      </w:r>
      <w:r>
        <w:rPr>
          <w:bCs/>
          <w:b/>
        </w:rPr>
        <w:t xml:space="preserve">Unicellular forms</w:t>
      </w:r>
      <w:r>
        <w:t xml:space="preserve"> </w:t>
      </w:r>
      <w:r>
        <w:t xml:space="preserve">(a single cell performing all life functions, such as many phytoplankton species);</w:t>
      </w:r>
      <w:r>
        <w:t xml:space="preserve"> </w:t>
      </w:r>
      <w:r>
        <w:rPr>
          <w:bCs/>
          <w:b/>
        </w:rPr>
        <w:t xml:space="preserve">colonial forms</w:t>
      </w:r>
      <w:r>
        <w:t xml:space="preserve"> </w:t>
      </w:r>
      <w:r>
        <w:t xml:space="preserve">(multiple cells living together in a loose association, with some degree of cooperation but limited cell specialisation);</w:t>
      </w:r>
      <w:r>
        <w:t xml:space="preserve"> </w:t>
      </w:r>
      <w:r>
        <w:rPr>
          <w:bCs/>
          <w:b/>
        </w:rPr>
        <w:t xml:space="preserve">filamentous forms</w:t>
      </w:r>
      <w:r>
        <w:t xml:space="preserve"> </w:t>
      </w:r>
      <w:r>
        <w:t xml:space="preserve">(cells arranged in chains, some capable of limited growth direction control); and</w:t>
      </w:r>
      <w:r>
        <w:t xml:space="preserve"> </w:t>
      </w:r>
      <w:r>
        <w:rPr>
          <w:bCs/>
          <w:b/>
        </w:rPr>
        <w:t xml:space="preserve">complex multicellular/parenchymatous forms</w:t>
      </w:r>
      <w:r>
        <w:t xml:space="preserve"> </w:t>
      </w:r>
      <w:r>
        <w:t xml:space="preserve">(as seen in large brown algae like kelp, which develop genuinely differentiated tissue regions performing distinct functions — a holdfast for anchorage, a stipe for structural support, and blade-like structures for photosynthesis, representing a striking case of complex multicellular organisation evolving independently from land plants).</w:t>
      </w:r>
    </w:p>
    <w:p>
      <w:pPr>
        <w:pStyle w:val="BodyText"/>
      </w:pPr>
      <w:r>
        <w:rPr>
          <w:bCs/>
          <w:b/>
        </w:rPr>
        <w:t xml:space="preserve">Algal life history patterns.</w:t>
      </w:r>
      <w:r>
        <w:t xml:space="preserve"> </w:t>
      </w:r>
      <w:r>
        <w:t xml:space="preserve">Many algae show</w:t>
      </w:r>
      <w:r>
        <w:t xml:space="preserve"> </w:t>
      </w:r>
      <w:r>
        <w:t xml:space="preserve">“</w:t>
      </w:r>
      <w:r>
        <w:t xml:space="preserve">alternation of generations</w:t>
      </w:r>
      <w:r>
        <w:t xml:space="preserve">”</w:t>
      </w:r>
      <w:r>
        <w:t xml:space="preserve"> </w:t>
      </w:r>
      <w:r>
        <w:t xml:space="preserve">— a life cycle alternating between a haploid gametophyte generation (producing gametes through mitosis) and a diploid sporophyte generation (producing spores through meiosis) — a pattern of fundamental importance because it is also the defining life history pattern of land plants (bryophytes, pteridophytes, and seed plants, discussed throughout this subject), strongly suggesting this reproductive pattern was inherited from a shared green algal ancestor. Algal alternation of generations can be</w:t>
      </w:r>
      <w:r>
        <w:t xml:space="preserve"> </w:t>
      </w:r>
      <w:r>
        <w:rPr>
          <w:bCs/>
          <w:b/>
        </w:rPr>
        <w:t xml:space="preserve">isomorphic</w:t>
      </w:r>
      <w:r>
        <w:t xml:space="preserve"> </w:t>
      </w:r>
      <w:r>
        <w:t xml:space="preserve">(gametophyte and sporophyte generations look structurally similar) or</w:t>
      </w:r>
      <w:r>
        <w:t xml:space="preserve"> </w:t>
      </w:r>
      <w:r>
        <w:rPr>
          <w:bCs/>
          <w:b/>
        </w:rPr>
        <w:t xml:space="preserve">heteromorphic</w:t>
      </w:r>
      <w:r>
        <w:t xml:space="preserve"> </w:t>
      </w:r>
      <w:r>
        <w:t xml:space="preserve">(the two generations differ significantly in size and structure, as seen in many brown algae, where one generation is often much larger and more conspicuous than the other).</w:t>
      </w:r>
    </w:p>
    <w:p>
      <w:pPr>
        <w:pStyle w:val="BodyText"/>
      </w:pPr>
      <w:r>
        <w:rPr>
          <w:bCs/>
          <w:b/>
        </w:rPr>
        <w:t xml:space="preserve">Why this diversity matters for understanding land plant evolution.</w:t>
      </w:r>
      <w:r>
        <w:t xml:space="preserve"> </w:t>
      </w:r>
      <w:r>
        <w:t xml:space="preserve">The progressive trend visible across algal groups — from simple unicellular organisation toward more complex, differentiated multicellular structure, and the presence of alternation of generations as a shared life history pattern — provides important comparative context for understanding the transition to land plants (bryophytes, Topics 10–11), since land plants are now understood to have evolved from a specific lineage of complex green algae, inheriting and further elaborating this same basic reproductive life-cycle pattern.</w:t>
      </w:r>
    </w:p>
    <w:p>
      <w:pPr>
        <w:pStyle w:val="BodyText"/>
      </w:pPr>
      <w:r>
        <w:rPr>
          <w:bCs/>
          <w:b/>
        </w:rPr>
        <w:t xml:space="preserve">Key Takeaways</w:t>
      </w:r>
    </w:p>
    <w:p>
      <w:pPr>
        <w:numPr>
          <w:ilvl w:val="0"/>
          <w:numId w:val="1004"/>
        </w:numPr>
        <w:pStyle w:val="Compact"/>
      </w:pPr>
      <w:r>
        <w:t xml:space="preserve">Algal body organisation ranges from unicellular to colonial, filamentous, and complex multicellular (parenchymatous) forms, with the largest algae like kelp showing genuine tissue differentiation.</w:t>
      </w:r>
    </w:p>
    <w:p>
      <w:pPr>
        <w:numPr>
          <w:ilvl w:val="0"/>
          <w:numId w:val="1004"/>
        </w:numPr>
        <w:pStyle w:val="Compact"/>
      </w:pPr>
      <w:r>
        <w:t xml:space="preserve">Alternation of generations (haploid gametophyte / diploid sporophyte life cycle) is common in algae and is the same fundamental life history pattern inherited by all land plants.</w:t>
      </w:r>
    </w:p>
    <w:p>
      <w:pPr>
        <w:numPr>
          <w:ilvl w:val="0"/>
          <w:numId w:val="1004"/>
        </w:numPr>
        <w:pStyle w:val="Compact"/>
      </w:pPr>
      <w:r>
        <w:t xml:space="preserve">This shared reproductive pattern and the structural complexity trend across algal groups provide key comparative evidence for land plants’ evolutionary origin from green algae.</w:t>
      </w:r>
    </w:p>
    <w:bookmarkEnd w:id="22"/>
    <w:bookmarkStart w:id="23" w:name="economic-importance-of-algae"/>
    <w:p>
      <w:pPr>
        <w:pStyle w:val="Heading3"/>
      </w:pPr>
      <w:r>
        <w:t xml:space="preserve">4. Economic Importance of Algae</w:t>
      </w:r>
    </w:p>
    <w:p>
      <w:pPr>
        <w:pStyle w:val="FirstParagraph"/>
      </w:pPr>
      <w:r>
        <w:t xml:space="preserve">Algae provide substantial economic and ecological value across food, industrial, agricultural, and environmental applications, extending well beyond their fundamental ecological role as primary producers discussed in Topic 1.</w:t>
      </w:r>
    </w:p>
    <w:p>
      <w:pPr>
        <w:pStyle w:val="BodyText"/>
      </w:pPr>
      <w:r>
        <w:rPr>
          <w:bCs/>
          <w:b/>
        </w:rPr>
        <w:t xml:space="preserve">Food applications.</w:t>
      </w:r>
      <w:r>
        <w:t xml:space="preserve"> </w:t>
      </w:r>
      <w:r>
        <w:t xml:space="preserve">Several algae are directly consumed as human food, particularly various seaweed species long established in East Asian cuisine (such as nori, kelp, and other seaweed products), and increasingly, microalgae (such as</w:t>
      </w:r>
      <w:r>
        <w:t xml:space="preserve"> </w:t>
      </w:r>
      <w:r>
        <w:rPr>
          <w:iCs/>
          <w:i/>
        </w:rPr>
        <w:t xml:space="preserve">Spirulina</w:t>
      </w:r>
      <w:r>
        <w:t xml:space="preserve"> </w:t>
      </w:r>
      <w:r>
        <w:t xml:space="preserve">and</w:t>
      </w:r>
      <w:r>
        <w:t xml:space="preserve"> </w:t>
      </w:r>
      <w:r>
        <w:rPr>
          <w:iCs/>
          <w:i/>
        </w:rPr>
        <w:t xml:space="preserve">Chlorella</w:t>
      </w:r>
      <w:r>
        <w:t xml:space="preserve">) are cultivated as nutrient-dense dietary supplements, valued for their high protein, vitamin, and mineral content.</w:t>
      </w:r>
    </w:p>
    <w:p>
      <w:pPr>
        <w:pStyle w:val="BodyText"/>
      </w:pPr>
      <w:r>
        <w:rPr>
          <w:bCs/>
          <w:b/>
        </w:rPr>
        <w:t xml:space="preserve">Industrial applications.</w:t>
      </w:r>
      <w:r>
        <w:t xml:space="preserve"> </w:t>
      </w:r>
      <w:r>
        <w:t xml:space="preserve">Algae are the source of several economically significant industrial compounds: agar (extracted from certain red algae, essential as a gelling agent in microbiological culture media, and used in food and pharmaceutical applications) and carrageenan and alginate (extracted from red and brown algae respectively, widely used as thickening and stabilising agents in food processing, pharmaceuticals, and cosmetics).</w:t>
      </w:r>
    </w:p>
    <w:p>
      <w:pPr>
        <w:pStyle w:val="BodyText"/>
      </w:pPr>
      <w:r>
        <w:rPr>
          <w:bCs/>
          <w:b/>
        </w:rPr>
        <w:t xml:space="preserve">Agricultural applications.</w:t>
      </w:r>
      <w:r>
        <w:t xml:space="preserve"> </w:t>
      </w:r>
      <w:r>
        <w:t xml:space="preserve">Certain algae, particularly nitrogen-fixing cyanobacteria, can be used as biofertiliser, directly improving soil nitrogen availability (connecting to the biological nitrogen fixation discussion in the Agriculture &amp; Forestry subject) as a lower-input alternative or supplement to synthetic nitrogen fertiliser, particularly relevant for rice cultivation, where cyanobacteria naturally thrive in flooded paddy field conditions.</w:t>
      </w:r>
    </w:p>
    <w:p>
      <w:pPr>
        <w:pStyle w:val="BodyText"/>
      </w:pPr>
      <w:r>
        <w:rPr>
          <w:bCs/>
          <w:b/>
        </w:rPr>
        <w:t xml:space="preserve">Environmental and energy applications.</w:t>
      </w:r>
      <w:r>
        <w:t xml:space="preserve"> </w:t>
      </w:r>
      <w:r>
        <w:t xml:space="preserve">Algae play a role in wastewater treatment (certain algal species can absorb and help remove excess nutrients and some pollutants from wastewater, complementing the bacterial treatment processes discussed in environmental microbiology), and are an actively researched potential source of biofuel (given algae’s rapid growth rate and oil content in some species, offering a theoretically more land-efficient biofuel feedstock than conventional crop-based biofuels, though commercial-scale algal biofuel production remains technically and economically challenging at present).</w:t>
      </w:r>
    </w:p>
    <w:p>
      <w:pPr>
        <w:pStyle w:val="BodyText"/>
      </w:pPr>
      <w:r>
        <w:rPr>
          <w:bCs/>
          <w:b/>
        </w:rPr>
        <w:t xml:space="preserve">Key Takeaways</w:t>
      </w:r>
    </w:p>
    <w:p>
      <w:pPr>
        <w:numPr>
          <w:ilvl w:val="0"/>
          <w:numId w:val="1005"/>
        </w:numPr>
        <w:pStyle w:val="Compact"/>
      </w:pPr>
      <w:r>
        <w:t xml:space="preserve">Algae provide direct food value (seaweed, microalgae supplements) and important industrial compounds (agar, carrageenan, alginate) used across food, pharmaceutical, and cosmetic industries.</w:t>
      </w:r>
    </w:p>
    <w:p>
      <w:pPr>
        <w:numPr>
          <w:ilvl w:val="0"/>
          <w:numId w:val="1005"/>
        </w:numPr>
        <w:pStyle w:val="Compact"/>
      </w:pPr>
      <w:r>
        <w:t xml:space="preserve">Nitrogen-fixing cyanobacteria offer biofertiliser potential, particularly suited to flooded rice cultivation.</w:t>
      </w:r>
    </w:p>
    <w:p>
      <w:pPr>
        <w:numPr>
          <w:ilvl w:val="0"/>
          <w:numId w:val="1005"/>
        </w:numPr>
        <w:pStyle w:val="Compact"/>
      </w:pPr>
      <w:r>
        <w:t xml:space="preserve">Algae contribute to wastewater treatment and represent an actively researched, though not yet fully commercially viable, biofuel feedstock.</w:t>
      </w:r>
    </w:p>
    <w:bookmarkEnd w:id="23"/>
    <w:bookmarkStart w:id="24" w:name="X2769501ea7ca086dbdd57fddf31b218fa3bc841"/>
    <w:p>
      <w:pPr>
        <w:pStyle w:val="Heading3"/>
      </w:pPr>
      <w:r>
        <w:t xml:space="preserve">5. Mycology: Structure and Classification of Fungi</w:t>
      </w:r>
    </w:p>
    <w:p>
      <w:pPr>
        <w:pStyle w:val="FirstParagraph"/>
      </w:pPr>
      <w:r>
        <w:t xml:space="preserve">Mycology, the study of fungi, addresses a kingdom of organisms fundamentally distinct from both plants and algae — fungi are heterotrophic (unlike photosynthetic algae and plants, fungi obtain nutrition by absorbing organic material from their environment, generally through external enzymatic digestion followed by absorption, rather than through photosynthesis), and their cell walls are composed of chitin (the same structural compound found in insect exoskeletons) rather than cellulose (the primary cell wall component in plants and most algae).</w:t>
      </w:r>
    </w:p>
    <w:p>
      <w:pPr>
        <w:pStyle w:val="BodyText"/>
      </w:pPr>
      <w:r>
        <w:rPr>
          <w:bCs/>
          <w:b/>
        </w:rPr>
        <w:t xml:space="preserve">Basic fungal structure.</w:t>
      </w:r>
      <w:r>
        <w:t xml:space="preserve"> </w:t>
      </w:r>
      <w:r>
        <w:t xml:space="preserve">Most fungi (apart from single-celled yeasts) are composed of thread-like filaments called</w:t>
      </w:r>
      <w:r>
        <w:t xml:space="preserve"> </w:t>
      </w:r>
      <w:r>
        <w:rPr>
          <w:bCs/>
          <w:b/>
        </w:rPr>
        <w:t xml:space="preserve">hyphae</w:t>
      </w:r>
      <w:r>
        <w:t xml:space="preserve">, which collectively form a branching network called the</w:t>
      </w:r>
      <w:r>
        <w:t xml:space="preserve"> </w:t>
      </w:r>
      <w:r>
        <w:rPr>
          <w:bCs/>
          <w:b/>
        </w:rPr>
        <w:t xml:space="preserve">mycelium</w:t>
      </w:r>
      <w:r>
        <w:t xml:space="preserve"> </w:t>
      </w:r>
      <w:r>
        <w:t xml:space="preserve">— the main vegetative body of most fungi, typically growing within or through the substrate (soil, decaying organic matter, or a living host) from which the fungus obtains nutrients, with only reproductive structures (such as the visible mushroom</w:t>
      </w:r>
      <w:r>
        <w:t xml:space="preserve"> </w:t>
      </w:r>
      <w:r>
        <w:t xml:space="preserve">“</w:t>
      </w:r>
      <w:r>
        <w:t xml:space="preserve">fruiting body</w:t>
      </w:r>
      <w:r>
        <w:t xml:space="preserve">”</w:t>
      </w:r>
      <w:r>
        <w:t xml:space="preserve"> </w:t>
      </w:r>
      <w:r>
        <w:t xml:space="preserve">of many fungi) typically emerging above the substrate surface.</w:t>
      </w:r>
    </w:p>
    <w:p>
      <w:pPr>
        <w:pStyle w:val="BodyText"/>
      </w:pPr>
      <w:r>
        <w:rPr>
          <w:bCs/>
          <w:b/>
        </w:rPr>
        <w:t xml:space="preserve">Major fungal classification groups</w:t>
      </w:r>
      <w:r>
        <w:t xml:space="preserve">, generally distinguished by their reproductive structures and spore-producing mechanisms:</w:t>
      </w:r>
      <w:r>
        <w:t xml:space="preserve"> </w:t>
      </w:r>
      <w:r>
        <w:rPr>
          <w:bCs/>
          <w:b/>
        </w:rPr>
        <w:t xml:space="preserve">Zygomycota</w:t>
      </w:r>
      <w:r>
        <w:t xml:space="preserve"> </w:t>
      </w:r>
      <w:r>
        <w:t xml:space="preserve">(characterised by sexual reproduction producing a thick-walled resting spore called a zygospore, including common bread moulds);</w:t>
      </w:r>
      <w:r>
        <w:t xml:space="preserve"> </w:t>
      </w:r>
      <w:r>
        <w:rPr>
          <w:bCs/>
          <w:b/>
        </w:rPr>
        <w:t xml:space="preserve">Ascomycota</w:t>
      </w:r>
      <w:r>
        <w:t xml:space="preserve"> </w:t>
      </w:r>
      <w:r>
        <w:t xml:space="preserve">(</w:t>
      </w:r>
      <w:r>
        <w:t xml:space="preserve">“</w:t>
      </w:r>
      <w:r>
        <w:t xml:space="preserve">sac fungi,</w:t>
      </w:r>
      <w:r>
        <w:t xml:space="preserve">”</w:t>
      </w:r>
      <w:r>
        <w:t xml:space="preserve"> </w:t>
      </w:r>
      <w:r>
        <w:t xml:space="preserve">characterised by sexual spores produced within a specialised sac-like structure called an ascus, including yeasts, many common moulds, and morel mushrooms — the largest fungal group by number of described species);</w:t>
      </w:r>
      <w:r>
        <w:t xml:space="preserve"> </w:t>
      </w:r>
      <w:r>
        <w:rPr>
          <w:bCs/>
          <w:b/>
        </w:rPr>
        <w:t xml:space="preserve">Basidiomycota</w:t>
      </w:r>
      <w:r>
        <w:t xml:space="preserve"> </w:t>
      </w:r>
      <w:r>
        <w:t xml:space="preserve">(</w:t>
      </w:r>
      <w:r>
        <w:t xml:space="preserve">“</w:t>
      </w:r>
      <w:r>
        <w:t xml:space="preserve">club fungi,</w:t>
      </w:r>
      <w:r>
        <w:t xml:space="preserve">”</w:t>
      </w:r>
      <w:r>
        <w:t xml:space="preserve"> </w:t>
      </w:r>
      <w:r>
        <w:t xml:space="preserve">characterised by sexual spores produced on a specialised club-shaped structure called a basidium, including the familiar mushroom-forming fungi and also economically significant plant pathogens like rust and smut fungi, directly relevant to the plant pathology topics that follow); and</w:t>
      </w:r>
      <w:r>
        <w:t xml:space="preserve"> </w:t>
      </w:r>
      <w:r>
        <w:rPr>
          <w:bCs/>
          <w:b/>
        </w:rPr>
        <w:t xml:space="preserve">Deuteromycota</w:t>
      </w:r>
      <w:r>
        <w:t xml:space="preserve"> </w:t>
      </w:r>
      <w:r>
        <w:t xml:space="preserve">(</w:t>
      </w:r>
      <w:r>
        <w:t xml:space="preserve">“</w:t>
      </w:r>
      <w:r>
        <w:t xml:space="preserve">imperfect fungi,</w:t>
      </w:r>
      <w:r>
        <w:t xml:space="preserve">”</w:t>
      </w:r>
      <w:r>
        <w:t xml:space="preserve"> </w:t>
      </w:r>
      <w:r>
        <w:t xml:space="preserve">a historically used, informal classification for fungi whose sexual reproductive stage has not been observed or does not exist, and which are therefore classified primarily by their asexual reproductive structures — this category has been substantially revised in modern classification as molecular techniques increasingly reveal these fungi’s true evolutionary relationships within the other major groups).</w:t>
      </w:r>
    </w:p>
    <w:p>
      <w:pPr>
        <w:pStyle w:val="BodyText"/>
      </w:pPr>
      <w:r>
        <w:rPr>
          <w:bCs/>
          <w:b/>
        </w:rPr>
        <w:t xml:space="preserve">Key Takeaways</w:t>
      </w:r>
    </w:p>
    <w:p>
      <w:pPr>
        <w:numPr>
          <w:ilvl w:val="0"/>
          <w:numId w:val="1006"/>
        </w:numPr>
        <w:pStyle w:val="Compact"/>
      </w:pPr>
      <w:r>
        <w:t xml:space="preserve">Fungi are heterotrophic, chitin-walled organisms fundamentally distinct from plants and algae, typically composed of thread-like hyphae forming a mycelium.</w:t>
      </w:r>
    </w:p>
    <w:p>
      <w:pPr>
        <w:numPr>
          <w:ilvl w:val="0"/>
          <w:numId w:val="1006"/>
        </w:numPr>
        <w:pStyle w:val="Compact"/>
      </w:pPr>
      <w:r>
        <w:t xml:space="preserve">Major classification groups (Zygomycota, Ascomycota, Basidiomycota, and the informal Deuteromycota category) are distinguished primarily by their sexual reproductive structures and spore-production mechanisms.</w:t>
      </w:r>
    </w:p>
    <w:p>
      <w:pPr>
        <w:numPr>
          <w:ilvl w:val="0"/>
          <w:numId w:val="1006"/>
        </w:numPr>
        <w:pStyle w:val="Compact"/>
      </w:pPr>
      <w:r>
        <w:t xml:space="preserve">Basidiomycota includes both familiar mushrooms and economically significant plant pathogens (rust, smut fungi), directly connecting fungal classification to plant pathology.</w:t>
      </w:r>
    </w:p>
    <w:bookmarkEnd w:id="24"/>
    <w:bookmarkStart w:id="25" w:name="Xdf0cce9655acc511da1e6ae5a06334e2b41c376"/>
    <w:p>
      <w:pPr>
        <w:pStyle w:val="Heading3"/>
      </w:pPr>
      <w:r>
        <w:t xml:space="preserve">6. Reproduction and Economic Importance of Fungi</w:t>
      </w:r>
    </w:p>
    <w:p>
      <w:pPr>
        <w:pStyle w:val="FirstParagraph"/>
      </w:pPr>
      <w:r>
        <w:t xml:space="preserve">Fungi reproduce through both asexual and sexual mechanisms, often alternating between these strategies depending on environmental conditions, and their economic significance spans major benefits (food, medicine, industrial applications) alongside major costs (plant and human disease, food spoilage).</w:t>
      </w:r>
    </w:p>
    <w:p>
      <w:pPr>
        <w:pStyle w:val="BodyText"/>
      </w:pPr>
      <w:r>
        <w:rPr>
          <w:bCs/>
          <w:b/>
        </w:rPr>
        <w:t xml:space="preserve">Asexual reproduction mechanisms.</w:t>
      </w:r>
      <w:r>
        <w:t xml:space="preserve"> </w:t>
      </w:r>
      <w:r>
        <w:t xml:space="preserve">These include spore production (many fungi produce vast numbers of lightweight asexual spores, called conidia in many groups, enabling rapid dispersal and colonisation of new substrate when environmental conditions are favourable), fragmentation (a piece of mycelium breaking off and growing independently), and budding (particularly in yeasts, where a new cell forms as an outgrowth of the parent cell before separating) — asexual reproduction generally allows rapid population increase when conditions are favourable, since it does not require finding a compatible mating partner.</w:t>
      </w:r>
    </w:p>
    <w:p>
      <w:pPr>
        <w:pStyle w:val="BodyText"/>
      </w:pPr>
      <w:r>
        <w:rPr>
          <w:bCs/>
          <w:b/>
        </w:rPr>
        <w:t xml:space="preserve">Sexual reproduction.</w:t>
      </w:r>
      <w:r>
        <w:t xml:space="preserve"> </w:t>
      </w:r>
      <w:r>
        <w:t xml:space="preserve">This generally involves the fusion of compatible hyphae from genetically distinct individuals, eventually producing the specialised spore-forming structures (zygospores, asci, or basidia) that distinguish the major fungal groups discussed in Topic 5 — sexual reproduction generates genetic recombination and diversity, which can be particularly advantageous for adapting to changing or unfavourable environmental conditions, complementing asexual reproduction’s advantage of rapid proliferation under stable, favourable conditions.</w:t>
      </w:r>
    </w:p>
    <w:p>
      <w:pPr>
        <w:pStyle w:val="BodyText"/>
      </w:pPr>
      <w:r>
        <w:rPr>
          <w:bCs/>
          <w:b/>
        </w:rPr>
        <w:t xml:space="preserve">Beneficial economic importance.</w:t>
      </w:r>
      <w:r>
        <w:t xml:space="preserve"> </w:t>
      </w:r>
      <w:r>
        <w:t xml:space="preserve">These include</w:t>
      </w:r>
      <w:r>
        <w:t xml:space="preserve"> </w:t>
      </w:r>
      <w:r>
        <w:rPr>
          <w:bCs/>
          <w:b/>
        </w:rPr>
        <w:t xml:space="preserve">food applications</w:t>
      </w:r>
      <w:r>
        <w:t xml:space="preserve"> </w:t>
      </w:r>
      <w:r>
        <w:t xml:space="preserve">(edible mushrooms directly consumed as food; yeasts essential to bread-making, through fermentation producing the carbon dioxide that makes dough rise, and to brewing and winemaking, through fermentation producing alcohol; and fungi used in producing fermented foods and specific cheese varieties);</w:t>
      </w:r>
      <w:r>
        <w:t xml:space="preserve"> </w:t>
      </w:r>
      <w:r>
        <w:rPr>
          <w:bCs/>
          <w:b/>
        </w:rPr>
        <w:t xml:space="preserve">medical applications</w:t>
      </w:r>
      <w:r>
        <w:t xml:space="preserve"> </w:t>
      </w:r>
      <w:r>
        <w:t xml:space="preserve">(most famously, the antibiotic penicillin, derived from the</w:t>
      </w:r>
      <w:r>
        <w:t xml:space="preserve"> </w:t>
      </w:r>
      <w:r>
        <w:rPr>
          <w:iCs/>
          <w:i/>
        </w:rPr>
        <w:t xml:space="preserve">Penicillium</w:t>
      </w:r>
      <w:r>
        <w:t xml:space="preserve"> </w:t>
      </w:r>
      <w:r>
        <w:t xml:space="preserve">fungus, representing one of the most significant medical discoveries in history, alongside various other fungi-derived pharmaceutical compounds);</w:t>
      </w:r>
      <w:r>
        <w:t xml:space="preserve"> </w:t>
      </w:r>
      <w:r>
        <w:rPr>
          <w:bCs/>
          <w:b/>
        </w:rPr>
        <w:t xml:space="preserve">industrial applications</w:t>
      </w:r>
      <w:r>
        <w:t xml:space="preserve"> </w:t>
      </w:r>
      <w:r>
        <w:t xml:space="preserve">(fungal enzymes used in various industrial processes, including in detergents, textile processing, and food production); and</w:t>
      </w:r>
      <w:r>
        <w:t xml:space="preserve"> </w:t>
      </w:r>
      <w:r>
        <w:rPr>
          <w:bCs/>
          <w:b/>
        </w:rPr>
        <w:t xml:space="preserve">ecological importance</w:t>
      </w:r>
      <w:r>
        <w:t xml:space="preserve"> </w:t>
      </w:r>
      <w:r>
        <w:t xml:space="preserve">(fungi are major decomposers, breaking down dead organic matter and cycling nutrients back into ecosystems, a role of comparable ecological significance to the decomposer bacteria discussed in environmental microbiology, and many fungi form beneficial mycorrhizal associations with plant roots, discussed further in relation to plant nutrition).</w:t>
      </w:r>
    </w:p>
    <w:p>
      <w:pPr>
        <w:pStyle w:val="BodyText"/>
      </w:pPr>
      <w:r>
        <w:rPr>
          <w:bCs/>
          <w:b/>
        </w:rPr>
        <w:t xml:space="preserve">Harmful economic importance.</w:t>
      </w:r>
      <w:r>
        <w:t xml:space="preserve"> </w:t>
      </w:r>
      <w:r>
        <w:t xml:space="preserve">These include plant disease (Topics 7–9, causing very substantial global crop losses), food spoilage (fungal contamination of stored food, sometimes also producing harmful mycotoxins), and fungal disease in humans and animals.</w:t>
      </w:r>
    </w:p>
    <w:p>
      <w:pPr>
        <w:pStyle w:val="BodyText"/>
      </w:pPr>
      <w:r>
        <w:rPr>
          <w:bCs/>
          <w:b/>
        </w:rPr>
        <w:t xml:space="preserve">Key Takeaways</w:t>
      </w:r>
    </w:p>
    <w:p>
      <w:pPr>
        <w:numPr>
          <w:ilvl w:val="0"/>
          <w:numId w:val="1007"/>
        </w:numPr>
        <w:pStyle w:val="Compact"/>
      </w:pPr>
      <w:r>
        <w:t xml:space="preserve">Fungi reproduce through both asexual mechanisms (spores, fragmentation, budding, enabling rapid proliferation) and sexual reproduction (generating genetic diversity through hyphal fusion).</w:t>
      </w:r>
    </w:p>
    <w:p>
      <w:pPr>
        <w:numPr>
          <w:ilvl w:val="0"/>
          <w:numId w:val="1007"/>
        </w:numPr>
        <w:pStyle w:val="Compact"/>
      </w:pPr>
      <w:r>
        <w:t xml:space="preserve">Beneficial economic roles include food production (mushrooms, yeast fermentation in bread/brewing), medicine (penicillin), industrial enzymes, and essential ecological decomposition and mycorrhizal functions.</w:t>
      </w:r>
    </w:p>
    <w:p>
      <w:pPr>
        <w:numPr>
          <w:ilvl w:val="0"/>
          <w:numId w:val="1007"/>
        </w:numPr>
        <w:pStyle w:val="Compact"/>
      </w:pPr>
      <w:r>
        <w:t xml:space="preserve">Harmful impacts include major crop losses from plant pathogenic fungi, food spoilage, and mycotoxin contamination.</w:t>
      </w:r>
    </w:p>
    <w:bookmarkEnd w:id="25"/>
    <w:bookmarkStart w:id="26" w:name="plant-pathology-disease-concept"/>
    <w:p>
      <w:pPr>
        <w:pStyle w:val="Heading3"/>
      </w:pPr>
      <w:r>
        <w:t xml:space="preserve">7. Plant Pathology: Disease Concept</w:t>
      </w:r>
    </w:p>
    <w:p>
      <w:pPr>
        <w:pStyle w:val="FirstParagraph"/>
      </w:pPr>
      <w:r>
        <w:t xml:space="preserve">Plant pathology is the study of plant diseases — their causes, mechanisms, and management — and understanding the basic concept of plant disease provides essential foundation for the more specific disease and disease-control topics that follow (Topics 8–9).</w:t>
      </w:r>
    </w:p>
    <w:p>
      <w:pPr>
        <w:pStyle w:val="BodyText"/>
      </w:pPr>
      <w:r>
        <w:rPr>
          <w:bCs/>
          <w:b/>
        </w:rPr>
        <w:t xml:space="preserve">Defining plant disease.</w:t>
      </w:r>
      <w:r>
        <w:t xml:space="preserve"> </w:t>
      </w:r>
      <w:r>
        <w:t xml:space="preserve">A plant disease is generally defined as any sustained disruption or impairment of a plant’s normal structure or physiological function, caused by a pathogen (a disease-causing organism, most commonly fungi, though also bacteria, viruses, and certain other organisms) or by non-living (</w:t>
      </w:r>
      <w:r>
        <w:t xml:space="preserve">“</w:t>
      </w:r>
      <w:r>
        <w:t xml:space="preserve">abiotic</w:t>
      </w:r>
      <w:r>
        <w:t xml:space="preserve">”</w:t>
      </w:r>
      <w:r>
        <w:t xml:space="preserve">) factors such as nutrient deficiency, extreme temperature, or pollutant exposure — plant pathology traditionally emphasises biotic (pathogen-caused) disease, though abiotic disorders are also studied given their sometimes similar visible symptoms and the importance of distinguishing between the two for effective management.</w:t>
      </w:r>
    </w:p>
    <w:p>
      <w:pPr>
        <w:pStyle w:val="BodyText"/>
      </w:pPr>
      <w:r>
        <w:rPr>
          <w:bCs/>
          <w:b/>
        </w:rPr>
        <w:t xml:space="preserve">The disease triangle concept.</w:t>
      </w:r>
      <w:r>
        <w:t xml:space="preserve"> </w:t>
      </w:r>
      <w:r>
        <w:t xml:space="preserve">A foundational concept in plant pathology, the disease triangle explains that infectious plant disease requires the simultaneous presence of three interacting factors: a</w:t>
      </w:r>
      <w:r>
        <w:t xml:space="preserve"> </w:t>
      </w:r>
      <w:r>
        <w:rPr>
          <w:bCs/>
          <w:b/>
        </w:rPr>
        <w:t xml:space="preserve">susceptible host plant</w:t>
      </w:r>
      <w:r>
        <w:t xml:space="preserve"> </w:t>
      </w:r>
      <w:r>
        <w:t xml:space="preserve">(with insufficient natural resistance to the pathogen in question), a</w:t>
      </w:r>
      <w:r>
        <w:t xml:space="preserve"> </w:t>
      </w:r>
      <w:r>
        <w:rPr>
          <w:bCs/>
          <w:b/>
        </w:rPr>
        <w:t xml:space="preserve">virulent pathogen</w:t>
      </w:r>
      <w:r>
        <w:t xml:space="preserve"> </w:t>
      </w:r>
      <w:r>
        <w:t xml:space="preserve">(capable of causing disease in that host), and</w:t>
      </w:r>
      <w:r>
        <w:t xml:space="preserve"> </w:t>
      </w:r>
      <w:r>
        <w:rPr>
          <w:bCs/>
          <w:b/>
        </w:rPr>
        <w:t xml:space="preserve">favourable environmental conditions</w:t>
      </w:r>
      <w:r>
        <w:t xml:space="preserve"> </w:t>
      </w:r>
      <w:r>
        <w:t xml:space="preserve">(temperature, humidity, and other conditions that support pathogen growth, spread, and successful infection) — disease will generally not occur, or will occur only mildly, if any one side of this triangle is absent or insufficient, meaning effective disease management (Topic 9) can target any of these three factors (host resistance, pathogen elimination, or environmental modification) rather than only directly attacking the pathogen itself.</w:t>
      </w:r>
    </w:p>
    <w:p>
      <w:pPr>
        <w:pStyle w:val="BodyText"/>
      </w:pPr>
      <w:r>
        <w:rPr>
          <w:bCs/>
          <w:b/>
        </w:rPr>
        <w:t xml:space="preserve">Disease development stages.</w:t>
      </w:r>
      <w:r>
        <w:t xml:space="preserve"> </w:t>
      </w:r>
      <w:r>
        <w:t xml:space="preserve">These typically include inoculation (the pathogen coming into contact with the host plant), penetration (the pathogen entering plant tissue, through natural openings, wounds, or direct penetration mechanisms depending on the specific pathogen), infection (the pathogen establishing itself and beginning to derive nutrition from host tissue), and the incubation period (the time between infection and the appearance of visible disease symptoms) before visible symptoms and, eventually, further pathogen reproduction and spread to new host plants occur.</w:t>
      </w:r>
    </w:p>
    <w:p>
      <w:pPr>
        <w:pStyle w:val="BodyText"/>
      </w:pPr>
      <w:r>
        <w:rPr>
          <w:bCs/>
          <w:b/>
        </w:rPr>
        <w:t xml:space="preserve">Key Takeaways</w:t>
      </w:r>
    </w:p>
    <w:p>
      <w:pPr>
        <w:numPr>
          <w:ilvl w:val="0"/>
          <w:numId w:val="1008"/>
        </w:numPr>
        <w:pStyle w:val="Compact"/>
      </w:pPr>
      <w:r>
        <w:t xml:space="preserve">Plant disease is a sustained disruption of normal plant structure or function, caused by pathogens (biotic) or non-living factors (abiotic).</w:t>
      </w:r>
    </w:p>
    <w:p>
      <w:pPr>
        <w:numPr>
          <w:ilvl w:val="0"/>
          <w:numId w:val="1008"/>
        </w:numPr>
        <w:pStyle w:val="Compact"/>
      </w:pPr>
      <w:r>
        <w:t xml:space="preserve">The disease triangle concept explains that infectious disease requires a susceptible host, a virulent pathogen, and favourable environmental conditions simultaneously — removing any one factor can prevent or limit disease.</w:t>
      </w:r>
    </w:p>
    <w:p>
      <w:pPr>
        <w:numPr>
          <w:ilvl w:val="0"/>
          <w:numId w:val="1008"/>
        </w:numPr>
        <w:pStyle w:val="Compact"/>
      </w:pPr>
      <w:r>
        <w:t xml:space="preserve">Understanding disease development stages (inoculation, penetration, infection, incubation, symptom appearance) underlies effective disease monitoring and management timing.</w:t>
      </w:r>
    </w:p>
    <w:bookmarkEnd w:id="26"/>
    <w:bookmarkStart w:id="27" w:name="diseases-of-economically-important-crops"/>
    <w:p>
      <w:pPr>
        <w:pStyle w:val="Heading3"/>
      </w:pPr>
      <w:r>
        <w:t xml:space="preserve">8. Diseases of Economically Important Crops</w:t>
      </w:r>
    </w:p>
    <w:p>
      <w:pPr>
        <w:pStyle w:val="FirstParagraph"/>
      </w:pPr>
      <w:r>
        <w:t xml:space="preserve">Plant diseases cause very substantial economic losses to agricultural production globally and in Pakistan specifically, and understanding the major disease categories and their causal agents connects directly to the crop sector challenges discussed in the Agriculture &amp; Forestry subject.</w:t>
      </w:r>
    </w:p>
    <w:p>
      <w:pPr>
        <w:pStyle w:val="BodyText"/>
      </w:pPr>
      <w:r>
        <w:rPr>
          <w:bCs/>
          <w:b/>
        </w:rPr>
        <w:t xml:space="preserve">Major disease categories by causal agent:</w:t>
      </w:r>
    </w:p>
    <w:p>
      <w:pPr>
        <w:numPr>
          <w:ilvl w:val="0"/>
          <w:numId w:val="1009"/>
        </w:numPr>
        <w:pStyle w:val="Compact"/>
      </w:pPr>
      <w:r>
        <w:rPr>
          <w:bCs/>
          <w:b/>
        </w:rPr>
        <w:t xml:space="preserve">Fungal diseases</w:t>
      </w:r>
      <w:r>
        <w:t xml:space="preserve"> </w:t>
      </w:r>
      <w:r>
        <w:t xml:space="preserve">— the largest category by number of distinct plant diseases, including rusts (Basidiomycota, Topic 5, causing significant losses in wheat, a crop of major importance to Pakistan’s agricultural economy), smuts (also Basidiomycota, affecting cereal crops), various blights (rapid, often devastating tissue death, such as late blight affecting potato, historically responsible for the Irish Potato Famine, illustrating plant disease’s capacity for severe historical socioeconomic impact), and wilts (fungal infection of a plant’s water-conducting tissue, causing characteristic wilting symptoms even when soil moisture is adequate).</w:t>
      </w:r>
    </w:p>
    <w:p>
      <w:pPr>
        <w:numPr>
          <w:ilvl w:val="0"/>
          <w:numId w:val="1009"/>
        </w:numPr>
        <w:pStyle w:val="Compact"/>
      </w:pPr>
      <w:r>
        <w:rPr>
          <w:bCs/>
          <w:b/>
        </w:rPr>
        <w:t xml:space="preserve">Bacterial diseases</w:t>
      </w:r>
      <w:r>
        <w:t xml:space="preserve"> </w:t>
      </w:r>
      <w:r>
        <w:t xml:space="preserve">— causing symptoms including leaf spots, blights, and wilts, generally requiring wounds or natural openings for infection, and often spread by water splash, insects, or contaminated equipment/seed.</w:t>
      </w:r>
    </w:p>
    <w:p>
      <w:pPr>
        <w:numPr>
          <w:ilvl w:val="0"/>
          <w:numId w:val="1009"/>
        </w:numPr>
        <w:pStyle w:val="Compact"/>
      </w:pPr>
      <w:r>
        <w:rPr>
          <w:bCs/>
          <w:b/>
        </w:rPr>
        <w:t xml:space="preserve">Viral diseases</w:t>
      </w:r>
      <w:r>
        <w:t xml:space="preserve"> </w:t>
      </w:r>
      <w:r>
        <w:t xml:space="preserve">— causing a wide range of symptoms including stunted growth, leaf mosaic patterns (irregular colour patterning), and reduced yield and quality, typically spread by insect vectors (particularly aphids and whiteflies, which feed on plant sap and transmit viruses between plants during feeding) or through infected planting material, and generally not treatable once a plant is infected, making prevention (vector control, disease-free planting material) the primary management approach.</w:t>
      </w:r>
    </w:p>
    <w:p>
      <w:pPr>
        <w:numPr>
          <w:ilvl w:val="0"/>
          <w:numId w:val="1009"/>
        </w:numPr>
        <w:pStyle w:val="Compact"/>
      </w:pPr>
      <w:r>
        <w:rPr>
          <w:bCs/>
          <w:b/>
        </w:rPr>
        <w:t xml:space="preserve">Nematode diseases</w:t>
      </w:r>
      <w:r>
        <w:t xml:space="preserve"> </w:t>
      </w:r>
      <w:r>
        <w:t xml:space="preserve">— caused by microscopic parasitic roundworms that damage plant roots directly and can also serve as entry points or vectors for other pathogens.</w:t>
      </w:r>
    </w:p>
    <w:p>
      <w:pPr>
        <w:pStyle w:val="FirstParagraph"/>
      </w:pPr>
      <w:r>
        <w:rPr>
          <w:bCs/>
          <w:b/>
        </w:rPr>
        <w:t xml:space="preserve">Pakistan-specific significant crop diseases.</w:t>
      </w:r>
      <w:r>
        <w:t xml:space="preserve"> </w:t>
      </w:r>
      <w:r>
        <w:t xml:space="preserve">Cotton leaf curl virus (a major, economically significant viral disease affecting Pakistan’s cotton crop, transmitted by whitefly, and a persistent challenge to cotton productivity given cotton’s central economic importance discussed in the Agriculture &amp; Forestry subject); wheat rust diseases (a recurring threat to Pakistan’s staple wheat crop, requiring ongoing breeding of rust-resistant varieties, connecting to the genetic improvement discussion in Agriculture &amp; Forestry); and various fungal diseases affecting rice, sugarcane, and horticultural crops.</w:t>
      </w:r>
    </w:p>
    <w:p>
      <w:pPr>
        <w:pStyle w:val="BodyText"/>
      </w:pPr>
      <w:r>
        <w:rPr>
          <w:bCs/>
          <w:b/>
        </w:rPr>
        <w:t xml:space="preserve">Key Takeaways</w:t>
      </w:r>
    </w:p>
    <w:p>
      <w:pPr>
        <w:numPr>
          <w:ilvl w:val="0"/>
          <w:numId w:val="1010"/>
        </w:numPr>
        <w:pStyle w:val="Compact"/>
      </w:pPr>
      <w:r>
        <w:t xml:space="preserve">Major plant disease categories include fungal (rusts, smuts, blights, wilts — the largest category), bacterial, viral (typically insect-vector-transmitted and not treatable once infected), and nematode diseases.</w:t>
      </w:r>
    </w:p>
    <w:p>
      <w:pPr>
        <w:numPr>
          <w:ilvl w:val="0"/>
          <w:numId w:val="1010"/>
        </w:numPr>
        <w:pStyle w:val="Compact"/>
      </w:pPr>
      <w:r>
        <w:t xml:space="preserve">Cotton leaf curl virus and wheat rust diseases represent particularly economically significant recurring disease challenges for Pakistani agriculture.</w:t>
      </w:r>
    </w:p>
    <w:p>
      <w:pPr>
        <w:numPr>
          <w:ilvl w:val="0"/>
          <w:numId w:val="1010"/>
        </w:numPr>
        <w:pStyle w:val="Compact"/>
      </w:pPr>
      <w:r>
        <w:t xml:space="preserve">Viral disease management relies primarily on prevention (vector control, clean planting material) rather than treatment after infection, given the absence of direct antiviral treatment for plants.</w:t>
      </w:r>
    </w:p>
    <w:bookmarkEnd w:id="27"/>
    <w:bookmarkStart w:id="28" w:name="X9584b2a3f16c962fd681658d3160eb15cd789c1"/>
    <w:p>
      <w:pPr>
        <w:pStyle w:val="Heading3"/>
      </w:pPr>
      <w:r>
        <w:t xml:space="preserve">9. General Principles of Plant Disease Control</w:t>
      </w:r>
    </w:p>
    <w:p>
      <w:pPr>
        <w:pStyle w:val="FirstParagraph"/>
      </w:pPr>
      <w:r>
        <w:t xml:space="preserve">Plant disease control applies the disease triangle concept from Topic 7 systematically — since disease requires a susceptible host, virulent pathogen, and favourable environment simultaneously, effective control strategies can target any of these three factors, generally achieving the most sustainable and effective results when multiple approaches are combined, directly echoing the Integrated Pest Management philosophy discussed in the Agriculture &amp; Forestry subject.</w:t>
      </w:r>
    </w:p>
    <w:p>
      <w:pPr>
        <w:pStyle w:val="BodyText"/>
      </w:pPr>
      <w:r>
        <w:rPr>
          <w:bCs/>
          <w:b/>
        </w:rPr>
        <w:t xml:space="preserve">Host-focused strategies.</w:t>
      </w:r>
      <w:r>
        <w:t xml:space="preserve"> </w:t>
      </w:r>
      <w:r>
        <w:t xml:space="preserve">These include breeding and planting disease-resistant crop varieties (connecting to the genetic crop improvement discussion in the Agriculture &amp; Forestry subject, and generally considered one of the most cost-effective and environmentally sustainable disease management approaches, since resistance is built into the plant itself rather than requiring ongoing external intervention) and maintaining overall plant health and vigour through proper nutrition and growing conditions (since stressed or nutrient-deficient plants are frequently more susceptible to disease).</w:t>
      </w:r>
    </w:p>
    <w:p>
      <w:pPr>
        <w:pStyle w:val="BodyText"/>
      </w:pPr>
      <w:r>
        <w:rPr>
          <w:bCs/>
          <w:b/>
        </w:rPr>
        <w:t xml:space="preserve">Pathogen-focused strategies.</w:t>
      </w:r>
      <w:r>
        <w:t xml:space="preserve"> </w:t>
      </w:r>
      <w:r>
        <w:t xml:space="preserve">These include chemical control (fungicides and bactericides, applied preventively or, for some diseases, after early symptom detection, though raising similar environmental and resistance-development concerns discussed for pesticides in the Agriculture &amp; Forestry subject’s crop protection topics); sanitation practices (removing and destroying infected plant material to reduce pathogen inoculum available to infect healthy plants, and cleaning equipment between uses to avoid mechanically spreading pathogens); and using certified, pathogen-free planting material and seed (directly connecting to the seed technology and certification discussion in the Agriculture &amp; Forestry subject) to avoid introducing disease into a new planting from the outset.</w:t>
      </w:r>
    </w:p>
    <w:p>
      <w:pPr>
        <w:pStyle w:val="BodyText"/>
      </w:pPr>
      <w:r>
        <w:rPr>
          <w:bCs/>
          <w:b/>
        </w:rPr>
        <w:t xml:space="preserve">Environment-focused strategies.</w:t>
      </w:r>
      <w:r>
        <w:t xml:space="preserve"> </w:t>
      </w:r>
      <w:r>
        <w:t xml:space="preserve">These include crop rotation (avoiding continuous planting of the same or related susceptible crop species in the same field, which allows soil-borne pathogen populations to decline between susceptible crop cycles, connecting to the broader crop rotation benefits discussed in the Agriculture &amp; Forestry subject); adjusting planting density and irrigation practices to reduce humidity levels around plants (since many fungal and bacterial pathogens thrive in high-humidity conditions); and adjusting planting timing to avoid periods when environmental conditions are most favourable for a specific disease’s development.</w:t>
      </w:r>
    </w:p>
    <w:p>
      <w:pPr>
        <w:pStyle w:val="BodyText"/>
      </w:pPr>
      <w:r>
        <w:rPr>
          <w:bCs/>
          <w:b/>
        </w:rPr>
        <w:t xml:space="preserve">Vector control</w:t>
      </w:r>
      <w:r>
        <w:t xml:space="preserve"> </w:t>
      </w:r>
      <w:r>
        <w:t xml:space="preserve">(specifically for insect-vector-transmitted viral diseases, Topic 8) — managing the insect populations (such as whiteflies transmitting cotton leaf curl virus) that spread viral pathogens between plants, since directly treating viral infection itself is generally not possible.</w:t>
      </w:r>
    </w:p>
    <w:p>
      <w:pPr>
        <w:pStyle w:val="BodyText"/>
      </w:pPr>
      <w:r>
        <w:rPr>
          <w:bCs/>
          <w:b/>
        </w:rPr>
        <w:t xml:space="preserve">Why an integrated, multi-pronged approach is most effective.</w:t>
      </w:r>
      <w:r>
        <w:t xml:space="preserve"> </w:t>
      </w:r>
      <w:r>
        <w:t xml:space="preserve">As with Integrated Pest Management, relying on any single disease control strategy alone tends to be less sustainable and less effective over time (particularly given the risk of pathogens developing resistance to repeatedly used chemical controls) than strategically combining resistant varieties, sanitation, appropriate cultural practices, and judicious chemical control when genuinely necessary.</w:t>
      </w:r>
    </w:p>
    <w:p>
      <w:pPr>
        <w:pStyle w:val="BodyText"/>
      </w:pPr>
      <w:r>
        <w:rPr>
          <w:bCs/>
          <w:b/>
        </w:rPr>
        <w:t xml:space="preserve">Key Takeaways</w:t>
      </w:r>
    </w:p>
    <w:p>
      <w:pPr>
        <w:numPr>
          <w:ilvl w:val="0"/>
          <w:numId w:val="1011"/>
        </w:numPr>
        <w:pStyle w:val="Compact"/>
      </w:pPr>
      <w:r>
        <w:t xml:space="preserve">Disease control strategies target the disease triangle’s three factors: host resistance (resistant varieties, plant health), pathogen reduction (chemical control, sanitation, clean planting material), and environmental modification (crop rotation, humidity/density management).</w:t>
      </w:r>
    </w:p>
    <w:p>
      <w:pPr>
        <w:numPr>
          <w:ilvl w:val="0"/>
          <w:numId w:val="1011"/>
        </w:numPr>
        <w:pStyle w:val="Compact"/>
      </w:pPr>
      <w:r>
        <w:t xml:space="preserve">Vector control is the primary management approach for insect-transmitted viral diseases, since direct antiviral treatment is generally unavailable.</w:t>
      </w:r>
    </w:p>
    <w:p>
      <w:pPr>
        <w:numPr>
          <w:ilvl w:val="0"/>
          <w:numId w:val="1011"/>
        </w:numPr>
        <w:pStyle w:val="Compact"/>
      </w:pPr>
      <w:r>
        <w:t xml:space="preserve">An integrated, multi-pronged approach combining several strategies is generally more sustainable and effective than reliance on any single control method alone, echoing Integrated Pest Management principles.</w:t>
      </w:r>
    </w:p>
    <w:bookmarkEnd w:id="28"/>
    <w:bookmarkStart w:id="29" w:name="bryophytes-structure-and-reproduction"/>
    <w:p>
      <w:pPr>
        <w:pStyle w:val="Heading3"/>
      </w:pPr>
      <w:r>
        <w:t xml:space="preserve">10. Bryophytes: Structure and Reproduction</w:t>
      </w:r>
    </w:p>
    <w:p>
      <w:pPr>
        <w:pStyle w:val="FirstParagraph"/>
      </w:pPr>
      <w:r>
        <w:t xml:space="preserve">Bryophytes — comprising mosses, liverworts, and hornworts — represent the simplest and evolutionarily earliest-diverging group of land plants, occupying a transitional position between fully aquatic algae (Topics 1–4) and the more structurally complex vascular land plants (pteridophytes, gymnosperms, and angiosperms) discussed throughout the rest of this subject.</w:t>
      </w:r>
    </w:p>
    <w:p>
      <w:pPr>
        <w:pStyle w:val="BodyText"/>
      </w:pPr>
      <w:r>
        <w:rPr>
          <w:bCs/>
          <w:b/>
        </w:rPr>
        <w:t xml:space="preserve">Structural characteristics.</w:t>
      </w:r>
      <w:r>
        <w:t xml:space="preserve"> </w:t>
      </w:r>
      <w:r>
        <w:t xml:space="preserve">Bryophytes lack true vascular tissue (the specialised water and nutrient-conducting tissues, xylem and phloem, found in</w:t>
      </w:r>
      <w:r>
        <w:t xml:space="preserve"> </w:t>
      </w:r>
      <w:r>
        <w:t xml:space="preserve">“</w:t>
      </w:r>
      <w:r>
        <w:t xml:space="preserve">higher</w:t>
      </w:r>
      <w:r>
        <w:t xml:space="preserve">”</w:t>
      </w:r>
      <w:r>
        <w:t xml:space="preserve"> </w:t>
      </w:r>
      <w:r>
        <w:t xml:space="preserve">vascular plants) and consequently lack true roots, stems, and leaves in the strict anatomical sense — instead possessing simpler analogous structures: rhizoids (thread-like structures anchoring the plant and absorbing some water and nutrients, but lacking true root’s internal vascular structure), and, in mosses specifically, simple leaf-like and stem-like structures without true vascular tissue. This absence of vascular tissue is the fundamental reason bryophytes are generally small in stature and restricted to consistently moist habitats — without vascular tissue to efficiently transport water from soil to aerial plant parts, bryophytes depend on direct water absorption across their surface, limiting both their maximum size and their ability to survive in drier conditions.</w:t>
      </w:r>
    </w:p>
    <w:p>
      <w:pPr>
        <w:pStyle w:val="BodyText"/>
      </w:pPr>
      <w:r>
        <w:rPr>
          <w:bCs/>
          <w:b/>
        </w:rPr>
        <w:t xml:space="preserve">Reproductive biology.</w:t>
      </w:r>
      <w:r>
        <w:t xml:space="preserve"> </w:t>
      </w:r>
      <w:r>
        <w:t xml:space="preserve">Bryophytes show a particularly pronounced version of the alternation of generations life cycle introduced in the algae discussion (Topic 3), with a crucial distinguishing feature developed further in Topic 11: the</w:t>
      </w:r>
      <w:r>
        <w:t xml:space="preserve"> </w:t>
      </w:r>
      <w:r>
        <w:rPr>
          <w:bCs/>
          <w:b/>
        </w:rPr>
        <w:t xml:space="preserve">gametophyte generation is dominant</w:t>
      </w:r>
      <w:r>
        <w:t xml:space="preserve"> </w:t>
      </w:r>
      <w:r>
        <w:t xml:space="preserve">— it is the larger, longer-lived, photosynthetically independent generation that represents what we typically recognise as</w:t>
      </w:r>
      <w:r>
        <w:t xml:space="preserve"> </w:t>
      </w:r>
      <w:r>
        <w:t xml:space="preserve">“</w:t>
      </w:r>
      <w:r>
        <w:t xml:space="preserve">the moss</w:t>
      </w:r>
      <w:r>
        <w:t xml:space="preserve">”</w:t>
      </w:r>
      <w:r>
        <w:t xml:space="preserve"> </w:t>
      </w:r>
      <w:r>
        <w:t xml:space="preserve">or</w:t>
      </w:r>
      <w:r>
        <w:t xml:space="preserve"> </w:t>
      </w:r>
      <w:r>
        <w:t xml:space="preserve">“</w:t>
      </w:r>
      <w:r>
        <w:t xml:space="preserve">the liverwort</w:t>
      </w:r>
      <w:r>
        <w:t xml:space="preserve">”</w:t>
      </w:r>
      <w:r>
        <w:t xml:space="preserve"> </w:t>
      </w:r>
      <w:r>
        <w:t xml:space="preserve">in the field, while the</w:t>
      </w:r>
      <w:r>
        <w:t xml:space="preserve"> </w:t>
      </w:r>
      <w:r>
        <w:rPr>
          <w:bCs/>
          <w:b/>
        </w:rPr>
        <w:t xml:space="preserve">sporophyte generation is smaller, shorter-lived, and remains physically attached to and nutritionally dependent on the gametophyte</w:t>
      </w:r>
      <w:r>
        <w:t xml:space="preserve"> </w:t>
      </w:r>
      <w:r>
        <w:t xml:space="preserve">throughout its life, never becoming an independent plant.</w:t>
      </w:r>
    </w:p>
    <w:p>
      <w:pPr>
        <w:pStyle w:val="BodyText"/>
      </w:pPr>
      <w:r>
        <w:rPr>
          <w:bCs/>
          <w:b/>
        </w:rPr>
        <w:t xml:space="preserve">Reproductive process.</w:t>
      </w:r>
      <w:r>
        <w:t xml:space="preserve"> </w:t>
      </w:r>
      <w:r>
        <w:t xml:space="preserve">The gametophyte produces gametes (sperm and egg) in specialised reproductive structures; because bryophyte sperm must physically swim through a film of water to reach and fertilise the egg (bryophytes having no pollen or other mechanism for fertilisation independent of external water), successful sexual reproduction absolutely requires at least a thin film of surface moisture, directly explaining bryophytes’ restriction to consistently moist habitats and representing a key evolutionary limitation that later land plant groups (beginning with pteridophytes, and more fully with seed plants) progressively overcame.</w:t>
      </w:r>
    </w:p>
    <w:p>
      <w:pPr>
        <w:pStyle w:val="BodyText"/>
      </w:pPr>
      <w:r>
        <w:rPr>
          <w:bCs/>
          <w:b/>
        </w:rPr>
        <w:t xml:space="preserve">Key Takeaways</w:t>
      </w:r>
    </w:p>
    <w:p>
      <w:pPr>
        <w:numPr>
          <w:ilvl w:val="0"/>
          <w:numId w:val="1012"/>
        </w:numPr>
        <w:pStyle w:val="Compact"/>
      </w:pPr>
      <w:r>
        <w:t xml:space="preserve">Bryophytes (mosses, liverworts, hornworts) lack true vascular tissue and true roots/stems/leaves, restricting them to small size and consistently moist habitats.</w:t>
      </w:r>
    </w:p>
    <w:p>
      <w:pPr>
        <w:numPr>
          <w:ilvl w:val="0"/>
          <w:numId w:val="1012"/>
        </w:numPr>
        <w:pStyle w:val="Compact"/>
      </w:pPr>
      <w:r>
        <w:t xml:space="preserve">Their alternation of generations life cycle is distinguished by gametophyte dominance — the gametophyte is the larger, independent generation, while the sporophyte remains small and permanently dependent on it.</w:t>
      </w:r>
    </w:p>
    <w:p>
      <w:pPr>
        <w:numPr>
          <w:ilvl w:val="0"/>
          <w:numId w:val="1012"/>
        </w:numPr>
        <w:pStyle w:val="Compact"/>
      </w:pPr>
      <w:r>
        <w:t xml:space="preserve">Bryophyte reproduction requires external water for sperm to swim to the egg, a key limitation that later land plant groups progressively overcame.</w:t>
      </w:r>
    </w:p>
    <w:bookmarkEnd w:id="29"/>
    <w:bookmarkStart w:id="30" w:name="X521856e9fbf98f452fc2de1d23258d869df7ecd"/>
    <w:p>
      <w:pPr>
        <w:pStyle w:val="Heading3"/>
      </w:pPr>
      <w:r>
        <w:t xml:space="preserve">11. Evolution of Gametophyte and Sporophyte in Bryophytes</w:t>
      </w:r>
    </w:p>
    <w:p>
      <w:pPr>
        <w:pStyle w:val="FirstParagraph"/>
      </w:pPr>
      <w:r>
        <w:t xml:space="preserve">This topic examines the evolutionary trajectory of the gametophyte-sporophyte relationship across land plant evolution, using bryophytes as the crucial starting point for understanding a pattern that reverses dramatically across the rest of land plant evolution — a trend of major significance for understanding the classification and evolutionary topics addressed throughout this subject (Pteridophytes, Topics 12–14; Gymnosperms, Topics 15–18).</w:t>
      </w:r>
    </w:p>
    <w:p>
      <w:pPr>
        <w:pStyle w:val="BodyText"/>
      </w:pPr>
      <w:r>
        <w:rPr>
          <w:bCs/>
          <w:b/>
        </w:rPr>
        <w:t xml:space="preserve">The bryophyte starting point: gametophyte dominance.</w:t>
      </w:r>
      <w:r>
        <w:t xml:space="preserve"> </w:t>
      </w:r>
      <w:r>
        <w:t xml:space="preserve">As established in Topic 10, bryophytes show the gametophyte generation as dominant (larger, independent, photosynthetic) with the sporophyte generation reduced, small, and permanently dependent on the gametophyte for nutrition and physical support.</w:t>
      </w:r>
    </w:p>
    <w:p>
      <w:pPr>
        <w:pStyle w:val="BodyText"/>
      </w:pPr>
      <w:r>
        <w:rPr>
          <w:bCs/>
          <w:b/>
        </w:rPr>
        <w:t xml:space="preserve">The evolutionary trend across land plants: progressive sporophyte dominance.</w:t>
      </w:r>
      <w:r>
        <w:t xml:space="preserve"> </w:t>
      </w:r>
      <w:r>
        <w:t xml:space="preserve">Moving from bryophytes through pteridophytes (ferns and their relatives) to gymnosperms and finally angiosperms (flowering plants), land plant evolution shows a clear and consistent trend toward increasing sporophyte dominance and independence, with a corresponding reduction in gametophyte size and independence: in pteridophytes, the sporophyte becomes the large, independent, dominant generation (the visible fern plant is the sporophyte), while the gametophyte, though still a separate, free-living structure capable of independent photosynthesis, is now much smaller than the sporophyte; in seed plants (gymnosperms and angiosperms), this trend continues to its logical extreme — the gametophyte generation becomes so reduced that it is microscopic and entirely dependent on and enclosed within the sporophyte’s tissues (the pollen grain and embryo sac representing the extremely reduced male and female gametophyte generations respectively, discussed further in Topics 24–25), no longer capable of any independent existence at all.</w:t>
      </w:r>
    </w:p>
    <w:p>
      <w:pPr>
        <w:pStyle w:val="BodyText"/>
      </w:pPr>
      <w:r>
        <w:rPr>
          <w:bCs/>
          <w:b/>
        </w:rPr>
        <w:t xml:space="preserve">Why this evolutionary trend occurred.</w:t>
      </w:r>
      <w:r>
        <w:t xml:space="preserve"> </w:t>
      </w:r>
      <w:r>
        <w:t xml:space="preserve">The shift toward sporophyte dominance is generally understood as an adaptation to terrestrial life away from the constant moisture bryophytes depend on: because the diploid sporophyte generation carries two copies of each chromosome (compared to the gametophyte’s single copy), it is generally better able to mask potentially harmful recessive mutations and may offer greater physiological resilience; more directly, a larger, more robust, vascular-tissue-equipped sporophyte generation is far better suited than a small, delicate gametophyte to withstand the physical and environmental challenges of terrestrial existence (gravity, desiccation risk, mechanical stress) away from the aquatic or constantly moist conditions bryophytes and algae depend on.</w:t>
      </w:r>
    </w:p>
    <w:p>
      <w:pPr>
        <w:pStyle w:val="BodyText"/>
      </w:pPr>
      <w:r>
        <w:rPr>
          <w:bCs/>
          <w:b/>
        </w:rPr>
        <w:t xml:space="preserve">Key Takeaways</w:t>
      </w:r>
    </w:p>
    <w:p>
      <w:pPr>
        <w:numPr>
          <w:ilvl w:val="0"/>
          <w:numId w:val="1013"/>
        </w:numPr>
        <w:pStyle w:val="Compact"/>
      </w:pPr>
      <w:r>
        <w:t xml:space="preserve">Land plant evolution shows a consistent trend from bryophyte gametophyte dominance toward increasing sporophyte dominance in pteridophytes, and finally extreme sporophyte dominance with microscopic, fully dependent gametophytes in seed plants.</w:t>
      </w:r>
    </w:p>
    <w:p>
      <w:pPr>
        <w:numPr>
          <w:ilvl w:val="0"/>
          <w:numId w:val="1013"/>
        </w:numPr>
        <w:pStyle w:val="Compact"/>
      </w:pPr>
      <w:r>
        <w:t xml:space="preserve">This shift reflects adaptation to terrestrial life, since the larger, more robust, vascular-tissue-equipped sporophyte generation better withstands the physical challenges of life away from constant moisture.</w:t>
      </w:r>
    </w:p>
    <w:p>
      <w:pPr>
        <w:numPr>
          <w:ilvl w:val="0"/>
          <w:numId w:val="1013"/>
        </w:numPr>
        <w:pStyle w:val="Compact"/>
      </w:pPr>
      <w:r>
        <w:t xml:space="preserve">The pollen grain and embryo sac in seed plants represent the extremely reduced, no-longer-independent male and female gametophyte generations, directly continuing this evolutionary trajectory.</w:t>
      </w:r>
    </w:p>
    <w:bookmarkEnd w:id="30"/>
    <w:bookmarkEnd w:id="31"/>
    <w:bookmarkStart w:id="39" w:name="ii.-pteridophyta-and-gymnosperms"/>
    <w:p>
      <w:pPr>
        <w:pStyle w:val="Heading2"/>
      </w:pPr>
      <w:r>
        <w:t xml:space="preserve">II. Pteridophyta and Gymnosperms</w:t>
      </w:r>
    </w:p>
    <w:bookmarkStart w:id="32" w:name="pteridophytes-general-account"/>
    <w:p>
      <w:pPr>
        <w:pStyle w:val="Heading3"/>
      </w:pPr>
      <w:r>
        <w:t xml:space="preserve">12. Pteridophytes: General Account</w:t>
      </w:r>
    </w:p>
    <w:p>
      <w:pPr>
        <w:pStyle w:val="FirstParagraph"/>
      </w:pPr>
      <w:r>
        <w:t xml:space="preserve">Pteridophytes — ferns and their close relatives (including horsetails and club mosses) — represent the first group of land plants to evolve true vascular tissue, marking a significant evolutionary advance beyond bryophytes and enabling substantially greater size, structural complexity, and habitat range.</w:t>
      </w:r>
    </w:p>
    <w:p>
      <w:pPr>
        <w:pStyle w:val="BodyText"/>
      </w:pPr>
      <w:r>
        <w:rPr>
          <w:bCs/>
          <w:b/>
        </w:rPr>
        <w:t xml:space="preserve">Key defining characteristics.</w:t>
      </w:r>
      <w:r>
        <w:t xml:space="preserve"> </w:t>
      </w:r>
      <w:r>
        <w:t xml:space="preserve">The presence of true vascular tissue (xylem, conducting water and dissolved minerals upward from roots, and phloem, conducting sugars produced by photosynthesis to other parts of the plant) is the single most significant advance distinguishing pteridophytes from bryophytes, directly enabling true roots (anchoring the plant and enabling efficient water/nutrient absorption from soil), true stems (providing structural support that allows greater height, improving access to sunlight relative to competing vegetation), and true leaves (increasing photosynthetic surface area). Unlike seed plants (gymnosperms and angiosperms), pteridophytes reproduce via spores rather than seeds, and, as noted in Topic 11, still require external water for fertilisation (motile sperm swimming to the egg), restricting them, like bryophytes, to moist habitats, though their vascular tissue allows considerably greater size and somewhat greater habitat tolerance than bryophytes.</w:t>
      </w:r>
    </w:p>
    <w:p>
      <w:pPr>
        <w:pStyle w:val="BodyText"/>
      </w:pPr>
      <w:r>
        <w:rPr>
          <w:bCs/>
          <w:b/>
        </w:rPr>
        <w:t xml:space="preserve">Habitat and ecological distribution.</w:t>
      </w:r>
      <w:r>
        <w:t xml:space="preserve"> </w:t>
      </w:r>
      <w:r>
        <w:t xml:space="preserve">Pteridophytes are most diverse and abundant in humid tropical and temperate forest environments, particularly as forest understorey vegetation where consistent moisture supports their water-dependent reproduction, though some pteridophyte species have adapted to drier conditions through various physiological and structural adaptations.</w:t>
      </w:r>
    </w:p>
    <w:p>
      <w:pPr>
        <w:pStyle w:val="BodyText"/>
      </w:pPr>
      <w:r>
        <w:rPr>
          <w:bCs/>
          <w:b/>
        </w:rPr>
        <w:t xml:space="preserve">Evolutionary and historical significance.</w:t>
      </w:r>
      <w:r>
        <w:t xml:space="preserve"> </w:t>
      </w:r>
      <w:r>
        <w:t xml:space="preserve">Pteridophytes were the dominant land plant group during a significant portion of the Paleozoic era (particularly the Carboniferous period), when extensive pteridophyte forests (including tree-sized relatives of modern, much smaller horsetails and club mosses) covered large areas of the Earth — the fossilised remains of these ancient pteridophyte forests are understood to be the primary source of many of today’s coal deposits, connecting this ancient plant group directly to a resource of major ongoing economic and environmental significance (fossil fuel combustion, discussed extensively in the Environmental Sciences subject’s climate change topics).</w:t>
      </w:r>
    </w:p>
    <w:p>
      <w:pPr>
        <w:pStyle w:val="BodyText"/>
      </w:pPr>
      <w:r>
        <w:rPr>
          <w:bCs/>
          <w:b/>
        </w:rPr>
        <w:t xml:space="preserve">Key Takeaways</w:t>
      </w:r>
    </w:p>
    <w:p>
      <w:pPr>
        <w:numPr>
          <w:ilvl w:val="0"/>
          <w:numId w:val="1014"/>
        </w:numPr>
        <w:pStyle w:val="Compact"/>
      </w:pPr>
      <w:r>
        <w:t xml:space="preserve">Pteridophytes (ferns and relatives) are the first land plant group to evolve true vascular tissue, enabling true roots, stems, and leaves and substantially greater size than bryophytes.</w:t>
      </w:r>
    </w:p>
    <w:p>
      <w:pPr>
        <w:numPr>
          <w:ilvl w:val="0"/>
          <w:numId w:val="1014"/>
        </w:numPr>
        <w:pStyle w:val="Compact"/>
      </w:pPr>
      <w:r>
        <w:t xml:space="preserve">Like bryophytes, they reproduce via spores and require external water for fertilisation, restricting them to consistently moist habitats.</w:t>
      </w:r>
    </w:p>
    <w:p>
      <w:pPr>
        <w:numPr>
          <w:ilvl w:val="0"/>
          <w:numId w:val="1014"/>
        </w:numPr>
        <w:pStyle w:val="Compact"/>
      </w:pPr>
      <w:r>
        <w:t xml:space="preserve">Ancient pteridophyte forests during the Carboniferous period are the primary source of many modern coal deposits, connecting this plant group to major fossil fuel resources.</w:t>
      </w:r>
    </w:p>
    <w:bookmarkEnd w:id="32"/>
    <w:bookmarkStart w:id="33" w:name="pteridophyte-structure-and-life-history"/>
    <w:p>
      <w:pPr>
        <w:pStyle w:val="Heading3"/>
      </w:pPr>
      <w:r>
        <w:t xml:space="preserve">13. Pteridophyte Structure and Life History</w:t>
      </w:r>
    </w:p>
    <w:p>
      <w:pPr>
        <w:pStyle w:val="FirstParagraph"/>
      </w:pPr>
      <w:r>
        <w:t xml:space="preserve">Building on the general characteristics introduced in Topic 12, pteridophyte structure and life history illustrate the specific anatomical and reproductive features that distinguish this group, using the fern as the most familiar and widely studied representative example.</w:t>
      </w:r>
    </w:p>
    <w:p>
      <w:pPr>
        <w:pStyle w:val="BodyText"/>
      </w:pPr>
      <w:r>
        <w:rPr>
          <w:bCs/>
          <w:b/>
        </w:rPr>
        <w:t xml:space="preserve">Sporophyte structure (the dominant generation, as established in Topic 11).</w:t>
      </w:r>
      <w:r>
        <w:t xml:space="preserve"> </w:t>
      </w:r>
      <w:r>
        <w:t xml:space="preserve">The fern sporophyte typically consists of a rhizome (an underground or surface-creeping stem) from which true roots and fronds (fern leaves, often large and compound/divided) arise; the fronds bear specialised reproductive structures on their underside called sori (clusters of spore-producing structures called sporangia), which release haploid spores through meiosis once mature.</w:t>
      </w:r>
    </w:p>
    <w:p>
      <w:pPr>
        <w:pStyle w:val="BodyText"/>
      </w:pPr>
      <w:r>
        <w:rPr>
          <w:bCs/>
          <w:b/>
        </w:rPr>
        <w:t xml:space="preserve">Life cycle stages.</w:t>
      </w:r>
      <w:r>
        <w:t xml:space="preserve"> </w:t>
      </w:r>
      <w:r>
        <w:t xml:space="preserve">A released spore, under suitable moist conditions, germinates and grows into a small, independent, typically heart-shaped gametophyte structure called a prothallus — this represents the free-living gametophyte generation, much reduced compared to the sporophyte but still capable of independent photosynthesis, unlike the fully dependent gametophyte of seed plants. The prothallus produces both male reproductive structures (antheridia, producing motile sperm) and female reproductive structures (archegonia, each containing a single egg); as with bryophytes, fertilisation absolutely requires a film of external water for the sperm to swim from the antheridia to the archegonia. Following fertilisation, the resulting diploid zygote develops directly on the prothallus into a new sporophyte, which eventually becomes nutritionally independent and grows into the familiar, larger fern plant, completing the life cycle.</w:t>
      </w:r>
    </w:p>
    <w:p>
      <w:pPr>
        <w:pStyle w:val="BodyText"/>
      </w:pPr>
      <w:r>
        <w:rPr>
          <w:bCs/>
          <w:b/>
        </w:rPr>
        <w:t xml:space="preserve">Comparison with bryophyte life history.</w:t>
      </w:r>
      <w:r>
        <w:t xml:space="preserve"> </w:t>
      </w:r>
      <w:r>
        <w:t xml:space="preserve">While the fundamental alternation of generations pattern and the water-dependent fertilisation mechanism remain shared with bryophytes (Topic 10), the crucial difference, as established in Topic 11, is that the sporophyte generation in pteridophytes is now the larger, dominant, long-lived, and vascular-tissue-equipped generation, while the gametophyte, though still independently free-living, has become the smaller, shorter-lived generation — precisely the reverse size relationship from bryophytes.</w:t>
      </w:r>
    </w:p>
    <w:p>
      <w:pPr>
        <w:pStyle w:val="BodyText"/>
      </w:pPr>
      <w:r>
        <w:rPr>
          <w:bCs/>
          <w:b/>
        </w:rPr>
        <w:t xml:space="preserve">Key Takeaways</w:t>
      </w:r>
    </w:p>
    <w:p>
      <w:pPr>
        <w:numPr>
          <w:ilvl w:val="0"/>
          <w:numId w:val="1015"/>
        </w:numPr>
        <w:pStyle w:val="Compact"/>
      </w:pPr>
      <w:r>
        <w:t xml:space="preserve">The fern sporophyte consists of rhizome, roots, and fronds bearing spore-producing sori on their underside; released spores germinate into a small, independent gametophyte (prothallus).</w:t>
      </w:r>
    </w:p>
    <w:p>
      <w:pPr>
        <w:numPr>
          <w:ilvl w:val="0"/>
          <w:numId w:val="1015"/>
        </w:numPr>
        <w:pStyle w:val="Compact"/>
      </w:pPr>
      <w:r>
        <w:t xml:space="preserve">The prothallus produces both sperm (antheridia) and eggs (archegonia), with fertilisation still requiring external water for sperm to swim to the egg.</w:t>
      </w:r>
    </w:p>
    <w:p>
      <w:pPr>
        <w:numPr>
          <w:ilvl w:val="0"/>
          <w:numId w:val="1015"/>
        </w:numPr>
        <w:pStyle w:val="Compact"/>
      </w:pPr>
      <w:r>
        <w:t xml:space="preserve">Unlike bryophytes, the sporophyte is now the dominant, larger generation, while the still-independent gametophyte (prothallus) is comparatively small and short-lived.</w:t>
      </w:r>
    </w:p>
    <w:bookmarkEnd w:id="33"/>
    <w:bookmarkStart w:id="34" w:name="X51a72b046d5373443bdfd5296b79a7c1167a2da"/>
    <w:p>
      <w:pPr>
        <w:pStyle w:val="Heading3"/>
      </w:pPr>
      <w:r>
        <w:t xml:space="preserve">14. Affinities and Evolutionary Significance of Pteridophytes</w:t>
      </w:r>
    </w:p>
    <w:p>
      <w:pPr>
        <w:pStyle w:val="FirstParagraph"/>
      </w:pPr>
      <w:r>
        <w:t xml:space="preserve">Understanding pteridophytes’ evolutionary relationships (</w:t>
      </w:r>
      <w:r>
        <w:t xml:space="preserve">“</w:t>
      </w:r>
      <w:r>
        <w:t xml:space="preserve">affinities</w:t>
      </w:r>
      <w:r>
        <w:t xml:space="preserve">”</w:t>
      </w:r>
      <w:r>
        <w:t xml:space="preserve">) — both to the simpler bryophytes that preceded them and the more complex seed plants that followed — provides essential context for understanding the overall progression of land plant evolution addressed throughout this subject.</w:t>
      </w:r>
    </w:p>
    <w:p>
      <w:pPr>
        <w:pStyle w:val="BodyText"/>
      </w:pPr>
      <w:r>
        <w:rPr>
          <w:bCs/>
          <w:b/>
        </w:rPr>
        <w:t xml:space="preserve">Affinities with bryophytes.</w:t>
      </w:r>
      <w:r>
        <w:t xml:space="preserve"> </w:t>
      </w:r>
      <w:r>
        <w:t xml:space="preserve">Pteridophytes share with bryophytes the fundamental reliance on spores rather than seeds for reproduction, and the requirement for external water enabling motile sperm to reach the egg during fertilisation — both features reflecting pteridophytes’ status as still relatively</w:t>
      </w:r>
      <w:r>
        <w:t xml:space="preserve"> </w:t>
      </w:r>
      <w:r>
        <w:t xml:space="preserve">“</w:t>
      </w:r>
      <w:r>
        <w:t xml:space="preserve">primitive</w:t>
      </w:r>
      <w:r>
        <w:t xml:space="preserve">”</w:t>
      </w:r>
      <w:r>
        <w:t xml:space="preserve"> </w:t>
      </w:r>
      <w:r>
        <w:t xml:space="preserve">land plants in evolutionary terms, not yet having evolved the reproductive innovations (pollen, seeds) that later freed seed plants from this water dependency.</w:t>
      </w:r>
    </w:p>
    <w:p>
      <w:pPr>
        <w:pStyle w:val="BodyText"/>
      </w:pPr>
      <w:r>
        <w:rPr>
          <w:bCs/>
          <w:b/>
        </w:rPr>
        <w:t xml:space="preserve">Affinities with seed plants (gymnosperms and angiosperms).</w:t>
      </w:r>
      <w:r>
        <w:t xml:space="preserve"> </w:t>
      </w:r>
      <w:r>
        <w:t xml:space="preserve">Pteridophytes share with all subsequent land plant groups the presence of true vascular tissue (xylem and phloem) and true roots, stems, and leaves — representing the key evolutionary innovation pteridophytes contributed that all subsequent, more complex land plant groups inherited and built upon. Additionally, some extinct pteridophyte-related lineages (the</w:t>
      </w:r>
      <w:r>
        <w:t xml:space="preserve"> </w:t>
      </w:r>
      <w:r>
        <w:t xml:space="preserve">“</w:t>
      </w:r>
      <w:r>
        <w:t xml:space="preserve">seed ferns,</w:t>
      </w:r>
      <w:r>
        <w:t xml:space="preserve">”</w:t>
      </w:r>
      <w:r>
        <w:t xml:space="preserve"> </w:t>
      </w:r>
      <w:r>
        <w:t xml:space="preserve">now entirely extinct) are understood to represent an evolutionary bridge group, combining fern-like vegetative structure with early seed-like reproductive structures, illustrating a plausible evolutionary transitional pathway from spore-based to seed-based reproduction.</w:t>
      </w:r>
    </w:p>
    <w:p>
      <w:pPr>
        <w:pStyle w:val="BodyText"/>
      </w:pPr>
      <w:r>
        <w:rPr>
          <w:bCs/>
          <w:b/>
        </w:rPr>
        <w:t xml:space="preserve">Evolutionary significance: the key innovations pteridophytes represent.</w:t>
      </w:r>
      <w:r>
        <w:t xml:space="preserve"> </w:t>
      </w:r>
      <w:r>
        <w:t xml:space="preserve">The evolution of vascular tissue (enabling efficient long-distance water and nutrient transport, and therefore much greater plant size and structural complexity than bryophytes could achieve) and true roots (enabling more efficient soil water/nutrient absorption and physical anchorage) represent the two most significant evolutionary advances pteridophytes contributed to land plant evolution, fundamentally enabling the subsequent evolution of the larger, more structurally complex, and more habitat-diverse gymnosperm and angiosperm groups discussed in the remainder of this subject.</w:t>
      </w:r>
    </w:p>
    <w:p>
      <w:pPr>
        <w:pStyle w:val="BodyText"/>
      </w:pPr>
      <w:r>
        <w:rPr>
          <w:bCs/>
          <w:b/>
        </w:rPr>
        <w:t xml:space="preserve">Remaining evolutionary limitation.</w:t>
      </w:r>
      <w:r>
        <w:t xml:space="preserve"> </w:t>
      </w:r>
      <w:r>
        <w:t xml:space="preserve">Despite these significant advances, pteridophytes’ continued dependence on external water for fertilisation remained a fundamental constraint limiting their habitat range compared to seed plants — a limitation only overcome by the evolution of pollen (eliminating the need for motile sperm to swim through external water) in gymnosperms and angiosperms, discussed in Topics 15–18 and 24–26.</w:t>
      </w:r>
    </w:p>
    <w:p>
      <w:pPr>
        <w:pStyle w:val="BodyText"/>
      </w:pPr>
      <w:r>
        <w:rPr>
          <w:bCs/>
          <w:b/>
        </w:rPr>
        <w:t xml:space="preserve">Key Takeaways</w:t>
      </w:r>
    </w:p>
    <w:p>
      <w:pPr>
        <w:numPr>
          <w:ilvl w:val="0"/>
          <w:numId w:val="1016"/>
        </w:numPr>
        <w:pStyle w:val="Compact"/>
      </w:pPr>
      <w:r>
        <w:t xml:space="preserve">Pteridophytes share spore-based, water-dependent reproduction with bryophytes, but share true vascular tissue and true roots/stems/leaves with all subsequent seed plant groups.</w:t>
      </w:r>
    </w:p>
    <w:p>
      <w:pPr>
        <w:numPr>
          <w:ilvl w:val="0"/>
          <w:numId w:val="1016"/>
        </w:numPr>
        <w:pStyle w:val="Compact"/>
      </w:pPr>
      <w:r>
        <w:t xml:space="preserve">Extinct</w:t>
      </w:r>
      <w:r>
        <w:t xml:space="preserve"> </w:t>
      </w:r>
      <w:r>
        <w:t xml:space="preserve">“</w:t>
      </w:r>
      <w:r>
        <w:t xml:space="preserve">seed fern</w:t>
      </w:r>
      <w:r>
        <w:t xml:space="preserve">”</w:t>
      </w:r>
      <w:r>
        <w:t xml:space="preserve"> </w:t>
      </w:r>
      <w:r>
        <w:t xml:space="preserve">lineages illustrate a plausible evolutionary transition pathway from spore-based to seed-based reproduction.</w:t>
      </w:r>
    </w:p>
    <w:p>
      <w:pPr>
        <w:numPr>
          <w:ilvl w:val="0"/>
          <w:numId w:val="1016"/>
        </w:numPr>
        <w:pStyle w:val="Compact"/>
      </w:pPr>
      <w:r>
        <w:t xml:space="preserve">Pteridophytes’ key evolutionary contributions — vascular tissue and true roots — enabled the greater size and complexity of later plant groups, though their continued water-dependent fertilisation remained a limitation only overcome by the evolution of pollen in seed plants.</w:t>
      </w:r>
    </w:p>
    <w:bookmarkEnd w:id="34"/>
    <w:bookmarkStart w:id="35" w:name="gymnosperms-general-account"/>
    <w:p>
      <w:pPr>
        <w:pStyle w:val="Heading3"/>
      </w:pPr>
      <w:r>
        <w:t xml:space="preserve">15. Gymnosperms: General Account</w:t>
      </w:r>
    </w:p>
    <w:p>
      <w:pPr>
        <w:pStyle w:val="FirstParagraph"/>
      </w:pPr>
      <w:r>
        <w:t xml:space="preserve">Gymnosperms — including conifers (pines, firs, spruces), cycads, and ginkgo — represent the first plant group to evolve seeds, a reproductive innovation of fundamental evolutionary significance that freed these plants from the water-dependent fertilisation constraint limiting bryophytes and pteridophytes, enabling successful colonisation of considerably drier habitats.</w:t>
      </w:r>
    </w:p>
    <w:p>
      <w:pPr>
        <w:pStyle w:val="BodyText"/>
      </w:pPr>
      <w:r>
        <w:rPr>
          <w:bCs/>
          <w:b/>
        </w:rPr>
        <w:t xml:space="preserve">Defining characteristics.</w:t>
      </w:r>
      <w:r>
        <w:t xml:space="preserve"> </w:t>
      </w:r>
      <w:r>
        <w:t xml:space="preserve">The term</w:t>
      </w:r>
      <w:r>
        <w:t xml:space="preserve"> </w:t>
      </w:r>
      <w:r>
        <w:t xml:space="preserve">“</w:t>
      </w:r>
      <w:r>
        <w:t xml:space="preserve">gymnosperm</w:t>
      </w:r>
      <w:r>
        <w:t xml:space="preserve">”</w:t>
      </w:r>
      <w:r>
        <w:t xml:space="preserve"> </w:t>
      </w:r>
      <w:r>
        <w:t xml:space="preserve">literally means</w:t>
      </w:r>
      <w:r>
        <w:t xml:space="preserve"> </w:t>
      </w:r>
      <w:r>
        <w:t xml:space="preserve">“</w:t>
      </w:r>
      <w:r>
        <w:t xml:space="preserve">naked seed,</w:t>
      </w:r>
      <w:r>
        <w:t xml:space="preserve">”</w:t>
      </w:r>
      <w:r>
        <w:t xml:space="preserve"> </w:t>
      </w:r>
      <w:r>
        <w:t xml:space="preserve">referring to the group’s key distinguishing characteristic: their seeds develop exposed on the surface of reproductive structures (typically cones) rather than being enclosed within a protective fruit structure, as occurs in angiosperms (flowering plants, discussed in Topics 29 onward) — this distinction is the primary anatomical feature separating gymnosperms from angiosperms, the two major seed plant groups.</w:t>
      </w:r>
    </w:p>
    <w:p>
      <w:pPr>
        <w:pStyle w:val="BodyText"/>
      </w:pPr>
      <w:r>
        <w:rPr>
          <w:bCs/>
          <w:b/>
        </w:rPr>
        <w:t xml:space="preserve">The reproductive innovation of seeds and pollen.</w:t>
      </w:r>
      <w:r>
        <w:t xml:space="preserve"> </w:t>
      </w:r>
      <w:r>
        <w:t xml:space="preserve">Gymnosperms produce pollen (an extremely reduced, protected male gametophyte structure, as established in Topic 11) that can be transported by wind (in most gymnosperms) directly to the female reproductive structure without requiring the plant to be immersed in or covered by external water, eliminating the fertilisation constraint that restricted bryophytes and pteridophytes to consistently moist habitats. The resulting seed — containing a protected embryo along with a stored food supply, enclosed within a protective seed coat — represents a further major advance over the simple spore of bryophytes and pteridophytes, since seeds offer far superior protection and nutritional provisioning for the developing embryo, and can remain dormant for extended periods until favourable germination conditions occur (connecting to seed dormancy, discussed in Topic 43).</w:t>
      </w:r>
    </w:p>
    <w:p>
      <w:pPr>
        <w:pStyle w:val="BodyText"/>
      </w:pPr>
      <w:r>
        <w:rPr>
          <w:bCs/>
          <w:b/>
        </w:rPr>
        <w:t xml:space="preserve">Ecological and geographic distribution.</w:t>
      </w:r>
      <w:r>
        <w:t xml:space="preserve"> </w:t>
      </w:r>
      <w:r>
        <w:t xml:space="preserve">Gymnosperms, particularly conifers, are ecologically dominant across large areas of temperate and boreal (northern coniferous) forest globally, and are notably well adapted to environments seed-dependent bryophytes and pteridophytes could not successfully colonise — including cold, dry, and nutrient-poor conditions — reflecting the significant adaptive advantage their reproductive innovations and, in conifers specifically, their needle-shaped, wax-coated leaves (reducing water loss) provide in these challenging environments.</w:t>
      </w:r>
    </w:p>
    <w:p>
      <w:pPr>
        <w:pStyle w:val="BodyText"/>
      </w:pPr>
      <w:r>
        <w:rPr>
          <w:bCs/>
          <w:b/>
        </w:rPr>
        <w:t xml:space="preserve">Key Takeaways</w:t>
      </w:r>
    </w:p>
    <w:p>
      <w:pPr>
        <w:numPr>
          <w:ilvl w:val="0"/>
          <w:numId w:val="1017"/>
        </w:numPr>
        <w:pStyle w:val="Compact"/>
      </w:pPr>
      <w:r>
        <w:t xml:space="preserve">Gymnosperms (</w:t>
      </w:r>
      <w:r>
        <w:t xml:space="preserve">“</w:t>
      </w:r>
      <w:r>
        <w:t xml:space="preserve">naked seed</w:t>
      </w:r>
      <w:r>
        <w:t xml:space="preserve">”</w:t>
      </w:r>
      <w:r>
        <w:t xml:space="preserve"> </w:t>
      </w:r>
      <w:r>
        <w:t xml:space="preserve">plants) are the first plant group to evolve true seeds, with seeds developing exposed on reproductive structures (typically cones) rather than enclosed in fruit.</w:t>
      </w:r>
    </w:p>
    <w:p>
      <w:pPr>
        <w:numPr>
          <w:ilvl w:val="0"/>
          <w:numId w:val="1017"/>
        </w:numPr>
        <w:pStyle w:val="Compact"/>
      </w:pPr>
      <w:r>
        <w:t xml:space="preserve">Wind-dispersed pollen eliminated the water-dependent fertilisation constraint limiting bryophytes and pteridophytes, enabling colonisation of much drier habitats.</w:t>
      </w:r>
    </w:p>
    <w:p>
      <w:pPr>
        <w:numPr>
          <w:ilvl w:val="0"/>
          <w:numId w:val="1017"/>
        </w:numPr>
        <w:pStyle w:val="Compact"/>
      </w:pPr>
      <w:r>
        <w:t xml:space="preserve">Gymnosperms, particularly conifers, dominate large areas of temperate and boreal forest, well adapted to cold, dry, and nutrient-poor conditions unsuited to earlier plant groups.</w:t>
      </w:r>
    </w:p>
    <w:bookmarkEnd w:id="35"/>
    <w:bookmarkStart w:id="36" w:name="gymnosperm-structure-and-life-history"/>
    <w:p>
      <w:pPr>
        <w:pStyle w:val="Heading3"/>
      </w:pPr>
      <w:r>
        <w:t xml:space="preserve">16. Gymnosperm Structure and Life History</w:t>
      </w:r>
    </w:p>
    <w:p>
      <w:pPr>
        <w:pStyle w:val="FirstParagraph"/>
      </w:pPr>
      <w:r>
        <w:t xml:space="preserve">Gymnosperm structure and reproductive life history, using the widely studied pine as a representative example, illustrate how the key innovations of seeds and pollen (introduced in Topic 15) function in practice, completing the evolutionary progression toward increasingly sporophyte-dominant, terrestrially-adapted reproduction traced through Topics 10–15.</w:t>
      </w:r>
    </w:p>
    <w:p>
      <w:pPr>
        <w:pStyle w:val="BodyText"/>
      </w:pPr>
      <w:r>
        <w:rPr>
          <w:bCs/>
          <w:b/>
        </w:rPr>
        <w:t xml:space="preserve">Vegetative structure.</w:t>
      </w:r>
      <w:r>
        <w:t xml:space="preserve"> </w:t>
      </w:r>
      <w:r>
        <w:t xml:space="preserve">Gymnosperm sporophytes (the dominant, large, long-lived generation, continuing the trend established in Topic 11) possess well-developed true roots, woody stems (with the secondary vascular growth discussed in Topic 20, enabling significant trunk diameter and structural support for large trees), and characteristically needle-shaped or scale-like leaves (in conifers specifically) adapted to reduce water loss, particularly advantageous in the cold or dry environments many conifers inhabit.</w:t>
      </w:r>
    </w:p>
    <w:p>
      <w:pPr>
        <w:pStyle w:val="BodyText"/>
      </w:pPr>
      <w:r>
        <w:rPr>
          <w:bCs/>
          <w:b/>
        </w:rPr>
        <w:t xml:space="preserve">Reproductive structures and process.</w:t>
      </w:r>
      <w:r>
        <w:t xml:space="preserve"> </w:t>
      </w:r>
      <w:r>
        <w:t xml:space="preserve">Most gymnosperms (conifers specifically) produce separate male and female cones:</w:t>
      </w:r>
      <w:r>
        <w:t xml:space="preserve"> </w:t>
      </w:r>
      <w:r>
        <w:rPr>
          <w:bCs/>
          <w:b/>
        </w:rPr>
        <w:t xml:space="preserve">male cones</w:t>
      </w:r>
      <w:r>
        <w:t xml:space="preserve"> </w:t>
      </w:r>
      <w:r>
        <w:t xml:space="preserve">produce pollen (the extremely reduced male gametophyte) through meiosis, released in large quantities and dispersed primarily by wind;</w:t>
      </w:r>
      <w:r>
        <w:t xml:space="preserve"> </w:t>
      </w:r>
      <w:r>
        <w:rPr>
          <w:bCs/>
          <w:b/>
        </w:rPr>
        <w:t xml:space="preserve">female cones</w:t>
      </w:r>
      <w:r>
        <w:t xml:space="preserve"> </w:t>
      </w:r>
      <w:r>
        <w:t xml:space="preserve">contain ovules (each containing the female gametophyte and egg cell) on the surface of their scales, directly exposed rather than enclosed (the</w:t>
      </w:r>
      <w:r>
        <w:t xml:space="preserve"> </w:t>
      </w:r>
      <w:r>
        <w:t xml:space="preserve">“</w:t>
      </w:r>
      <w:r>
        <w:t xml:space="preserve">naked seed</w:t>
      </w:r>
      <w:r>
        <w:t xml:space="preserve">”</w:t>
      </w:r>
      <w:r>
        <w:t xml:space="preserve"> </w:t>
      </w:r>
      <w:r>
        <w:t xml:space="preserve">characteristic defining the group). Pollen landing on a receptive female cone germinates, growing a pollen tube that delivers sperm cells directly to the egg without requiring external water — the key innovation eliminating the water-dependency constraint of earlier plant groups. Following fertilisation, the resulting zygote develops into an embryo, and the surrounding ovule tissue develops into the mature seed (containing embryo, stored food reserve, and protective seed coat), eventually released from the cone for dispersal (often aided by wind, given many conifer seeds’ characteristic wing-like structure).</w:t>
      </w:r>
    </w:p>
    <w:p>
      <w:pPr>
        <w:pStyle w:val="BodyText"/>
      </w:pPr>
      <w:r>
        <w:rPr>
          <w:bCs/>
          <w:b/>
        </w:rPr>
        <w:t xml:space="preserve">Why gymnosperm reproduction represents a further advance beyond pteridophytes.</w:t>
      </w:r>
      <w:r>
        <w:t xml:space="preserve"> </w:t>
      </w:r>
      <w:r>
        <w:t xml:space="preserve">Beyond eliminating water-dependent fertilisation, the seed’s stored food reserve and protective coat provide the developing embryo with considerably better survival prospects and dispersal capability than the simple, unprovisioned spore of bryophytes and pteridophytes — directly explaining gymnosperms’ greater ecological success and habitat range compared to these earlier plant groups.</w:t>
      </w:r>
    </w:p>
    <w:p>
      <w:pPr>
        <w:pStyle w:val="BodyText"/>
      </w:pPr>
      <w:r>
        <w:rPr>
          <w:bCs/>
          <w:b/>
        </w:rPr>
        <w:t xml:space="preserve">Key Takeaways</w:t>
      </w:r>
    </w:p>
    <w:p>
      <w:pPr>
        <w:numPr>
          <w:ilvl w:val="0"/>
          <w:numId w:val="1018"/>
        </w:numPr>
        <w:pStyle w:val="Compact"/>
      </w:pPr>
      <w:r>
        <w:t xml:space="preserve">Gymnosperm sporophytes (using pine as an example) have true roots, woody stems, and typically needle-shaped, water-conserving leaves, with separate male and female cones.</w:t>
      </w:r>
    </w:p>
    <w:p>
      <w:pPr>
        <w:numPr>
          <w:ilvl w:val="0"/>
          <w:numId w:val="1018"/>
        </w:numPr>
        <w:pStyle w:val="Compact"/>
      </w:pPr>
      <w:r>
        <w:t xml:space="preserve">Wind-dispersed pollen germinates on the female cone and grows a pollen tube delivering sperm directly to the egg, eliminating the need for external water in fertilisation.</w:t>
      </w:r>
    </w:p>
    <w:p>
      <w:pPr>
        <w:numPr>
          <w:ilvl w:val="0"/>
          <w:numId w:val="1018"/>
        </w:numPr>
        <w:pStyle w:val="Compact"/>
      </w:pPr>
      <w:r>
        <w:t xml:space="preserve">The resulting seed’s stored food reserve and protective coat provide far superior embryo protection and dispersal capability compared to the simple spores of bryophytes and pteridophytes.</w:t>
      </w:r>
    </w:p>
    <w:bookmarkEnd w:id="36"/>
    <w:bookmarkStart w:id="37" w:name="ontogeny-and-structure-of-seed"/>
    <w:p>
      <w:pPr>
        <w:pStyle w:val="Heading3"/>
      </w:pPr>
      <w:r>
        <w:t xml:space="preserve">17. Ontogeny and Structure of Seed</w:t>
      </w:r>
    </w:p>
    <w:p>
      <w:pPr>
        <w:pStyle w:val="FirstParagraph"/>
      </w:pPr>
      <w:r>
        <w:t xml:space="preserve">Seed ontogeny (developmental origin) and structure represent a topic of fundamental importance spanning both gymnosperms (Topics 15–16) and angiosperms (discussed further in Topics 27–28), since the seed is the key reproductive innovation distinguishing both major seed plant groups from the spore-based reproduction of bryophytes and pteridophytes.</w:t>
      </w:r>
    </w:p>
    <w:p>
      <w:pPr>
        <w:pStyle w:val="BodyText"/>
      </w:pPr>
      <w:r>
        <w:rPr>
          <w:bCs/>
          <w:b/>
        </w:rPr>
        <w:t xml:space="preserve">Seed development (ontogeny).</w:t>
      </w:r>
      <w:r>
        <w:t xml:space="preserve"> </w:t>
      </w:r>
      <w:r>
        <w:t xml:space="preserve">A seed develops from a fertilised ovule — following fertilisation (Topic 26 for the angiosperm-specific process; Topic 16 for the gymnosperm process already discussed), the ovule’s integument (protective outer layer) develops into the hardened, protective seed coat (testa); the fertilised egg cell develops through repeated cell division into the embryo (the young, undeveloped plant, already containing rudimentary root, stem, and, in many seeds, one or more seed leaves called cotyledons); and, particularly significant in angiosperms (connecting directly to the double fertilisation process discussed in Topic 27), a nutritive tissue (endosperm in angiosperms) develops to provide stored food reserves supporting the embryo’s initial growth upon germination, before the young seedling becomes photosynthetically self-sufficient.</w:t>
      </w:r>
    </w:p>
    <w:p>
      <w:pPr>
        <w:pStyle w:val="BodyText"/>
      </w:pPr>
      <w:r>
        <w:rPr>
          <w:bCs/>
          <w:b/>
        </w:rPr>
        <w:t xml:space="preserve">Basic seed structure, common across gymnosperms and angiosperms:</w:t>
      </w:r>
      <w:r>
        <w:t xml:space="preserve"> </w:t>
      </w:r>
      <w:r>
        <w:t xml:space="preserve">the</w:t>
      </w:r>
      <w:r>
        <w:t xml:space="preserve"> </w:t>
      </w:r>
      <w:r>
        <w:rPr>
          <w:bCs/>
          <w:b/>
        </w:rPr>
        <w:t xml:space="preserve">seed coat</w:t>
      </w:r>
      <w:r>
        <w:t xml:space="preserve"> </w:t>
      </w:r>
      <w:r>
        <w:t xml:space="preserve">(protective outer covering, regulating water and gas exchange and providing physical protection); the</w:t>
      </w:r>
      <w:r>
        <w:t xml:space="preserve"> </w:t>
      </w:r>
      <w:r>
        <w:rPr>
          <w:bCs/>
          <w:b/>
        </w:rPr>
        <w:t xml:space="preserve">embryo</w:t>
      </w:r>
      <w:r>
        <w:t xml:space="preserve"> </w:t>
      </w:r>
      <w:r>
        <w:t xml:space="preserve">(the young plant, including the embryonic root — radicle — and embryonic shoot, along with one or more cotyledons); and</w:t>
      </w:r>
      <w:r>
        <w:t xml:space="preserve"> </w:t>
      </w:r>
      <w:r>
        <w:rPr>
          <w:bCs/>
          <w:b/>
        </w:rPr>
        <w:t xml:space="preserve">stored food reserves</w:t>
      </w:r>
      <w:r>
        <w:t xml:space="preserve"> </w:t>
      </w:r>
      <w:r>
        <w:t xml:space="preserve">(either within specialised endosperm tissue, or, in some seed types, stored directly within the cotyledons themselves, depending on the specific plant group and species).</w:t>
      </w:r>
    </w:p>
    <w:p>
      <w:pPr>
        <w:pStyle w:val="BodyText"/>
      </w:pPr>
      <w:r>
        <w:rPr>
          <w:bCs/>
          <w:b/>
        </w:rPr>
        <w:t xml:space="preserve">Why seed structure matters practically.</w:t>
      </w:r>
      <w:r>
        <w:t xml:space="preserve"> </w:t>
      </w:r>
      <w:r>
        <w:t xml:space="preserve">Understanding seed structure and development underlies the seed technology and certification discussion in the Agriculture &amp; Forestry subject (Topic 18 there) — seed viability, germination rate, and stored food reserve adequacy all directly depend on proper seed development and structural integrity, meaning agricultural seed quality assessment fundamentally relies on the botanical seed structure concepts addressed here.</w:t>
      </w:r>
    </w:p>
    <w:p>
      <w:pPr>
        <w:pStyle w:val="BodyText"/>
      </w:pPr>
      <w:r>
        <w:rPr>
          <w:bCs/>
          <w:b/>
        </w:rPr>
        <w:t xml:space="preserve">Key Takeaways</w:t>
      </w:r>
    </w:p>
    <w:p>
      <w:pPr>
        <w:numPr>
          <w:ilvl w:val="0"/>
          <w:numId w:val="1019"/>
        </w:numPr>
        <w:pStyle w:val="Compact"/>
      </w:pPr>
      <w:r>
        <w:t xml:space="preserve">Seed development transforms a fertilised ovule into a seed coat (from the integument), embryo (from the fertilised egg), and, in angiosperms particularly, nutritive endosperm tissue.</w:t>
      </w:r>
    </w:p>
    <w:p>
      <w:pPr>
        <w:numPr>
          <w:ilvl w:val="0"/>
          <w:numId w:val="1019"/>
        </w:numPr>
        <w:pStyle w:val="Compact"/>
      </w:pPr>
      <w:r>
        <w:t xml:space="preserve">All seeds share the basic structure of protective seed coat, embryo (with radicle and cotyledon(s)), and stored food reserves.</w:t>
      </w:r>
    </w:p>
    <w:p>
      <w:pPr>
        <w:numPr>
          <w:ilvl w:val="0"/>
          <w:numId w:val="1019"/>
        </w:numPr>
        <w:pStyle w:val="Compact"/>
      </w:pPr>
      <w:r>
        <w:t xml:space="preserve">Understanding seed structure underlies practical agricultural seed quality and viability assessment, directly connecting botany to the seed technology topic in the Agriculture &amp; Forestry subject.</w:t>
      </w:r>
    </w:p>
    <w:bookmarkEnd w:id="37"/>
    <w:bookmarkStart w:id="38" w:name="Xc3b87958204316d2c9cc9d556dadbe48fb911d8"/>
    <w:p>
      <w:pPr>
        <w:pStyle w:val="Heading3"/>
      </w:pPr>
      <w:r>
        <w:t xml:space="preserve">18. Classification and Economic Importance of Gymnosperms</w:t>
      </w:r>
    </w:p>
    <w:p>
      <w:pPr>
        <w:pStyle w:val="FirstParagraph"/>
      </w:pPr>
      <w:r>
        <w:t xml:space="preserve">Gymnosperms are classified into several distinct groups based on structural and reproductive characteristics, and the group as a whole holds substantial economic significance, particularly through timber and related forest products.</w:t>
      </w:r>
    </w:p>
    <w:p>
      <w:pPr>
        <w:pStyle w:val="BodyText"/>
      </w:pPr>
      <w:r>
        <w:rPr>
          <w:bCs/>
          <w:b/>
        </w:rPr>
        <w:t xml:space="preserve">Major gymnosperm classification groups:</w:t>
      </w:r>
    </w:p>
    <w:p>
      <w:pPr>
        <w:numPr>
          <w:ilvl w:val="0"/>
          <w:numId w:val="1020"/>
        </w:numPr>
        <w:pStyle w:val="Compact"/>
      </w:pPr>
      <w:r>
        <w:rPr>
          <w:bCs/>
          <w:b/>
        </w:rPr>
        <w:t xml:space="preserve">Coniferophyta (conifers)</w:t>
      </w:r>
      <w:r>
        <w:t xml:space="preserve"> </w:t>
      </w:r>
      <w:r>
        <w:t xml:space="preserve">— by far the largest and most ecologically and economically significant gymnosperm group, including pines, firs, spruces, cedars, and junipers, characterised by needle-shaped or scale-like leaves and cone-based reproduction as described in Topic 16.</w:t>
      </w:r>
    </w:p>
    <w:p>
      <w:pPr>
        <w:numPr>
          <w:ilvl w:val="0"/>
          <w:numId w:val="1020"/>
        </w:numPr>
        <w:pStyle w:val="Compact"/>
      </w:pPr>
      <w:r>
        <w:rPr>
          <w:bCs/>
          <w:b/>
        </w:rPr>
        <w:t xml:space="preserve">Cycadophyta (cycads)</w:t>
      </w:r>
      <w:r>
        <w:t xml:space="preserve"> </w:t>
      </w:r>
      <w:r>
        <w:t xml:space="preserve">— a smaller, more ancient-lineage group with palm-like appearance (though not closely related to true palms, which are angiosperms), largely restricted to tropical and subtropical regions.</w:t>
      </w:r>
    </w:p>
    <w:p>
      <w:pPr>
        <w:numPr>
          <w:ilvl w:val="0"/>
          <w:numId w:val="1020"/>
        </w:numPr>
        <w:pStyle w:val="Compact"/>
      </w:pPr>
      <w:r>
        <w:rPr>
          <w:bCs/>
          <w:b/>
        </w:rPr>
        <w:t xml:space="preserve">Ginkgophyta</w:t>
      </w:r>
      <w:r>
        <w:t xml:space="preserve"> </w:t>
      </w:r>
      <w:r>
        <w:t xml:space="preserve">— represented today by a single surviving species,</w:t>
      </w:r>
      <w:r>
        <w:t xml:space="preserve"> </w:t>
      </w:r>
      <w:r>
        <w:rPr>
          <w:iCs/>
          <w:i/>
        </w:rPr>
        <w:t xml:space="preserve">Ginkgo biloba</w:t>
      </w:r>
      <w:r>
        <w:t xml:space="preserve">, often described as a</w:t>
      </w:r>
      <w:r>
        <w:t xml:space="preserve"> </w:t>
      </w:r>
      <w:r>
        <w:t xml:space="preserve">“</w:t>
      </w:r>
      <w:r>
        <w:t xml:space="preserve">living fossil</w:t>
      </w:r>
      <w:r>
        <w:t xml:space="preserve">”</w:t>
      </w:r>
      <w:r>
        <w:t xml:space="preserve"> </w:t>
      </w:r>
      <w:r>
        <w:t xml:space="preserve">given its very ancient evolutionary lineage with few close living relatives, valued today primarily as an ornamental tree and for traditional medicinal use.</w:t>
      </w:r>
    </w:p>
    <w:p>
      <w:pPr>
        <w:numPr>
          <w:ilvl w:val="0"/>
          <w:numId w:val="1020"/>
        </w:numPr>
        <w:pStyle w:val="Compact"/>
      </w:pPr>
      <w:r>
        <w:rPr>
          <w:bCs/>
          <w:b/>
        </w:rPr>
        <w:t xml:space="preserve">Gnetophyta</w:t>
      </w:r>
      <w:r>
        <w:t xml:space="preserve"> </w:t>
      </w:r>
      <w:r>
        <w:t xml:space="preserve">— a small, structurally diverse group showing some features that are, in certain respects, intermediate between typical gymnosperms and angiosperms, of particular interest for studying the evolutionary relationship between the two major seed plant groups.</w:t>
      </w:r>
    </w:p>
    <w:p>
      <w:pPr>
        <w:pStyle w:val="FirstParagraph"/>
      </w:pPr>
      <w:r>
        <w:rPr>
          <w:bCs/>
          <w:b/>
        </w:rPr>
        <w:t xml:space="preserve">Economic importance.</w:t>
      </w:r>
      <w:r>
        <w:t xml:space="preserve"> </w:t>
      </w:r>
      <w:r>
        <w:rPr>
          <w:bCs/>
          <w:b/>
        </w:rPr>
        <w:t xml:space="preserve">Timber and wood products</w:t>
      </w:r>
      <w:r>
        <w:t xml:space="preserve"> </w:t>
      </w:r>
      <w:r>
        <w:t xml:space="preserve">represent by far the most significant economic contribution of gymnosperms, given conifers’ dominance of the world’s major timber-producing forests (directly connecting to the wood-based industries discussion in the Agriculture &amp; Forestry subject) — softwood timber from conifers is used extensively in construction, furniture, and paper/pulp production, the latter given conifer wood fibre’s particular suitability for paper manufacturing. Beyond timber, gymnosperms provide resin and turpentine (extracted from certain pine species, used in various industrial applications), ornamental and landscaping value (many conifer species widely used in landscaping, connecting to the landscaping discussion in the Agriculture &amp; Forestry subject), and some direct food value (edible pine nuts from certain pine species).</w:t>
      </w:r>
    </w:p>
    <w:p>
      <w:pPr>
        <w:pStyle w:val="BodyText"/>
      </w:pPr>
      <w:r>
        <w:rPr>
          <w:bCs/>
          <w:b/>
        </w:rPr>
        <w:t xml:space="preserve">Pakistan-specific relevance.</w:t>
      </w:r>
      <w:r>
        <w:t xml:space="preserve"> </w:t>
      </w:r>
      <w:r>
        <w:t xml:space="preserve">Pakistan’s northern coniferous forests (discussed in the Agriculture &amp; Forestry subject’s forestry sector topic) represent the country’s most significant natural timber resource, dominated by gymnosperm species, making gymnosperm ecology and sustainable management directly relevant to Pakistan’s forestry sector challenges and afforestation priorities discussed throughout that subject.</w:t>
      </w:r>
    </w:p>
    <w:p>
      <w:pPr>
        <w:pStyle w:val="BodyText"/>
      </w:pPr>
      <w:r>
        <w:rPr>
          <w:bCs/>
          <w:b/>
        </w:rPr>
        <w:t xml:space="preserve">Key Takeaways</w:t>
      </w:r>
    </w:p>
    <w:p>
      <w:pPr>
        <w:numPr>
          <w:ilvl w:val="0"/>
          <w:numId w:val="1021"/>
        </w:numPr>
        <w:pStyle w:val="Compact"/>
      </w:pPr>
      <w:r>
        <w:t xml:space="preserve">Gymnosperms are classified into Coniferophyta (the dominant group, conifers), Cycadophyta (cycads), Ginkgophyta (represented by a single living species), and Gnetophyta (a structurally diverse, evolutionarily intermediate group).</w:t>
      </w:r>
    </w:p>
    <w:p>
      <w:pPr>
        <w:numPr>
          <w:ilvl w:val="0"/>
          <w:numId w:val="1021"/>
        </w:numPr>
        <w:pStyle w:val="Compact"/>
      </w:pPr>
      <w:r>
        <w:t xml:space="preserve">Conifers dominate global timber production, given softwood’s extensive use in construction, furniture, and paper/pulp manufacturing, alongside resin and ornamental value.</w:t>
      </w:r>
    </w:p>
    <w:p>
      <w:pPr>
        <w:numPr>
          <w:ilvl w:val="0"/>
          <w:numId w:val="1021"/>
        </w:numPr>
        <w:pStyle w:val="Compact"/>
      </w:pPr>
      <w:r>
        <w:t xml:space="preserve">Pakistan’s northern coniferous forests, dominated by gymnosperm species, represent the country’s most significant natural timber resource, directly connecting to the Agriculture &amp; Forestry subject’s forestry topics.</w:t>
      </w:r>
    </w:p>
    <w:bookmarkEnd w:id="38"/>
    <w:bookmarkEnd w:id="39"/>
    <w:bookmarkStart w:id="50" w:name="iii.-plant-anatomy-and-embryology"/>
    <w:p>
      <w:pPr>
        <w:pStyle w:val="Heading2"/>
      </w:pPr>
      <w:r>
        <w:t xml:space="preserve">III. Plant Anatomy and Embryology</w:t>
      </w:r>
    </w:p>
    <w:bookmarkStart w:id="40" w:name="meristems-and-primary-tissues"/>
    <w:p>
      <w:pPr>
        <w:pStyle w:val="Heading3"/>
      </w:pPr>
      <w:r>
        <w:t xml:space="preserve">19. Meristems and Primary Tissues</w:t>
      </w:r>
    </w:p>
    <w:p>
      <w:pPr>
        <w:pStyle w:val="FirstParagraph"/>
      </w:pPr>
      <w:r>
        <w:t xml:space="preserve">Meristems are regions of undifferentiated, actively dividing plant cells responsible for plant growth throughout a plant’s life — a fundamentally distinct growth pattern from animals, since plants continue growing indefinitely (or for their entire lifespan) from these persistent meristematic regions, rather than growth being limited primarily to an early developmental phase as in most animals.</w:t>
      </w:r>
    </w:p>
    <w:p>
      <w:pPr>
        <w:pStyle w:val="BodyText"/>
      </w:pPr>
      <w:r>
        <w:rPr>
          <w:bCs/>
          <w:b/>
        </w:rPr>
        <w:t xml:space="preserve">Types of meristems by location:</w:t>
      </w:r>
    </w:p>
    <w:p>
      <w:pPr>
        <w:numPr>
          <w:ilvl w:val="0"/>
          <w:numId w:val="1022"/>
        </w:numPr>
        <w:pStyle w:val="Compact"/>
      </w:pPr>
      <w:r>
        <w:rPr>
          <w:bCs/>
          <w:b/>
        </w:rPr>
        <w:t xml:space="preserve">Apical meristems</w:t>
      </w:r>
      <w:r>
        <w:t xml:space="preserve"> </w:t>
      </w:r>
      <w:r>
        <w:t xml:space="preserve">— located at the growing tips of roots and shoots, responsible for</w:t>
      </w:r>
      <w:r>
        <w:t xml:space="preserve"> </w:t>
      </w:r>
      <w:r>
        <w:rPr>
          <w:bCs/>
          <w:b/>
        </w:rPr>
        <w:t xml:space="preserve">primary growth</w:t>
      </w:r>
      <w:r>
        <w:t xml:space="preserve">, meaning the increase in a plant’s length (roots growing deeper, shoots growing taller) rather than girth; apical meristem activity produces the primary tissues discussed below.</w:t>
      </w:r>
    </w:p>
    <w:p>
      <w:pPr>
        <w:numPr>
          <w:ilvl w:val="0"/>
          <w:numId w:val="1022"/>
        </w:numPr>
        <w:pStyle w:val="Compact"/>
      </w:pPr>
      <w:r>
        <w:rPr>
          <w:bCs/>
          <w:b/>
        </w:rPr>
        <w:t xml:space="preserve">Lateral meristems</w:t>
      </w:r>
      <w:r>
        <w:t xml:space="preserve"> </w:t>
      </w:r>
      <w:r>
        <w:t xml:space="preserve">— located along the sides of roots and stems (specifically the vascular cambium and cork cambium, discussed in Topic 20), responsible for</w:t>
      </w:r>
      <w:r>
        <w:t xml:space="preserve"> </w:t>
      </w:r>
      <w:r>
        <w:rPr>
          <w:bCs/>
          <w:b/>
        </w:rPr>
        <w:t xml:space="preserve">secondary growth</w:t>
      </w:r>
      <w:r>
        <w:t xml:space="preserve">, meaning increase in stem/root girth (diameter), found in woody plants including gymnosperms and many dicot angiosperms, but generally absent or very limited in most monocot angiosperms.</w:t>
      </w:r>
    </w:p>
    <w:p>
      <w:pPr>
        <w:numPr>
          <w:ilvl w:val="0"/>
          <w:numId w:val="1022"/>
        </w:numPr>
        <w:pStyle w:val="Compact"/>
      </w:pPr>
      <w:r>
        <w:rPr>
          <w:bCs/>
          <w:b/>
        </w:rPr>
        <w:t xml:space="preserve">Intercalary meristems</w:t>
      </w:r>
      <w:r>
        <w:t xml:space="preserve"> </w:t>
      </w:r>
      <w:r>
        <w:t xml:space="preserve">— located between regions of mature tissue rather than at growing tips, found particularly in grasses (allowing grass to continue growing from the base of the leaf blade even after the tip has been grazed or mowed, a distinctive adaptation directly relevant to why lawns and pasture grasses can withstand repeated grazing/mowing without being killed).</w:t>
      </w:r>
    </w:p>
    <w:p>
      <w:pPr>
        <w:pStyle w:val="FirstParagraph"/>
      </w:pPr>
      <w:r>
        <w:rPr>
          <w:bCs/>
          <w:b/>
        </w:rPr>
        <w:t xml:space="preserve">Primary tissues produced by apical meristem activity.</w:t>
      </w:r>
      <w:r>
        <w:t xml:space="preserve"> </w:t>
      </w:r>
      <w:r>
        <w:t xml:space="preserve">As cells produced by apical meristems mature and differentiate, they form three fundamental primary tissue systems found throughout the plant body: the</w:t>
      </w:r>
      <w:r>
        <w:t xml:space="preserve"> </w:t>
      </w:r>
      <w:r>
        <w:rPr>
          <w:bCs/>
          <w:b/>
        </w:rPr>
        <w:t xml:space="preserve">dermal tissue system</w:t>
      </w:r>
      <w:r>
        <w:t xml:space="preserve"> </w:t>
      </w:r>
      <w:r>
        <w:t xml:space="preserve">(the outer protective covering, primarily the epidermis, discussed further in relation to leaf anatomy in Topic 23); the</w:t>
      </w:r>
      <w:r>
        <w:t xml:space="preserve"> </w:t>
      </w:r>
      <w:r>
        <w:rPr>
          <w:bCs/>
          <w:b/>
        </w:rPr>
        <w:t xml:space="preserve">ground tissue system</w:t>
      </w:r>
      <w:r>
        <w:t xml:space="preserve"> </w:t>
      </w:r>
      <w:r>
        <w:t xml:space="preserve">(comprising the bulk of the plant body, including tissues responsible for photosynthesis, storage, and support, primarily composed of parenchyma, collenchyma, and sclerenchyma cell types); and the</w:t>
      </w:r>
      <w:r>
        <w:t xml:space="preserve"> </w:t>
      </w:r>
      <w:r>
        <w:rPr>
          <w:bCs/>
          <w:b/>
        </w:rPr>
        <w:t xml:space="preserve">vascular tissue system</w:t>
      </w:r>
      <w:r>
        <w:t xml:space="preserve"> </w:t>
      </w:r>
      <w:r>
        <w:t xml:space="preserve">(xylem and phloem, the water/nutrient and sugar transport tissues first introduced in the pteridophyte discussion, Topic 12, and examined in more anatomical detail in Topics 21–22).</w:t>
      </w:r>
    </w:p>
    <w:p>
      <w:pPr>
        <w:pStyle w:val="BodyText"/>
      </w:pPr>
      <w:r>
        <w:rPr>
          <w:bCs/>
          <w:b/>
        </w:rPr>
        <w:t xml:space="preserve">Key Takeaways</w:t>
      </w:r>
    </w:p>
    <w:p>
      <w:pPr>
        <w:numPr>
          <w:ilvl w:val="0"/>
          <w:numId w:val="1023"/>
        </w:numPr>
        <w:pStyle w:val="Compact"/>
      </w:pPr>
      <w:r>
        <w:t xml:space="preserve">Meristems are undifferentiated, actively dividing plant cell regions enabling plants’ characteristic indefinite growth pattern, distinct from most animals’ limited-duration growth.</w:t>
      </w:r>
    </w:p>
    <w:p>
      <w:pPr>
        <w:numPr>
          <w:ilvl w:val="0"/>
          <w:numId w:val="1023"/>
        </w:numPr>
        <w:pStyle w:val="Compact"/>
      </w:pPr>
      <w:r>
        <w:t xml:space="preserve">Apical meristems (at root/shoot tips) drive primary growth (length); lateral meristems drive secondary growth (girth, found mainly in woody plants); intercalary meristems (notably in grasses) allow continued growth from the base.</w:t>
      </w:r>
    </w:p>
    <w:p>
      <w:pPr>
        <w:numPr>
          <w:ilvl w:val="0"/>
          <w:numId w:val="1023"/>
        </w:numPr>
        <w:pStyle w:val="Compact"/>
      </w:pPr>
      <w:r>
        <w:t xml:space="preserve">Apical meristem activity produces the three primary tissue systems: dermal (protective covering), ground (bulk tissue, including photosynthetic and storage tissue), and vascular (xylem/phloem transport tissue).</w:t>
      </w:r>
    </w:p>
    <w:bookmarkEnd w:id="40"/>
    <w:bookmarkStart w:id="41" w:name="secondary-tissues-and-secondary-growth"/>
    <w:p>
      <w:pPr>
        <w:pStyle w:val="Heading3"/>
      </w:pPr>
      <w:r>
        <w:t xml:space="preserve">20. Secondary Tissues and Secondary Growth</w:t>
      </w:r>
    </w:p>
    <w:p>
      <w:pPr>
        <w:pStyle w:val="FirstParagraph"/>
      </w:pPr>
      <w:r>
        <w:t xml:space="preserve">Secondary growth — the increase in stem and root diameter (girth) over time, distinct from the primary growth in length discussed in Topic 19 — occurs through the activity of lateral meristems and is characteristic of woody plants, including gymnosperms (Topics 15–18) and many dicotyledonous angiosperms, but is generally absent in most monocot angiosperms and entirely absent in bryophytes and most pteridophytes.</w:t>
      </w:r>
    </w:p>
    <w:p>
      <w:pPr>
        <w:pStyle w:val="BodyText"/>
      </w:pPr>
      <w:r>
        <w:rPr>
          <w:bCs/>
          <w:b/>
        </w:rPr>
        <w:t xml:space="preserve">The vascular cambium.</w:t>
      </w:r>
      <w:r>
        <w:t xml:space="preserve"> </w:t>
      </w:r>
      <w:r>
        <w:t xml:space="preserve">This is the primary lateral meristem responsible for secondary growth, forming a cylindrical layer of actively dividing cells positioned between the primary xylem and primary phloem within a stem or root — as the vascular cambium divides, it produces</w:t>
      </w:r>
      <w:r>
        <w:t xml:space="preserve"> </w:t>
      </w:r>
      <w:r>
        <w:rPr>
          <w:bCs/>
          <w:b/>
        </w:rPr>
        <w:t xml:space="preserve">secondary xylem</w:t>
      </w:r>
      <w:r>
        <w:t xml:space="preserve"> </w:t>
      </w:r>
      <w:r>
        <w:t xml:space="preserve">(wood) toward the inside of the stem and</w:t>
      </w:r>
      <w:r>
        <w:t xml:space="preserve"> </w:t>
      </w:r>
      <w:r>
        <w:rPr>
          <w:bCs/>
          <w:b/>
        </w:rPr>
        <w:t xml:space="preserve">secondary phloem</w:t>
      </w:r>
      <w:r>
        <w:t xml:space="preserve"> </w:t>
      </w:r>
      <w:r>
        <w:t xml:space="preserve">toward the outside, with secondary xylem production generally occurring at a substantially greater rate than secondary phloem production, explaining why wood (accumulated secondary xylem) makes up the vast bulk of a mature tree trunk’s volume.</w:t>
      </w:r>
    </w:p>
    <w:p>
      <w:pPr>
        <w:pStyle w:val="BodyText"/>
      </w:pPr>
      <w:r>
        <w:rPr>
          <w:bCs/>
          <w:b/>
        </w:rPr>
        <w:t xml:space="preserve">Annual growth rings.</w:t>
      </w:r>
      <w:r>
        <w:t xml:space="preserve"> </w:t>
      </w:r>
      <w:r>
        <w:t xml:space="preserve">In woody plants growing in regions with distinct seasonal growth variation (such as temperate or monsoon climates with a clear growing season and dormant season), the vascular cambium’s activity varies seasonally — producing larger, thinner-walled xylem cells during periods of active growth (spring/early summer, when water is generally more available and growth conditions favourable) and smaller, thicker-walled xylem cells as growth slows toward the end of the growing season, creating the visible annual growth rings used to estimate a tree’s age and, through the specialised field of dendrochronology, to reconstruct historical climate and environmental conditions from ring width patterns (wider rings generally indicating more favourable growth conditions in a given year, narrower rings indicating more stressful conditions such as drought).</w:t>
      </w:r>
    </w:p>
    <w:p>
      <w:pPr>
        <w:pStyle w:val="BodyText"/>
      </w:pPr>
      <w:r>
        <w:rPr>
          <w:bCs/>
          <w:b/>
        </w:rPr>
        <w:t xml:space="preserve">The cork cambium.</w:t>
      </w:r>
      <w:r>
        <w:t xml:space="preserve"> </w:t>
      </w:r>
      <w:r>
        <w:t xml:space="preserve">A second lateral meristem, the cork cambium, develops in the outer region of woody stems and roots, producing cork cells toward the outside (which, as they mature, form the protective outer bark layer, replacing the epidermis as the stem’s protective outer covering as the stem thickens) and a thin layer of cells (phelloderm) toward the inside.</w:t>
      </w:r>
    </w:p>
    <w:p>
      <w:pPr>
        <w:pStyle w:val="BodyText"/>
      </w:pPr>
      <w:r>
        <w:rPr>
          <w:bCs/>
          <w:b/>
        </w:rPr>
        <w:t xml:space="preserve">Significance for wood-based industries and forest biometrics.</w:t>
      </w:r>
      <w:r>
        <w:t xml:space="preserve"> </w:t>
      </w:r>
      <w:r>
        <w:t xml:space="preserve">Secondary growth and the resulting wood formation directly underlie the wood-based industries discussed in the Agriculture &amp; Forestry subject (Topic 32 there), and growth ring analysis provides a key tool for forest biometrics (Topic 40 in that subject), enabling age estimation and growth rate assessment essential to sustainable forest management planning.</w:t>
      </w:r>
    </w:p>
    <w:p>
      <w:pPr>
        <w:pStyle w:val="BodyText"/>
      </w:pPr>
      <w:r>
        <w:rPr>
          <w:bCs/>
          <w:b/>
        </w:rPr>
        <w:t xml:space="preserve">Key Takeaways</w:t>
      </w:r>
    </w:p>
    <w:p>
      <w:pPr>
        <w:numPr>
          <w:ilvl w:val="0"/>
          <w:numId w:val="1024"/>
        </w:numPr>
        <w:pStyle w:val="Compact"/>
      </w:pPr>
      <w:r>
        <w:t xml:space="preserve">Secondary growth (stem/root girth increase) occurs through the vascular cambium producing secondary xylem (wood, the bulk of tree trunk volume) and secondary phloem, and is characteristic of woody plants, including gymnosperms and many dicot angiosperms.</w:t>
      </w:r>
    </w:p>
    <w:p>
      <w:pPr>
        <w:numPr>
          <w:ilvl w:val="0"/>
          <w:numId w:val="1024"/>
        </w:numPr>
        <w:pStyle w:val="Compact"/>
      </w:pPr>
      <w:r>
        <w:t xml:space="preserve">Seasonal variation in vascular cambium activity produces visible annual growth rings, used for tree age estimation and, through dendrochronology, historical climate reconstruction.</w:t>
      </w:r>
    </w:p>
    <w:p>
      <w:pPr>
        <w:numPr>
          <w:ilvl w:val="0"/>
          <w:numId w:val="1024"/>
        </w:numPr>
        <w:pStyle w:val="Compact"/>
      </w:pPr>
      <w:r>
        <w:t xml:space="preserve">The cork cambium produces the protective outer bark layer; secondary growth and growth rings directly underlie wood-based industries and forest biometrics applications discussed in the Agriculture &amp; Forestry subject.</w:t>
      </w:r>
    </w:p>
    <w:bookmarkEnd w:id="41"/>
    <w:bookmarkStart w:id="42" w:name="root-anatomy"/>
    <w:p>
      <w:pPr>
        <w:pStyle w:val="Heading3"/>
      </w:pPr>
      <w:r>
        <w:t xml:space="preserve">21. Root Anatomy</w:t>
      </w:r>
    </w:p>
    <w:p>
      <w:pPr>
        <w:pStyle w:val="FirstParagraph"/>
      </w:pPr>
      <w:r>
        <w:t xml:space="preserve">Root anatomy examines the internal structural organisation of plant roots, which perform the essential functions of anchorage, water and mineral absorption, and, in many plants, storage, and whose internal structure directly reflects these functions.</w:t>
      </w:r>
    </w:p>
    <w:p>
      <w:pPr>
        <w:pStyle w:val="BodyText"/>
      </w:pPr>
      <w:r>
        <w:rPr>
          <w:bCs/>
          <w:b/>
        </w:rPr>
        <w:t xml:space="preserve">Root tissue organisation, from outside to inside.</w:t>
      </w:r>
      <w:r>
        <w:t xml:space="preserve"> </w:t>
      </w:r>
      <w:r>
        <w:t xml:space="preserve">The</w:t>
      </w:r>
      <w:r>
        <w:t xml:space="preserve"> </w:t>
      </w:r>
      <w:r>
        <w:rPr>
          <w:bCs/>
          <w:b/>
        </w:rPr>
        <w:t xml:space="preserve">epidermis</w:t>
      </w:r>
      <w:r>
        <w:t xml:space="preserve"> </w:t>
      </w:r>
      <w:r>
        <w:t xml:space="preserve">(outermost layer, including root hairs — thin, elongated epidermal cell extensions that dramatically increase the root’s surface area available for water and mineral absorption, representing a crucial anatomical adaptation directly serving the root’s absorption function); the</w:t>
      </w:r>
      <w:r>
        <w:t xml:space="preserve"> </w:t>
      </w:r>
      <w:r>
        <w:rPr>
          <w:bCs/>
          <w:b/>
        </w:rPr>
        <w:t xml:space="preserve">cortex</w:t>
      </w:r>
      <w:r>
        <w:t xml:space="preserve"> </w:t>
      </w:r>
      <w:r>
        <w:t xml:space="preserve">(the bulk of the root’s tissue in cross-section, composed primarily of parenchyma cells, often serving storage functions, and including the specialised innermost layer, the</w:t>
      </w:r>
      <w:r>
        <w:t xml:space="preserve"> </w:t>
      </w:r>
      <w:r>
        <w:rPr>
          <w:bCs/>
          <w:b/>
        </w:rPr>
        <w:t xml:space="preserve">endodermis</w:t>
      </w:r>
      <w:r>
        <w:t xml:space="preserve">, distinguished by a waxy, water-impermeable band called the Casparian strip that forces water and dissolved minerals to pass through the endodermal cell membranes rather than simply flowing between cells, allowing the plant to selectively control and regulate which minerals are absorbed into the vascular tissue, connecting directly to the water absorption mechanism discussed in Topic 37); and, at the root’s centre, the</w:t>
      </w:r>
      <w:r>
        <w:t xml:space="preserve"> </w:t>
      </w:r>
      <w:r>
        <w:rPr>
          <w:bCs/>
          <w:b/>
        </w:rPr>
        <w:t xml:space="preserve">vascular cylinder (stele)</w:t>
      </w:r>
      <w:r>
        <w:t xml:space="preserve">, containing the xylem and phloem tissue, arranged in monocot and dicot roots in characteristically different patterns (a distinguishing anatomical feature between these two major angiosperm groups, connecting to the angiosperm classification topics discussed later in this subject).</w:t>
      </w:r>
    </w:p>
    <w:p>
      <w:pPr>
        <w:pStyle w:val="BodyText"/>
      </w:pPr>
      <w:r>
        <w:rPr>
          <w:bCs/>
          <w:b/>
        </w:rPr>
        <w:t xml:space="preserve">Root apical meristem and root cap.</w:t>
      </w:r>
      <w:r>
        <w:t xml:space="preserve"> </w:t>
      </w:r>
      <w:r>
        <w:t xml:space="preserve">At the very tip of each growing root, the apical meristem (Topic 19) drives root elongation, protected by a specialised layer of cells called the root cap, which is continuously worn away and regenerated as the root pushes through often abrasive soil, and which also plays a role in detecting gravity (enabling roots to grow downward, a response called gravitropism).</w:t>
      </w:r>
    </w:p>
    <w:p>
      <w:pPr>
        <w:pStyle w:val="BodyText"/>
      </w:pPr>
      <w:r>
        <w:rPr>
          <w:bCs/>
          <w:b/>
        </w:rPr>
        <w:t xml:space="preserve">Functional significance of root anatomy.</w:t>
      </w:r>
      <w:r>
        <w:t xml:space="preserve"> </w:t>
      </w:r>
      <w:r>
        <w:t xml:space="preserve">The combination of extensive root hair surface area for absorption, the endodermis’s selective mineral uptake regulation via the Casparian strip, and efficient internal vascular tissue for transporting absorbed water and minerals upward to the rest of the plant together explain how roots efficiently fulfil their essential water and nutrient acquisition function — directly relevant to understanding both natural plant physiology (Topic 37) and the practical agricultural implications of root zone soil conditions discussed extensively in the Agriculture &amp; Forestry subject (soil structure and fertility, Topics 12–13 there).</w:t>
      </w:r>
    </w:p>
    <w:p>
      <w:pPr>
        <w:pStyle w:val="BodyText"/>
      </w:pPr>
      <w:r>
        <w:rPr>
          <w:bCs/>
          <w:b/>
        </w:rPr>
        <w:t xml:space="preserve">Key Takeaways</w:t>
      </w:r>
    </w:p>
    <w:p>
      <w:pPr>
        <w:numPr>
          <w:ilvl w:val="0"/>
          <w:numId w:val="1025"/>
        </w:numPr>
        <w:pStyle w:val="Compact"/>
      </w:pPr>
      <w:r>
        <w:t xml:space="preserve">Root anatomy, from outside to inside, comprises the epidermis (including absorptive root hairs), cortex (storage tissue, including the endodermis with its Casparian strip), and central vascular cylinder (xylem/phloem).</w:t>
      </w:r>
    </w:p>
    <w:p>
      <w:pPr>
        <w:numPr>
          <w:ilvl w:val="0"/>
          <w:numId w:val="1025"/>
        </w:numPr>
        <w:pStyle w:val="Compact"/>
      </w:pPr>
      <w:r>
        <w:t xml:space="preserve">The endodermis’s Casparian strip forces water and minerals through cell membranes rather than between cells, allowing selective regulation of mineral uptake into the vascular tissue.</w:t>
      </w:r>
    </w:p>
    <w:p>
      <w:pPr>
        <w:numPr>
          <w:ilvl w:val="0"/>
          <w:numId w:val="1025"/>
        </w:numPr>
        <w:pStyle w:val="Compact"/>
      </w:pPr>
      <w:r>
        <w:t xml:space="preserve">Root anatomy’s structural features (root hairs, endodermis, vascular tissue) directly explain how roots efficiently absorb and transport water and minerals, connecting to both plant physiology and practical agricultural soil management.</w:t>
      </w:r>
    </w:p>
    <w:bookmarkEnd w:id="42"/>
    <w:bookmarkStart w:id="43" w:name="stem-anatomy"/>
    <w:p>
      <w:pPr>
        <w:pStyle w:val="Heading3"/>
      </w:pPr>
      <w:r>
        <w:t xml:space="preserve">22. Stem Anatomy</w:t>
      </w:r>
    </w:p>
    <w:p>
      <w:pPr>
        <w:pStyle w:val="FirstParagraph"/>
      </w:pPr>
      <w:r>
        <w:t xml:space="preserve">Stem anatomy examines the internal structural organisation of plant stems, which perform the essential functions of structural support, transport (connecting roots to leaves and reproductive structures), and, in some plants, storage and photosynthesis (in green, photosynthetically active stems).</w:t>
      </w:r>
    </w:p>
    <w:p>
      <w:pPr>
        <w:pStyle w:val="BodyText"/>
      </w:pPr>
      <w:r>
        <w:rPr>
          <w:bCs/>
          <w:b/>
        </w:rPr>
        <w:t xml:space="preserve">Basic stem tissue organisation.</w:t>
      </w:r>
      <w:r>
        <w:t xml:space="preserve"> </w:t>
      </w:r>
      <w:r>
        <w:t xml:space="preserve">Similar to roots, stems possess an outer</w:t>
      </w:r>
      <w:r>
        <w:t xml:space="preserve"> </w:t>
      </w:r>
      <w:r>
        <w:rPr>
          <w:bCs/>
          <w:b/>
        </w:rPr>
        <w:t xml:space="preserve">epidermis</w:t>
      </w:r>
      <w:r>
        <w:t xml:space="preserve"> </w:t>
      </w:r>
      <w:r>
        <w:t xml:space="preserve">(protective covering, though in woody stems this is eventually replaced by cork/bark as secondary growth proceeds, as discussed in Topic 20); a</w:t>
      </w:r>
      <w:r>
        <w:t xml:space="preserve"> </w:t>
      </w:r>
      <w:r>
        <w:rPr>
          <w:bCs/>
          <w:b/>
        </w:rPr>
        <w:t xml:space="preserve">cortex</w:t>
      </w:r>
      <w:r>
        <w:t xml:space="preserve"> </w:t>
      </w:r>
      <w:r>
        <w:t xml:space="preserve">region (ground tissue, though generally less prominent in proportion than in roots); and</w:t>
      </w:r>
      <w:r>
        <w:t xml:space="preserve"> </w:t>
      </w:r>
      <w:r>
        <w:rPr>
          <w:bCs/>
          <w:b/>
        </w:rPr>
        <w:t xml:space="preserve">vascular tissue</w:t>
      </w:r>
      <w:r>
        <w:t xml:space="preserve">, but with a critically important anatomical difference from roots: in stems, the vascular tissue (xylem and phloem) is organised into discrete bundles rather than the roots’ typically central, solid vascular cylinder arrangement.</w:t>
      </w:r>
    </w:p>
    <w:p>
      <w:pPr>
        <w:pStyle w:val="BodyText"/>
      </w:pPr>
      <w:r>
        <w:rPr>
          <w:bCs/>
          <w:b/>
        </w:rPr>
        <w:t xml:space="preserve">Monocot versus dicot stem vascular bundle arrangement — a key distinguishing anatomical feature.</w:t>
      </w:r>
      <w:r>
        <w:t xml:space="preserve"> </w:t>
      </w:r>
      <w:r>
        <w:t xml:space="preserve">In</w:t>
      </w:r>
      <w:r>
        <w:t xml:space="preserve"> </w:t>
      </w:r>
      <w:r>
        <w:rPr>
          <w:bCs/>
          <w:b/>
        </w:rPr>
        <w:t xml:space="preserve">dicot stems</w:t>
      </w:r>
      <w:r>
        <w:t xml:space="preserve">, vascular bundles are typically arranged in a organised ring pattern around the stem’s periphery, with the vascular cambium (Topic 20) positioned between the xylem and phloem within each bundle, allowing the characteristic secondary growth (wood and bark formation) that produces woody dicot stems over time. In</w:t>
      </w:r>
      <w:r>
        <w:t xml:space="preserve"> </w:t>
      </w:r>
      <w:r>
        <w:rPr>
          <w:bCs/>
          <w:b/>
        </w:rPr>
        <w:t xml:space="preserve">monocot stems</w:t>
      </w:r>
      <w:r>
        <w:t xml:space="preserve">, vascular bundles are typically scattered throughout the ground tissue rather than arranged in an organised ring, and generally lack a vascular cambium, explaining why most monocots (grasses, and other monocot species) do not undergo the secondary growth that produces true wood — this fundamental anatomical distinction directly explains why trees are predominantly dicots (or gymnosperms, which have their own distinct but also cambium-based vascular arrangement) rather than monocots, with the palm tree representing a notable and anatomically distinct monocot exception that achieves substantial size through a different, non-cambium-based mechanism.</w:t>
      </w:r>
    </w:p>
    <w:p>
      <w:pPr>
        <w:pStyle w:val="BodyText"/>
      </w:pPr>
      <w:r>
        <w:rPr>
          <w:bCs/>
          <w:b/>
        </w:rPr>
        <w:t xml:space="preserve">Herbaceous versus woody stems.</w:t>
      </w:r>
      <w:r>
        <w:t xml:space="preserve"> </w:t>
      </w:r>
      <w:r>
        <w:t xml:space="preserve">Herbaceous (non-woody) stems remain relatively soft and green throughout their life, relying primarily on turgor pressure (the internal water pressure within plant cells, discussed in relation to water relations in Topic 36) and, to a lesser extent, collenchyma and sclerenchyma support tissue for structural support, rather than the accumulated wood tissue of woody stems, meaning herbaceous plants are generally smaller in stature and more vulnerable to wilting when water-stressed compared to woody plants, which retain structural rigidity even when not fully turgid.</w:t>
      </w:r>
    </w:p>
    <w:p>
      <w:pPr>
        <w:pStyle w:val="BodyText"/>
      </w:pPr>
      <w:r>
        <w:rPr>
          <w:bCs/>
          <w:b/>
        </w:rPr>
        <w:t xml:space="preserve">Key Takeaways</w:t>
      </w:r>
    </w:p>
    <w:p>
      <w:pPr>
        <w:numPr>
          <w:ilvl w:val="0"/>
          <w:numId w:val="1026"/>
        </w:numPr>
        <w:pStyle w:val="Compact"/>
      </w:pPr>
      <w:r>
        <w:t xml:space="preserve">Stem anatomy includes an outer epidermis (or bark, in woody stems), cortex, and vascular tissue organised into discrete bundles, unlike roots’ central vascular cylinder.</w:t>
      </w:r>
    </w:p>
    <w:p>
      <w:pPr>
        <w:numPr>
          <w:ilvl w:val="0"/>
          <w:numId w:val="1026"/>
        </w:numPr>
        <w:pStyle w:val="Compact"/>
      </w:pPr>
      <w:r>
        <w:t xml:space="preserve">Dicot stems show vascular bundles arranged in an organised ring with a vascular cambium (enabling secondary growth/wood formation); monocot stems typically show scattered bundles without a cambium, generally preventing true wood formation.</w:t>
      </w:r>
    </w:p>
    <w:p>
      <w:pPr>
        <w:numPr>
          <w:ilvl w:val="0"/>
          <w:numId w:val="1026"/>
        </w:numPr>
        <w:pStyle w:val="Compact"/>
      </w:pPr>
      <w:r>
        <w:t xml:space="preserve">This anatomical distinction explains why trees are predominantly dicots or gymnosperms, with palms representing a distinct monocot exception achieving size through a different growth mechanism.</w:t>
      </w:r>
    </w:p>
    <w:bookmarkEnd w:id="43"/>
    <w:bookmarkStart w:id="44" w:name="leaf-anatomy"/>
    <w:p>
      <w:pPr>
        <w:pStyle w:val="Heading3"/>
      </w:pPr>
      <w:r>
        <w:t xml:space="preserve">23. Leaf Anatomy</w:t>
      </w:r>
    </w:p>
    <w:p>
      <w:pPr>
        <w:pStyle w:val="FirstParagraph"/>
      </w:pPr>
      <w:r>
        <w:t xml:space="preserve">Leaf anatomy examines the internal structural organisation of leaves, the plant organ primarily specialised for photosynthesis, and reflects a structure highly optimised for maximising light capture and gas exchange while minimising water loss — a set of competing demands that leaf anatomy elegantly balances.</w:t>
      </w:r>
    </w:p>
    <w:p>
      <w:pPr>
        <w:pStyle w:val="BodyText"/>
      </w:pPr>
      <w:r>
        <w:rPr>
          <w:bCs/>
          <w:b/>
        </w:rPr>
        <w:t xml:space="preserve">Leaf tissue organisation, from top to bottom.</w:t>
      </w:r>
      <w:r>
        <w:t xml:space="preserve"> </w:t>
      </w:r>
      <w:r>
        <w:t xml:space="preserve">The</w:t>
      </w:r>
      <w:r>
        <w:t xml:space="preserve"> </w:t>
      </w:r>
      <w:r>
        <w:rPr>
          <w:bCs/>
          <w:b/>
        </w:rPr>
        <w:t xml:space="preserve">upper epidermis</w:t>
      </w:r>
      <w:r>
        <w:t xml:space="preserve"> </w:t>
      </w:r>
      <w:r>
        <w:t xml:space="preserve">(a protective outer layer, typically covered by a waxy cuticle that reduces water loss through evaporation, a critical adaptation given leaves’ large surface area exposed to the drying effect of sun and wind); the</w:t>
      </w:r>
      <w:r>
        <w:t xml:space="preserve"> </w:t>
      </w:r>
      <w:r>
        <w:rPr>
          <w:bCs/>
          <w:b/>
        </w:rPr>
        <w:t xml:space="preserve">palisade mesophyll</w:t>
      </w:r>
      <w:r>
        <w:t xml:space="preserve"> </w:t>
      </w:r>
      <w:r>
        <w:t xml:space="preserve">(a layer of tightly packed, elongated, chlorophyll-rich cells positioned just beneath the upper epidermis, oriented to maximise light capture for photosynthesis, and typically the leaf’s primary site of photosynthetic activity given its position closest to incoming sunlight and high chloroplast density); the</w:t>
      </w:r>
      <w:r>
        <w:t xml:space="preserve"> </w:t>
      </w:r>
      <w:r>
        <w:rPr>
          <w:bCs/>
          <w:b/>
        </w:rPr>
        <w:t xml:space="preserve">spongy mesophyll</w:t>
      </w:r>
      <w:r>
        <w:t xml:space="preserve"> </w:t>
      </w:r>
      <w:r>
        <w:t xml:space="preserve">(a layer of more loosely arranged, irregularly shaped cells beneath the palisade layer, with substantial air spaces between cells that facilitate the internal gas diffusion — carbon dioxide in, oxygen and water vapour out — essential to photosynthesis and respiration); and the</w:t>
      </w:r>
      <w:r>
        <w:t xml:space="preserve"> </w:t>
      </w:r>
      <w:r>
        <w:rPr>
          <w:bCs/>
          <w:b/>
        </w:rPr>
        <w:t xml:space="preserve">lower epidermis</w:t>
      </w:r>
      <w:r>
        <w:t xml:space="preserve"> </w:t>
      </w:r>
      <w:r>
        <w:t xml:space="preserve">(similar protective function to the upper epidermis, but typically containing a much higher density of stomata, discussed below).</w:t>
      </w:r>
    </w:p>
    <w:p>
      <w:pPr>
        <w:pStyle w:val="BodyText"/>
      </w:pPr>
      <w:r>
        <w:rPr>
          <w:bCs/>
          <w:b/>
        </w:rPr>
        <w:t xml:space="preserve">Stomata and gas exchange regulation.</w:t>
      </w:r>
      <w:r>
        <w:t xml:space="preserve"> </w:t>
      </w:r>
      <w:r>
        <w:t xml:space="preserve">Stomata are small pores, each flanked by a pair of specialised guard cells that can actively open or close the pore, primarily located in the lower epidermis (a positioning that reduces direct sun exposure and associated water loss compared to upper-surface placement) — stomata allow carbon dioxide to enter leaf tissue for photosynthesis and allow water vapour to exit through transpiration (Topic 38), with guard cell opening and closing providing the plant’s primary mechanism for regulating this essential trade-off between photosynthetic gas exchange (requiring open stomata) and water conservation (favoured by closed stomata, particularly under water-stressed conditions).</w:t>
      </w:r>
    </w:p>
    <w:p>
      <w:pPr>
        <w:pStyle w:val="BodyText"/>
      </w:pPr>
      <w:r>
        <w:rPr>
          <w:bCs/>
          <w:b/>
        </w:rPr>
        <w:t xml:space="preserve">Vascular tissue in leaves (veins).</w:t>
      </w:r>
      <w:r>
        <w:t xml:space="preserve"> </w:t>
      </w:r>
      <w:r>
        <w:t xml:space="preserve">Leaf veins contain both xylem (delivering water and minerals to leaf tissue for photosynthesis) and phloem (transporting the sugars produced by photosynthesis out of the leaf to the rest of the plant), with vein branching patterns differing characteristically between monocots (typically parallel venation) and dicots (typically netted/reticulate venation) — another useful anatomical feature for distinguishing these two major angiosperm groups, alongside the stem vascular arrangement discussed in Topic 22.</w:t>
      </w:r>
    </w:p>
    <w:p>
      <w:pPr>
        <w:pStyle w:val="BodyText"/>
      </w:pPr>
      <w:r>
        <w:rPr>
          <w:bCs/>
          <w:b/>
        </w:rPr>
        <w:t xml:space="preserve">Key Takeaways</w:t>
      </w:r>
    </w:p>
    <w:p>
      <w:pPr>
        <w:numPr>
          <w:ilvl w:val="0"/>
          <w:numId w:val="1027"/>
        </w:numPr>
        <w:pStyle w:val="Compact"/>
      </w:pPr>
      <w:r>
        <w:t xml:space="preserve">Leaf anatomy comprises upper epidermis (protective, waxy cuticle), palisade mesophyll (primary photosynthetic tissue), spongy mesophyll (gas diffusion), and lower epidermis (containing most stomata).</w:t>
      </w:r>
    </w:p>
    <w:p>
      <w:pPr>
        <w:numPr>
          <w:ilvl w:val="0"/>
          <w:numId w:val="1027"/>
        </w:numPr>
        <w:pStyle w:val="Compact"/>
      </w:pPr>
      <w:r>
        <w:t xml:space="preserve">Stomata, regulated by guard cells, balance the essential trade-off between carbon dioxide uptake for photosynthesis and water loss through transpiration.</w:t>
      </w:r>
    </w:p>
    <w:p>
      <w:pPr>
        <w:numPr>
          <w:ilvl w:val="0"/>
          <w:numId w:val="1027"/>
        </w:numPr>
        <w:pStyle w:val="Compact"/>
      </w:pPr>
      <w:r>
        <w:t xml:space="preserve">Leaf vein patterns (parallel in monocots, netted/reticulate in dicots) provide another useful anatomical distinguishing feature between these two major angiosperm groups, alongside stem vascular bundle arrangement.</w:t>
      </w:r>
    </w:p>
    <w:bookmarkEnd w:id="44"/>
    <w:bookmarkStart w:id="45" w:name="microsporogenesis"/>
    <w:p>
      <w:pPr>
        <w:pStyle w:val="Heading3"/>
      </w:pPr>
      <w:r>
        <w:t xml:space="preserve">24. Microsporogenesis</w:t>
      </w:r>
    </w:p>
    <w:p>
      <w:pPr>
        <w:pStyle w:val="FirstParagraph"/>
      </w:pPr>
      <w:r>
        <w:t xml:space="preserve">Microsporogenesis is the process by which male spores (microspores), which develop into pollen grains (the extremely reduced male gametophyte generation established in Topic 11), are produced within the anther — the male reproductive structure of a flower — representing the first stage of male reproductive development in angiosperms, closely paralleling the analogous process in gymnosperms discussed in Topic 16.</w:t>
      </w:r>
    </w:p>
    <w:p>
      <w:pPr>
        <w:pStyle w:val="BodyText"/>
      </w:pPr>
      <w:r>
        <w:rPr>
          <w:bCs/>
          <w:b/>
        </w:rPr>
        <w:t xml:space="preserve">The process.</w:t>
      </w:r>
      <w:r>
        <w:t xml:space="preserve"> </w:t>
      </w:r>
      <w:r>
        <w:t xml:space="preserve">Within the anther, specialised diploid cells called microspore mother cells (or pollen mother cells) undergo meiosis, each producing four haploid microspores (typically remaining together temporarily as a tetrad before separating) — this meiotic division is the critical step that reduces the chromosome number from diploid to haploid, consistent with the fundamental alternation of generations pattern traced throughout this subject from algae (Topic 3) through bryophytes (Topic 10) and pteridophytes (Topic 13).</w:t>
      </w:r>
    </w:p>
    <w:p>
      <w:pPr>
        <w:pStyle w:val="BodyText"/>
      </w:pPr>
      <w:r>
        <w:rPr>
          <w:bCs/>
          <w:b/>
        </w:rPr>
        <w:t xml:space="preserve">Pollen grain development.</w:t>
      </w:r>
      <w:r>
        <w:t xml:space="preserve"> </w:t>
      </w:r>
      <w:r>
        <w:t xml:space="preserve">Following meiosis, each haploid microspore undergoes further mitotic division and structural development to form a mature pollen grain — typically containing two cells at maturity in most angiosperms: a</w:t>
      </w:r>
      <w:r>
        <w:t xml:space="preserve"> </w:t>
      </w:r>
      <w:r>
        <w:rPr>
          <w:bCs/>
          <w:b/>
        </w:rPr>
        <w:t xml:space="preserve">vegetative (tube) cell</w:t>
      </w:r>
      <w:r>
        <w:t xml:space="preserve">, which will later grow the pollen tube during fertilisation (Topic 26), and a</w:t>
      </w:r>
      <w:r>
        <w:t xml:space="preserve"> </w:t>
      </w:r>
      <w:r>
        <w:rPr>
          <w:bCs/>
          <w:b/>
        </w:rPr>
        <w:t xml:space="preserve">generative cell</w:t>
      </w:r>
      <w:r>
        <w:t xml:space="preserve">, which divides (either before or after pollen release, depending on the species) to produce two sperm cells, the male gametes that will participate in the double fertilisation process discussed in Topic 27. The pollen grain also develops a distinctive, highly resistant outer wall (the exine), often bearing species-characteristic surface ornamentation patterns that make pollen grains identifiable to species or genus level — a feature exploited in the specialised field of palynology (the study of pollen), useful for applications ranging from allergy research to reconstructing past vegetation and climate patterns from pollen preserved in sediment layers.</w:t>
      </w:r>
    </w:p>
    <w:p>
      <w:pPr>
        <w:pStyle w:val="BodyText"/>
      </w:pPr>
      <w:r>
        <w:rPr>
          <w:bCs/>
          <w:b/>
        </w:rPr>
        <w:t xml:space="preserve">Significance within the broader reproductive process.</w:t>
      </w:r>
      <w:r>
        <w:t xml:space="preserve"> </w:t>
      </w:r>
      <w:r>
        <w:t xml:space="preserve">Microsporogenesis represents the male-side counterpart to megasporogenesis (Topic 25, the analogous female-side process), and successful pollen development is an essential prerequisite for the pollination and fertilisation process (Topic 26) that ultimately produces seed and, in angiosperms, fruit — meaning any disruption to microsporogenesis (whether from genetic, environmental, or, in agricultural contexts, disease-related causes) can directly compromise a crop plant’s seed and yield production.</w:t>
      </w:r>
    </w:p>
    <w:p>
      <w:pPr>
        <w:pStyle w:val="BodyText"/>
      </w:pPr>
      <w:r>
        <w:rPr>
          <w:bCs/>
          <w:b/>
        </w:rPr>
        <w:t xml:space="preserve">Key Takeaways</w:t>
      </w:r>
    </w:p>
    <w:p>
      <w:pPr>
        <w:numPr>
          <w:ilvl w:val="0"/>
          <w:numId w:val="1028"/>
        </w:numPr>
        <w:pStyle w:val="Compact"/>
      </w:pPr>
      <w:r>
        <w:t xml:space="preserve">Microsporogenesis is the meiotic production of haploid microspores within the anther, which develop into mature pollen grains containing a vegetative cell and a generative cell (which produces two sperm cells).</w:t>
      </w:r>
    </w:p>
    <w:p>
      <w:pPr>
        <w:numPr>
          <w:ilvl w:val="0"/>
          <w:numId w:val="1028"/>
        </w:numPr>
        <w:pStyle w:val="Compact"/>
      </w:pPr>
      <w:r>
        <w:t xml:space="preserve">This process is the male-side counterpart to megasporogenesis, representing the male gametophyte generation’s extreme reduction, consistent with the alternation of generations pattern traced throughout land plant evolution.</w:t>
      </w:r>
    </w:p>
    <w:p>
      <w:pPr>
        <w:numPr>
          <w:ilvl w:val="0"/>
          <w:numId w:val="1028"/>
        </w:numPr>
        <w:pStyle w:val="Compact"/>
      </w:pPr>
      <w:r>
        <w:t xml:space="preserve">Successful microsporogenesis is an essential prerequisite for pollination, fertilisation, and ultimately seed/fruit production, with direct practical relevance to agricultural yield.</w:t>
      </w:r>
    </w:p>
    <w:bookmarkEnd w:id="45"/>
    <w:bookmarkStart w:id="46" w:name="X9e6163976d3520a141c6f0b870f5c72c7f54e62"/>
    <w:p>
      <w:pPr>
        <w:pStyle w:val="Heading3"/>
      </w:pPr>
      <w:r>
        <w:t xml:space="preserve">25. Megasporogenesis and Embryo-sac Development</w:t>
      </w:r>
    </w:p>
    <w:p>
      <w:pPr>
        <w:pStyle w:val="FirstParagraph"/>
      </w:pPr>
      <w:r>
        <w:t xml:space="preserve">Megasporogenesis is the process by which female spores (megaspores) are produced within the ovule, representing the female-side counterpart to microsporogenesis (Topic 24), and culminating in the development of the embryo sac — the mature female gametophyte in angiosperms.</w:t>
      </w:r>
    </w:p>
    <w:p>
      <w:pPr>
        <w:pStyle w:val="BodyText"/>
      </w:pPr>
      <w:r>
        <w:rPr>
          <w:bCs/>
          <w:b/>
        </w:rPr>
        <w:t xml:space="preserve">The process.</w:t>
      </w:r>
      <w:r>
        <w:t xml:space="preserve"> </w:t>
      </w:r>
      <w:r>
        <w:t xml:space="preserve">Within the ovule (located inside the ovary, the female reproductive structure of a flower), a specialised diploid cell called the megaspore mother cell undergoes meiosis, typically producing four haploid megaspores — but unlike microsporogenesis, where all four resulting microspores generally survive and develop into pollen grains, in most angiosperms only one of the four megaspores survives (the other three typically degenerate), and this single surviving megaspore then undergoes further development into the mature embryo sac.</w:t>
      </w:r>
    </w:p>
    <w:p>
      <w:pPr>
        <w:pStyle w:val="BodyText"/>
      </w:pPr>
      <w:r>
        <w:rPr>
          <w:bCs/>
          <w:b/>
        </w:rPr>
        <w:t xml:space="preserve">Embryo sac (female gametophyte) development.</w:t>
      </w:r>
      <w:r>
        <w:t xml:space="preserve"> </w:t>
      </w:r>
      <w:r>
        <w:t xml:space="preserve">The surviving megaspore undergoes a characteristic pattern of mitotic divisions (without accompanying cell wall formation initially, producing multiple nuclei within a single enlarging cell before cellularisation occurs), typically producing, in the most common angiosperm pattern, a mature embryo sac containing seven cells with eight nuclei: the</w:t>
      </w:r>
      <w:r>
        <w:t xml:space="preserve"> </w:t>
      </w:r>
      <w:r>
        <w:rPr>
          <w:bCs/>
          <w:b/>
        </w:rPr>
        <w:t xml:space="preserve">egg cell</w:t>
      </w:r>
      <w:r>
        <w:t xml:space="preserve"> </w:t>
      </w:r>
      <w:r>
        <w:t xml:space="preserve">(the female gamete that will be fertilised); two</w:t>
      </w:r>
      <w:r>
        <w:t xml:space="preserve"> </w:t>
      </w:r>
      <w:r>
        <w:rPr>
          <w:bCs/>
          <w:b/>
        </w:rPr>
        <w:t xml:space="preserve">synergid cells</w:t>
      </w:r>
      <w:r>
        <w:t xml:space="preserve"> </w:t>
      </w:r>
      <w:r>
        <w:t xml:space="preserve">flanking the egg cell (believed to play a role in guiding pollen tube growth toward the egg, discussed further in Topic 26); a large</w:t>
      </w:r>
      <w:r>
        <w:t xml:space="preserve"> </w:t>
      </w:r>
      <w:r>
        <w:rPr>
          <w:bCs/>
          <w:b/>
        </w:rPr>
        <w:t xml:space="preserve">central cell</w:t>
      </w:r>
      <w:r>
        <w:t xml:space="preserve"> </w:t>
      </w:r>
      <w:r>
        <w:t xml:space="preserve">containing two</w:t>
      </w:r>
      <w:r>
        <w:t xml:space="preserve"> </w:t>
      </w:r>
      <w:r>
        <w:rPr>
          <w:bCs/>
          <w:b/>
        </w:rPr>
        <w:t xml:space="preserve">polar nuclei</w:t>
      </w:r>
      <w:r>
        <w:t xml:space="preserve"> </w:t>
      </w:r>
      <w:r>
        <w:t xml:space="preserve">(which will participate in the distinctive double fertilisation process discussed in Topic 27, ultimately giving rise to the nutritive endosperm tissue); and three</w:t>
      </w:r>
      <w:r>
        <w:t xml:space="preserve"> </w:t>
      </w:r>
      <w:r>
        <w:rPr>
          <w:bCs/>
          <w:b/>
        </w:rPr>
        <w:t xml:space="preserve">antipodal cells</w:t>
      </w:r>
      <w:r>
        <w:t xml:space="preserve"> </w:t>
      </w:r>
      <w:r>
        <w:t xml:space="preserve">at the opposite end of the embryo sac from the egg apparatus (whose precise function is less clearly established, though they are thought to play some role in nutrient transfer during embryo sac development).</w:t>
      </w:r>
    </w:p>
    <w:p>
      <w:pPr>
        <w:pStyle w:val="BodyText"/>
      </w:pPr>
      <w:r>
        <w:rPr>
          <w:bCs/>
          <w:b/>
        </w:rPr>
        <w:t xml:space="preserve">Why the embryo sac represents such an extremely reduced gametophyte.</w:t>
      </w:r>
      <w:r>
        <w:t xml:space="preserve"> </w:t>
      </w:r>
      <w:r>
        <w:t xml:space="preserve">Comparing this structure to the free-living, independently photosynthetic gametophyte (prothallus) of pteridophytes (Topic 13), the angiosperm embryo sac — a microscopic structure of just a handful of cells, entirely enclosed within and nutritionally dependent on the surrounding sporophyte ovule tissue, incapable of any independent existence — represents the logical endpoint of the progressive gametophyte reduction trend traced throughout this subject’s evolutionary discussion in Topic 11.</w:t>
      </w:r>
    </w:p>
    <w:p>
      <w:pPr>
        <w:pStyle w:val="BodyText"/>
      </w:pPr>
      <w:r>
        <w:rPr>
          <w:bCs/>
          <w:b/>
        </w:rPr>
        <w:t xml:space="preserve">Key Takeaways</w:t>
      </w:r>
    </w:p>
    <w:p>
      <w:pPr>
        <w:numPr>
          <w:ilvl w:val="0"/>
          <w:numId w:val="1029"/>
        </w:numPr>
        <w:pStyle w:val="Compact"/>
      </w:pPr>
      <w:r>
        <w:t xml:space="preserve">Megasporogenesis produces four haploid megaspores through meiosis within the ovule, of which typically only one survives to develop into the mature embryo sac (female gametophyte).</w:t>
      </w:r>
    </w:p>
    <w:p>
      <w:pPr>
        <w:numPr>
          <w:ilvl w:val="0"/>
          <w:numId w:val="1029"/>
        </w:numPr>
        <w:pStyle w:val="Compact"/>
      </w:pPr>
      <w:r>
        <w:t xml:space="preserve">The mature embryo sac typically contains seven cells/eight nuclei: the egg cell, two synergid cells, a central cell with two polar nuclei, and three antipodal cells.</w:t>
      </w:r>
    </w:p>
    <w:p>
      <w:pPr>
        <w:numPr>
          <w:ilvl w:val="0"/>
          <w:numId w:val="1029"/>
        </w:numPr>
        <w:pStyle w:val="Compact"/>
      </w:pPr>
      <w:r>
        <w:t xml:space="preserve">The embryo sac represents the extreme endpoint of gametophyte reduction traced throughout land plant evolution — a microscopic, entirely sporophyte-dependent structure, in stark contrast to the free-living gametophyte of pteridophytes.</w:t>
      </w:r>
    </w:p>
    <w:bookmarkEnd w:id="46"/>
    <w:bookmarkStart w:id="47" w:name="pollination-and-fertilization"/>
    <w:p>
      <w:pPr>
        <w:pStyle w:val="Heading3"/>
      </w:pPr>
      <w:r>
        <w:t xml:space="preserve">26. Pollination and Fertilization</w:t>
      </w:r>
    </w:p>
    <w:p>
      <w:pPr>
        <w:pStyle w:val="FirstParagraph"/>
      </w:pPr>
      <w:r>
        <w:t xml:space="preserve">Pollination — the transfer of pollen from the anther (male structure) to the stigma (the receptive female structure atop the ovary) — and the subsequent fertilisation process together represent the culmination of the reproductive development traced through microsporogenesis (Topic 24) and megasporogenesis (Topic 25), ultimately enabling seed formation.</w:t>
      </w:r>
    </w:p>
    <w:p>
      <w:pPr>
        <w:pStyle w:val="BodyText"/>
      </w:pPr>
      <w:r>
        <w:rPr>
          <w:bCs/>
          <w:b/>
        </w:rPr>
        <w:t xml:space="preserve">Types of pollination.</w:t>
      </w:r>
      <w:r>
        <w:t xml:space="preserve"> </w:t>
      </w:r>
      <w:r>
        <w:rPr>
          <w:bCs/>
          <w:b/>
        </w:rPr>
        <w:t xml:space="preserve">Self-pollination</w:t>
      </w:r>
      <w:r>
        <w:t xml:space="preserve"> </w:t>
      </w:r>
      <w:r>
        <w:t xml:space="preserve">occurs when pollen from a flower (or another flower on the same plant) fertilises the same plant’s own ovules, offering reproductive reliability (not dependent on external pollen transfer agents) but generally producing less genetically diverse offspring than cross-pollination.</w:t>
      </w:r>
      <w:r>
        <w:t xml:space="preserve"> </w:t>
      </w:r>
      <w:r>
        <w:rPr>
          <w:bCs/>
          <w:b/>
        </w:rPr>
        <w:t xml:space="preserve">Cross-pollination</w:t>
      </w:r>
      <w:r>
        <w:t xml:space="preserve"> </w:t>
      </w:r>
      <w:r>
        <w:t xml:space="preserve">occurs when pollen from one plant fertilises a genetically distinct plant’s ovules, generally producing greater genetic diversity in offspring (an evolutionary advantage in variable or changing environments), and is achieved through various pollen transfer mechanisms:</w:t>
      </w:r>
      <w:r>
        <w:t xml:space="preserve"> </w:t>
      </w:r>
      <w:r>
        <w:rPr>
          <w:bCs/>
          <w:b/>
        </w:rPr>
        <w:t xml:space="preserve">wind pollination</w:t>
      </w:r>
      <w:r>
        <w:t xml:space="preserve"> </w:t>
      </w:r>
      <w:r>
        <w:t xml:space="preserve">(common in grasses and many trees, including most gymnosperms as discussed in Topic 16, typically producing large quantities of lightweight pollen given the inherent inefficiency of relying on random wind dispersal to reach a receptive stigma) and</w:t>
      </w:r>
      <w:r>
        <w:t xml:space="preserve"> </w:t>
      </w:r>
      <w:r>
        <w:rPr>
          <w:bCs/>
          <w:b/>
        </w:rPr>
        <w:t xml:space="preserve">animal pollination</w:t>
      </w:r>
      <w:r>
        <w:t xml:space="preserve"> </w:t>
      </w:r>
      <w:r>
        <w:t xml:space="preserve">(particularly by insects — most prominently bees — but also birds and bats in various plant species, generally a more targeted and efficient pollen transfer mechanism than wind, and typically associated with flowers that have evolved specific attractive features — colour, scent, nectar reward — to encourage pollinator visitation, an example of coevolution between plants and their animal pollinators of major ecological and, given the agricultural importance of pollinator-dependent crops, economic significance).</w:t>
      </w:r>
    </w:p>
    <w:p>
      <w:pPr>
        <w:pStyle w:val="BodyText"/>
      </w:pPr>
      <w:r>
        <w:rPr>
          <w:bCs/>
          <w:b/>
        </w:rPr>
        <w:t xml:space="preserve">The fertilisation process.</w:t>
      </w:r>
      <w:r>
        <w:t xml:space="preserve"> </w:t>
      </w:r>
      <w:r>
        <w:t xml:space="preserve">Upon landing on a receptive stigma, a compatible pollen grain germinates, with the vegetative cell (Topic 24) growing a pollen tube down through the stigma and style toward the ovule, guided partly by chemical signals believed to originate from the synergid cells (Topic 25); the generative cell’s two sperm cells travel down the pollen tube and are delivered into the embryo sac.</w:t>
      </w:r>
    </w:p>
    <w:p>
      <w:pPr>
        <w:pStyle w:val="BodyText"/>
      </w:pPr>
      <w:r>
        <w:rPr>
          <w:bCs/>
          <w:b/>
        </w:rPr>
        <w:t xml:space="preserve">Double fertilisation — a defining and unique angiosperm characteristic.</w:t>
      </w:r>
      <w:r>
        <w:t xml:space="preserve"> </w:t>
      </w:r>
      <w:r>
        <w:t xml:space="preserve">Uniquely among all plant groups, angiosperms undergo</w:t>
      </w:r>
      <w:r>
        <w:t xml:space="preserve"> </w:t>
      </w:r>
      <w:r>
        <w:rPr>
          <w:bCs/>
          <w:b/>
        </w:rPr>
        <w:t xml:space="preserve">double fertilisation</w:t>
      </w:r>
      <w:r>
        <w:t xml:space="preserve">: one sperm cell fuses with the egg cell, forming the diploid zygote that will develop into the embryo (Topic 27); simultaneously, the second sperm cell fuses with the central cell’s two polar nuclei, forming a typically triploid (three chromosome sets) cell that develops into the endosperm — the nutritive tissue that will nourish the developing embryo, discussed further in Topic 27. This distinctive dual fertilisation event, producing both an embryo and its dedicated nutritive tissue from a single pollination event, is found in no other plant group and represents one of angiosperms’ defining reproductive characteristics.</w:t>
      </w:r>
    </w:p>
    <w:p>
      <w:pPr>
        <w:pStyle w:val="BodyText"/>
      </w:pPr>
      <w:r>
        <w:rPr>
          <w:bCs/>
          <w:b/>
        </w:rPr>
        <w:t xml:space="preserve">Key Takeaways</w:t>
      </w:r>
    </w:p>
    <w:p>
      <w:pPr>
        <w:numPr>
          <w:ilvl w:val="0"/>
          <w:numId w:val="1030"/>
        </w:numPr>
        <w:pStyle w:val="Compact"/>
      </w:pPr>
      <w:r>
        <w:t xml:space="preserve">Pollination transfers pollen from anther to stigma, via self-pollination or cross-pollination (achieved through wind or animal pollinator transfer, the latter involving significant plant-pollinator coevolution).</w:t>
      </w:r>
    </w:p>
    <w:p>
      <w:pPr>
        <w:numPr>
          <w:ilvl w:val="0"/>
          <w:numId w:val="1030"/>
        </w:numPr>
        <w:pStyle w:val="Compact"/>
      </w:pPr>
      <w:r>
        <w:t xml:space="preserve">Following germination, the pollen tube delivers two sperm cells to the embryo sac.</w:t>
      </w:r>
    </w:p>
    <w:p>
      <w:pPr>
        <w:numPr>
          <w:ilvl w:val="0"/>
          <w:numId w:val="1030"/>
        </w:numPr>
        <w:pStyle w:val="Compact"/>
      </w:pPr>
      <w:r>
        <w:t xml:space="preserve">Angiosperms undergo unique double fertilisation: one sperm fertilises the egg (forming the embryo), while the second fertilises the central cell’s polar nuclei (forming the nutritive endosperm) — a defining angiosperm characteristic found in no other plant group.</w:t>
      </w:r>
    </w:p>
    <w:bookmarkEnd w:id="47"/>
    <w:bookmarkStart w:id="48" w:name="embryo-and-endosperm-development"/>
    <w:p>
      <w:pPr>
        <w:pStyle w:val="Heading3"/>
      </w:pPr>
      <w:r>
        <w:t xml:space="preserve">27. Embryo and Endosperm Development</w:t>
      </w:r>
    </w:p>
    <w:p>
      <w:pPr>
        <w:pStyle w:val="FirstParagraph"/>
      </w:pPr>
      <w:r>
        <w:t xml:space="preserve">Following the double fertilisation event described in Topic 26, the resulting zygote and the fertilised central cell undergo distinct developmental pathways, producing the embryo and endosperm respectively — the two key internal components of the developing seed, alongside the seed coat developing from the surrounding integument (as introduced in Topic 17).</w:t>
      </w:r>
    </w:p>
    <w:p>
      <w:pPr>
        <w:pStyle w:val="BodyText"/>
      </w:pPr>
      <w:r>
        <w:rPr>
          <w:bCs/>
          <w:b/>
        </w:rPr>
        <w:t xml:space="preserve">Embryo development.</w:t>
      </w:r>
      <w:r>
        <w:t xml:space="preserve"> </w:t>
      </w:r>
      <w:r>
        <w:t xml:space="preserve">The diploid zygote undergoes a series of coordinated cell divisions following a generally well-characterised developmental sequence: initial divisions establish a basic polarity (distinguishing the future root end from the future shoot end of the embryo); subsequent divisions and cell differentiation progressively establish the embryo’s basic organisation, including the embryonic root (radicle), embryonic shoot, and one or two cotyledons (seed leaves) — angiosperms are classified as either</w:t>
      </w:r>
      <w:r>
        <w:t xml:space="preserve"> </w:t>
      </w:r>
      <w:r>
        <w:rPr>
          <w:bCs/>
          <w:b/>
        </w:rPr>
        <w:t xml:space="preserve">monocotyledonous</w:t>
      </w:r>
      <w:r>
        <w:t xml:space="preserve"> </w:t>
      </w:r>
      <w:r>
        <w:t xml:space="preserve">(producing a single cotyledon, characteristic of grasses and related plant groups) or</w:t>
      </w:r>
      <w:r>
        <w:t xml:space="preserve"> </w:t>
      </w:r>
      <w:r>
        <w:rPr>
          <w:bCs/>
          <w:b/>
        </w:rPr>
        <w:t xml:space="preserve">dicotyledonous</w:t>
      </w:r>
      <w:r>
        <w:t xml:space="preserve"> </w:t>
      </w:r>
      <w:r>
        <w:t xml:space="preserve">(producing two cotyledons, characteristic of most broad-leaved flowering plants), a fundamental distinction that also underlies the differing stem vascular bundle arrangements (Topic 22) and leaf venation patterns (Topic 23) discussed elsewhere in this subject.</w:t>
      </w:r>
    </w:p>
    <w:p>
      <w:pPr>
        <w:pStyle w:val="BodyText"/>
      </w:pPr>
      <w:r>
        <w:rPr>
          <w:bCs/>
          <w:b/>
        </w:rPr>
        <w:t xml:space="preserve">Endosperm development.</w:t>
      </w:r>
      <w:r>
        <w:t xml:space="preserve"> </w:t>
      </w:r>
      <w:r>
        <w:t xml:space="preserve">The triploid fertilised central cell (Topic 26) develops into the endosperm, a nutritive tissue whose fate varies depending on the specific plant species: in many plant species, the endosperm is substantially or entirely consumed by the developing embryo during seed development itself, with the mature seed’s nutritive reserves instead stored primarily within the cotyledons (as occurs in many legume and other dicot seeds); in other species (including most cereal grains, such as wheat, rice, and maize — crops of major direct agricultural significance discussed extensively in the Agriculture &amp; Forestry subject), the endosperm persists as a substantial nutritive tissue within the mature seed, providing the primary stored food reserve that nourishes the germinating seedling — this endosperm tissue is, in fact, the primary edible and nutritionally significant component of cereal grains as harvested and processed for human food and animal feed, making endosperm development a topic of direct and substantial agricultural and nutritional relevance.</w:t>
      </w:r>
    </w:p>
    <w:p>
      <w:pPr>
        <w:pStyle w:val="BodyText"/>
      </w:pPr>
      <w:r>
        <w:rPr>
          <w:bCs/>
          <w:b/>
        </w:rPr>
        <w:t xml:space="preserve">Coordinated development.</w:t>
      </w:r>
      <w:r>
        <w:t xml:space="preserve"> </w:t>
      </w:r>
      <w:r>
        <w:t xml:space="preserve">Embryo and endosperm development occur in a coordinated fashion within the developing seed, with the surrounding ovule tissue (integument) simultaneously developing into the protective seed coat, together producing the complete mature seed structure described in Topic 17, ready for the dispersal processes discussed in Topic 28.</w:t>
      </w:r>
    </w:p>
    <w:p>
      <w:pPr>
        <w:pStyle w:val="BodyText"/>
      </w:pPr>
      <w:r>
        <w:rPr>
          <w:bCs/>
          <w:b/>
        </w:rPr>
        <w:t xml:space="preserve">Key Takeaways</w:t>
      </w:r>
    </w:p>
    <w:p>
      <w:pPr>
        <w:numPr>
          <w:ilvl w:val="0"/>
          <w:numId w:val="1031"/>
        </w:numPr>
        <w:pStyle w:val="Compact"/>
      </w:pPr>
      <w:r>
        <w:t xml:space="preserve">Following double fertilisation, the zygote develops into the embryo (establishing radicle, shoot, and one or two cotyledons, distinguishing monocots from dicots), while the fertilised central cell develops into the nutritive endosperm.</w:t>
      </w:r>
    </w:p>
    <w:p>
      <w:pPr>
        <w:numPr>
          <w:ilvl w:val="0"/>
          <w:numId w:val="1031"/>
        </w:numPr>
        <w:pStyle w:val="Compact"/>
      </w:pPr>
      <w:r>
        <w:t xml:space="preserve">Endosperm fate varies by species: substantially consumed during seed development in many dicots (with reserves stored in cotyledons instead), or persisting as the primary nutritive tissue in cereal grains.</w:t>
      </w:r>
    </w:p>
    <w:p>
      <w:pPr>
        <w:numPr>
          <w:ilvl w:val="0"/>
          <w:numId w:val="1031"/>
        </w:numPr>
        <w:pStyle w:val="Compact"/>
      </w:pPr>
      <w:r>
        <w:t xml:space="preserve">Cereal grain endosperm is the primary edible, nutritionally significant component of grains like wheat, rice, and maize, giving this developmental process direct agricultural and nutritional significance.</w:t>
      </w:r>
    </w:p>
    <w:bookmarkEnd w:id="48"/>
    <w:bookmarkStart w:id="49" w:name="seed-and-fruit-dispersal"/>
    <w:p>
      <w:pPr>
        <w:pStyle w:val="Heading3"/>
      </w:pPr>
      <w:r>
        <w:t xml:space="preserve">28. Seed and Fruit Dispersal</w:t>
      </w:r>
    </w:p>
    <w:p>
      <w:pPr>
        <w:pStyle w:val="FirstParagraph"/>
      </w:pPr>
      <w:r>
        <w:t xml:space="preserve">Seed and fruit dispersal — the movement of seeds away from the parent plant — represents the final stage in the angiosperm reproductive process traced throughout this section, serving the crucial ecological function of reducing competition between parent and offspring plants and enabling colonisation of new habitat areas.</w:t>
      </w:r>
    </w:p>
    <w:p>
      <w:pPr>
        <w:pStyle w:val="BodyText"/>
      </w:pPr>
      <w:r>
        <w:rPr>
          <w:bCs/>
          <w:b/>
        </w:rPr>
        <w:t xml:space="preserve">Why dispersal matters ecologically.</w:t>
      </w:r>
      <w:r>
        <w:t xml:space="preserve"> </w:t>
      </w:r>
      <w:r>
        <w:t xml:space="preserve">Seeds that germinate very close to the parent plant face intense competition with the parent (and with each other, if many seeds disperse to the same nearby location) for light, water, and nutrients, and remain vulnerable to any localised threats (disease, herbivory, unfavourable local conditions) affecting the parent plant’s immediate location — effective dispersal mechanisms that move at least some seeds a meaningful distance from the parent plant therefore offer a significant evolutionary advantage by reducing this competition and risk concentration, and by enabling the species to colonise new suitable habitat areas.</w:t>
      </w:r>
    </w:p>
    <w:p>
      <w:pPr>
        <w:pStyle w:val="BodyText"/>
      </w:pPr>
      <w:r>
        <w:rPr>
          <w:bCs/>
          <w:b/>
        </w:rPr>
        <w:t xml:space="preserve">Major dispersal mechanisms, generally reflecting specific structural adaptations of the seed or surrounding fruit tissue:</w:t>
      </w:r>
    </w:p>
    <w:p>
      <w:pPr>
        <w:numPr>
          <w:ilvl w:val="0"/>
          <w:numId w:val="1032"/>
        </w:numPr>
        <w:pStyle w:val="Compact"/>
      </w:pPr>
      <w:r>
        <w:rPr>
          <w:bCs/>
          <w:b/>
        </w:rPr>
        <w:t xml:space="preserve">Wind dispersal</w:t>
      </w:r>
      <w:r>
        <w:t xml:space="preserve"> </w:t>
      </w:r>
      <w:r>
        <w:t xml:space="preserve">— seeds or fruits with structural adaptations that increase air resistance and slow falling speed, allowing wind to carry them further, including winged seeds (as seen in many conifers, Topic 16, and some angiosperm trees) and the feathery, parachute-like structures seen in dandelion and related species.</w:t>
      </w:r>
    </w:p>
    <w:p>
      <w:pPr>
        <w:numPr>
          <w:ilvl w:val="0"/>
          <w:numId w:val="1032"/>
        </w:numPr>
        <w:pStyle w:val="Compact"/>
      </w:pPr>
      <w:r>
        <w:rPr>
          <w:bCs/>
          <w:b/>
        </w:rPr>
        <w:t xml:space="preserve">Water dispersal</w:t>
      </w:r>
      <w:r>
        <w:t xml:space="preserve"> </w:t>
      </w:r>
      <w:r>
        <w:t xml:space="preserve">— seeds or fruits adapted to float and survive water transport, including specialised buoyant, waterproof fruit structures, as seen in coconut, capable of surviving extended ocean transport to colonise new island locations.</w:t>
      </w:r>
    </w:p>
    <w:p>
      <w:pPr>
        <w:numPr>
          <w:ilvl w:val="0"/>
          <w:numId w:val="1032"/>
        </w:numPr>
        <w:pStyle w:val="Compact"/>
      </w:pPr>
      <w:r>
        <w:rPr>
          <w:bCs/>
          <w:b/>
        </w:rPr>
        <w:t xml:space="preserve">Animal dispersal</w:t>
      </w:r>
      <w:r>
        <w:t xml:space="preserve">, itself divided into two distinct mechanisms:</w:t>
      </w:r>
      <w:r>
        <w:t xml:space="preserve"> </w:t>
      </w:r>
      <w:r>
        <w:rPr>
          <w:bCs/>
          <w:b/>
        </w:rPr>
        <w:t xml:space="preserve">endozoochory</w:t>
      </w:r>
      <w:r>
        <w:t xml:space="preserve"> </w:t>
      </w:r>
      <w:r>
        <w:t xml:space="preserve">(seeds consumed within fleshy, nutritious fruit, passing intact through an animal’s digestive system and being deposited, often at some distance from the parent plant, in the animal’s droppings — the fleshy fruit tissue representing an evolved reward encouraging animal consumption and subsequent seed dispersal) and</w:t>
      </w:r>
      <w:r>
        <w:t xml:space="preserve"> </w:t>
      </w:r>
      <w:r>
        <w:rPr>
          <w:bCs/>
          <w:b/>
        </w:rPr>
        <w:t xml:space="preserve">epizoochory</w:t>
      </w:r>
      <w:r>
        <w:t xml:space="preserve"> </w:t>
      </w:r>
      <w:r>
        <w:t xml:space="preserve">(seeds or fruits with hooks, spines, or sticky surfaces that attach to animal fur or feathers for external transport, until eventually dislodged at a new location).</w:t>
      </w:r>
    </w:p>
    <w:p>
      <w:pPr>
        <w:numPr>
          <w:ilvl w:val="0"/>
          <w:numId w:val="1032"/>
        </w:numPr>
        <w:pStyle w:val="Compact"/>
      </w:pPr>
      <w:r>
        <w:rPr>
          <w:bCs/>
          <w:b/>
        </w:rPr>
        <w:t xml:space="preserve">Mechanical/explosive dispersal</w:t>
      </w:r>
      <w:r>
        <w:t xml:space="preserve"> </w:t>
      </w:r>
      <w:r>
        <w:t xml:space="preserve">— certain plant species have evolved fruit or seed pod structures that build up mechanical tension as they dry, eventually rupturing explosively and physically ejecting seeds some distance from the parent plant.</w:t>
      </w:r>
    </w:p>
    <w:p>
      <w:pPr>
        <w:pStyle w:val="FirstParagraph"/>
      </w:pPr>
      <w:r>
        <w:rPr>
          <w:bCs/>
          <w:b/>
        </w:rPr>
        <w:t xml:space="preserve">Agricultural relevance of dispersal mechanisms.</w:t>
      </w:r>
      <w:r>
        <w:t xml:space="preserve"> </w:t>
      </w:r>
      <w:r>
        <w:t xml:space="preserve">Understanding natural seed dispersal mechanisms has direct practical relevance to weed management in agriculture (since many problematic weed species rely on highly effective dispersal mechanisms, such as wind or animal dispersal, explaining their capacity for rapid, widespread agricultural field colonisation) and to crop seed harvest timing and handling (since crop seeds and fruits, having been domesticated partly for reduced natural dispersal tendency — favouring seeds that remain on the plant for convenient harvest rather than naturally scattering — represent a notable case of human-directed selection against the natural dispersal adaptations discussed in this topic).</w:t>
      </w:r>
    </w:p>
    <w:p>
      <w:pPr>
        <w:pStyle w:val="BodyText"/>
      </w:pPr>
      <w:r>
        <w:rPr>
          <w:bCs/>
          <w:b/>
        </w:rPr>
        <w:t xml:space="preserve">Key Takeaways</w:t>
      </w:r>
    </w:p>
    <w:p>
      <w:pPr>
        <w:numPr>
          <w:ilvl w:val="0"/>
          <w:numId w:val="1033"/>
        </w:numPr>
        <w:pStyle w:val="Compact"/>
      </w:pPr>
      <w:r>
        <w:t xml:space="preserve">Seed dispersal reduces parent-offspring competition and localised risk concentration, and enables colonisation of new habitat, providing significant evolutionary advantage.</w:t>
      </w:r>
    </w:p>
    <w:p>
      <w:pPr>
        <w:numPr>
          <w:ilvl w:val="0"/>
          <w:numId w:val="1033"/>
        </w:numPr>
        <w:pStyle w:val="Compact"/>
      </w:pPr>
      <w:r>
        <w:t xml:space="preserve">Major dispersal mechanisms include wind (winged/feathery structures), water (buoyant, waterproof fruits), and animal dispersal (endozoochory via fleshy fruit consumption, or epizoochory via external attachment), alongside some mechanical/explosive dispersal.</w:t>
      </w:r>
    </w:p>
    <w:p>
      <w:pPr>
        <w:numPr>
          <w:ilvl w:val="0"/>
          <w:numId w:val="1033"/>
        </w:numPr>
        <w:pStyle w:val="Compact"/>
      </w:pPr>
      <w:r>
        <w:t xml:space="preserve">Understanding dispersal mechanisms has practical agricultural relevance to weed spread management and reflects how crop domestication has often selected against natural dispersal tendencies in favour of harvest convenience.</w:t>
      </w:r>
    </w:p>
    <w:bookmarkEnd w:id="49"/>
    <w:bookmarkEnd w:id="50"/>
    <w:bookmarkStart w:id="58" w:name="iv.-taxonomy-of-angiosperms"/>
    <w:p>
      <w:pPr>
        <w:pStyle w:val="Heading2"/>
      </w:pPr>
      <w:r>
        <w:t xml:space="preserve">IV. Taxonomy of Angiosperms</w:t>
      </w:r>
    </w:p>
    <w:bookmarkStart w:id="51" w:name="systems-of-classification"/>
    <w:p>
      <w:pPr>
        <w:pStyle w:val="Heading3"/>
      </w:pPr>
      <w:r>
        <w:t xml:space="preserve">29. Systems of Classification</w:t>
      </w:r>
    </w:p>
    <w:p>
      <w:pPr>
        <w:pStyle w:val="FirstParagraph"/>
      </w:pPr>
      <w:r>
        <w:t xml:space="preserve">Plant taxonomic classification has evolved substantially over time, reflecting broader shifts in the underlying philosophy and available evidence for grouping and classifying living organisms, with three broad system types generally recognised in the history of plant classification.</w:t>
      </w:r>
    </w:p>
    <w:p>
      <w:pPr>
        <w:pStyle w:val="BodyText"/>
      </w:pPr>
      <w:r>
        <w:rPr>
          <w:bCs/>
          <w:b/>
        </w:rPr>
        <w:t xml:space="preserve">Artificial classification systems.</w:t>
      </w:r>
      <w:r>
        <w:t xml:space="preserve"> </w:t>
      </w:r>
      <w:r>
        <w:t xml:space="preserve">The earliest formal classification systems (most notably associated with Carl Linnaeus’s 18th-century work) classified plants based on a small number of easily observable characteristics — most famously, Linnaeus’s system based primarily on the number and arrangement of flower reproductive parts (stamens and pistils) — chosen for practical ease of identification rather than any claim to reflect genuine evolutionary relationship; such systems could group superficially similar but evolutionarily unrelated species together, or separate closely related species based on a single differing observable trait, since the classification criteria themselves were deliberately simple and practically convenient rather than reflective of deeper biological relationship.</w:t>
      </w:r>
    </w:p>
    <w:p>
      <w:pPr>
        <w:pStyle w:val="BodyText"/>
      </w:pPr>
      <w:r>
        <w:rPr>
          <w:bCs/>
          <w:b/>
        </w:rPr>
        <w:t xml:space="preserve">Natural classification systems.</w:t>
      </w:r>
      <w:r>
        <w:t xml:space="preserve"> </w:t>
      </w:r>
      <w:r>
        <w:t xml:space="preserve">Later classification systems moved toward grouping plants based on a broader consideration of multiple morphological (structural) characteristics considered together, aiming to reflect genuine overall similarity and, implicitly, natural relationship more comprehensively than the single-character artificial systems — though still based primarily on observable structural features rather than explicit evolutionary theory, since natural classification systems generally predate or do not directly incorporate Darwinian evolutionary theory into their classification logic.</w:t>
      </w:r>
    </w:p>
    <w:p>
      <w:pPr>
        <w:pStyle w:val="BodyText"/>
      </w:pPr>
      <w:r>
        <w:rPr>
          <w:bCs/>
          <w:b/>
        </w:rPr>
        <w:t xml:space="preserve">Phylogenetic classification systems.</w:t>
      </w:r>
      <w:r>
        <w:t xml:space="preserve"> </w:t>
      </w:r>
      <w:r>
        <w:t xml:space="preserve">Modern classification systems, developed following the widespread acceptance of evolutionary theory and increasingly informed by molecular genetic evidence (DNA sequence comparison, discussed further in the biosystematics and molecular biology topics, Topics 32 and 79–85), aim to group organisms specifically according to genuine evolutionary relationship (phylogeny) — organisms are grouped together specifically because they share a common evolutionary ancestor more recently than they share with organisms outside the group, rather than merely because they share observable structural similarity, which can sometimes arise through convergent evolution (independent evolution of similar features in unrelated lineages facing similar environmental pressures, discussed further in Topic 77) rather than genuine shared ancestry.</w:t>
      </w:r>
    </w:p>
    <w:p>
      <w:pPr>
        <w:pStyle w:val="BodyText"/>
      </w:pPr>
      <w:r>
        <w:rPr>
          <w:bCs/>
          <w:b/>
        </w:rPr>
        <w:t xml:space="preserve">Why modern classification increasingly relies on molecular evidence.</w:t>
      </w:r>
      <w:r>
        <w:t xml:space="preserve"> </w:t>
      </w:r>
      <w:r>
        <w:t xml:space="preserve">Molecular genetic data (particularly DNA sequence comparison) provides classification evidence that is generally considered more directly and reliably reflective of actual evolutionary relationship than morphological similarity alone, since morphological features can be subject to convergent evolution or, conversely, since closely related species can sometimes diverge substantially in visible morphology while retaining strong underlying genetic similarity — molecular phylogenetic classification has, in recent decades, led to significant revisions of some traditional, morphology-based plant classification groupings as genetic evidence has revealed previously unrecognised evolutionary relationships (or the absence of previously assumed relationships).</w:t>
      </w:r>
    </w:p>
    <w:p>
      <w:pPr>
        <w:pStyle w:val="BodyText"/>
      </w:pPr>
      <w:r>
        <w:rPr>
          <w:bCs/>
          <w:b/>
        </w:rPr>
        <w:t xml:space="preserve">Key Takeaways</w:t>
      </w:r>
    </w:p>
    <w:p>
      <w:pPr>
        <w:numPr>
          <w:ilvl w:val="0"/>
          <w:numId w:val="1034"/>
        </w:numPr>
        <w:pStyle w:val="Compact"/>
      </w:pPr>
      <w:r>
        <w:t xml:space="preserve">Plant classification systems have evolved from artificial systems (based on a few convenient observable characteristics, such as Linnaeus’s flower-part-based system) through natural systems (considering broader morphological similarity) to modern phylogenetic systems (aiming to reflect genuine evolutionary relationship).</w:t>
      </w:r>
    </w:p>
    <w:p>
      <w:pPr>
        <w:numPr>
          <w:ilvl w:val="0"/>
          <w:numId w:val="1034"/>
        </w:numPr>
        <w:pStyle w:val="Compact"/>
      </w:pPr>
      <w:r>
        <w:t xml:space="preserve">Phylogenetic classification groups organisms by shared common ancestry rather than mere observable similarity, which can arise independently through convergent evolution.</w:t>
      </w:r>
    </w:p>
    <w:p>
      <w:pPr>
        <w:numPr>
          <w:ilvl w:val="0"/>
          <w:numId w:val="1034"/>
        </w:numPr>
        <w:pStyle w:val="Compact"/>
      </w:pPr>
      <w:r>
        <w:t xml:space="preserve">Modern classification increasingly relies on molecular genetic (DNA) evidence, considered more reliably reflective of true evolutionary relationship than morphology alone, leading to significant revisions of some traditional classification groupings.</w:t>
      </w:r>
    </w:p>
    <w:bookmarkEnd w:id="51"/>
    <w:bookmarkStart w:id="52" w:name="botanical-nomenclature"/>
    <w:p>
      <w:pPr>
        <w:pStyle w:val="Heading3"/>
      </w:pPr>
      <w:r>
        <w:t xml:space="preserve">30. Botanical Nomenclature</w:t>
      </w:r>
    </w:p>
    <w:p>
      <w:pPr>
        <w:pStyle w:val="FirstParagraph"/>
      </w:pPr>
      <w:r>
        <w:t xml:space="preserve">Botanical nomenclature is the formal system of naming plants, governed by internationally agreed rules (currently the International Code of Nomenclature for algae, fungi, and plants) designed to ensure that each distinct plant species has one single, universally recognised, unambiguous scientific name — addressing the significant practical problem that common/vernacular plant names vary by language, region, and even between different local communities speaking the same language, creating substantial potential for confusion in scientific and agricultural communication.</w:t>
      </w:r>
    </w:p>
    <w:p>
      <w:pPr>
        <w:pStyle w:val="BodyText"/>
      </w:pPr>
      <w:r>
        <w:rPr>
          <w:bCs/>
          <w:b/>
        </w:rPr>
        <w:t xml:space="preserve">The binomial nomenclature system.</w:t>
      </w:r>
      <w:r>
        <w:t xml:space="preserve"> </w:t>
      </w:r>
      <w:r>
        <w:t xml:space="preserve">Established by Linnaeus and still the foundational naming convention today, each species is assigned a two-part Latin (or Latinised) scientific name: the</w:t>
      </w:r>
      <w:r>
        <w:t xml:space="preserve"> </w:t>
      </w:r>
      <w:r>
        <w:rPr>
          <w:bCs/>
          <w:b/>
        </w:rPr>
        <w:t xml:space="preserve">genus name</w:t>
      </w:r>
      <w:r>
        <w:t xml:space="preserve"> </w:t>
      </w:r>
      <w:r>
        <w:t xml:space="preserve">(capitalised, identifying the broader group of closely related species the plant belongs to) followed by the</w:t>
      </w:r>
      <w:r>
        <w:t xml:space="preserve"> </w:t>
      </w:r>
      <w:r>
        <w:rPr>
          <w:bCs/>
          <w:b/>
        </w:rPr>
        <w:t xml:space="preserve">specific epithet</w:t>
      </w:r>
      <w:r>
        <w:t xml:space="preserve"> </w:t>
      </w:r>
      <w:r>
        <w:t xml:space="preserve">(lowercase, identifying the particular species within that genus), with the complete name conventionally italicised (or underlined in handwriting) — for example,</w:t>
      </w:r>
      <w:r>
        <w:t xml:space="preserve"> </w:t>
      </w:r>
      <w:r>
        <w:rPr>
          <w:iCs/>
          <w:i/>
        </w:rPr>
        <w:t xml:space="preserve">Oryza sativa</w:t>
      </w:r>
      <w:r>
        <w:t xml:space="preserve"> </w:t>
      </w:r>
      <w:r>
        <w:t xml:space="preserve">(cultivated rice) and</w:t>
      </w:r>
      <w:r>
        <w:t xml:space="preserve"> </w:t>
      </w:r>
      <w:r>
        <w:rPr>
          <w:iCs/>
          <w:i/>
        </w:rPr>
        <w:t xml:space="preserve">Triticum aestivum</w:t>
      </w:r>
      <w:r>
        <w:t xml:space="preserve"> </w:t>
      </w:r>
      <w:r>
        <w:t xml:space="preserve">(common wheat), two of the crop species discussed extensively in the Agriculture &amp; Forestry subject.</w:t>
      </w:r>
    </w:p>
    <w:p>
      <w:pPr>
        <w:pStyle w:val="BodyText"/>
      </w:pPr>
      <w:r>
        <w:rPr>
          <w:bCs/>
          <w:b/>
        </w:rPr>
        <w:t xml:space="preserve">Why standardised nomenclature matters practically.</w:t>
      </w:r>
      <w:r>
        <w:t xml:space="preserve"> </w:t>
      </w:r>
      <w:r>
        <w:t xml:space="preserve">A single, universally recognised scientific name allows researchers, agricultural professionals, and regulatory bodies across different countries and languages to communicate about a specific plant species with complete precision and no ambiguity — directly relevant, for example, to the seed certification systems discussed in the Agriculture &amp; Forestry subject (Topic 18 there), where precise species and variety identification is essential, and to international trade in agricultural products and plant genetic material, where common names alone could create significant confusion or even regulatory/customs complications.</w:t>
      </w:r>
    </w:p>
    <w:p>
      <w:pPr>
        <w:pStyle w:val="BodyText"/>
      </w:pPr>
      <w:r>
        <w:rPr>
          <w:bCs/>
          <w:b/>
        </w:rPr>
        <w:t xml:space="preserve">Key nomenclatural rules and conventions.</w:t>
      </w:r>
      <w:r>
        <w:t xml:space="preserve"> </w:t>
      </w:r>
      <w:r>
        <w:t xml:space="preserve">These include the principle of priority (generally, the first validly published scientific name for a species takes precedence over any later-proposed names, providing a stable basis for resolving naming disputes), the requirement for a formal, published species description meeting specific technical criteria before a new name is considered validly established, and the designation of a</w:t>
      </w:r>
      <w:r>
        <w:t xml:space="preserve"> </w:t>
      </w:r>
      <w:r>
        <w:t xml:space="preserve">“</w:t>
      </w:r>
      <w:r>
        <w:t xml:space="preserve">type specimen</w:t>
      </w:r>
      <w:r>
        <w:t xml:space="preserve">”</w:t>
      </w:r>
      <w:r>
        <w:t xml:space="preserve"> </w:t>
      </w:r>
      <w:r>
        <w:t xml:space="preserve">(a physical reference specimen, typically preserved in a herbarium, formally associated with each validly published species name, providing a permanent physical reference point for confirming what a given scientific name actually refers to).</w:t>
      </w:r>
    </w:p>
    <w:p>
      <w:pPr>
        <w:pStyle w:val="BodyText"/>
      </w:pPr>
      <w:r>
        <w:rPr>
          <w:bCs/>
          <w:b/>
        </w:rPr>
        <w:t xml:space="preserve">Taxonomic hierarchy.</w:t>
      </w:r>
      <w:r>
        <w:t xml:space="preserve"> </w:t>
      </w:r>
      <w:r>
        <w:t xml:space="preserve">Beyond the genus-species binomial, the full taxonomic classification hierarchy extends both above and below this level: kingdom, phylum/division, class, order, family, genus, species, and, below species, sometimes subspecies or variety — each successive level grouping increasingly closely related organisms together, with family-level classification (Topic 35) of particular practical relevance for understanding broader relationships among economically important crop plants.</w:t>
      </w:r>
    </w:p>
    <w:p>
      <w:pPr>
        <w:pStyle w:val="BodyText"/>
      </w:pPr>
      <w:r>
        <w:rPr>
          <w:bCs/>
          <w:b/>
        </w:rPr>
        <w:t xml:space="preserve">Key Takeaways</w:t>
      </w:r>
    </w:p>
    <w:p>
      <w:pPr>
        <w:numPr>
          <w:ilvl w:val="0"/>
          <w:numId w:val="1035"/>
        </w:numPr>
        <w:pStyle w:val="Compact"/>
      </w:pPr>
      <w:r>
        <w:t xml:space="preserve">Botanical nomenclature uses the internationally standardised binomial (genus + specific epithet) Latin naming system established by Linnaeus, ensuring each species has one unambiguous scientific name across all languages and regions.</w:t>
      </w:r>
    </w:p>
    <w:p>
      <w:pPr>
        <w:numPr>
          <w:ilvl w:val="0"/>
          <w:numId w:val="1035"/>
        </w:numPr>
        <w:pStyle w:val="Compact"/>
      </w:pPr>
      <w:r>
        <w:t xml:space="preserve">This standardisation is practically essential for precise agricultural, scientific, and regulatory communication, including seed certification and international agricultural trade.</w:t>
      </w:r>
    </w:p>
    <w:p>
      <w:pPr>
        <w:numPr>
          <w:ilvl w:val="0"/>
          <w:numId w:val="1035"/>
        </w:numPr>
        <w:pStyle w:val="Compact"/>
      </w:pPr>
      <w:r>
        <w:t xml:space="preserve">Key nomenclatural principles include priority (first validly published name takes precedence) and type specimens (physical reference points confirming what a name refers to), within the broader taxonomic hierarchy from kingdom down to species.</w:t>
      </w:r>
    </w:p>
    <w:bookmarkEnd w:id="52"/>
    <w:bookmarkStart w:id="53" w:name="speciation"/>
    <w:p>
      <w:pPr>
        <w:pStyle w:val="Heading3"/>
      </w:pPr>
      <w:r>
        <w:t xml:space="preserve">31. Speciation</w:t>
      </w:r>
    </w:p>
    <w:p>
      <w:pPr>
        <w:pStyle w:val="FirstParagraph"/>
      </w:pPr>
      <w:r>
        <w:t xml:space="preserve">Speciation is the evolutionary process by which new, distinct species arise from existing species — a process of fundamental importance for understanding both the diversity of plant life addressed throughout this subject’s taxonomy section and the underlying evolutionary mechanisms discussed later in the Evolution section (Topics 75–78).</w:t>
      </w:r>
    </w:p>
    <w:p>
      <w:pPr>
        <w:pStyle w:val="BodyText"/>
      </w:pPr>
      <w:r>
        <w:rPr>
          <w:bCs/>
          <w:b/>
        </w:rPr>
        <w:t xml:space="preserve">Defining species and the reproductive isolation concept.</w:t>
      </w:r>
      <w:r>
        <w:t xml:space="preserve"> </w:t>
      </w:r>
      <w:r>
        <w:t xml:space="preserve">While species definition can be genuinely complex (and varies somewhat between different species concepts used in biology), the most widely applied definition centres on reproductive isolation: two populations are generally considered distinct species if they cannot successfully interbreed to produce fertile offspring under natural conditions, meaning gene flow between the two populations has effectively ceased — speciation is therefore fundamentally the evolutionary process by which such reproductive isolation develops between previously interbreeding populations.</w:t>
      </w:r>
    </w:p>
    <w:p>
      <w:pPr>
        <w:pStyle w:val="BodyText"/>
      </w:pPr>
      <w:r>
        <w:rPr>
          <w:bCs/>
          <w:b/>
        </w:rPr>
        <w:t xml:space="preserve">Major speciation mechanisms:</w:t>
      </w:r>
    </w:p>
    <w:p>
      <w:pPr>
        <w:numPr>
          <w:ilvl w:val="0"/>
          <w:numId w:val="1036"/>
        </w:numPr>
        <w:pStyle w:val="Compact"/>
      </w:pPr>
      <w:r>
        <w:rPr>
          <w:bCs/>
          <w:b/>
        </w:rPr>
        <w:t xml:space="preserve">Allopatric speciation</w:t>
      </w:r>
      <w:r>
        <w:t xml:space="preserve"> </w:t>
      </w:r>
      <w:r>
        <w:t xml:space="preserve">— occurs when a geographic barrier (such as a mountain range, river, or significant distance) physically separates a population into two or more subpopulations that can no longer interbreed due to this physical separation; over time, as each isolated subpopulation accumulates independent genetic changes (through mutation, Topic 73, and natural selection, Topic 78, operating independently in each separated population, often adapting to somewhat different local environmental conditions), sufficient genetic divergence can eventually accumulate that the populations would no longer be capable of successful interbreeding even if the geographic barrier were later removed, completing the speciation process — generally considered the most common speciation mechanism in plants as well as animals.</w:t>
      </w:r>
    </w:p>
    <w:p>
      <w:pPr>
        <w:numPr>
          <w:ilvl w:val="0"/>
          <w:numId w:val="1036"/>
        </w:numPr>
        <w:pStyle w:val="Compact"/>
      </w:pPr>
      <w:r>
        <w:rPr>
          <w:bCs/>
          <w:b/>
        </w:rPr>
        <w:t xml:space="preserve">Sympatric speciation</w:t>
      </w:r>
      <w:r>
        <w:t xml:space="preserve"> </w:t>
      </w:r>
      <w:r>
        <w:t xml:space="preserve">— occurs without geographic separation, through some other mechanism preventing gene flow between coexisting populations in the same geographic area; in plants specifically,</w:t>
      </w:r>
      <w:r>
        <w:t xml:space="preserve"> </w:t>
      </w:r>
      <w:r>
        <w:rPr>
          <w:bCs/>
          <w:b/>
        </w:rPr>
        <w:t xml:space="preserve">polyploidy</w:t>
      </w:r>
      <w:r>
        <w:t xml:space="preserve"> </w:t>
      </w:r>
      <w:r>
        <w:t xml:space="preserve">(a sudden change in chromosome number, discussed further in relation to chromosomal aberrations in Topic 72) represents a particularly significant and relatively common sympatric speciation mechanism — a plant with a doubled (or otherwise altered) chromosome number is often immediately reproductively incompatible with the original parent population (since successful interbreeding generally requires matching chromosome numbers), potentially establishing a new, reproductively isolated species essentially instantaneously, a mechanism of particular evolutionary and agricultural significance given polyploidy’s documented role in the evolutionary history of several major crop species.</w:t>
      </w:r>
    </w:p>
    <w:p>
      <w:pPr>
        <w:pStyle w:val="FirstParagraph"/>
      </w:pPr>
      <w:r>
        <w:rPr>
          <w:bCs/>
          <w:b/>
        </w:rPr>
        <w:t xml:space="preserve">Relevance to crop plant evolution and breeding.</w:t>
      </w:r>
      <w:r>
        <w:t xml:space="preserve"> </w:t>
      </w:r>
      <w:r>
        <w:t xml:space="preserve">Understanding speciation mechanisms, particularly polyploidy, has direct relevance to crop plant breeding (connecting to the genetic crop improvement discussion in the Agriculture &amp; Forestry subject) — several major crop species (including bread wheat) are themselves natural or human-facilitated polyploid hybrids, and understanding these species’ polyploid evolutionary origin is directly relevant to modern breeding strategies working with these crops’ genetic structure.</w:t>
      </w:r>
    </w:p>
    <w:p>
      <w:pPr>
        <w:pStyle w:val="BodyText"/>
      </w:pPr>
      <w:r>
        <w:rPr>
          <w:bCs/>
          <w:b/>
        </w:rPr>
        <w:t xml:space="preserve">Key Takeaways</w:t>
      </w:r>
    </w:p>
    <w:p>
      <w:pPr>
        <w:numPr>
          <w:ilvl w:val="0"/>
          <w:numId w:val="1037"/>
        </w:numPr>
        <w:pStyle w:val="Compact"/>
      </w:pPr>
      <w:r>
        <w:t xml:space="preserve">Speciation is the evolutionary process by which reproductive isolation develops between populations, producing distinct new species, typically defined by the inability to successfully interbreed and produce fertile offspring.</w:t>
      </w:r>
    </w:p>
    <w:p>
      <w:pPr>
        <w:numPr>
          <w:ilvl w:val="0"/>
          <w:numId w:val="1037"/>
        </w:numPr>
        <w:pStyle w:val="Compact"/>
      </w:pPr>
      <w:r>
        <w:t xml:space="preserve">Allopatric speciation (through geographic separation and subsequent independent genetic divergence) is generally the most common mechanism, while sympatric speciation occurs without geographic separation.</w:t>
      </w:r>
    </w:p>
    <w:p>
      <w:pPr>
        <w:numPr>
          <w:ilvl w:val="0"/>
          <w:numId w:val="1037"/>
        </w:numPr>
        <w:pStyle w:val="Compact"/>
      </w:pPr>
      <w:r>
        <w:t xml:space="preserve">Polyploidy (chromosome number change) represents a particularly significant plant-specific sympatric speciation mechanism, capable of producing near-instantaneous reproductive isolation, and has played a documented role in the evolutionary origin of major crop species including bread wheat.</w:t>
      </w:r>
    </w:p>
    <w:bookmarkEnd w:id="53"/>
    <w:bookmarkStart w:id="54" w:name="biosystematics"/>
    <w:p>
      <w:pPr>
        <w:pStyle w:val="Heading3"/>
      </w:pPr>
      <w:r>
        <w:t xml:space="preserve">32. Biosystematics</w:t>
      </w:r>
    </w:p>
    <w:p>
      <w:pPr>
        <w:pStyle w:val="FirstParagraph"/>
      </w:pPr>
      <w:r>
        <w:t xml:space="preserve">Biosystematics (also called experimental taxonomy) is an approach to plant classification that goes beyond traditional morphological description, incorporating experimental and comparative evidence — including breeding experiments, cytological (chromosome) analysis, and ecological/physiological comparison — to more rigorously assess genuine evolutionary relationships and species boundaries among plants.</w:t>
      </w:r>
    </w:p>
    <w:p>
      <w:pPr>
        <w:pStyle w:val="BodyText"/>
      </w:pPr>
      <w:r>
        <w:rPr>
          <w:bCs/>
          <w:b/>
        </w:rPr>
        <w:t xml:space="preserve">Why biosystematics developed as a complement to traditional taxonomy.</w:t>
      </w:r>
      <w:r>
        <w:t xml:space="preserve"> </w:t>
      </w:r>
      <w:r>
        <w:t xml:space="preserve">Traditional taxonomy, relying primarily on morphological (structural) comparison, can sometimes struggle to resolve difficult classification questions — particularly distinguishing genuinely distinct species from mere variation within a single, morphologically variable species, or identifying cases of hybridisation between species — biosystematics addresses these limitations by incorporating additional, experimentally derived evidence beyond structural observation alone.</w:t>
      </w:r>
    </w:p>
    <w:p>
      <w:pPr>
        <w:pStyle w:val="BodyText"/>
      </w:pPr>
      <w:r>
        <w:rPr>
          <w:bCs/>
          <w:b/>
        </w:rPr>
        <w:t xml:space="preserve">Key biosystematic methods:</w:t>
      </w:r>
    </w:p>
    <w:p>
      <w:pPr>
        <w:numPr>
          <w:ilvl w:val="0"/>
          <w:numId w:val="1038"/>
        </w:numPr>
        <w:pStyle w:val="Compact"/>
      </w:pPr>
      <w:r>
        <w:rPr>
          <w:bCs/>
          <w:b/>
        </w:rPr>
        <w:t xml:space="preserve">Interbreeding/crossability experiments</w:t>
      </w:r>
      <w:r>
        <w:t xml:space="preserve"> </w:t>
      </w:r>
      <w:r>
        <w:t xml:space="preserve">— directly testing whether two populations can successfully interbreed and produce fertile offspring under controlled conditions, providing direct experimental evidence relevant to the reproductive isolation species concept discussed in Topic 31, rather than relying solely on inference from structural similarity or difference.</w:t>
      </w:r>
    </w:p>
    <w:p>
      <w:pPr>
        <w:numPr>
          <w:ilvl w:val="0"/>
          <w:numId w:val="1038"/>
        </w:numPr>
        <w:pStyle w:val="Compact"/>
      </w:pPr>
      <w:r>
        <w:rPr>
          <w:bCs/>
          <w:b/>
        </w:rPr>
        <w:t xml:space="preserve">Cytological analysis</w:t>
      </w:r>
      <w:r>
        <w:t xml:space="preserve"> </w:t>
      </w:r>
      <w:r>
        <w:t xml:space="preserve">— examining chromosome number, size, and structure (connecting to the chromosomal aberration and polyploidy discussion in Topics 31 and 72), since chromosome characteristics can provide important evidence of evolutionary relationship and can help explain observed patterns of interbreeding compatibility or incompatibility between populations.</w:t>
      </w:r>
    </w:p>
    <w:p>
      <w:pPr>
        <w:numPr>
          <w:ilvl w:val="0"/>
          <w:numId w:val="1038"/>
        </w:numPr>
        <w:pStyle w:val="Compact"/>
      </w:pPr>
      <w:r>
        <w:rPr>
          <w:bCs/>
          <w:b/>
        </w:rPr>
        <w:t xml:space="preserve">Ecological and physiological comparison</w:t>
      </w:r>
      <w:r>
        <w:t xml:space="preserve"> </w:t>
      </w:r>
      <w:r>
        <w:t xml:space="preserve">— comparing populations’ ecological requirements, physiological tolerances, and habitat preferences, which can reveal meaningful biological distinctions between populations that appear morphologically similar but occupy genuinely different ecological niches, potentially indicating incipient or completed speciation even without dramatic structural difference.</w:t>
      </w:r>
    </w:p>
    <w:p>
      <w:pPr>
        <w:pStyle w:val="FirstParagraph"/>
      </w:pPr>
      <w:r>
        <w:rPr>
          <w:bCs/>
          <w:b/>
        </w:rPr>
        <w:t xml:space="preserve">Relationship to modern molecular taxonomy.</w:t>
      </w:r>
      <w:r>
        <w:t xml:space="preserve"> </w:t>
      </w:r>
      <w:r>
        <w:t xml:space="preserve">Biosystematics represented an important historical bridge between purely morphological classification and the modern molecular phylogenetic approaches discussed in Topic 29, sharing biosystematics’ fundamental goal of grounding classification in evidence beyond structural observation alone — modern molecular (DNA-based) taxonomic methods have, in many respects, extended and refined the biosystematic approach’s underlying goals with substantially more precise and comprehensive genetic evidence than the cytological and breeding-experiment methods biosystematics originally relied upon.</w:t>
      </w:r>
    </w:p>
    <w:p>
      <w:pPr>
        <w:pStyle w:val="BodyText"/>
      </w:pPr>
      <w:r>
        <w:rPr>
          <w:bCs/>
          <w:b/>
        </w:rPr>
        <w:t xml:space="preserve">Practical significance for crop plant taxonomy.</w:t>
      </w:r>
      <w:r>
        <w:t xml:space="preserve"> </w:t>
      </w:r>
      <w:r>
        <w:t xml:space="preserve">Biosystematic methods have particular practical relevance for understanding relationships among crop plants and their wild relatives (important for crop genetic improvement efforts seeking to identify and utilise valuable genetic traits from wild relative species, connecting to the genetic improvement discussion in the Agriculture &amp; Forestry subject) and for resolving taxonomically difficult cases within economically important crop plant groups.</w:t>
      </w:r>
    </w:p>
    <w:p>
      <w:pPr>
        <w:pStyle w:val="BodyText"/>
      </w:pPr>
      <w:r>
        <w:rPr>
          <w:bCs/>
          <w:b/>
        </w:rPr>
        <w:t xml:space="preserve">Key Takeaways</w:t>
      </w:r>
    </w:p>
    <w:p>
      <w:pPr>
        <w:numPr>
          <w:ilvl w:val="0"/>
          <w:numId w:val="1039"/>
        </w:numPr>
        <w:pStyle w:val="Compact"/>
      </w:pPr>
      <w:r>
        <w:t xml:space="preserve">Biosystematics incorporates experimental evidence (interbreeding tests, cytological/chromosome analysis, ecological comparison) beyond morphological description alone to more rigorously assess plant classification and species boundaries.</w:t>
      </w:r>
    </w:p>
    <w:p>
      <w:pPr>
        <w:numPr>
          <w:ilvl w:val="0"/>
          <w:numId w:val="1039"/>
        </w:numPr>
        <w:pStyle w:val="Compact"/>
      </w:pPr>
      <w:r>
        <w:t xml:space="preserve">It developed to address traditional morphology-based taxonomy’s limitations in resolving difficult cases, such as distinguishing species variation from genuine distinct species, or identifying hybridisation.</w:t>
      </w:r>
    </w:p>
    <w:p>
      <w:pPr>
        <w:numPr>
          <w:ilvl w:val="0"/>
          <w:numId w:val="1039"/>
        </w:numPr>
        <w:pStyle w:val="Compact"/>
      </w:pPr>
      <w:r>
        <w:t xml:space="preserve">Biosystematics represents a historical bridge to modern molecular taxonomy, sharing its goal of evidence-based classification beyond structural observation, with particular practical relevance to understanding crop plants’ relationships to wild relative species.</w:t>
      </w:r>
    </w:p>
    <w:bookmarkEnd w:id="54"/>
    <w:bookmarkStart w:id="55" w:name="chemotaxonomy"/>
    <w:p>
      <w:pPr>
        <w:pStyle w:val="Heading3"/>
      </w:pPr>
      <w:r>
        <w:t xml:space="preserve">33. Chemotaxonomy</w:t>
      </w:r>
    </w:p>
    <w:p>
      <w:pPr>
        <w:pStyle w:val="FirstParagraph"/>
      </w:pPr>
      <w:r>
        <w:t xml:space="preserve">Chemotaxonomy is the use of chemical compounds — particularly secondary metabolites (biochemical compounds not directly involved in a plant’s basic growth and metabolic processes, but often serving specialised ecological functions such as defence against herbivores or pathogens, or pollinator attraction) — as evidence for plant classification and understanding evolutionary relationships.</w:t>
      </w:r>
    </w:p>
    <w:p>
      <w:pPr>
        <w:pStyle w:val="BodyText"/>
      </w:pPr>
      <w:r>
        <w:rPr>
          <w:bCs/>
          <w:b/>
        </w:rPr>
        <w:t xml:space="preserve">Rationale.</w:t>
      </w:r>
      <w:r>
        <w:t xml:space="preserve"> </w:t>
      </w:r>
      <w:r>
        <w:t xml:space="preserve">Plants produce an enormous diversity of secondary metabolites — including alkaloids, flavonoids, terpenoids, and many other chemical compound classes — and the specific pattern of secondary metabolite production a plant species exhibits is often characteristic of and consistent within particular plant taxonomic groups (families, genera), reflecting shared evolutionary history and shared underlying biosynthetic genetic pathways — meaning chemical compound patterns can provide taxonomically useful evidence complementing the morphological and, increasingly, molecular genetic evidence discussed elsewhere in this section.</w:t>
      </w:r>
    </w:p>
    <w:p>
      <w:pPr>
        <w:pStyle w:val="BodyText"/>
      </w:pPr>
      <w:r>
        <w:rPr>
          <w:bCs/>
          <w:b/>
        </w:rPr>
        <w:t xml:space="preserve">Practical chemotaxonomic applications.</w:t>
      </w:r>
      <w:r>
        <w:t xml:space="preserve"> </w:t>
      </w:r>
      <w:r>
        <w:t xml:space="preserve">These include resolving taxonomically ambiguous cases where morphological evidence alone proves insufficient or contradictory, providing supporting evidence for evolutionary relationships suggested by other classification methods, and, of particular practical and economic significance, identifying and characterising plant species with valuable secondary metabolite compounds — directly relevant to pharmaceutical drug discovery (many important medicinal compounds are plant secondary metabolites, meaning chemotaxonomic screening across closely related plant species can help identify additional species likely to produce similar or related valuable compounds), and to identifying plants with compounds relevant to agricultural applications, such as natural pesticide compounds (connecting to the crop protection discussion in the Agriculture &amp; Forestry subject) or compounds relevant to traditional and modern medicine.</w:t>
      </w:r>
    </w:p>
    <w:p>
      <w:pPr>
        <w:pStyle w:val="BodyText"/>
      </w:pPr>
      <w:r>
        <w:rPr>
          <w:bCs/>
          <w:b/>
        </w:rPr>
        <w:t xml:space="preserve">Relationship to other taxonomic approaches.</w:t>
      </w:r>
      <w:r>
        <w:t xml:space="preserve"> </w:t>
      </w:r>
      <w:r>
        <w:t xml:space="preserve">Chemotaxonomy is generally used as one complementary line of evidence alongside morphological classification (Topic 29), biosystematic experimental evidence (Topic 32), and, increasingly, molecular genetic evidence — since secondary metabolite production, like morphological characteristics, can occasionally be subject to convergent evolution (unrelated plant lineages independently evolving similar defensive compounds in response to similar ecological pressures, such as herbivore or pathogen pressure), meaning chemotaxonomic evidence, like morphological evidence, is most reliably interpreted in combination with other independent lines of taxonomic evidence rather than relied upon in complete isolation.</w:t>
      </w:r>
    </w:p>
    <w:p>
      <w:pPr>
        <w:pStyle w:val="BodyText"/>
      </w:pPr>
      <w:r>
        <w:rPr>
          <w:bCs/>
          <w:b/>
        </w:rPr>
        <w:t xml:space="preserve">Key Takeaways</w:t>
      </w:r>
    </w:p>
    <w:p>
      <w:pPr>
        <w:numPr>
          <w:ilvl w:val="0"/>
          <w:numId w:val="1040"/>
        </w:numPr>
        <w:pStyle w:val="Compact"/>
      </w:pPr>
      <w:r>
        <w:t xml:space="preserve">Chemotaxonomy uses secondary metabolite (chemical compound) patterns as taxonomic evidence, since these compounds’ production is often characteristic of and consistent within particular plant taxonomic groups.</w:t>
      </w:r>
    </w:p>
    <w:p>
      <w:pPr>
        <w:numPr>
          <w:ilvl w:val="0"/>
          <w:numId w:val="1040"/>
        </w:numPr>
        <w:pStyle w:val="Compact"/>
      </w:pPr>
      <w:r>
        <w:t xml:space="preserve">Practical applications include resolving ambiguous classification cases and identifying species likely to contain valuable pharmaceutical or agricultural compounds, given related species’ tendency to share similar secondary metabolite profiles.</w:t>
      </w:r>
    </w:p>
    <w:p>
      <w:pPr>
        <w:numPr>
          <w:ilvl w:val="0"/>
          <w:numId w:val="1040"/>
        </w:numPr>
        <w:pStyle w:val="Compact"/>
      </w:pPr>
      <w:r>
        <w:t xml:space="preserve">Like morphological evidence, chemotaxonomic evidence can be subject to convergent evolution and is most reliably interpreted alongside other independent evidence lines (morphological, biosystematic, molecular).</w:t>
      </w:r>
    </w:p>
    <w:bookmarkEnd w:id="55"/>
    <w:bookmarkStart w:id="56" w:name="numerical-taxonomy"/>
    <w:p>
      <w:pPr>
        <w:pStyle w:val="Heading3"/>
      </w:pPr>
      <w:r>
        <w:t xml:space="preserve">34. Numerical Taxonomy</w:t>
      </w:r>
    </w:p>
    <w:p>
      <w:pPr>
        <w:pStyle w:val="FirstParagraph"/>
      </w:pPr>
      <w:r>
        <w:t xml:space="preserve">Numerical taxonomy is an approach to plant classification that applies quantitative, statistical methods to systematically analyse large numbers of characteristics simultaneously, aiming to reduce the subjectivity involved in traditional taxonomic judgement about which characteristics matter most and how to weigh them in classification decisions.</w:t>
      </w:r>
    </w:p>
    <w:p>
      <w:pPr>
        <w:pStyle w:val="BodyText"/>
      </w:pPr>
      <w:r>
        <w:rPr>
          <w:bCs/>
          <w:b/>
        </w:rPr>
        <w:t xml:space="preserve">Core methodology.</w:t>
      </w:r>
      <w:r>
        <w:t xml:space="preserve"> </w:t>
      </w:r>
      <w:r>
        <w:t xml:space="preserve">Numerical taxonomy typically involves scoring a large number of observable characteristics (morphological, and potentially also biochemical or other measurable traits) across the group of organisms being classified, then applying statistical clustering algorithms to these numerical data to identify groups of organisms showing greatest overall similarity across the full set of measured characteristics — rather than a taxonomist subjectively selecting and weighting a small number of characteristics believed to be most taxonomically significant, as occurs in more traditional classification approaches.</w:t>
      </w:r>
    </w:p>
    <w:p>
      <w:pPr>
        <w:pStyle w:val="BodyText"/>
      </w:pPr>
      <w:r>
        <w:rPr>
          <w:bCs/>
          <w:b/>
        </w:rPr>
        <w:t xml:space="preserve">Underlying philosophy: overall similarity.</w:t>
      </w:r>
      <w:r>
        <w:t xml:space="preserve"> </w:t>
      </w:r>
      <w:r>
        <w:t xml:space="preserve">Numerical taxonomy’s foundational principle holds that classification should be based on overall similarity across many characteristics considered together (with each characteristic typically given equal initial weight in the statistical analysis, rather than the taxonomist pre-judging which characteristics matter most), reflecting a deliberate methodological choice to let the quantitative data pattern itself reveal natural groupings, rather than imposing pre-existing taxonomic assumptions about which characteristics should be considered most diagnostically important.</w:t>
      </w:r>
    </w:p>
    <w:p>
      <w:pPr>
        <w:pStyle w:val="BodyText"/>
      </w:pPr>
      <w:r>
        <w:rPr>
          <w:bCs/>
          <w:b/>
        </w:rPr>
        <w:t xml:space="preserve">Advantages and limitations.</w:t>
      </w:r>
      <w:r>
        <w:t xml:space="preserve"> </w:t>
      </w:r>
      <w:r>
        <w:t xml:space="preserve">The approach offers greater reproducibility (since the statistical methodology can, in principle, be independently repeated by different researchers working from the same underlying character data, generally reaching the same classification conclusions, unlike more subjective traditional taxonomic judgement) and can potentially reveal classification patterns that might not be immediately apparent through traditional taxonomic assessment relying on a smaller number of subjectively selected characteristics. However, numerical taxonomy has faced criticism on the grounds that not all characteristics are necessarily equally taxonomically informative (some characteristics may indeed be more evolutionarily significant or reliable than others, meaning the equal-weighting assumption is not always biologically well justified), and that overall phenotypic similarity, the method’s core underlying criterion, does not always accurately track genuine evolutionary relationship, particularly where convergent evolution (Topic 77) has produced superficial similarity between organisms that are not, in fact, closely related.</w:t>
      </w:r>
    </w:p>
    <w:p>
      <w:pPr>
        <w:pStyle w:val="BodyText"/>
      </w:pPr>
      <w:r>
        <w:rPr>
          <w:bCs/>
          <w:b/>
        </w:rPr>
        <w:t xml:space="preserve">Relationship to modern classification approaches.</w:t>
      </w:r>
      <w:r>
        <w:t xml:space="preserve"> </w:t>
      </w:r>
      <w:r>
        <w:t xml:space="preserve">While numerical taxonomy’s quantitative, computational methodology anticipated and influenced some aspects of modern computational phylogenetic analysis, contemporary molecular phylogenetic methods (discussed in Topic 29) have generally superseded numerical taxonomy’s overall-morphological-similarity approach as the primary quantitative classification tool, given molecular genetic data’s generally more direct connection to actual evolutionary relationship compared to overall phenotypic/morphological similarity.</w:t>
      </w:r>
    </w:p>
    <w:p>
      <w:pPr>
        <w:pStyle w:val="BodyText"/>
      </w:pPr>
      <w:r>
        <w:rPr>
          <w:bCs/>
          <w:b/>
        </w:rPr>
        <w:t xml:space="preserve">Key Takeaways</w:t>
      </w:r>
    </w:p>
    <w:p>
      <w:pPr>
        <w:numPr>
          <w:ilvl w:val="0"/>
          <w:numId w:val="1041"/>
        </w:numPr>
        <w:pStyle w:val="Compact"/>
      </w:pPr>
      <w:r>
        <w:t xml:space="preserve">Numerical taxonomy applies statistical clustering methods to large sets of quantified characteristics, aiming to reduce subjectivity in taxonomic decision-making compared to traditional approaches.</w:t>
      </w:r>
    </w:p>
    <w:p>
      <w:pPr>
        <w:numPr>
          <w:ilvl w:val="0"/>
          <w:numId w:val="1041"/>
        </w:numPr>
        <w:pStyle w:val="Compact"/>
      </w:pPr>
      <w:r>
        <w:t xml:space="preserve">It is based on the principle of overall similarity across many equally weighted characteristics, offering greater reproducibility but facing criticism that not all characteristics are equally taxonomically informative.</w:t>
      </w:r>
    </w:p>
    <w:p>
      <w:pPr>
        <w:numPr>
          <w:ilvl w:val="0"/>
          <w:numId w:val="1041"/>
        </w:numPr>
        <w:pStyle w:val="Compact"/>
      </w:pPr>
      <w:r>
        <w:t xml:space="preserve">Modern molecular phylogenetic methods have generally superseded numerical taxonomy’s morphological-similarity approach, though numerical taxonomy’s quantitative methodology influenced later computational classification techniques.</w:t>
      </w:r>
    </w:p>
    <w:bookmarkEnd w:id="56"/>
    <w:bookmarkStart w:id="57" w:name="X3fad2b4ac95ef0a253903d2aefab84d474afcef"/>
    <w:p>
      <w:pPr>
        <w:pStyle w:val="Heading3"/>
      </w:pPr>
      <w:r>
        <w:t xml:space="preserve">35. Economically Important Angiosperm Families</w:t>
      </w:r>
    </w:p>
    <w:p>
      <w:pPr>
        <w:pStyle w:val="FirstParagraph"/>
      </w:pPr>
      <w:r>
        <w:t xml:space="preserve">Understanding the major economically important angiosperm plant families provides a practical, integrative conclusion to this subject’s taxonomy section, directly connecting botanical classification to the agricultural crop topics discussed extensively in the Agriculture &amp; Forestry subject.</w:t>
      </w:r>
    </w:p>
    <w:p>
      <w:pPr>
        <w:pStyle w:val="BodyText"/>
      </w:pPr>
      <w:r>
        <w:rPr>
          <w:bCs/>
          <w:b/>
        </w:rPr>
        <w:t xml:space="preserve">Poaceae (grass family).</w:t>
      </w:r>
      <w:r>
        <w:t xml:space="preserve"> </w:t>
      </w:r>
      <w:r>
        <w:t xml:space="preserve">Among the most economically significant plant families globally, including the major cereal crops — wheat, rice, maize, and sugarcane, among many others — that form the foundation of global food security and represent the crop sector discussed extensively in the Agriculture &amp; Forestry subject; characterised botanically as monocots with the parallel leaf venation and scattered stem vascular bundle arrangement discussed in Topics 22–23, and with a distinctive floral structure adapted for wind pollination (Topic 26), consistent with most grass species’ reliance on wind rather than animal pollinators.</w:t>
      </w:r>
    </w:p>
    <w:p>
      <w:pPr>
        <w:pStyle w:val="BodyText"/>
      </w:pPr>
      <w:r>
        <w:rPr>
          <w:bCs/>
          <w:b/>
        </w:rPr>
        <w:t xml:space="preserve">Fabaceae (legume family).</w:t>
      </w:r>
      <w:r>
        <w:t xml:space="preserve"> </w:t>
      </w:r>
      <w:r>
        <w:t xml:space="preserve">Highly significant both for direct food crops (beans, lentils, chickpeas, among others) and for the biological nitrogen fixation capability (through symbiotic</w:t>
      </w:r>
      <w:r>
        <w:t xml:space="preserve"> </w:t>
      </w:r>
      <w:r>
        <w:rPr>
          <w:iCs/>
          <w:i/>
        </w:rPr>
        <w:t xml:space="preserve">Rhizobium</w:t>
      </w:r>
      <w:r>
        <w:t xml:space="preserve"> </w:t>
      </w:r>
      <w:r>
        <w:t xml:space="preserve">bacteria, discussed extensively in the Agriculture &amp; Forestry subject’s soil fertility topics) that makes legume crops particularly valuable within crop rotation systems; characterised botanically as dicots with a distinctive floral structure and characteristic pod-type fruit.</w:t>
      </w:r>
    </w:p>
    <w:p>
      <w:pPr>
        <w:pStyle w:val="BodyText"/>
      </w:pPr>
      <w:r>
        <w:rPr>
          <w:bCs/>
          <w:b/>
        </w:rPr>
        <w:t xml:space="preserve">Solanaceae (nightshade family).</w:t>
      </w:r>
      <w:r>
        <w:t xml:space="preserve"> </w:t>
      </w:r>
      <w:r>
        <w:t xml:space="preserve">Includes several major vegetable crops (potato, tomato, eggplant/brinjal) alongside tobacco, notable botanically for containing species that produce significant alkaloid secondary metabolites (connecting to the chemotaxonomy discussion in Topic 33) — some of these alkaloids are toxic in the plant’s vegetative parts even in species whose fruit is a major food crop (such as tomato, whose leaves and unripe green parts contain more significant alkaloid concentrations than the ripe fruit).</w:t>
      </w:r>
    </w:p>
    <w:p>
      <w:pPr>
        <w:pStyle w:val="BodyText"/>
      </w:pPr>
      <w:r>
        <w:rPr>
          <w:bCs/>
          <w:b/>
        </w:rPr>
        <w:t xml:space="preserve">Brassicaceae (mustard/cabbage family).</w:t>
      </w:r>
      <w:r>
        <w:t xml:space="preserve"> </w:t>
      </w:r>
      <w:r>
        <w:t xml:space="preserve">Includes numerous significant vegetable and oilseed crops (cabbage, cauliflower, mustard, canola/rapeseed), characterised by a distinctive four-petaled floral structure, and notable for containing sulphur-containing secondary metabolites (glucosinolates) responsible for this family’s characteristic pungent flavour and aroma compounds.</w:t>
      </w:r>
    </w:p>
    <w:p>
      <w:pPr>
        <w:pStyle w:val="BodyText"/>
      </w:pPr>
      <w:r>
        <w:rPr>
          <w:bCs/>
          <w:b/>
        </w:rPr>
        <w:t xml:space="preserve">Malvaceae (mallow family).</w:t>
      </w:r>
      <w:r>
        <w:t xml:space="preserve"> </w:t>
      </w:r>
      <w:r>
        <w:t xml:space="preserve">Includes cotton, a crop of major economic significance to Pakistan specifically, as discussed extensively throughout the Agriculture &amp; Forestry subject, alongside other economically significant species.</w:t>
      </w:r>
    </w:p>
    <w:p>
      <w:pPr>
        <w:pStyle w:val="BodyText"/>
      </w:pPr>
      <w:r>
        <w:rPr>
          <w:bCs/>
          <w:b/>
        </w:rPr>
        <w:t xml:space="preserve">Why family-level classification knowledge has practical agricultural value.</w:t>
      </w:r>
      <w:r>
        <w:t xml:space="preserve"> </w:t>
      </w:r>
      <w:r>
        <w:t xml:space="preserve">Understanding which crop species belong to the same taxonomic family helps predict shared vulnerabilities (crops within the same family often share susceptibility to similar pest and disease groups, directly relevant to crop rotation planning discussed in the Agriculture &amp; Forestry subject, since rotating between crops from different families more effectively disrupts pest and disease life cycles than rotating between closely related crops within the same family) and shared breeding/improvement potential (genetic techniques and traits, including potentially valuable genes identified in one species, may be more readily applicable to transfer or adapt to closely related species within the same family, connecting to the genetic crop improvement discussion in the Agriculture &amp; Forestry subject).</w:t>
      </w:r>
    </w:p>
    <w:p>
      <w:pPr>
        <w:pStyle w:val="BodyText"/>
      </w:pPr>
      <w:r>
        <w:rPr>
          <w:bCs/>
          <w:b/>
        </w:rPr>
        <w:t xml:space="preserve">Key Takeaways</w:t>
      </w:r>
    </w:p>
    <w:p>
      <w:pPr>
        <w:numPr>
          <w:ilvl w:val="0"/>
          <w:numId w:val="1042"/>
        </w:numPr>
        <w:pStyle w:val="Compact"/>
      </w:pPr>
      <w:r>
        <w:t xml:space="preserve">Poaceae (grasses, including wheat, rice, maize) and Fabaceae (legumes, including major food crops and nitrogen-fixing species) represent two of the most economically and agriculturally significant plant families globally.</w:t>
      </w:r>
    </w:p>
    <w:p>
      <w:pPr>
        <w:numPr>
          <w:ilvl w:val="0"/>
          <w:numId w:val="1042"/>
        </w:numPr>
        <w:pStyle w:val="Compact"/>
      </w:pPr>
      <w:r>
        <w:t xml:space="preserve">Solanaceae (potato, tomato), Brassicaceae (cabbage, mustard, canola), and Malvaceae (cotton) represent other major economically important families, each with characteristic structural and chemical features.</w:t>
      </w:r>
    </w:p>
    <w:p>
      <w:pPr>
        <w:numPr>
          <w:ilvl w:val="0"/>
          <w:numId w:val="1042"/>
        </w:numPr>
        <w:pStyle w:val="Compact"/>
      </w:pPr>
      <w:r>
        <w:t xml:space="preserve">Family-level taxonomic knowledge has direct practical agricultural value for crop rotation planning (crops in the same family often share pest/disease vulnerabilities) and genetic improvement efforts (traits often transfer more readily between closely related species).</w:t>
      </w:r>
    </w:p>
    <w:bookmarkEnd w:id="57"/>
    <w:bookmarkEnd w:id="58"/>
    <w:bookmarkStart w:id="74" w:name="v.-plant-physiology"/>
    <w:p>
      <w:pPr>
        <w:pStyle w:val="Heading2"/>
      </w:pPr>
      <w:r>
        <w:t xml:space="preserve">V. Plant Physiology</w:t>
      </w:r>
    </w:p>
    <w:bookmarkStart w:id="59" w:name="water-relations-and-water-potential"/>
    <w:p>
      <w:pPr>
        <w:pStyle w:val="Heading3"/>
      </w:pPr>
      <w:r>
        <w:t xml:space="preserve">36. Water Relations and Water Potential</w:t>
      </w:r>
    </w:p>
    <w:p>
      <w:pPr>
        <w:pStyle w:val="FirstParagraph"/>
      </w:pPr>
      <w:r>
        <w:t xml:space="preserve">Water relations — the study of how water moves into, through, and out of plants — is foundational to plant physiology, since water is essential to virtually every plant physiological process, from basic cell structure and turgor to photosynthesis, nutrient transport, and temperature regulation.</w:t>
      </w:r>
    </w:p>
    <w:p>
      <w:pPr>
        <w:pStyle w:val="BodyText"/>
      </w:pPr>
      <w:r>
        <w:rPr>
          <w:bCs/>
          <w:b/>
        </w:rPr>
        <w:t xml:space="preserve">The water potential concept.</w:t>
      </w:r>
      <w:r>
        <w:t xml:space="preserve"> </w:t>
      </w:r>
      <w:r>
        <w:t xml:space="preserve">Water potential is the key quantitative concept used to predict and explain water movement in plant physiology, representing the potential energy of water in a given location relative to pure water, and, critically, water always moves from a region of higher water potential to a region of lower water potential — providing a unified physical framework explaining water movement at every scale within the plant, from cell-to-cell movement to the long-distance transport from roots to leaves discussed in Topics 37–38.</w:t>
      </w:r>
    </w:p>
    <w:p>
      <w:pPr>
        <w:pStyle w:val="BodyText"/>
      </w:pPr>
      <w:r>
        <w:rPr>
          <w:bCs/>
          <w:b/>
        </w:rPr>
        <w:t xml:space="preserve">Components affecting water potential.</w:t>
      </w:r>
      <w:r>
        <w:t xml:space="preserve"> </w:t>
      </w:r>
      <w:r>
        <w:rPr>
          <w:bCs/>
          <w:b/>
        </w:rPr>
        <w:t xml:space="preserve">Solute potential</w:t>
      </w:r>
      <w:r>
        <w:t xml:space="preserve"> </w:t>
      </w:r>
      <w:r>
        <w:t xml:space="preserve">(also called osmotic potential) — the effect of dissolved solutes on water potential, with higher solute concentration lowering water potential (since dissolved solutes reduce the relative concentration and</w:t>
      </w:r>
      <w:r>
        <w:t xml:space="preserve"> </w:t>
      </w:r>
      <w:r>
        <w:t xml:space="preserve">“</w:t>
      </w:r>
      <w:r>
        <w:t xml:space="preserve">escaping tendency</w:t>
      </w:r>
      <w:r>
        <w:t xml:space="preserve">”</w:t>
      </w:r>
      <w:r>
        <w:t xml:space="preserve"> </w:t>
      </w:r>
      <w:r>
        <w:t xml:space="preserve">of free water molecules) — this is the same fundamental physical principle underlying the osmotic stress mechanism by which soil salinity harms plants, discussed extensively in the Agriculture &amp; Forestry subject’s salinity and waterlogging topics: highly saline soil water has a very low (more negative) water potential, which can, in severe cases, actually reverse the normal direction of water movement, drawing water out of plant root cells rather than into them, directly explaining salinity’s damaging physiological effect.</w:t>
      </w:r>
      <w:r>
        <w:t xml:space="preserve"> </w:t>
      </w:r>
      <w:r>
        <w:rPr>
          <w:bCs/>
          <w:b/>
        </w:rPr>
        <w:t xml:space="preserve">Pressure potential</w:t>
      </w:r>
      <w:r>
        <w:t xml:space="preserve"> </w:t>
      </w:r>
      <w:r>
        <w:t xml:space="preserve">— the physical pressure exerted on water within a cell or tissue, most significantly turgor pressure (the outward pressure plant cell contents exert against the cell wall when the cell is well-hydrated), which provides the structural rigidity supporting herbaceous plant tissue (as discussed in relation to stem anatomy, Topic 22) and directly drives the stomatal opening/closing mechanism (Topic 23) through changes in guard cell turgor.</w:t>
      </w:r>
    </w:p>
    <w:p>
      <w:pPr>
        <w:pStyle w:val="BodyText"/>
      </w:pPr>
      <w:r>
        <w:rPr>
          <w:bCs/>
          <w:b/>
        </w:rPr>
        <w:t xml:space="preserve">Practical significance.</w:t>
      </w:r>
      <w:r>
        <w:t xml:space="preserve"> </w:t>
      </w:r>
      <w:r>
        <w:t xml:space="preserve">Understanding water potential explains why water moves in a continuous, unidirectional pathway from generally moist soil (higher water potential) through root, stem, and leaf tissue (progressively lower water potential) and ultimately out into the relatively dry atmosphere (lowest water potential) during transpiration (Topic 38) — this water potential gradient, rather than any active pumping mechanism, is the fundamental physical driving force for the entire water transport pathway through a plant, directly relevant to understanding both normal plant water relations and the specific mechanisms by which drought stress and soil salinity (discussed extensively in the Agriculture &amp; Forestry subject) disrupt normal plant water uptake and function.</w:t>
      </w:r>
    </w:p>
    <w:p>
      <w:pPr>
        <w:pStyle w:val="BodyText"/>
      </w:pPr>
      <w:r>
        <w:rPr>
          <w:bCs/>
          <w:b/>
        </w:rPr>
        <w:t xml:space="preserve">Key Takeaways</w:t>
      </w:r>
    </w:p>
    <w:p>
      <w:pPr>
        <w:numPr>
          <w:ilvl w:val="0"/>
          <w:numId w:val="1043"/>
        </w:numPr>
        <w:pStyle w:val="Compact"/>
      </w:pPr>
      <w:r>
        <w:t xml:space="preserve">Water potential is the unified physical concept explaining water movement in plants, with water always moving from higher to lower water potential.</w:t>
      </w:r>
    </w:p>
    <w:p>
      <w:pPr>
        <w:numPr>
          <w:ilvl w:val="0"/>
          <w:numId w:val="1043"/>
        </w:numPr>
        <w:pStyle w:val="Compact"/>
      </w:pPr>
      <w:r>
        <w:t xml:space="preserve">Solute potential (affected by dissolved solutes) explains soil salinity’s damaging effect on plants, since highly saline water’s low water potential can reverse normal water movement out of root cells; pressure potential (turgor) provides structural support and drives stomatal function.</w:t>
      </w:r>
    </w:p>
    <w:p>
      <w:pPr>
        <w:numPr>
          <w:ilvl w:val="0"/>
          <w:numId w:val="1043"/>
        </w:numPr>
        <w:pStyle w:val="Compact"/>
      </w:pPr>
      <w:r>
        <w:t xml:space="preserve">The water potential gradient from moist soil through the plant to the atmosphere is the fundamental driving force for the entire soil-plant-atmosphere water transport pathway.</w:t>
      </w:r>
    </w:p>
    <w:bookmarkEnd w:id="59"/>
    <w:bookmarkStart w:id="60" w:name="water-absorption-by-roots"/>
    <w:p>
      <w:pPr>
        <w:pStyle w:val="Heading3"/>
      </w:pPr>
      <w:r>
        <w:t xml:space="preserve">37. Water Absorption by Roots</w:t>
      </w:r>
    </w:p>
    <w:p>
      <w:pPr>
        <w:pStyle w:val="FirstParagraph"/>
      </w:pPr>
      <w:r>
        <w:t xml:space="preserve">Water absorption by roots represents the entry point of the water transport pathway introduced in Topic 36, and understanding its specific mechanisms connects directly to the root anatomy discussion in Topic 21.</w:t>
      </w:r>
    </w:p>
    <w:p>
      <w:pPr>
        <w:pStyle w:val="BodyText"/>
      </w:pPr>
      <w:r>
        <w:rPr>
          <w:bCs/>
          <w:b/>
        </w:rPr>
        <w:t xml:space="preserve">Pathway of water movement through root tissue.</w:t>
      </w:r>
      <w:r>
        <w:t xml:space="preserve"> </w:t>
      </w:r>
      <w:r>
        <w:t xml:space="preserve">Water absorbed at the root surface can move through root tissue toward the central vascular cylinder via three distinct but interconnected pathways: the</w:t>
      </w:r>
      <w:r>
        <w:t xml:space="preserve"> </w:t>
      </w:r>
      <w:r>
        <w:rPr>
          <w:bCs/>
          <w:b/>
        </w:rPr>
        <w:t xml:space="preserve">apoplast pathway</w:t>
      </w:r>
      <w:r>
        <w:t xml:space="preserve"> </w:t>
      </w:r>
      <w:r>
        <w:t xml:space="preserve">(water moving through the cell wall and intercellular spaces, without crossing any cell membranes, generally the fastest pathway available since it avoids the resistance of crossing cell membranes); the</w:t>
      </w:r>
      <w:r>
        <w:t xml:space="preserve"> </w:t>
      </w:r>
      <w:r>
        <w:rPr>
          <w:bCs/>
          <w:b/>
        </w:rPr>
        <w:t xml:space="preserve">symplast pathway</w:t>
      </w:r>
      <w:r>
        <w:t xml:space="preserve"> </w:t>
      </w:r>
      <w:r>
        <w:t xml:space="preserve">(water moving from cell to cell through the cytoplasm, via microscopic channels connecting adjacent plant cells called plasmodesmata, without re-crossing cell membranes at each cell boundary); and the</w:t>
      </w:r>
      <w:r>
        <w:t xml:space="preserve"> </w:t>
      </w:r>
      <w:r>
        <w:rPr>
          <w:bCs/>
          <w:b/>
        </w:rPr>
        <w:t xml:space="preserve">transmembrane pathway</w:t>
      </w:r>
      <w:r>
        <w:t xml:space="preserve"> </w:t>
      </w:r>
      <w:r>
        <w:t xml:space="preserve">(water moving directly across cell membranes from cell to cell). Critically, as established in the root anatomy discussion (Topic 21), the endodermis’s Casparian strip physically blocks the apoplast pathway at this specific point, forcing all water (and any dissolved minerals it carries) to pass through the symplast or transmembrane pathway — crossing at least one selectively permeable cell membrane — before entering the central vascular cylinder, providing the plant with an essential checkpoint for selectively regulating which minerals are absorbed into the vascular tissue rather than allowing unrestricted passive mineral uptake.</w:t>
      </w:r>
    </w:p>
    <w:p>
      <w:pPr>
        <w:pStyle w:val="BodyText"/>
      </w:pPr>
      <w:r>
        <w:rPr>
          <w:bCs/>
          <w:b/>
        </w:rPr>
        <w:t xml:space="preserve">Root pressure.</w:t>
      </w:r>
      <w:r>
        <w:t xml:space="preserve"> </w:t>
      </w:r>
      <w:r>
        <w:t xml:space="preserve">In some plants, particularly under conditions of high soil moisture and low transpiration (such as at night, or in young seedlings before extensive leaf area has developed), active mineral ion transport into the root’s vascular tissue can lower the local water potential enough to draw water in by osmosis, generating a measurable positive pressure (root pressure) that can push water some distance up the stem even without any contribution from transpiration — root pressure is generally considered a relatively minor contributor to overall water transport in most mature plants compared to the transpiration-driven mechanism discussed in Topic 38, though it is directly responsible for the visible phenomenon of guttation (small water droplets exuded from leaf margins, particularly visible on grass in humid, low-transpiration morning conditions).</w:t>
      </w:r>
    </w:p>
    <w:p>
      <w:pPr>
        <w:pStyle w:val="BodyText"/>
      </w:pPr>
      <w:r>
        <w:rPr>
          <w:bCs/>
          <w:b/>
        </w:rPr>
        <w:t xml:space="preserve">Mycorrhizal associations.</w:t>
      </w:r>
      <w:r>
        <w:t xml:space="preserve"> </w:t>
      </w:r>
      <w:r>
        <w:t xml:space="preserve">Many plant species form symbiotic associations with mycorrhizal fungi, whose extensive fungal hyphal network effectively extends the root system’s absorptive surface area far beyond what the root’s own root hairs alone could achieve, significantly improving both water and (particularly) mineral nutrient absorption efficiency, representing an important complement to the plant’s own root anatomy in the overall water and nutrient acquisition process, and echoing the beneficial ecological role of fungi discussed in Topic 6.</w:t>
      </w:r>
    </w:p>
    <w:p>
      <w:pPr>
        <w:pStyle w:val="BodyText"/>
      </w:pPr>
      <w:r>
        <w:rPr>
          <w:bCs/>
          <w:b/>
        </w:rPr>
        <w:t xml:space="preserve">Key Takeaways</w:t>
      </w:r>
    </w:p>
    <w:p>
      <w:pPr>
        <w:numPr>
          <w:ilvl w:val="0"/>
          <w:numId w:val="1044"/>
        </w:numPr>
        <w:pStyle w:val="Compact"/>
      </w:pPr>
      <w:r>
        <w:t xml:space="preserve">Water moves through root tissue via the apoplast (cell wall), symplast (cell-to-cell through plasmodesmata), and transmembrane pathways, with the endodermis’s Casparian strip forcing all water through a cell membrane checkpoint before reaching vascular tissue.</w:t>
      </w:r>
    </w:p>
    <w:p>
      <w:pPr>
        <w:numPr>
          <w:ilvl w:val="0"/>
          <w:numId w:val="1044"/>
        </w:numPr>
        <w:pStyle w:val="Compact"/>
      </w:pPr>
      <w:r>
        <w:t xml:space="preserve">Root pressure, generated by active mineral transport under high-moisture, low-transpiration conditions, is a generally minor water transport contributor but directly explains the guttation phenomenon.</w:t>
      </w:r>
    </w:p>
    <w:p>
      <w:pPr>
        <w:numPr>
          <w:ilvl w:val="0"/>
          <w:numId w:val="1044"/>
        </w:numPr>
        <w:pStyle w:val="Compact"/>
      </w:pPr>
      <w:r>
        <w:t xml:space="preserve">Mycorrhizal fungal associations significantly extend root absorptive surface area, substantially improving water and mineral nutrient uptake efficiency beyond the root’s own capacity.</w:t>
      </w:r>
    </w:p>
    <w:bookmarkEnd w:id="60"/>
    <w:bookmarkStart w:id="61" w:name="transpiration"/>
    <w:p>
      <w:pPr>
        <w:pStyle w:val="Heading3"/>
      </w:pPr>
      <w:r>
        <w:t xml:space="preserve">38. Transpiration</w:t>
      </w:r>
    </w:p>
    <w:p>
      <w:pPr>
        <w:pStyle w:val="FirstParagraph"/>
      </w:pPr>
      <w:r>
        <w:t xml:space="preserve">Transpiration — the loss of water vapour from plant tissue, primarily through leaf stomata — represents both an essentially unavoidable consequence of the same stomatal opening required for photosynthetic gas exchange (Topic 23) and, importantly, the primary driving force for the entire water transport pathway through most plants, from root absorption (Topic 37) through the stem to the leaves.</w:t>
      </w:r>
    </w:p>
    <w:p>
      <w:pPr>
        <w:pStyle w:val="BodyText"/>
      </w:pPr>
      <w:r>
        <w:rPr>
          <w:bCs/>
          <w:b/>
        </w:rPr>
        <w:t xml:space="preserve">The cohesion-tension mechanism.</w:t>
      </w:r>
      <w:r>
        <w:t xml:space="preserve"> </w:t>
      </w:r>
      <w:r>
        <w:t xml:space="preserve">Transpiration drives water movement through the plant via a mechanism relying on water’s cohesive properties (water molecules’ strong mutual attraction to each other, due to hydrogen bonding) combined with the tension (negative pressure) generated as water evaporates from leaf mesophyll cell surfaces into the substomatal air space and ultimately out through open stomata — as water molecules are lost from the leaf’s water column via evaporation, the strong cohesive attraction between water molecules pulls the entire continuous water column upward through the xylem vessels from the roots, in an unbroken chain extending from leaf to root, without requiring any active pumping mechanism from the plant itself; this passive, physically-driven mechanism can move substantial water volumes to considerable heights (explaining how even very tall trees successfully transport water to their uppermost leaves) using only the energy provided by evaporation and water’s inherent cohesive molecular properties.</w:t>
      </w:r>
    </w:p>
    <w:p>
      <w:pPr>
        <w:pStyle w:val="BodyText"/>
      </w:pPr>
      <w:r>
        <w:rPr>
          <w:bCs/>
          <w:b/>
        </w:rPr>
        <w:t xml:space="preserve">Factors affecting transpiration rate.</w:t>
      </w:r>
      <w:r>
        <w:t xml:space="preserve"> </w:t>
      </w:r>
      <w:r>
        <w:t xml:space="preserve">These include</w:t>
      </w:r>
      <w:r>
        <w:t xml:space="preserve"> </w:t>
      </w:r>
      <w:r>
        <w:rPr>
          <w:bCs/>
          <w:b/>
        </w:rPr>
        <w:t xml:space="preserve">environmental factors</w:t>
      </w:r>
      <w:r>
        <w:t xml:space="preserve"> </w:t>
      </w:r>
      <w:r>
        <w:t xml:space="preserve">— humidity (lower atmospheric humidity increases the water potential gradient between leaf interior and outside air, increasing transpiration rate), temperature (higher temperature generally increases transpiration rate, both by increasing evaporation rate directly and often by affecting stomatal behaviour), wind (moving air removes the humid air layer immediately surrounding a leaf surface more effectively than still air, generally increasing transpiration rate), and light (since stomata generally open in response to light to enable photosynthetic gas exchange, transpiration rate typically increases during daylight hours when stomata are open, and decreases substantially at night when many plants’ stomata close) — and</w:t>
      </w:r>
      <w:r>
        <w:t xml:space="preserve"> </w:t>
      </w:r>
      <w:r>
        <w:rPr>
          <w:bCs/>
          <w:b/>
        </w:rPr>
        <w:t xml:space="preserve">plant factors</w:t>
      </w:r>
      <w:r>
        <w:t xml:space="preserve">, including leaf surface area, stomatal density, and the presence and thickness of the protective waxy cuticle (Topic 23), which directly affects water loss even through the non-stomatal leaf surface.</w:t>
      </w:r>
    </w:p>
    <w:p>
      <w:pPr>
        <w:pStyle w:val="BodyText"/>
      </w:pPr>
      <w:r>
        <w:rPr>
          <w:bCs/>
          <w:b/>
        </w:rPr>
        <w:t xml:space="preserve">Transpiration’s dual nature: necessary trade-off.</w:t>
      </w:r>
      <w:r>
        <w:t xml:space="preserve"> </w:t>
      </w:r>
      <w:r>
        <w:t xml:space="preserve">While transpiration inevitably represents substantial water loss (the large majority of water absorbed by a plant’s roots is ultimately lost through transpiration rather than being incorporated into plant tissue or used directly in photosynthesis), it also provides beneficial functions beyond simply driving water transport: transpirational water loss provides evaporative cooling (helping regulate leaf temperature, particularly important under high light and temperature conditions), and the continuous water flow it drives is essential for delivering dissolved mineral nutrients absorbed by roots to the rest of the plant — meaning transpiration, despite its water cost, is not simply an unavoidable</w:t>
      </w:r>
      <w:r>
        <w:t xml:space="preserve"> </w:t>
      </w:r>
      <w:r>
        <w:t xml:space="preserve">“</w:t>
      </w:r>
      <w:r>
        <w:t xml:space="preserve">waste</w:t>
      </w:r>
      <w:r>
        <w:t xml:space="preserve">”</w:t>
      </w:r>
      <w:r>
        <w:t xml:space="preserve"> </w:t>
      </w:r>
      <w:r>
        <w:t xml:space="preserve">but serves genuine, essential physiological functions, explaining why plants have not evolved to eliminate it entirely even under water-scarce conditions, instead regulating it through stomatal control (Topic 23) to balance these competing considerations.</w:t>
      </w:r>
    </w:p>
    <w:p>
      <w:pPr>
        <w:pStyle w:val="BodyText"/>
      </w:pPr>
      <w:r>
        <w:rPr>
          <w:bCs/>
          <w:b/>
        </w:rPr>
        <w:t xml:space="preserve">Key Takeaways</w:t>
      </w:r>
    </w:p>
    <w:p>
      <w:pPr>
        <w:numPr>
          <w:ilvl w:val="0"/>
          <w:numId w:val="1045"/>
        </w:numPr>
        <w:pStyle w:val="Compact"/>
      </w:pPr>
      <w:r>
        <w:t xml:space="preserve">Transpiration drives water transport through plants via the cohesion-tension mechanism: evaporation from leaf cells generates tension that, through water’s cohesive properties, pulls a continuous water column up through the xylem from the roots.</w:t>
      </w:r>
    </w:p>
    <w:p>
      <w:pPr>
        <w:numPr>
          <w:ilvl w:val="0"/>
          <w:numId w:val="1045"/>
        </w:numPr>
        <w:pStyle w:val="Compact"/>
      </w:pPr>
      <w:r>
        <w:t xml:space="preserve">Transpiration rate is affected by environmental factors (humidity, temperature, wind, light) and plant factors (leaf area, stomatal density, cuticle thickness).</w:t>
      </w:r>
    </w:p>
    <w:p>
      <w:pPr>
        <w:numPr>
          <w:ilvl w:val="0"/>
          <w:numId w:val="1045"/>
        </w:numPr>
        <w:pStyle w:val="Compact"/>
      </w:pPr>
      <w:r>
        <w:t xml:space="preserve">Beyond driving water transport, transpiration provides evaporative leaf cooling and enables mineral nutrient delivery throughout the plant, meaning it serves genuine physiological functions despite its substantial water cost.</w:t>
      </w:r>
    </w:p>
    <w:bookmarkEnd w:id="61"/>
    <w:bookmarkStart w:id="62" w:name="mineral-nutrition"/>
    <w:p>
      <w:pPr>
        <w:pStyle w:val="Heading3"/>
      </w:pPr>
      <w:r>
        <w:t xml:space="preserve">39. Mineral Nutrition</w:t>
      </w:r>
    </w:p>
    <w:p>
      <w:pPr>
        <w:pStyle w:val="FirstParagraph"/>
      </w:pPr>
      <w:r>
        <w:t xml:space="preserve">Mineral nutrition addresses how plants acquire and utilise the essential mineral nutrients introduced in the Agriculture &amp; Forestry subject’s soil fertility discussion (Topic 13 there), examining the physiological mechanisms of nutrient uptake and the specific functional roles these nutrients play within plant metabolism.</w:t>
      </w:r>
    </w:p>
    <w:p>
      <w:pPr>
        <w:pStyle w:val="BodyText"/>
      </w:pPr>
      <w:r>
        <w:rPr>
          <w:bCs/>
          <w:b/>
        </w:rPr>
        <w:t xml:space="preserve">Essential nutrient uptake mechanisms.</w:t>
      </w:r>
      <w:r>
        <w:t xml:space="preserve"> </w:t>
      </w:r>
      <w:r>
        <w:t xml:space="preserve">Mineral nutrients, dissolved in soil water, are absorbed primarily at the root surface (particularly via the extensive surface area provided by root hairs, discussed in Topic 21), through both passive mechanisms (diffusion along a concentration gradient, and mass flow, where dissolved nutrients are carried along with water as it moves toward roots following the transpiration-driven water potential gradient discussed in Topics 36–38) and active mechanisms (energy-requiring transport proteins embedded in root cell membranes, capable of accumulating specific essential nutrients against their concentration gradient — actively concentrating a scarce but essential nutrient from dilute soil solution into much higher concentration within root cells, a process requiring metabolic energy expenditure by the plant).</w:t>
      </w:r>
    </w:p>
    <w:p>
      <w:pPr>
        <w:pStyle w:val="BodyText"/>
      </w:pPr>
      <w:r>
        <w:rPr>
          <w:bCs/>
          <w:b/>
        </w:rPr>
        <w:t xml:space="preserve">Functional roles of essential nutrients — building on the categories introduced in the Agriculture &amp; Forestry subject.</w:t>
      </w:r>
      <w:r>
        <w:t xml:space="preserve"> </w:t>
      </w:r>
      <w:r>
        <w:t xml:space="preserve">Beyond simply listing which nutrients are essential, understanding their specific physiological roles explains why deficiency in each produces characteristic symptoms: nitrogen is a fundamental component of amino acids (and therefore proteins), nucleic acids (DNA and RNA), and chlorophyll, explaining why nitrogen deficiency characteristically produces overall stunted growth and yellowing (chlorosis), particularly of older leaves; phosphorus is essential to ATP (the cell’s primary energy currency molecule) and nucleic acid structure, explaining its particular importance to energy-intensive processes including root development and flowering/reproduction; potassium, unlike nitrogen and phosphorus, is not incorporated into major structural or enzymatic molecules but instead plays a crucial regulatory role, particularly in stomatal guard cell function (Topic 23, since guard cell opening and closing depends directly on potassium ion movement affecting guard cell turgor pressure) and overall cellular osmotic regulation; and micronutrients (Topic 13 in the Agriculture &amp; Forestry subject) typically function as essential components or cofactors of specific enzymes, meaning even very small quantities are essential, but deficiency can still significantly disrupt the specific metabolic pathways depending on that particular enzyme.</w:t>
      </w:r>
    </w:p>
    <w:p>
      <w:pPr>
        <w:pStyle w:val="BodyText"/>
      </w:pPr>
      <w:r>
        <w:rPr>
          <w:bCs/>
          <w:b/>
        </w:rPr>
        <w:t xml:space="preserve">Nutrient deficiency diagnosis.</w:t>
      </w:r>
      <w:r>
        <w:t xml:space="preserve"> </w:t>
      </w:r>
      <w:r>
        <w:t xml:space="preserve">Because different nutrients play distinct physiological roles and, particularly, differ in their mobility within the plant (some nutrients, including nitrogen and phosphorus, can be remobilised from older tissue to support new growth when in short supply, meaning their deficiency symptoms typically appear first in older leaves; other nutrients, including calcium, are relatively immobile within the plant, meaning their deficiency symptoms typically appear first in new, actively growing tissue), the specific pattern and location of deficiency symptoms observed on a plant can provide diagnostically useful clues about which specific nutrient is deficient — directly complementing the soil testing approach discussed in the Agriculture &amp; Forestry subject as a practical diagnostic tool for identifying and addressing crop nutrient deficiencies.</w:t>
      </w:r>
    </w:p>
    <w:p>
      <w:pPr>
        <w:pStyle w:val="BodyText"/>
      </w:pPr>
      <w:r>
        <w:rPr>
          <w:bCs/>
          <w:b/>
        </w:rPr>
        <w:t xml:space="preserve">Key Takeaways</w:t>
      </w:r>
    </w:p>
    <w:p>
      <w:pPr>
        <w:numPr>
          <w:ilvl w:val="0"/>
          <w:numId w:val="1046"/>
        </w:numPr>
        <w:pStyle w:val="Compact"/>
      </w:pPr>
      <w:r>
        <w:t xml:space="preserve">Mineral nutrients are absorbed at the root surface through passive mechanisms (diffusion, mass flow) and active, energy-requiring transport against concentration gradients.</w:t>
      </w:r>
    </w:p>
    <w:p>
      <w:pPr>
        <w:numPr>
          <w:ilvl w:val="0"/>
          <w:numId w:val="1046"/>
        </w:numPr>
        <w:pStyle w:val="Compact"/>
      </w:pPr>
      <w:r>
        <w:t xml:space="preserve">Each essential nutrient plays a distinct physiological role — nitrogen in proteins/chlorophyll, phosphorus in ATP/nucleic acids, potassium in guard cell and osmotic regulation, micronutrients as enzyme cofactors — explaining characteristic deficiency symptoms.</w:t>
      </w:r>
    </w:p>
    <w:p>
      <w:pPr>
        <w:numPr>
          <w:ilvl w:val="0"/>
          <w:numId w:val="1046"/>
        </w:numPr>
        <w:pStyle w:val="Compact"/>
      </w:pPr>
      <w:r>
        <w:t xml:space="preserve">Nutrient mobility within the plant (mobile nutrients like nitrogen showing deficiency in older leaves first; immobile nutrients like calcium showing deficiency in new growth first) provides diagnostically useful visual clues complementing soil testing.</w:t>
      </w:r>
    </w:p>
    <w:bookmarkEnd w:id="62"/>
    <w:bookmarkStart w:id="63" w:name="plant-hormones"/>
    <w:p>
      <w:pPr>
        <w:pStyle w:val="Heading3"/>
      </w:pPr>
      <w:r>
        <w:t xml:space="preserve">40. Plant Hormones</w:t>
      </w:r>
    </w:p>
    <w:p>
      <w:pPr>
        <w:pStyle w:val="FirstParagraph"/>
      </w:pPr>
      <w:r>
        <w:t xml:space="preserve">Plant hormones (also called phytohormones) are chemical signalling molecules, produced in small quantities within plant tissue, that regulate and coordinate virtually every aspect of plant growth, development, and physiological response to environmental conditions — functioning analogously to animal hormones, though generally acting more locally and with somewhat less centralised, specialised production than typical animal endocrine hormone systems.</w:t>
      </w:r>
    </w:p>
    <w:p>
      <w:pPr>
        <w:pStyle w:val="BodyText"/>
      </w:pPr>
      <w:r>
        <w:rPr>
          <w:bCs/>
          <w:b/>
        </w:rPr>
        <w:t xml:space="preserve">Major plant hormone classes and their primary functions:</w:t>
      </w:r>
    </w:p>
    <w:p>
      <w:pPr>
        <w:numPr>
          <w:ilvl w:val="0"/>
          <w:numId w:val="1047"/>
        </w:numPr>
        <w:pStyle w:val="Compact"/>
      </w:pPr>
      <w:r>
        <w:rPr>
          <w:bCs/>
          <w:b/>
        </w:rPr>
        <w:t xml:space="preserve">Auxins</w:t>
      </w:r>
      <w:r>
        <w:t xml:space="preserve"> </w:t>
      </w:r>
      <w:r>
        <w:t xml:space="preserve">— primarily regulate cell elongation and are centrally involved in tropisms (directional growth responses to environmental stimuli, such as phototropism, growth toward light, and gravitropism, growth response to gravity, mentioned in relation to root growth in Topic 21); auxins are also involved in apical dominance (the phenomenon where a plant’s main growing shoot tip suppresses the growth of lateral/side buds, a mechanism directly relevant to pruning practices discussed in the Agriculture &amp; Forestry subject’s silviculture topic, since removing the apical bud through pruning releases lateral buds from this suppression, encouraging bushier growth).</w:t>
      </w:r>
    </w:p>
    <w:p>
      <w:pPr>
        <w:numPr>
          <w:ilvl w:val="0"/>
          <w:numId w:val="1047"/>
        </w:numPr>
        <w:pStyle w:val="Compact"/>
      </w:pPr>
      <w:r>
        <w:rPr>
          <w:bCs/>
          <w:b/>
        </w:rPr>
        <w:t xml:space="preserve">Gibberellins</w:t>
      </w:r>
      <w:r>
        <w:t xml:space="preserve"> </w:t>
      </w:r>
      <w:r>
        <w:t xml:space="preserve">— primarily promote stem elongation and are centrally involved in seed germination (Topic 43) and flowering regulation in many species; commercially significant in agriculture for applications including promoting fruit size in certain crops and breaking seed dormancy.</w:t>
      </w:r>
    </w:p>
    <w:p>
      <w:pPr>
        <w:numPr>
          <w:ilvl w:val="0"/>
          <w:numId w:val="1047"/>
        </w:numPr>
        <w:pStyle w:val="Compact"/>
      </w:pPr>
      <w:r>
        <w:rPr>
          <w:bCs/>
          <w:b/>
        </w:rPr>
        <w:t xml:space="preserve">Cytokinins</w:t>
      </w:r>
      <w:r>
        <w:t xml:space="preserve"> </w:t>
      </w:r>
      <w:r>
        <w:t xml:space="preserve">— primarily promote cell division and delay tissue senescence/aging (Topic 66), and work in coordinated interaction with auxin to regulate the overall balance of shoot versus root growth and development, a relationship of practical significance in plant tissue culture applications (Topic 65), where the ratio of auxin to cytokinin in culture media directly determines whether cultured plant tissue develops predominantly roots, shoots, or an undifferentiated mass of cells (callus).</w:t>
      </w:r>
    </w:p>
    <w:p>
      <w:pPr>
        <w:numPr>
          <w:ilvl w:val="0"/>
          <w:numId w:val="1047"/>
        </w:numPr>
        <w:pStyle w:val="Compact"/>
      </w:pPr>
      <w:r>
        <w:rPr>
          <w:bCs/>
          <w:b/>
        </w:rPr>
        <w:t xml:space="preserve">Abscisic acid (ABA)</w:t>
      </w:r>
      <w:r>
        <w:t xml:space="preserve"> </w:t>
      </w:r>
      <w:r>
        <w:t xml:space="preserve">— generally functions as a stress-response and growth-inhibiting hormone, playing a central role in stomatal closure under water-stress conditions (directly linking plant hormone signalling to the water relations and transpiration regulation discussed in Topics 36–38) and in maintaining seed dormancy (Topic 43) until environmental conditions favourable for germination are detected.</w:t>
      </w:r>
    </w:p>
    <w:p>
      <w:pPr>
        <w:numPr>
          <w:ilvl w:val="0"/>
          <w:numId w:val="1047"/>
        </w:numPr>
        <w:pStyle w:val="Compact"/>
      </w:pPr>
      <w:r>
        <w:rPr>
          <w:bCs/>
          <w:b/>
        </w:rPr>
        <w:t xml:space="preserve">Ethylene</w:t>
      </w:r>
      <w:r>
        <w:t xml:space="preserve"> </w:t>
      </w:r>
      <w:r>
        <w:t xml:space="preserve">— a unique gaseous plant hormone, centrally involved in fruit ripening (of major direct agricultural and post-harvest handling significance, connecting to the horticulture and post-harvest loss discussion in the Agriculture &amp; Forestry subject, since ethylene-producing fruit can accelerate ripening, and sometimes over-ripening and spoilage, of other nearby fruit through this gaseous signal) and in various stress responses and senescence processes.</w:t>
      </w:r>
    </w:p>
    <w:p>
      <w:pPr>
        <w:pStyle w:val="FirstParagraph"/>
      </w:pPr>
      <w:r>
        <w:rPr>
          <w:bCs/>
          <w:b/>
        </w:rPr>
        <w:t xml:space="preserve">Why understanding plant hormones matters practically.</w:t>
      </w:r>
      <w:r>
        <w:t xml:space="preserve"> </w:t>
      </w:r>
      <w:r>
        <w:t xml:space="preserve">Beyond providing fundamental physiological understanding, plant hormone knowledge directly underlies numerous practical agricultural and horticultural applications, including synthetic hormone-based herbicides (certain synthetic auxin-mimicking compounds, when applied at concentrations disrupting normal plant growth regulation, function as effective selective herbicides, connecting to the crop protection discussion in the Agriculture &amp; Forestry subject), controlled fruit ripening and post-harvest handling practices (managing ethylene exposure to control ripening timing), and plant tissue culture and propagation techniques (Topic 65), all directly dependent on manipulating and understanding the plant hormone signalling systems addressed in this topic.</w:t>
      </w:r>
    </w:p>
    <w:p>
      <w:pPr>
        <w:pStyle w:val="BodyText"/>
      </w:pPr>
      <w:r>
        <w:rPr>
          <w:bCs/>
          <w:b/>
        </w:rPr>
        <w:t xml:space="preserve">Key Takeaways</w:t>
      </w:r>
    </w:p>
    <w:p>
      <w:pPr>
        <w:numPr>
          <w:ilvl w:val="0"/>
          <w:numId w:val="1048"/>
        </w:numPr>
        <w:pStyle w:val="Compact"/>
      </w:pPr>
      <w:r>
        <w:t xml:space="preserve">Major plant hormones include auxins (cell elongation, tropisms, apical dominance), gibberellins (stem elongation, germination), cytokinins (cell division, senescence delay), abscisic acid (stress response, stomatal closure, dormancy), and ethylene (fruit ripening, senescence).</w:t>
      </w:r>
    </w:p>
    <w:p>
      <w:pPr>
        <w:numPr>
          <w:ilvl w:val="0"/>
          <w:numId w:val="1048"/>
        </w:numPr>
        <w:pStyle w:val="Compact"/>
      </w:pPr>
      <w:r>
        <w:t xml:space="preserve">These hormones often work in coordinated interaction (such as the auxin-cytokinin balance regulating root/shoot development) rather than acting independently.</w:t>
      </w:r>
    </w:p>
    <w:p>
      <w:pPr>
        <w:numPr>
          <w:ilvl w:val="0"/>
          <w:numId w:val="1048"/>
        </w:numPr>
        <w:pStyle w:val="Compact"/>
      </w:pPr>
      <w:r>
        <w:t xml:space="preserve">Practical applications of plant hormone knowledge include synthetic auxin-based herbicides, post-harvest fruit ripening management, and plant tissue culture techniques.</w:t>
      </w:r>
    </w:p>
    <w:bookmarkEnd w:id="63"/>
    <w:bookmarkStart w:id="64" w:name="photoperiodism"/>
    <w:p>
      <w:pPr>
        <w:pStyle w:val="Heading3"/>
      </w:pPr>
      <w:r>
        <w:t xml:space="preserve">41. Photoperiodism</w:t>
      </w:r>
    </w:p>
    <w:p>
      <w:pPr>
        <w:pStyle w:val="FirstParagraph"/>
      </w:pPr>
      <w:r>
        <w:t xml:space="preserve">Photoperiodism is a plant’s physiological response to the relative length of day and night (the photoperiod), most prominently affecting the timing of flowering in many plant species, and representing an important environmental adaptation allowing plants to time reproductive development to occur at seasonally appropriate periods.</w:t>
      </w:r>
    </w:p>
    <w:p>
      <w:pPr>
        <w:pStyle w:val="BodyText"/>
      </w:pPr>
      <w:r>
        <w:rPr>
          <w:bCs/>
          <w:b/>
        </w:rPr>
        <w:t xml:space="preserve">Categories of photoperiodic flowering response:</w:t>
      </w:r>
    </w:p>
    <w:p>
      <w:pPr>
        <w:numPr>
          <w:ilvl w:val="0"/>
          <w:numId w:val="1049"/>
        </w:numPr>
        <w:pStyle w:val="Compact"/>
      </w:pPr>
      <w:r>
        <w:rPr>
          <w:bCs/>
          <w:b/>
        </w:rPr>
        <w:t xml:space="preserve">Short-day plants</w:t>
      </w:r>
      <w:r>
        <w:t xml:space="preserve"> </w:t>
      </w:r>
      <w:r>
        <w:t xml:space="preserve">— flower when day length falls below a species-specific critical threshold (meaning, despite the name, the physiologically critical measurement is actually more precisely understood as a sufficiently long uninterrupted period of darkness rather than day length itself, as established through subsequent physiological research, though the traditional</w:t>
      </w:r>
      <w:r>
        <w:t xml:space="preserve"> </w:t>
      </w:r>
      <w:r>
        <w:t xml:space="preserve">“</w:t>
      </w:r>
      <w:r>
        <w:t xml:space="preserve">short-day/long-day</w:t>
      </w:r>
      <w:r>
        <w:t xml:space="preserve">”</w:t>
      </w:r>
      <w:r>
        <w:t xml:space="preserve"> </w:t>
      </w:r>
      <w:r>
        <w:t xml:space="preserve">terminology remains in common use); short-day plants typically flower in late summer or autumn as day length naturally decreases.</w:t>
      </w:r>
    </w:p>
    <w:p>
      <w:pPr>
        <w:numPr>
          <w:ilvl w:val="0"/>
          <w:numId w:val="1049"/>
        </w:numPr>
        <w:pStyle w:val="Compact"/>
      </w:pPr>
      <w:r>
        <w:rPr>
          <w:bCs/>
          <w:b/>
        </w:rPr>
        <w:t xml:space="preserve">Long-day plants</w:t>
      </w:r>
      <w:r>
        <w:t xml:space="preserve"> </w:t>
      </w:r>
      <w:r>
        <w:t xml:space="preserve">— flower when day length exceeds a species-specific critical threshold, typically flowering in late spring or early summer as day length naturally increases.</w:t>
      </w:r>
    </w:p>
    <w:p>
      <w:pPr>
        <w:numPr>
          <w:ilvl w:val="0"/>
          <w:numId w:val="1049"/>
        </w:numPr>
        <w:pStyle w:val="Compact"/>
      </w:pPr>
      <w:r>
        <w:rPr>
          <w:bCs/>
          <w:b/>
        </w:rPr>
        <w:t xml:space="preserve">Day-neutral plants</w:t>
      </w:r>
      <w:r>
        <w:t xml:space="preserve"> </w:t>
      </w:r>
      <w:r>
        <w:t xml:space="preserve">— flowering is not significantly controlled by photoperiod, instead typically triggered primarily by plant age/developmental stage or other environmental factors (such as temperature, connecting to vernalization, Topic 42) rather than day length specifically.</w:t>
      </w:r>
    </w:p>
    <w:p>
      <w:pPr>
        <w:pStyle w:val="FirstParagraph"/>
      </w:pPr>
      <w:r>
        <w:rPr>
          <w:bCs/>
          <w:b/>
        </w:rPr>
        <w:t xml:space="preserve">The physiological mechanism: phytochrome.</w:t>
      </w:r>
      <w:r>
        <w:t xml:space="preserve"> </w:t>
      </w:r>
      <w:r>
        <w:t xml:space="preserve">Photoperiodic response is mediated primarily by a specialised plant photoreceptor pigment called phytochrome, which exists in two interconvertible forms with different light-absorption properties, allowing the plant to effectively measure and respond to both light presence/quality and, critically, the duration of uninterrupted darkness — phytochrome’s role in measuring darkness duration (rather than simply day length) explains a classic experimental finding in photoperiodism research: briefly interrupting a long night period with even a short pulse of light can prevent short-day plant flowering (by disrupting the required uninterrupted dark period), while a comparable brief dark interruption during an otherwise long day period generally does not similarly disrupt long-day plant flowering, confirming that uninterrupted night length, not day length, is the physiologically critical measured variable.</w:t>
      </w:r>
    </w:p>
    <w:p>
      <w:pPr>
        <w:pStyle w:val="BodyText"/>
      </w:pPr>
      <w:r>
        <w:rPr>
          <w:bCs/>
          <w:b/>
        </w:rPr>
        <w:t xml:space="preserve">Agricultural and horticultural significance.</w:t>
      </w:r>
      <w:r>
        <w:t xml:space="preserve"> </w:t>
      </w:r>
      <w:r>
        <w:t xml:space="preserve">Photoperiodism has substantial practical significance for agriculture (connecting directly to crop growth and climate topics discussed in the Agriculture &amp; Forestry subject) — understanding a given crop variety’s photoperiodic flowering requirements is essential for successful cultivation at a given latitude and planting date (since planting a strongly photoperiod-sensitive variety at an inappropriate latitude or season can result in failure to flower, or flowering at an agriculturally unfavourable time), and photoperiod manipulation (through supplemental or interrupted artificial lighting) is commercially used in some horticultural and floriculture production (Topic 20 in the Agriculture &amp; Forestry subject) to control flowering timing for market timing purposes, such as producing flowering ornamental plants for specific calendar occasions regardless of natural season.</w:t>
      </w:r>
    </w:p>
    <w:p>
      <w:pPr>
        <w:pStyle w:val="BodyText"/>
      </w:pPr>
      <w:r>
        <w:rPr>
          <w:bCs/>
          <w:b/>
        </w:rPr>
        <w:t xml:space="preserve">Key Takeaways</w:t>
      </w:r>
    </w:p>
    <w:p>
      <w:pPr>
        <w:numPr>
          <w:ilvl w:val="0"/>
          <w:numId w:val="1050"/>
        </w:numPr>
        <w:pStyle w:val="Compact"/>
      </w:pPr>
      <w:r>
        <w:t xml:space="preserve">Photoperiodism is plants’ flowering response to day/night length, categorising species as short-day, long-day, or day-neutral plants.</w:t>
      </w:r>
    </w:p>
    <w:p>
      <w:pPr>
        <w:numPr>
          <w:ilvl w:val="0"/>
          <w:numId w:val="1050"/>
        </w:numPr>
        <w:pStyle w:val="Compact"/>
      </w:pPr>
      <w:r>
        <w:t xml:space="preserve">The mechanism is mediated by phytochrome, which actually measures uninterrupted darkness duration rather than day length directly, as demonstrated by classic light-interruption experiments.</w:t>
      </w:r>
    </w:p>
    <w:p>
      <w:pPr>
        <w:numPr>
          <w:ilvl w:val="0"/>
          <w:numId w:val="1050"/>
        </w:numPr>
        <w:pStyle w:val="Compact"/>
      </w:pPr>
      <w:r>
        <w:t xml:space="preserve">Understanding crop photoperiodic requirements is essential for successful cultivation timing at a given latitude, and photoperiod manipulation is commercially used in floriculture to control flowering timing for market purposes.</w:t>
      </w:r>
    </w:p>
    <w:bookmarkEnd w:id="64"/>
    <w:bookmarkStart w:id="65" w:name="vernalization"/>
    <w:p>
      <w:pPr>
        <w:pStyle w:val="Heading3"/>
      </w:pPr>
      <w:r>
        <w:t xml:space="preserve">42. Vernalization</w:t>
      </w:r>
    </w:p>
    <w:p>
      <w:pPr>
        <w:pStyle w:val="FirstParagraph"/>
      </w:pPr>
      <w:r>
        <w:t xml:space="preserve">Vernalization is the physiological requirement, in certain plant species and varieties, for exposure to a sustained period of cold temperature before the plant becomes capable of subsequently flowering — a distinct environmental cue from the photoperiodic day-length response discussed in Topic 41, though the two mechanisms often interact in determining a given plant’s overall flowering timing.</w:t>
      </w:r>
    </w:p>
    <w:p>
      <w:pPr>
        <w:pStyle w:val="BodyText"/>
      </w:pPr>
      <w:r>
        <w:rPr>
          <w:bCs/>
          <w:b/>
        </w:rPr>
        <w:t xml:space="preserve">Biological rationale.</w:t>
      </w:r>
      <w:r>
        <w:t xml:space="preserve"> </w:t>
      </w:r>
      <w:r>
        <w:t xml:space="preserve">Vernalization requirement represents an evolved mechanism ensuring that certain plants — particularly those adapted to temperate climates with cold winters — do not flower prematurely in autumn immediately after germinating from seed shed by the previous season’s parent plant, but instead delay flowering until after passing through winter, ensuring flowering and subsequent seed production occurs during the following spring/summer growing season when conditions are favourable for successful seed development and dispersal, rather than flowering shortly before winter conditions would kill any resulting vulnerable seedlings or prevent successful seed maturation.</w:t>
      </w:r>
    </w:p>
    <w:p>
      <w:pPr>
        <w:pStyle w:val="BodyText"/>
      </w:pPr>
      <w:r>
        <w:rPr>
          <w:bCs/>
          <w:b/>
        </w:rPr>
        <w:t xml:space="preserve">Winter versus spring crop varieties — direct agricultural relevance.</w:t>
      </w:r>
      <w:r>
        <w:t xml:space="preserve"> </w:t>
      </w:r>
      <w:r>
        <w:t xml:space="preserve">This physiological distinction underlies a practically important agricultural crop classification, directly relevant to wheat (a crop of major significance discussed extensively in the Agriculture &amp; Forestry subject):</w:t>
      </w:r>
      <w:r>
        <w:t xml:space="preserve"> </w:t>
      </w:r>
      <w:r>
        <w:rPr>
          <w:bCs/>
          <w:b/>
        </w:rPr>
        <w:t xml:space="preserve">winter wheat varieties</w:t>
      </w:r>
      <w:r>
        <w:t xml:space="preserve"> </w:t>
      </w:r>
      <w:r>
        <w:t xml:space="preserve">have a vernalization requirement, meaning they must be planted in autumn, allowing the young plant to experience winter cold before subsequently flowering and completing its life cycle the following summer;</w:t>
      </w:r>
      <w:r>
        <w:t xml:space="preserve"> </w:t>
      </w:r>
      <w:r>
        <w:rPr>
          <w:bCs/>
          <w:b/>
        </w:rPr>
        <w:t xml:space="preserve">spring wheat varieties</w:t>
      </w:r>
      <w:r>
        <w:t xml:space="preserve"> </w:t>
      </w:r>
      <w:r>
        <w:t xml:space="preserve">lack this vernalization requirement (or have a much reduced requirement), allowing them to be planted in spring and complete their full life cycle, including flowering, within a single growing season without requiring prior cold exposure — the choice between winter and spring wheat varieties in a given agricultural region depends directly on that region’s specific climate pattern (winter wheat requiring a sufficiently cold winter, but not so severe as to kill the young plant before or during vernalization; spring wheat suited to regions with either insufficiently cold winters for reliable vernalization or where a single growing season constraint makes autumn planting impractical).</w:t>
      </w:r>
    </w:p>
    <w:p>
      <w:pPr>
        <w:pStyle w:val="BodyText"/>
      </w:pPr>
      <w:r>
        <w:rPr>
          <w:bCs/>
          <w:b/>
        </w:rPr>
        <w:t xml:space="preserve">Physiological mechanism.</w:t>
      </w:r>
      <w:r>
        <w:t xml:space="preserve"> </w:t>
      </w:r>
      <w:r>
        <w:t xml:space="preserve">Sustained cold exposure is understood to induce specific epigenetic changes (heritable changes in gene expression that do not involve alteration of the underlying DNA sequence itself) that effectively</w:t>
      </w:r>
      <w:r>
        <w:t xml:space="preserve"> </w:t>
      </w:r>
      <w:r>
        <w:t xml:space="preserve">“</w:t>
      </w:r>
      <w:r>
        <w:t xml:space="preserve">reset</w:t>
      </w:r>
      <w:r>
        <w:t xml:space="preserve">”</w:t>
      </w:r>
      <w:r>
        <w:t xml:space="preserve"> </w:t>
      </w:r>
      <w:r>
        <w:t xml:space="preserve">or remove a repressive block on flowering-promoting genes, allowing subsequent flowering once other necessary conditions (often including an appropriate photoperiodic signal, Topic 41) are also met — meaning vernalization and photoperiodism frequently interact, with a plant sometimes requiring both prior cold exposure and a subsequent appropriate day-length signal before flowering will actually occur, illustrating how plants often integrate multiple independent environmental cues to precisely time reproductive development to genuinely favourable conditions.</w:t>
      </w:r>
    </w:p>
    <w:p>
      <w:pPr>
        <w:pStyle w:val="BodyText"/>
      </w:pPr>
      <w:r>
        <w:rPr>
          <w:bCs/>
          <w:b/>
        </w:rPr>
        <w:t xml:space="preserve">Key Takeaways</w:t>
      </w:r>
    </w:p>
    <w:p>
      <w:pPr>
        <w:numPr>
          <w:ilvl w:val="0"/>
          <w:numId w:val="1051"/>
        </w:numPr>
        <w:pStyle w:val="Compact"/>
      </w:pPr>
      <w:r>
        <w:t xml:space="preserve">Vernalization is the requirement for sustained cold exposure before flowering becomes possible, an adaptation ensuring temperate-climate plants flower in spring/summer rather than prematurely before winter.</w:t>
      </w:r>
    </w:p>
    <w:p>
      <w:pPr>
        <w:numPr>
          <w:ilvl w:val="0"/>
          <w:numId w:val="1051"/>
        </w:numPr>
        <w:pStyle w:val="Compact"/>
      </w:pPr>
      <w:r>
        <w:t xml:space="preserve">This distinction directly underlies the winter versus spring wheat variety classification, with the choice between them depending on a given region’s specific winter climate conditions.</w:t>
      </w:r>
    </w:p>
    <w:p>
      <w:pPr>
        <w:numPr>
          <w:ilvl w:val="0"/>
          <w:numId w:val="1051"/>
        </w:numPr>
        <w:pStyle w:val="Compact"/>
      </w:pPr>
      <w:r>
        <w:t xml:space="preserve">Vernalization operates through epigenetic mechanisms and frequently interacts with photoperiodism (Topic 41), with some plants requiring both prior cold exposure and a subsequent appropriate day-length signal before flowering occurs.</w:t>
      </w:r>
    </w:p>
    <w:bookmarkEnd w:id="65"/>
    <w:bookmarkStart w:id="66" w:name="seed-dormancy-and-germination"/>
    <w:p>
      <w:pPr>
        <w:pStyle w:val="Heading3"/>
      </w:pPr>
      <w:r>
        <w:t xml:space="preserve">43. Seed Dormancy and Germination</w:t>
      </w:r>
    </w:p>
    <w:p>
      <w:pPr>
        <w:pStyle w:val="FirstParagraph"/>
      </w:pPr>
      <w:r>
        <w:t xml:space="preserve">Seed dormancy and germination represent, respectively, the seed’s resting/survival state and its transition to active growth, together governing when and whether a seed’s embryo (established in Topics 17 and 27) actually develops into a growing seedling.</w:t>
      </w:r>
    </w:p>
    <w:p>
      <w:pPr>
        <w:pStyle w:val="BodyText"/>
      </w:pPr>
      <w:r>
        <w:rPr>
          <w:bCs/>
          <w:b/>
        </w:rPr>
        <w:t xml:space="preserve">Seed dormancy.</w:t>
      </w:r>
      <w:r>
        <w:t xml:space="preserve"> </w:t>
      </w:r>
      <w:r>
        <w:t xml:space="preserve">Dormancy is a physiological state in which a viable seed, even under otherwise seemingly favourable environmental conditions (adequate water, oxygen, and appropriate temperature), fails to germinate, due to some internal physiological block preventing germination until specific additional conditions are met — dormancy represents an evolved mechanism preventing premature germination at an inappropriate time (such as immediately after seed dispersal in autumn, before winter, echoing the vernalization rationale discussed in Topic 42) or in circumstances where germination would likely fail to produce a successfully established seedling.</w:t>
      </w:r>
    </w:p>
    <w:p>
      <w:pPr>
        <w:pStyle w:val="BodyText"/>
      </w:pPr>
      <w:r>
        <w:rPr>
          <w:bCs/>
          <w:b/>
        </w:rPr>
        <w:t xml:space="preserve">Mechanisms and types of dormancy.</w:t>
      </w:r>
      <w:r>
        <w:t xml:space="preserve"> </w:t>
      </w:r>
      <w:r>
        <w:t xml:space="preserve">These include</w:t>
      </w:r>
      <w:r>
        <w:t xml:space="preserve"> </w:t>
      </w:r>
      <w:r>
        <w:rPr>
          <w:bCs/>
          <w:b/>
        </w:rPr>
        <w:t xml:space="preserve">physical dormancy</w:t>
      </w:r>
      <w:r>
        <w:t xml:space="preserve"> </w:t>
      </w:r>
      <w:r>
        <w:t xml:space="preserve">(an impermeable or mechanically restrictive seed coat physically preventing water or oxygen from reaching the embryo, or physically preventing the embryo from expanding, until the seed coat is sufficiently weakened, whether through natural weathering, microbial action, passage through an animal digestive tract, connecting to the seed dispersal discussion in Topic 28, or, in agricultural seed treatment, deliberate mechanical or chemical scarification);</w:t>
      </w:r>
      <w:r>
        <w:t xml:space="preserve"> </w:t>
      </w:r>
      <w:r>
        <w:rPr>
          <w:bCs/>
          <w:b/>
        </w:rPr>
        <w:t xml:space="preserve">physiological dormancy</w:t>
      </w:r>
      <w:r>
        <w:t xml:space="preserve"> </w:t>
      </w:r>
      <w:r>
        <w:t xml:space="preserve">(an internal biochemical block, often involving the hormone abscisic acid discussed in Topic 40, actively suppressing germination-promoting processes until specific environmental cues, such as sufficient cold exposure or a specific light exposure, trigger the hormonal and biochemical changes — often involving a shift in the balance between abscisic acid and germination-promoting gibberellins — that release the seed from dormancy); and</w:t>
      </w:r>
      <w:r>
        <w:t xml:space="preserve"> </w:t>
      </w:r>
      <w:r>
        <w:rPr>
          <w:bCs/>
          <w:b/>
        </w:rPr>
        <w:t xml:space="preserve">combined dormancy</w:t>
      </w:r>
      <w:r>
        <w:t xml:space="preserve"> </w:t>
      </w:r>
      <w:r>
        <w:t xml:space="preserve">(some seeds exhibit both physical and physiological dormancy mechanisms simultaneously, requiring both conditions to be satisfied before germination can proceed).</w:t>
      </w:r>
    </w:p>
    <w:p>
      <w:pPr>
        <w:pStyle w:val="BodyText"/>
      </w:pPr>
      <w:r>
        <w:rPr>
          <w:bCs/>
          <w:b/>
        </w:rPr>
        <w:t xml:space="preserve">The germination process itself.</w:t>
      </w:r>
      <w:r>
        <w:t xml:space="preserve"> </w:t>
      </w:r>
      <w:r>
        <w:t xml:space="preserve">Once dormancy (if present) has been overcome and environmental conditions are favourable (adequate water availability, appropriate temperature, adequate oxygen for aerobic respiration, Topics 48–50), germination proceeds through water imbibition (the seed absorbing water, causing it to swell and triggering the metabolic reactivation of the previously dormant/quiescent embryo), activation of stored food reserve mobilisation (enzymes — connecting to Topic 44 — break down stored starch, protein, and lipid reserves in the endosperm or cotyledons, established in Topic 27, providing the energy and building blocks for initial embryo growth before the young seedling becomes photosynthetically self-sufficient), and emergence of the radicle (embryonic root, typically the first structure to emerge) followed by the embryonic shoot.</w:t>
      </w:r>
    </w:p>
    <w:p>
      <w:pPr>
        <w:pStyle w:val="BodyText"/>
      </w:pPr>
      <w:r>
        <w:rPr>
          <w:bCs/>
          <w:b/>
        </w:rPr>
        <w:t xml:space="preserve">Agricultural relevance.</w:t>
      </w:r>
      <w:r>
        <w:t xml:space="preserve"> </w:t>
      </w:r>
      <w:r>
        <w:t xml:space="preserve">Understanding seed dormancy and germination requirements directly underlies practical seed technology and crop management (connecting extensively to the Agriculture &amp; Forestry subject’s seed technology discussion, Topic 18 there) — including determining appropriate seed storage conditions (which must generally maintain dormancy and viability until planting), pre-planting seed treatments (such as scarification or cold stratification, deliberately applied to break natural dormancy mechanisms and achieve more rapid, uniform germination for agricultural planting purposes than would occur under purely natural conditions), and predicting and managing weed seed germination timing in agricultural fields.</w:t>
      </w:r>
    </w:p>
    <w:p>
      <w:pPr>
        <w:pStyle w:val="BodyText"/>
      </w:pPr>
      <w:r>
        <w:rPr>
          <w:bCs/>
          <w:b/>
        </w:rPr>
        <w:t xml:space="preserve">Key Takeaways</w:t>
      </w:r>
    </w:p>
    <w:p>
      <w:pPr>
        <w:numPr>
          <w:ilvl w:val="0"/>
          <w:numId w:val="1052"/>
        </w:numPr>
        <w:pStyle w:val="Compact"/>
      </w:pPr>
      <w:r>
        <w:t xml:space="preserve">Seed dormancy is a physiological state preventing germination even under otherwise favourable conditions, serving as an evolved mechanism against premature germination, achieved through physical (seed coat) or physiological (hormonal, often abscisic acid-mediated) mechanisms.</w:t>
      </w:r>
    </w:p>
    <w:p>
      <w:pPr>
        <w:numPr>
          <w:ilvl w:val="0"/>
          <w:numId w:val="1052"/>
        </w:numPr>
        <w:pStyle w:val="Compact"/>
      </w:pPr>
      <w:r>
        <w:t xml:space="preserve">Germination, once dormancy is overcome and conditions are favourable, proceeds through water imbibition, mobilisation of stored food reserves via enzyme activation, and radicle/shoot emergence.</w:t>
      </w:r>
    </w:p>
    <w:p>
      <w:pPr>
        <w:numPr>
          <w:ilvl w:val="0"/>
          <w:numId w:val="1052"/>
        </w:numPr>
        <w:pStyle w:val="Compact"/>
      </w:pPr>
      <w:r>
        <w:t xml:space="preserve">Understanding dormancy and germination requirements directly underlies practical seed storage, pre-planting treatment (scarification, cold stratification), and weed management practices in agriculture.</w:t>
      </w:r>
    </w:p>
    <w:bookmarkEnd w:id="66"/>
    <w:bookmarkStart w:id="67" w:name="enzymes-in-plants"/>
    <w:p>
      <w:pPr>
        <w:pStyle w:val="Heading3"/>
      </w:pPr>
      <w:r>
        <w:t xml:space="preserve">44. Enzymes in Plants</w:t>
      </w:r>
    </w:p>
    <w:p>
      <w:pPr>
        <w:pStyle w:val="FirstParagraph"/>
      </w:pPr>
      <w:r>
        <w:t xml:space="preserve">Enzymes are biological catalysts — proteins (in most cases) that dramatically accelerate the rate of specific biochemical reactions without being consumed or permanently altered themselves in the process — and are essential to virtually every metabolic process addressed throughout this Plant Physiology section, from germination (Topic 43) through photosynthesis (Topics 45–47) and respiration (Topics 48–50).</w:t>
      </w:r>
    </w:p>
    <w:p>
      <w:pPr>
        <w:pStyle w:val="BodyText"/>
      </w:pPr>
      <w:r>
        <w:rPr>
          <w:bCs/>
          <w:b/>
        </w:rPr>
        <w:t xml:space="preserve">Basic enzyme function.</w:t>
      </w:r>
      <w:r>
        <w:t xml:space="preserve"> </w:t>
      </w:r>
      <w:r>
        <w:t xml:space="preserve">Each enzyme catalyses a specific biochemical reaction (or a narrow range of closely related reactions) by binding to a specific reactant molecule (the substrate) at a precisely shaped region called the active site, lowering the activation energy required for the reaction to proceed (activation energy being the initial energy input a reaction requires to begin, even if the overall reaction ultimately releases more energy than it consumes) — by lowering this activation energy barrier, enzymes allow biochemical reactions essential to life to proceed at biologically useful rates under the relatively mild temperature and chemical conditions found within living plant cells, rates that would otherwise be far too slow to sustain life without enzymatic catalysis.</w:t>
      </w:r>
    </w:p>
    <w:p>
      <w:pPr>
        <w:pStyle w:val="BodyText"/>
      </w:pPr>
      <w:r>
        <w:rPr>
          <w:bCs/>
          <w:b/>
        </w:rPr>
        <w:t xml:space="preserve">Factors affecting enzyme activity.</w:t>
      </w:r>
      <w:r>
        <w:t xml:space="preserve"> </w:t>
      </w:r>
      <w:r>
        <w:rPr>
          <w:bCs/>
          <w:b/>
        </w:rPr>
        <w:t xml:space="preserve">Temperature</w:t>
      </w:r>
      <w:r>
        <w:t xml:space="preserve"> </w:t>
      </w:r>
      <w:r>
        <w:t xml:space="preserve">— enzyme activity generally increases with rising temperature up to an optimal point (since molecular motion and reaction rates generally increase with temperature), but activity then rapidly declines beyond this optimum as excessive heat causes denaturation (a structural change disrupting the enzyme’s precise three-dimensional shape, and therefore its functional active site, generally an irreversible loss of function) — directly explaining why extreme heat stress can severely disrupt plant metabolic function, connecting to the temperature effects on crop growth discussed in the Agriculture &amp; Forestry subject.</w:t>
      </w:r>
      <w:r>
        <w:t xml:space="preserve"> </w:t>
      </w:r>
      <w:r>
        <w:rPr>
          <w:bCs/>
          <w:b/>
        </w:rPr>
        <w:t xml:space="preserve">pH</w:t>
      </w:r>
      <w:r>
        <w:t xml:space="preserve"> </w:t>
      </w:r>
      <w:r>
        <w:t xml:space="preserve">— each enzyme has a specific optimal pH range (reflecting the specific chemical environment its active site requires for proper function), with activity declining, and eventually denaturation occurring, at pH levels significantly outside this optimal range.</w:t>
      </w:r>
      <w:r>
        <w:t xml:space="preserve"> </w:t>
      </w:r>
      <w:r>
        <w:rPr>
          <w:bCs/>
          <w:b/>
        </w:rPr>
        <w:t xml:space="preserve">Substrate concentration</w:t>
      </w:r>
      <w:r>
        <w:t xml:space="preserve"> </w:t>
      </w:r>
      <w:r>
        <w:t xml:space="preserve">— enzyme reaction rate generally increases with increasing substrate concentration up to a saturation point, beyond which all available enzyme active sites are continuously occupied, and further substrate concentration increase no longer increases reaction rate.</w:t>
      </w:r>
      <w:r>
        <w:t xml:space="preserve"> </w:t>
      </w:r>
      <w:r>
        <w:rPr>
          <w:bCs/>
          <w:b/>
        </w:rPr>
        <w:t xml:space="preserve">Enzyme concentration and inhibitors</w:t>
      </w:r>
      <w:r>
        <w:t xml:space="preserve"> </w:t>
      </w:r>
      <w:r>
        <w:t xml:space="preserve">— reaction rate generally increases with increasing enzyme concentration (given adequate substrate availability), while specific inhibitor molecules can bind to an enzyme (either at the active site directly, competing with the normal substrate, or at another location on the enzyme, altering its shape and function) to reduce or block its catalytic activity, a mechanism of both natural metabolic regulatory significance and practical relevance to certain herbicide and pesticide modes of action, which often work by specifically inhibiting an enzyme essential to a target pest or weed species’ metabolism.</w:t>
      </w:r>
    </w:p>
    <w:p>
      <w:pPr>
        <w:pStyle w:val="BodyText"/>
      </w:pPr>
      <w:r>
        <w:rPr>
          <w:bCs/>
          <w:b/>
        </w:rPr>
        <w:t xml:space="preserve">Practical and physiological significance.</w:t>
      </w:r>
      <w:r>
        <w:t xml:space="preserve"> </w:t>
      </w:r>
      <w:r>
        <w:t xml:space="preserve">Enzyme function directly explains numerous topics addressed throughout this subject: the temperature sensitivity of germination (Topic 43) and overall plant metabolic rate; the specific biochemical steps of photosynthesis (Topics 45–47) and respiration (Topics 48–50), each step catalysed by a specific enzyme; and the practical agricultural relevance of understanding how temperature stress, certain pesticide/herbicide modes of action, and other factors affect crop plant metabolic function through their direct effects on essential enzyme activity.</w:t>
      </w:r>
    </w:p>
    <w:p>
      <w:pPr>
        <w:pStyle w:val="BodyText"/>
      </w:pPr>
      <w:r>
        <w:rPr>
          <w:bCs/>
          <w:b/>
        </w:rPr>
        <w:t xml:space="preserve">Key Takeaways</w:t>
      </w:r>
    </w:p>
    <w:p>
      <w:pPr>
        <w:numPr>
          <w:ilvl w:val="0"/>
          <w:numId w:val="1053"/>
        </w:numPr>
        <w:pStyle w:val="Compact"/>
      </w:pPr>
      <w:r>
        <w:t xml:space="preserve">Enzymes are biological catalysts that lower activation energy, enabling essential biochemical reactions to proceed at biologically useful rates within living cells.</w:t>
      </w:r>
    </w:p>
    <w:p>
      <w:pPr>
        <w:numPr>
          <w:ilvl w:val="0"/>
          <w:numId w:val="1053"/>
        </w:numPr>
        <w:pStyle w:val="Compact"/>
      </w:pPr>
      <w:r>
        <w:t xml:space="preserve">Enzyme activity is affected by temperature (with an optimum beyond which denaturation occurs), pH (each enzyme having a specific optimal range), substrate concentration (with saturation beyond a certain point), and inhibitor molecules.</w:t>
      </w:r>
    </w:p>
    <w:p>
      <w:pPr>
        <w:numPr>
          <w:ilvl w:val="0"/>
          <w:numId w:val="1053"/>
        </w:numPr>
        <w:pStyle w:val="Compact"/>
      </w:pPr>
      <w:r>
        <w:t xml:space="preserve">Enzyme function underlies virtually every metabolic process in this subject’s physiology topics, including germination, photosynthesis, and respiration, and explains both temperature stress effects on crops and certain herbicide/pesticide modes of action.</w:t>
      </w:r>
    </w:p>
    <w:bookmarkEnd w:id="67"/>
    <w:bookmarkStart w:id="68" w:name="X2d9edf7168feac53272ae576088a9e029a0d65a"/>
    <w:p>
      <w:pPr>
        <w:pStyle w:val="Heading3"/>
      </w:pPr>
      <w:r>
        <w:t xml:space="preserve">45. Photosynthetic Pigments and Light Reactions</w:t>
      </w:r>
    </w:p>
    <w:p>
      <w:pPr>
        <w:pStyle w:val="FirstParagraph"/>
      </w:pPr>
      <w:r>
        <w:t xml:space="preserve">Photosynthesis — the fundamental process by which plants convert light energy into chemical energy stored in organic molecules — begins with the light-dependent reactions, which capture light energy using specialised photosynthetic pigments and convert it into forms of chemical energy that subsequently power the carbon dioxide fixation reactions discussed in Topic 46.</w:t>
      </w:r>
    </w:p>
    <w:p>
      <w:pPr>
        <w:pStyle w:val="BodyText"/>
      </w:pPr>
      <w:r>
        <w:rPr>
          <w:bCs/>
          <w:b/>
        </w:rPr>
        <w:t xml:space="preserve">Photosynthetic pigments.</w:t>
      </w:r>
      <w:r>
        <w:t xml:space="preserve"> </w:t>
      </w:r>
      <w:r>
        <w:rPr>
          <w:bCs/>
          <w:b/>
        </w:rPr>
        <w:t xml:space="preserve">Chlorophyll a</w:t>
      </w:r>
      <w:r>
        <w:t xml:space="preserve"> </w:t>
      </w:r>
      <w:r>
        <w:t xml:space="preserve">is the primary photosynthetic pigment in virtually all photosynthetic plants and algae, directly participating in the light reactions’ core energy conversion chemistry;</w:t>
      </w:r>
      <w:r>
        <w:t xml:space="preserve"> </w:t>
      </w:r>
      <w:r>
        <w:rPr>
          <w:bCs/>
          <w:b/>
        </w:rPr>
        <w:t xml:space="preserve">chlorophyll b</w:t>
      </w:r>
      <w:r>
        <w:t xml:space="preserve"> </w:t>
      </w:r>
      <w:r>
        <w:t xml:space="preserve">and various</w:t>
      </w:r>
      <w:r>
        <w:t xml:space="preserve"> </w:t>
      </w:r>
      <w:r>
        <w:rPr>
          <w:bCs/>
          <w:b/>
        </w:rPr>
        <w:t xml:space="preserve">accessory pigments</w:t>
      </w:r>
      <w:r>
        <w:t xml:space="preserve"> </w:t>
      </w:r>
      <w:r>
        <w:t xml:space="preserve">(including carotenoids, which also provide photoprotective function by absorbing and safely dissipating excess light energy that could otherwise damage photosynthetic machinery, and are responsible for the yellow/orange colours revealed in autumn leaves as chlorophyll breaks down and these more stable accessory pigments become visible) absorb light at wavelengths chlorophyll a absorbs less efficiently, then transfer this captured light energy to chlorophyll a, effectively broadening the overall range of light wavelengths a plant can productively use for photosynthesis beyond what chlorophyll a alone could capture.</w:t>
      </w:r>
    </w:p>
    <w:p>
      <w:pPr>
        <w:pStyle w:val="BodyText"/>
      </w:pPr>
      <w:r>
        <w:rPr>
          <w:bCs/>
          <w:b/>
        </w:rPr>
        <w:t xml:space="preserve">Location: the chloroplast and thylakoid membrane.</w:t>
      </w:r>
      <w:r>
        <w:t xml:space="preserve"> </w:t>
      </w:r>
      <w:r>
        <w:t xml:space="preserve">Photosynthetic pigments are organised, along with associated proteins, into specialised structures called photosystems, embedded within the thylakoid membrane inside chloroplasts (the specialised plant cell organelle where photosynthesis occurs) — this precise physical organisation of pigments and associated electron transport proteins within the thylakoid membrane is essential to the light reactions’ specific mechanism.</w:t>
      </w:r>
    </w:p>
    <w:p>
      <w:pPr>
        <w:pStyle w:val="BodyText"/>
      </w:pPr>
      <w:r>
        <w:rPr>
          <w:bCs/>
          <w:b/>
        </w:rPr>
        <w:t xml:space="preserve">The light reactions process.</w:t>
      </w:r>
      <w:r>
        <w:t xml:space="preserve"> </w:t>
      </w:r>
      <w:r>
        <w:t xml:space="preserve">When a photosystem’s pigments absorb light energy, this energy is used to eject high-energy electrons from chlorophyll molecules at the photosystem’s reaction centre; these high-energy electrons then pass through a series of membrane-embedded electron transport proteins (an</w:t>
      </w:r>
      <w:r>
        <w:t xml:space="preserve"> </w:t>
      </w:r>
      <w:r>
        <w:t xml:space="preserve">“</w:t>
      </w:r>
      <w:r>
        <w:t xml:space="preserve">electron transport chain,</w:t>
      </w:r>
      <w:r>
        <w:t xml:space="preserve">”</w:t>
      </w:r>
      <w:r>
        <w:t xml:space="preserve"> </w:t>
      </w:r>
      <w:r>
        <w:t xml:space="preserve">directly analogous in underlying principle to the electron transport chain discussed later in relation to respiration, Topic 50), with the energy released as electrons pass through this chain used to actively pump hydrogen ions (protons) across the thylakoid membrane, establishing a concentration gradient subsequently used to generate ATP (through a process called photophosphorylation, examined in more detail in Topic 47) — while the light reactions also generate NADPH (a high-energy electron-carrying molecule) and, through a process called photolysis, split water molecules to replace the electrons lost from chlorophyll, releasing oxygen gas as a by-product (the source of virtually all atmospheric oxygen, representing photosynthesis’s fundamental global ecological significance beyond its role in individual plant energy capture).</w:t>
      </w:r>
    </w:p>
    <w:p>
      <w:pPr>
        <w:pStyle w:val="BodyText"/>
      </w:pPr>
      <w:r>
        <w:rPr>
          <w:bCs/>
          <w:b/>
        </w:rPr>
        <w:t xml:space="preserve">Outputs feeding into subsequent photosynthetic stages.</w:t>
      </w:r>
      <w:r>
        <w:t xml:space="preserve"> </w:t>
      </w:r>
      <w:r>
        <w:t xml:space="preserve">The light reactions’ two key chemical energy products — ATP and NADPH — are then used to power the carbon dioxide fixation reactions discussed in Topic 46, which do not themselves directly require light but depend entirely on these light-reaction-generated energy carriers, explaining why the traditional distinction between</w:t>
      </w:r>
      <w:r>
        <w:t xml:space="preserve"> </w:t>
      </w:r>
      <w:r>
        <w:t xml:space="preserve">“</w:t>
      </w:r>
      <w:r>
        <w:t xml:space="preserve">light reactions</w:t>
      </w:r>
      <w:r>
        <w:t xml:space="preserve">”</w:t>
      </w:r>
      <w:r>
        <w:t xml:space="preserve"> </w:t>
      </w:r>
      <w:r>
        <w:t xml:space="preserve">and</w:t>
      </w:r>
      <w:r>
        <w:t xml:space="preserve"> </w:t>
      </w:r>
      <w:r>
        <w:t xml:space="preserve">“</w:t>
      </w:r>
      <w:r>
        <w:t xml:space="preserve">light-independent</w:t>
      </w:r>
      <w:r>
        <w:t xml:space="preserve">”</w:t>
      </w:r>
      <w:r>
        <w:t xml:space="preserve"> </w:t>
      </w:r>
      <w:r>
        <w:t xml:space="preserve">(or</w:t>
      </w:r>
      <w:r>
        <w:t xml:space="preserve"> </w:t>
      </w:r>
      <w:r>
        <w:t xml:space="preserve">“</w:t>
      </w:r>
      <w:r>
        <w:t xml:space="preserve">dark</w:t>
      </w:r>
      <w:r>
        <w:t xml:space="preserve">”</w:t>
      </w:r>
      <w:r>
        <w:t xml:space="preserve">) reactions can be somewhat misleading — the carbon fixation reactions still fundamentally depend on light, just indirectly, through their absolute requirement for the ATP and NADPH the light reactions generate.</w:t>
      </w:r>
    </w:p>
    <w:p>
      <w:pPr>
        <w:pStyle w:val="BodyText"/>
      </w:pPr>
      <w:r>
        <w:rPr>
          <w:bCs/>
          <w:b/>
        </w:rPr>
        <w:t xml:space="preserve">Key Takeaways</w:t>
      </w:r>
    </w:p>
    <w:p>
      <w:pPr>
        <w:numPr>
          <w:ilvl w:val="0"/>
          <w:numId w:val="1054"/>
        </w:numPr>
        <w:pStyle w:val="Compact"/>
      </w:pPr>
      <w:r>
        <w:t xml:space="preserve">Photosynthetic pigments (chlorophyll a as the primary pigment, plus chlorophyll b and carotenoid accessory pigments) capture light energy within thylakoid membrane photosystems inside chloroplasts.</w:t>
      </w:r>
    </w:p>
    <w:p>
      <w:pPr>
        <w:numPr>
          <w:ilvl w:val="0"/>
          <w:numId w:val="1054"/>
        </w:numPr>
        <w:pStyle w:val="Compact"/>
      </w:pPr>
      <w:r>
        <w:t xml:space="preserve">Light energy ejects high-energy electrons from chlorophyll, which pass through an electron transport chain generating a proton gradient (used for ATP production) and ultimately NADPH, while water splitting (photolysis) replaces lost electrons and releases oxygen gas.</w:t>
      </w:r>
    </w:p>
    <w:p>
      <w:pPr>
        <w:numPr>
          <w:ilvl w:val="0"/>
          <w:numId w:val="1054"/>
        </w:numPr>
        <w:pStyle w:val="Compact"/>
      </w:pPr>
      <w:r>
        <w:t xml:space="preserve">The light reactions’ ATP and NADPH products power the subsequent carbon fixation reactions (Topic 46), which do not directly require light but depend entirely on these light-reaction-generated energy carriers.</w:t>
      </w:r>
    </w:p>
    <w:bookmarkEnd w:id="68"/>
    <w:bookmarkStart w:id="69" w:name="carbon-dioxide-fixation"/>
    <w:p>
      <w:pPr>
        <w:pStyle w:val="Heading3"/>
      </w:pPr>
      <w:r>
        <w:t xml:space="preserve">46. Carbon Dioxide Fixation</w:t>
      </w:r>
    </w:p>
    <w:p>
      <w:pPr>
        <w:pStyle w:val="FirstParagraph"/>
      </w:pPr>
      <w:r>
        <w:t xml:space="preserve">Carbon dioxide fixation — the process by which atmospheric carbon dioxide is incorporated into organic (carbon-containing) molecules — represents photosynthesis’s second major stage, using the ATP and NADPH generated by the light reactions (Topic 45) to power the conversion of inorganic carbon dioxide into organic sugar molecules.</w:t>
      </w:r>
    </w:p>
    <w:p>
      <w:pPr>
        <w:pStyle w:val="BodyText"/>
      </w:pPr>
      <w:r>
        <w:rPr>
          <w:bCs/>
          <w:b/>
        </w:rPr>
        <w:t xml:space="preserve">The Calvin cycle (C3 pathway).</w:t>
      </w:r>
      <w:r>
        <w:t xml:space="preserve"> </w:t>
      </w:r>
      <w:r>
        <w:t xml:space="preserve">The most common carbon fixation pathway, found in the majority of plant species (called</w:t>
      </w:r>
      <w:r>
        <w:t xml:space="preserve"> </w:t>
      </w:r>
      <w:r>
        <w:t xml:space="preserve">“</w:t>
      </w:r>
      <w:r>
        <w:t xml:space="preserve">C3 plants</w:t>
      </w:r>
      <w:r>
        <w:t xml:space="preserve">”</w:t>
      </w:r>
      <w:r>
        <w:t xml:space="preserve"> </w:t>
      </w:r>
      <w:r>
        <w:t xml:space="preserve">since the first stable product of carbon fixation in this pathway is a three-carbon molecule), proceeds through a cyclical series of enzyme-catalysed reactions: carbon dioxide is first captured by combining with an existing five-carbon molecule (ribulose bisphosphate, RuBP) through the action of the enzyme RuBisCO (ribulose bisphosphate carboxylase/oxygenase — among the most abundant enzymes on Earth, given its essential role in this fundamental process occurring in virtually all plants); the resulting unstable six-carbon intermediate immediately splits into two three-carbon molecules, which are then, using the ATP and NADPH supplied by the light reactions, converted through further enzyme-catalysed steps into a stable three-carbon sugar (glyceraldehyde-3-phosphate) — some of which is exported from the chloroplast and used to build glucose and other organic molecules, while the remainder is used, through further ATP-dependent reactions, to regenerate the RuBP molecule needed to capture additional carbon dioxide, allowing the cycle to continue.</w:t>
      </w:r>
    </w:p>
    <w:p>
      <w:pPr>
        <w:pStyle w:val="BodyText"/>
      </w:pPr>
      <w:r>
        <w:rPr>
          <w:bCs/>
          <w:b/>
        </w:rPr>
        <w:t xml:space="preserve">Photorespiration — a significant efficiency limitation of the C3 pathway.</w:t>
      </w:r>
      <w:r>
        <w:t xml:space="preserve"> </w:t>
      </w:r>
      <w:r>
        <w:t xml:space="preserve">RuBisCO, the key carbon-fixing enzyme, is not perfectly selective for carbon dioxide — under conditions of high temperature and, particularly, when stomata are partially closed to conserve water (connecting directly to the transpiration-photosynthesis trade-off discussed in Topics 23 and 38), reducing internal carbon dioxide concentration relative to oxygen, RuBisCO can instead bind oxygen, initiating a wasteful process called photorespiration that consumes energy without producing useful sugar, actually releasing previously fixed carbon dioxide back to the atmosphere — representing a significant photosynthetic efficiency loss particularly under hot, dry conditions, directly relevant to crop productivity limitations in Pakistan’s often hot growing season conditions.</w:t>
      </w:r>
    </w:p>
    <w:p>
      <w:pPr>
        <w:pStyle w:val="BodyText"/>
      </w:pPr>
      <w:r>
        <w:rPr>
          <w:bCs/>
          <w:b/>
        </w:rPr>
        <w:t xml:space="preserve">Alternative carbon fixation pathways evolved to reduce photorespiration.</w:t>
      </w:r>
      <w:r>
        <w:t xml:space="preserve"> </w:t>
      </w:r>
      <w:r>
        <w:rPr>
          <w:bCs/>
          <w:b/>
        </w:rPr>
        <w:t xml:space="preserve">C4 plants</w:t>
      </w:r>
      <w:r>
        <w:t xml:space="preserve"> </w:t>
      </w:r>
      <w:r>
        <w:t xml:space="preserve">(including maize and sugarcane, both crops of major significance discussed in the Agriculture &amp; Forestry subject) have evolved a specialised leaf anatomy and biochemical pathway that concentrates carbon dioxide around RuBisCO before the standard Calvin cycle proceeds, substantially suppressing the wasteful photorespiration process and providing C4 plants with a meaningful photosynthetic efficiency advantage, particularly under hot, high-light, water-limited conditions — directly explaining why C4 crops like maize and sugarcane are often particularly well suited to hot climate agricultural conditions relative to C3 crops.</w:t>
      </w:r>
      <w:r>
        <w:t xml:space="preserve"> </w:t>
      </w:r>
      <w:r>
        <w:rPr>
          <w:bCs/>
          <w:b/>
        </w:rPr>
        <w:t xml:space="preserve">CAM (Crassulacean Acid Metabolism) plants</w:t>
      </w:r>
      <w:r>
        <w:t xml:space="preserve"> </w:t>
      </w:r>
      <w:r>
        <w:t xml:space="preserve">(including many succulent, drought-adapted species) take a different approach, opening their stomata primarily at night (when evaporative water loss is lower due to cooler temperatures and higher humidity) to take up and temporarily store carbon dioxide as an organic acid, then closing stomata during the day and using this stored carbon dioxide for the standard Calvin cycle without needing to keep stomata open during the hottest, most water-loss-prone daylight hours — representing an even more extreme water-conservation adaptation, particularly suited to very arid conditions.</w:t>
      </w:r>
    </w:p>
    <w:p>
      <w:pPr>
        <w:pStyle w:val="BodyText"/>
      </w:pPr>
      <w:r>
        <w:rPr>
          <w:bCs/>
          <w:b/>
        </w:rPr>
        <w:t xml:space="preserve">Key Takeaways</w:t>
      </w:r>
    </w:p>
    <w:p>
      <w:pPr>
        <w:numPr>
          <w:ilvl w:val="0"/>
          <w:numId w:val="1055"/>
        </w:numPr>
        <w:pStyle w:val="Compact"/>
      </w:pPr>
      <w:r>
        <w:t xml:space="preserve">The Calvin cycle (C3 pathway), the most common carbon fixation pathway, uses RuBisCO to fix carbon dioxide onto RuBP, ultimately producing sugar using the light reactions’ ATP and NADPH.</w:t>
      </w:r>
    </w:p>
    <w:p>
      <w:pPr>
        <w:numPr>
          <w:ilvl w:val="0"/>
          <w:numId w:val="1055"/>
        </w:numPr>
        <w:pStyle w:val="Compact"/>
      </w:pPr>
      <w:r>
        <w:t xml:space="preserve">Photorespiration, caused by RuBisCO’s imperfect selectivity for carbon dioxide over oxygen, represents a significant efficiency loss particularly under hot, dry conditions when stomata are partially closed.</w:t>
      </w:r>
    </w:p>
    <w:p>
      <w:pPr>
        <w:numPr>
          <w:ilvl w:val="0"/>
          <w:numId w:val="1055"/>
        </w:numPr>
        <w:pStyle w:val="Compact"/>
      </w:pPr>
      <w:r>
        <w:t xml:space="preserve">C4 plants (maize, sugarcane) and CAM plants (many succulents) have evolved alternative pathways that reduce photorespiration and improve water-use efficiency, explaining their particular suitability to hot or arid growing conditions.</w:t>
      </w:r>
    </w:p>
    <w:bookmarkEnd w:id="69"/>
    <w:bookmarkStart w:id="70" w:name="photophosphorylation"/>
    <w:p>
      <w:pPr>
        <w:pStyle w:val="Heading3"/>
      </w:pPr>
      <w:r>
        <w:t xml:space="preserve">47. Photophosphorylation</w:t>
      </w:r>
    </w:p>
    <w:p>
      <w:pPr>
        <w:pStyle w:val="FirstParagraph"/>
      </w:pPr>
      <w:r>
        <w:t xml:space="preserve">Photophosphorylation is the specific mechanism, introduced briefly in Topic 45, by which the light reactions of photosynthesis generate ATP — examining this process in more detail reveals a fundamental biochemical mechanism (chemiosmosis) shared, in underlying principle, with cellular respiration’s ATP generation mechanism discussed in Topic 50.</w:t>
      </w:r>
    </w:p>
    <w:p>
      <w:pPr>
        <w:pStyle w:val="BodyText"/>
      </w:pPr>
      <w:r>
        <w:rPr>
          <w:bCs/>
          <w:b/>
        </w:rPr>
        <w:t xml:space="preserve">The chemiosmotic mechanism.</w:t>
      </w:r>
      <w:r>
        <w:t xml:space="preserve"> </w:t>
      </w:r>
      <w:r>
        <w:t xml:space="preserve">As established in Topic 45, light-driven electron transport through the thylakoid membrane’s electron transport chain is coupled to the active pumping of hydrogen ions (protons) from the chloroplast stroma into the enclosed thylakoid interior space, progressively building up a substantial proton concentration gradient across the thylakoid membrane (with proton concentration considerably higher inside the thylakoid than in the surrounding stroma); this stored gradient represents a form of potential energy (analogous to water stored behind a dam), which is subsequently released as protons flow back down their concentration gradient, from the thylakoid interior back out to the stroma, but specifically through a channel provided by a specialised membrane-embedded enzyme complex called ATP synthase — the controlled flow of protons through ATP synthase drives a mechanical rotation within the enzyme’s structure that catalyses the synthesis of ATP from ADP and inorganic phosphate, converting the proton gradient’s stored potential energy directly into the chemical energy of the ATP molecule’s high-energy phosphate bond.</w:t>
      </w:r>
    </w:p>
    <w:p>
      <w:pPr>
        <w:pStyle w:val="BodyText"/>
      </w:pPr>
      <w:r>
        <w:rPr>
          <w:bCs/>
          <w:b/>
        </w:rPr>
        <w:t xml:space="preserve">Cyclic versus non-cyclic photophosphorylation.</w:t>
      </w:r>
      <w:r>
        <w:t xml:space="preserve"> </w:t>
      </w:r>
      <w:r>
        <w:t xml:space="preserve">The primary photophosphorylation pathway (</w:t>
      </w:r>
      <w:r>
        <w:rPr>
          <w:bCs/>
          <w:b/>
        </w:rPr>
        <w:t xml:space="preserve">non-cyclic photophosphorylation</w:t>
      </w:r>
      <w:r>
        <w:t xml:space="preserve">), as described in Topic 45, involves both of a plant’s two distinct photosystems operating in sequence, ultimately producing both ATP and NADPH alongside oxygen release through water photolysis; however, plants can also, under some circumstances, employ</w:t>
      </w:r>
      <w:r>
        <w:t xml:space="preserve"> </w:t>
      </w:r>
      <w:r>
        <w:rPr>
          <w:bCs/>
          <w:b/>
        </w:rPr>
        <w:t xml:space="preserve">cyclic photophosphorylation</w:t>
      </w:r>
      <w:r>
        <w:t xml:space="preserve">, involving only one photosystem, in which the high-energy electrons cycle back to regenerate the photosystem rather than ultimately reducing NADP+ to NADPH — this alternative pathway generates additional ATP without producing additional NADPH, providing plants a mechanism to adjust the relative ATP-to-NADPH ratio produced by the light reactions as needed to match the specific demands of the subsequent carbon fixation reactions (Topic 46), which require ATP and NADPH in a specific ratio not always precisely matched by the standard non-cyclic pathway alone.</w:t>
      </w:r>
    </w:p>
    <w:p>
      <w:pPr>
        <w:pStyle w:val="BodyText"/>
      </w:pPr>
      <w:r>
        <w:rPr>
          <w:bCs/>
          <w:b/>
        </w:rPr>
        <w:t xml:space="preserve">Broader biochemical significance: chemiosmosis as a shared principle.</w:t>
      </w:r>
      <w:r>
        <w:t xml:space="preserve"> </w:t>
      </w:r>
      <w:r>
        <w:t xml:space="preserve">The fundamental chemiosmotic mechanism underlying photophosphorylation — using an actively generated ion concentration gradient across a membrane, then harnessing the energy released as that gradient dissipates through a specific channel enzyme (ATP synthase) to drive ATP synthesis — represents one of the most fundamental and evolutionarily conserved energy-conversion mechanisms in all of biology, and, as will become apparent in Topic 50, essentially the same underlying chemiosmotic principle (though driven by a somewhat different electron transport process) also explains ATP generation during cellular respiration, illustrating a remarkable underlying biochemical unity between photosynthesis’s energy-capturing process and respiration’s energy-releasing process.</w:t>
      </w:r>
    </w:p>
    <w:p>
      <w:pPr>
        <w:pStyle w:val="BodyText"/>
      </w:pPr>
      <w:r>
        <w:rPr>
          <w:bCs/>
          <w:b/>
        </w:rPr>
        <w:t xml:space="preserve">Key Takeaways</w:t>
      </w:r>
    </w:p>
    <w:p>
      <w:pPr>
        <w:numPr>
          <w:ilvl w:val="0"/>
          <w:numId w:val="1056"/>
        </w:numPr>
        <w:pStyle w:val="Compact"/>
      </w:pPr>
      <w:r>
        <w:t xml:space="preserve">Photophosphorylation generates ATP through chemiosmosis: light-driven electron transport pumps protons across the thylakoid membrane, building a concentration gradient whose energy, released as protons flow back through ATP synthase, drives ATP synthesis.</w:t>
      </w:r>
    </w:p>
    <w:p>
      <w:pPr>
        <w:numPr>
          <w:ilvl w:val="0"/>
          <w:numId w:val="1056"/>
        </w:numPr>
        <w:pStyle w:val="Compact"/>
      </w:pPr>
      <w:r>
        <w:t xml:space="preserve">Non-cyclic photophosphorylation (the primary pathway) produces both ATP and NADPH; cyclic photophosphorylation, using only one photosystem, produces additional ATP without NADPH, allowing plants to adjust the ATP:NADPH ratio to match carbon fixation demands.</w:t>
      </w:r>
    </w:p>
    <w:p>
      <w:pPr>
        <w:numPr>
          <w:ilvl w:val="0"/>
          <w:numId w:val="1056"/>
        </w:numPr>
        <w:pStyle w:val="Compact"/>
      </w:pPr>
      <w:r>
        <w:t xml:space="preserve">The chemiosmotic mechanism underlying photophosphorylation is fundamentally the same principle that, as discussed in Topic 50, also explains ATP generation during cellular respiration.</w:t>
      </w:r>
    </w:p>
    <w:bookmarkEnd w:id="70"/>
    <w:bookmarkStart w:id="71" w:name="respiration-glycolysis"/>
    <w:p>
      <w:pPr>
        <w:pStyle w:val="Heading3"/>
      </w:pPr>
      <w:r>
        <w:t xml:space="preserve">48. Respiration: Glycolysis</w:t>
      </w:r>
    </w:p>
    <w:p>
      <w:pPr>
        <w:pStyle w:val="FirstParagraph"/>
      </w:pPr>
      <w:r>
        <w:t xml:space="preserve">Cellular respiration is the process by which plants (and virtually all living organisms) break down organic molecules, particularly the glucose produced by photosynthesis (Topics 45–47), to release the stored chemical energy in a usable form (ATP) — glycolysis represents the first stage of this overall respiratory process, and notably, unlike the subsequent Krebs cycle (Topic 49) and oxidative phosphorylation (Topic 50) stages, occurs in the cell’s cytoplasm rather than within a specialised organelle, and does not directly require oxygen.</w:t>
      </w:r>
    </w:p>
    <w:p>
      <w:pPr>
        <w:pStyle w:val="BodyText"/>
      </w:pPr>
      <w:r>
        <w:rPr>
          <w:bCs/>
          <w:b/>
        </w:rPr>
        <w:t xml:space="preserve">The glycolysis process.</w:t>
      </w:r>
      <w:r>
        <w:t xml:space="preserve"> </w:t>
      </w:r>
      <w:r>
        <w:t xml:space="preserve">Glycolysis (literally,</w:t>
      </w:r>
      <w:r>
        <w:t xml:space="preserve"> </w:t>
      </w:r>
      <w:r>
        <w:t xml:space="preserve">“</w:t>
      </w:r>
      <w:r>
        <w:t xml:space="preserve">sugar splitting</w:t>
      </w:r>
      <w:r>
        <w:t xml:space="preserve">”</w:t>
      </w:r>
      <w:r>
        <w:t xml:space="preserve">) is a sequence of enzyme-catalysed reactions (connecting directly to the enzyme function discussion in Topic 44) that breaks down one molecule of glucose (a six-carbon sugar) into two molecules of pyruvate (a three-carbon molecule), occurring in two broad phases: an initial</w:t>
      </w:r>
      <w:r>
        <w:t xml:space="preserve"> </w:t>
      </w:r>
      <w:r>
        <w:t xml:space="preserve">“</w:t>
      </w:r>
      <w:r>
        <w:t xml:space="preserve">investment phase,</w:t>
      </w:r>
      <w:r>
        <w:t xml:space="preserve">”</w:t>
      </w:r>
      <w:r>
        <w:t xml:space="preserve"> </w:t>
      </w:r>
      <w:r>
        <w:t xml:space="preserve">in which the cell actually invests a small amount of ATP energy to chemically prepare (phosphorylate) the glucose molecule for subsequent breakdown, followed by a</w:t>
      </w:r>
      <w:r>
        <w:t xml:space="preserve"> </w:t>
      </w:r>
      <w:r>
        <w:t xml:space="preserve">“</w:t>
      </w:r>
      <w:r>
        <w:t xml:space="preserve">payoff phase,</w:t>
      </w:r>
      <w:r>
        <w:t xml:space="preserve">”</w:t>
      </w:r>
      <w:r>
        <w:t xml:space="preserve"> </w:t>
      </w:r>
      <w:r>
        <w:t xml:space="preserve">in which the prepared molecule is split and further processed through several additional enzyme-catalysed steps, ultimately yielding a net gain of ATP (produced directly through a mechanism called substrate-level phosphorylation, in which a high-energy phosphate group is transferred directly from an intermediate molecule to ADP, a mechanistically distinct process from the chemiosmotic ATP generation discussed in Topics 47 and 50) and NADH (a high-energy electron carrier molecule, playing an analogous role to the NADPH generated during photosynthesis’s light reactions, though distinguished by the absence of an extra phosphate group).</w:t>
      </w:r>
    </w:p>
    <w:p>
      <w:pPr>
        <w:pStyle w:val="BodyText"/>
      </w:pPr>
      <w:r>
        <w:rPr>
          <w:bCs/>
          <w:b/>
        </w:rPr>
        <w:t xml:space="preserve">Net yield from glycolysis.</w:t>
      </w:r>
      <w:r>
        <w:t xml:space="preserve"> </w:t>
      </w:r>
      <w:r>
        <w:t xml:space="preserve">From one glucose molecule, glycolysis yields a net gain of two ATP molecules (produced directly) and two NADH molecules (whose stored energy will be used later, during oxidative phosphorylation, Topic 50, to generate substantially more ATP), alongside the two pyruvate molecules that serve as the input for the subsequent Krebs cycle stage (Topic 49) — glycolysis alone captures only a relatively small fraction of the total chemical energy available within the original glucose molecule, with the large majority of glucose’s total energy content still held within the chemical bonds of the resulting pyruvate molecules, to be further extracted through the subsequent respiratory stages.</w:t>
      </w:r>
    </w:p>
    <w:p>
      <w:pPr>
        <w:pStyle w:val="BodyText"/>
      </w:pPr>
      <w:r>
        <w:rPr>
          <w:bCs/>
          <w:b/>
        </w:rPr>
        <w:t xml:space="preserve">Anaerobic fate of pyruvate (fermentation).</w:t>
      </w:r>
      <w:r>
        <w:t xml:space="preserve"> </w:t>
      </w:r>
      <w:r>
        <w:t xml:space="preserve">Under conditions where oxygen is unavailable (anaerobic conditions, such as in waterlogged soil affecting plant roots, directly connecting to the waterlogging discussion in the Agriculture &amp; Forestry subject, since waterlogged soil deprives roots of the oxygen needed for the full aerobic respiration pathway discussed in Topics 49–50), plant cells (like many other organisms) can instead process pyruvate through fermentation — most commonly, in plants, producing ethanol and carbon dioxide (alcoholic fermentation) — which does not generate any additional ATP beyond glycolysis’s initial net yield, but does regenerate a small supply of a molecule (NAD+) essential for glycolysis to continue functioning even without oxygen, allowing cells to continue generating at least some ATP (through glycolysis alone) under oxygen-deprived conditions, though at a far lower overall energy yield than full aerobic respiration would provide — directly explaining why waterlogged plant roots, forced to rely on this far less energy-efficient anaerobic pathway, suffer significant physiological stress and, if prolonged, root death.</w:t>
      </w:r>
    </w:p>
    <w:p>
      <w:pPr>
        <w:pStyle w:val="BodyText"/>
      </w:pPr>
      <w:r>
        <w:rPr>
          <w:bCs/>
          <w:b/>
        </w:rPr>
        <w:t xml:space="preserve">Key Takeaways</w:t>
      </w:r>
    </w:p>
    <w:p>
      <w:pPr>
        <w:numPr>
          <w:ilvl w:val="0"/>
          <w:numId w:val="1057"/>
        </w:numPr>
        <w:pStyle w:val="Compact"/>
      </w:pPr>
      <w:r>
        <w:t xml:space="preserve">Glycolysis, occurring in the cytoplasm without requiring oxygen, breaks down glucose into two pyruvate molecules, yielding a net gain of two ATP (via substrate-level phosphorylation) and two NADH.</w:t>
      </w:r>
    </w:p>
    <w:p>
      <w:pPr>
        <w:numPr>
          <w:ilvl w:val="0"/>
          <w:numId w:val="1057"/>
        </w:numPr>
        <w:pStyle w:val="Compact"/>
      </w:pPr>
      <w:r>
        <w:t xml:space="preserve">Glycolysis captures only a small fraction of glucose’s total energy, with most remaining energy held in pyruvate, to be extracted through the subsequent Krebs cycle and oxidative phosphorylation stages.</w:t>
      </w:r>
    </w:p>
    <w:p>
      <w:pPr>
        <w:numPr>
          <w:ilvl w:val="0"/>
          <w:numId w:val="1057"/>
        </w:numPr>
        <w:pStyle w:val="Compact"/>
      </w:pPr>
      <w:r>
        <w:t xml:space="preserve">Under oxygen-deprived (anaerobic) conditions, such as waterlogged soil, pyruvate is instead processed through fermentation, sustaining only glycolysis’s limited ATP yield and explaining the physiological stress waterlogging causes to plant roots.</w:t>
      </w:r>
    </w:p>
    <w:bookmarkEnd w:id="71"/>
    <w:bookmarkStart w:id="72" w:name="krebs-cycle"/>
    <w:p>
      <w:pPr>
        <w:pStyle w:val="Heading3"/>
      </w:pPr>
      <w:r>
        <w:t xml:space="preserve">49. Krebs Cycle</w:t>
      </w:r>
    </w:p>
    <w:p>
      <w:pPr>
        <w:pStyle w:val="FirstParagraph"/>
      </w:pPr>
      <w:r>
        <w:t xml:space="preserve">The Krebs cycle (also called the citric acid cycle or tricarboxylic acid cycle) represents the second major stage of aerobic cellular respiration, continuing the energy-extraction process from the pyruvate produced by glycolysis (Topic 48), and, unlike glycolysis, occurs within the mitochondria — the specialised cellular organelle responsible for the bulk of a cell’s aerobic respiratory ATP production — and does directly require the presence of oxygen to proceed, at least indirectly, as explained below.</w:t>
      </w:r>
    </w:p>
    <w:p>
      <w:pPr>
        <w:pStyle w:val="BodyText"/>
      </w:pPr>
      <w:r>
        <w:rPr>
          <w:bCs/>
          <w:b/>
        </w:rPr>
        <w:t xml:space="preserve">Pyruvate processing and cycle entry.</w:t>
      </w:r>
      <w:r>
        <w:t xml:space="preserve"> </w:t>
      </w:r>
      <w:r>
        <w:t xml:space="preserve">Before entering the Krebs cycle proper, each pyruvate molecule produced by glycolysis is first transported into the mitochondrion and converted, through an intermediate processing step, into a two-carbon molecule (acetyl group) attached to a carrier molecule (forming acetyl-CoA), releasing one carbon dioxide molecule and generating one additional NADH molecule in the process — this acetyl-CoA molecule then enters the Krebs cycle proper by combining with a four-carbon molecule already present in the cycle to form a six-carbon citric acid molecule (giving the cycle its alternative name).</w:t>
      </w:r>
    </w:p>
    <w:p>
      <w:pPr>
        <w:pStyle w:val="BodyText"/>
      </w:pPr>
      <w:r>
        <w:rPr>
          <w:bCs/>
          <w:b/>
        </w:rPr>
        <w:t xml:space="preserve">The cyclical process.</w:t>
      </w:r>
      <w:r>
        <w:t xml:space="preserve"> </w:t>
      </w:r>
      <w:r>
        <w:t xml:space="preserve">Through a sequence of enzyme-catalysed reactions, this six-carbon citric acid molecule is progressively broken down and rearranged through a series of intermediate compounds, releasing two additional carbon dioxide molecules over the course of the cycle (meaning, combined with the carbon dioxide released during the initial pyruvate-to-acetyl-CoA conversion step, all three original carbon atoms from each pyruvate molecule are ultimately released as carbon dioxide — this respiratory carbon dioxide release is the direct biochemical source of the carbon dioxide plants and other aerobic organisms exhale or release as a metabolic waste product, distinct from and occurring alongside the carbon dioxide</w:t>
      </w:r>
      <w:r>
        <w:t xml:space="preserve"> </w:t>
      </w:r>
      <w:r>
        <w:rPr>
          <w:iCs/>
          <w:i/>
        </w:rPr>
        <w:t xml:space="preserve">uptake</w:t>
      </w:r>
      <w:r>
        <w:t xml:space="preserve"> </w:t>
      </w:r>
      <w:r>
        <w:t xml:space="preserve">for photosynthesis discussed in Topic 46), while simultaneously capturing much of the energy released during this breakdown process in the form of additional high-energy electron carrier molecules (NADH and a related carrier, FADH2) and one additional ATP molecule (again via substrate-level phosphorylation, as in glycolysis) generated directly within the cycle itself; the final step of the cycle regenerates the original four-carbon starting molecule, allowing the cycle to continue processing additional acetyl-CoA molecules.</w:t>
      </w:r>
    </w:p>
    <w:p>
      <w:pPr>
        <w:pStyle w:val="BodyText"/>
      </w:pPr>
      <w:r>
        <w:rPr>
          <w:bCs/>
          <w:b/>
        </w:rPr>
        <w:t xml:space="preserve">Net yield and significance.</w:t>
      </w:r>
      <w:r>
        <w:t xml:space="preserve"> </w:t>
      </w:r>
      <w:r>
        <w:t xml:space="preserve">Per original glucose molecule (which, following glycolysis, yields two pyruvate molecules, and therefore two full turns of the Krebs cycle), the combined pyruvate-processing and Krebs cycle stages generate a substantial additional yield of NADH and FADH2 molecules (considerably more than glycolysis alone produced) alongside two further ATP molecules directly — but critically, the true energy payoff of the Krebs cycle is not primarily the modest amount of ATP it generates directly, but rather the large quantity of high-energy NADH and FADH2 electron carriers it produces, which serve as the essential input for the final, most productive respiratory stage — oxidative phosphorylation, discussed in Topic 50, where the great majority of a glucose molecule’s total usable energy yield is ultimately captured as ATP.</w:t>
      </w:r>
    </w:p>
    <w:p>
      <w:pPr>
        <w:pStyle w:val="BodyText"/>
      </w:pPr>
      <w:r>
        <w:rPr>
          <w:bCs/>
          <w:b/>
        </w:rPr>
        <w:t xml:space="preserve">Key Takeaways</w:t>
      </w:r>
    </w:p>
    <w:p>
      <w:pPr>
        <w:numPr>
          <w:ilvl w:val="0"/>
          <w:numId w:val="1058"/>
        </w:numPr>
        <w:pStyle w:val="Compact"/>
      </w:pPr>
      <w:r>
        <w:t xml:space="preserve">The Krebs cycle, occurring within mitochondria, processes acetyl-CoA (derived from glycolysis’s pyruvate output) through a cyclical series of reactions, releasing carbon dioxide and generating NADH, FADH2, and a small amount of directly produced ATP.</w:t>
      </w:r>
    </w:p>
    <w:p>
      <w:pPr>
        <w:numPr>
          <w:ilvl w:val="0"/>
          <w:numId w:val="1058"/>
        </w:numPr>
        <w:pStyle w:val="Compact"/>
      </w:pPr>
      <w:r>
        <w:t xml:space="preserve">All three carbon atoms from each original pyruvate molecule are ultimately released as carbon dioxide during pyruvate processing and the Krebs cycle, representing respiration’s carbon dioxide waste output.</w:t>
      </w:r>
    </w:p>
    <w:p>
      <w:pPr>
        <w:numPr>
          <w:ilvl w:val="0"/>
          <w:numId w:val="1058"/>
        </w:numPr>
        <w:pStyle w:val="Compact"/>
      </w:pPr>
      <w:r>
        <w:t xml:space="preserve">The Krebs cycle’s primary significance lies not in its modest direct ATP yield, but in the substantial NADH and FADH2 it generates, which serve as essential input for oxidative phosphorylation (Topic 50), where the majority of glucose’s total usable energy is ultimately captured.</w:t>
      </w:r>
    </w:p>
    <w:bookmarkEnd w:id="72"/>
    <w:bookmarkStart w:id="73" w:name="oxidative-phosphorylation"/>
    <w:p>
      <w:pPr>
        <w:pStyle w:val="Heading3"/>
      </w:pPr>
      <w:r>
        <w:t xml:space="preserve">50. Oxidative Phosphorylation</w:t>
      </w:r>
    </w:p>
    <w:p>
      <w:pPr>
        <w:pStyle w:val="FirstParagraph"/>
      </w:pPr>
      <w:r>
        <w:t xml:space="preserve">Oxidative phosphorylation represents the final and, by far, most productive stage of aerobic cellular respiration, using the NADH and FADH2 electron carriers generated by glycolysis (Topic 48) and the Krebs cycle (Topic 49) to generate the large majority of a glucose molecule’s total ATP yield, through a chemiosmotic mechanism directly analogous to the photophosphorylation process discussed in Topic 47.</w:t>
      </w:r>
    </w:p>
    <w:p>
      <w:pPr>
        <w:pStyle w:val="BodyText"/>
      </w:pPr>
      <w:r>
        <w:rPr>
          <w:bCs/>
          <w:b/>
        </w:rPr>
        <w:t xml:space="preserve">The electron transport chain.</w:t>
      </w:r>
      <w:r>
        <w:t xml:space="preserve"> </w:t>
      </w:r>
      <w:r>
        <w:t xml:space="preserve">NADH and FADH2, generated during the earlier respiratory stages, donate their stored high-energy electrons to a series of membrane-embedded protein complexes (the electron transport chain) located within the mitochondrion’s specialised inner membrane; as electrons pass through this chain of successive protein complexes, the energy released at each transfer step is used to actively pump hydrogen ions (protons) from the mitochondrial matrix (the mitochondrion’s inner compartment) across the inner membrane into the intermembrane space, progressively building a substantial proton concentration gradient — precisely analogous, in underlying chemiosmotic principle, to the proton gradient established across the thylakoid membrane during photosynthesis’s light reactions (Topic 47), though here driven by electrons derived from glucose breakdown rather than from light-excited chlorophyll.</w:t>
      </w:r>
    </w:p>
    <w:p>
      <w:pPr>
        <w:pStyle w:val="BodyText"/>
      </w:pPr>
      <w:r>
        <w:rPr>
          <w:bCs/>
          <w:b/>
        </w:rPr>
        <w:t xml:space="preserve">Oxygen’s essential role: the final electron acceptor.</w:t>
      </w:r>
      <w:r>
        <w:t xml:space="preserve"> </w:t>
      </w:r>
      <w:r>
        <w:t xml:space="preserve">At the very end of the electron transport chain, the electrons (having had much of their original energy extracted through the preceding transport steps) are finally accepted by oxygen molecules, which combine with these electrons and hydrogen ions to form water — this is the specific, essential biochemical role oxygen plays in aerobic respiration, and directly explains why oxygen is absolutely required for this final, most productive respiratory stage to proceed: without oxygen available to accept these spent electrons at the chain’s end, the entire electron transport chain would rapidly back up and stop functioning, since electrons would have nowhere to be deposited, explaining why oxygen-deprived (anaerobic) conditions force cells back to the far less energy-efficient fermentation pathway discussed in Topic 48, bypassing the Krebs cycle and oxidative phosphorylation stages entirely.</w:t>
      </w:r>
    </w:p>
    <w:p>
      <w:pPr>
        <w:pStyle w:val="BodyText"/>
      </w:pPr>
      <w:r>
        <w:rPr>
          <w:bCs/>
          <w:b/>
        </w:rPr>
        <w:t xml:space="preserve">ATP synthesis via chemiosmosis.</w:t>
      </w:r>
      <w:r>
        <w:t xml:space="preserve"> </w:t>
      </w:r>
      <w:r>
        <w:t xml:space="preserve">As in photophosphorylation, the proton gradient established across the mitochondrial inner membrane represents stored potential energy, which is released as protons flow back down their concentration gradient through the membrane-embedded ATP synthase enzyme, with this controlled proton flow driving ATP synthesis from ADP and inorganic phosphate — the same fundamental chemiosmotic mechanism discussed in Topic 47, here applied to mitochondrial respiration rather than chloroplast photosynthesis, generating the substantial majority of a glucose molecule’s total ATP yield (considerably more ATP than glycolysis and the Krebs cycle combined produce directly), explaining why oxidative phosphorylation represents the most energetically productive stage of the overall cellular respiration process, and why organisms deprived of oxygen (or plant roots in waterlogged, oxygen-poor soil, as discussed in Topic 48) suffer such a dramatic reduction in available cellular energy.</w:t>
      </w:r>
    </w:p>
    <w:p>
      <w:pPr>
        <w:pStyle w:val="BodyText"/>
      </w:pPr>
      <w:r>
        <w:rPr>
          <w:bCs/>
          <w:b/>
        </w:rPr>
        <w:t xml:space="preserve">Key Takeaways</w:t>
      </w:r>
    </w:p>
    <w:p>
      <w:pPr>
        <w:numPr>
          <w:ilvl w:val="0"/>
          <w:numId w:val="1059"/>
        </w:numPr>
        <w:pStyle w:val="Compact"/>
      </w:pPr>
      <w:r>
        <w:t xml:space="preserve">Oxidative phosphorylation uses NADH and FADH2 (from glycolysis and the Krebs cycle) to power an electron transport chain in the mitochondrial inner membrane, pumping protons to build a concentration gradient, in a chemiosmotic mechanism directly analogous to photophosphorylation.</w:t>
      </w:r>
    </w:p>
    <w:p>
      <w:pPr>
        <w:numPr>
          <w:ilvl w:val="0"/>
          <w:numId w:val="1059"/>
        </w:numPr>
        <w:pStyle w:val="Compact"/>
      </w:pPr>
      <w:r>
        <w:t xml:space="preserve">Oxygen serves as the essential final electron acceptor at the chain’s end, combining with spent electrons and hydrogen ions to form water — explaining why oxygen is absolutely required for this stage, and why its absence forces cells into the far less efficient fermentation pathway.</w:t>
      </w:r>
    </w:p>
    <w:p>
      <w:pPr>
        <w:numPr>
          <w:ilvl w:val="0"/>
          <w:numId w:val="1059"/>
        </w:numPr>
        <w:pStyle w:val="Compact"/>
      </w:pPr>
      <w:r>
        <w:t xml:space="preserve">The proton gradient’s energy, released through ATP synthase, generates the substantial majority of a glucose molecule’s total ATP yield, making oxidative phosphorylation the most energetically productive stage of cellular respiration.</w:t>
      </w:r>
    </w:p>
    <w:bookmarkEnd w:id="73"/>
    <w:bookmarkEnd w:id="74"/>
    <w:bookmarkStart w:id="86" w:name="vi.-plant-ecology"/>
    <w:p>
      <w:pPr>
        <w:pStyle w:val="Heading2"/>
      </w:pPr>
      <w:r>
        <w:t xml:space="preserve">VI. Plant Ecology</w:t>
      </w:r>
    </w:p>
    <w:bookmarkStart w:id="75" w:name="climatic-edaphic-and-biotic-factors"/>
    <w:p>
      <w:pPr>
        <w:pStyle w:val="Heading3"/>
      </w:pPr>
      <w:r>
        <w:t xml:space="preserve">51. Climatic, Edaphic and Biotic Factors</w:t>
      </w:r>
    </w:p>
    <w:p>
      <w:pPr>
        <w:pStyle w:val="FirstParagraph"/>
      </w:pPr>
      <w:r>
        <w:t xml:space="preserve">Plant ecology examines how environmental factors shape plant distribution, community composition, and ecosystem function — beginning with the three broad categories of environmental factors that collectively determine which plants can successfully grow in a given location: climatic, edaphic (soil-related), and biotic (living-organism-related) factors.</w:t>
      </w:r>
    </w:p>
    <w:p>
      <w:pPr>
        <w:pStyle w:val="BodyText"/>
      </w:pPr>
      <w:r>
        <w:rPr>
          <w:bCs/>
          <w:b/>
        </w:rPr>
        <w:t xml:space="preserve">Climatic factors.</w:t>
      </w:r>
      <w:r>
        <w:t xml:space="preserve"> </w:t>
      </w:r>
      <w:r>
        <w:t xml:space="preserve">These include temperature (determining growing season length and directly affecting the enzyme-dependent metabolic processes discussed in Topic 44), precipitation (determining water availability, directly connecting to the water relations discussion in Topics 36–38), light (affecting photosynthetic capacity, Topics 45–47, and photoperiodic responses, Topic 41), and humidity and wind — together determining the broad climatic suitability of a region for particular plant types, directly paralleling the climate classification discussion in the Environmental Sciences subject and the elements of climate affecting crop growth discussed in the Agriculture &amp; Forestry subject.</w:t>
      </w:r>
    </w:p>
    <w:p>
      <w:pPr>
        <w:pStyle w:val="BodyText"/>
      </w:pPr>
      <w:r>
        <w:rPr>
          <w:bCs/>
          <w:b/>
        </w:rPr>
        <w:t xml:space="preserve">Edaphic (soil) factors.</w:t>
      </w:r>
      <w:r>
        <w:t xml:space="preserve"> </w:t>
      </w:r>
      <w:r>
        <w:t xml:space="preserve">These include soil texture and structure (Topic 12 in the Agriculture &amp; Forestry subject, affecting water and air availability to roots), soil nutrient availability (Topic 13 in that subject, directly connecting to the mineral nutrition discussion in Topic 39 here), soil pH (affecting both direct plant tolerance and the availability of specific soil nutrients, since nutrient solubility and plant-availability often vary considerably across different pH ranges), and soil water-holding capacity and drainage — together determining a location’s specific edaphic suitability for particular plant species, and explaining why plant distribution often varies meaningfully even across a climatically uniform region, purely as a function of underlying soil variation.</w:t>
      </w:r>
    </w:p>
    <w:p>
      <w:pPr>
        <w:pStyle w:val="BodyText"/>
      </w:pPr>
      <w:r>
        <w:rPr>
          <w:bCs/>
          <w:b/>
        </w:rPr>
        <w:t xml:space="preserve">Biotic factors.</w:t>
      </w:r>
      <w:r>
        <w:t xml:space="preserve"> </w:t>
      </w:r>
      <w:r>
        <w:t xml:space="preserve">These include competition (between individual plants of the same or different species for shared limited resources — light, water, nutrients, and space, directly relevant to the ecological succession discussion in Topic 58), herbivory and pathogen pressure (connecting to the plant pathology and crop protection discussions addressed elsewhere in this subject and the Agriculture &amp; Forestry subject), and beneficial biotic interactions (including pollination, Topic 26, mycorrhizal associations, Topic 37, and nitrogen-fixing symbioses, discussed in the Agriculture &amp; Forestry subject).</w:t>
      </w:r>
    </w:p>
    <w:p>
      <w:pPr>
        <w:pStyle w:val="BodyText"/>
      </w:pPr>
      <w:r>
        <w:rPr>
          <w:bCs/>
          <w:b/>
        </w:rPr>
        <w:t xml:space="preserve">Why understanding all three factor categories together matters.</w:t>
      </w:r>
      <w:r>
        <w:t xml:space="preserve"> </w:t>
      </w:r>
      <w:r>
        <w:t xml:space="preserve">A given plant species’ actual distribution and abundance in nature reflects the combined, often interacting influence of all three factor categories simultaneously — a species may be climatically suited to a broad region but restricted to specific soil types within that region (an edaphic limitation), or may be both climatically and edaphically suited to an area but excluded by strong competition from other plant species (a biotic limitation) — meaning comprehensive ecological understanding, and practical land-use and crop-suitability assessment, requires evaluating all three factor categories together rather than considering climate, soil, or biotic interactions in isolation.</w:t>
      </w:r>
    </w:p>
    <w:p>
      <w:pPr>
        <w:pStyle w:val="BodyText"/>
      </w:pPr>
      <w:r>
        <w:rPr>
          <w:bCs/>
          <w:b/>
        </w:rPr>
        <w:t xml:space="preserve">Key Takeaways</w:t>
      </w:r>
    </w:p>
    <w:p>
      <w:pPr>
        <w:numPr>
          <w:ilvl w:val="0"/>
          <w:numId w:val="1060"/>
        </w:numPr>
        <w:pStyle w:val="Compact"/>
      </w:pPr>
      <w:r>
        <w:t xml:space="preserve">Plant distribution is determined by climatic factors (temperature, precipitation, light), edaphic/soil factors (texture, nutrients, pH, drainage), and biotic factors (competition, herbivory/pathogens, beneficial interactions like pollination and symbioses).</w:t>
      </w:r>
    </w:p>
    <w:p>
      <w:pPr>
        <w:numPr>
          <w:ilvl w:val="0"/>
          <w:numId w:val="1060"/>
        </w:numPr>
        <w:pStyle w:val="Compact"/>
      </w:pPr>
      <w:r>
        <w:t xml:space="preserve">Edaphic factors explain why plant distribution can vary significantly even within a climatically uniform region, based purely on underlying soil variation.</w:t>
      </w:r>
    </w:p>
    <w:p>
      <w:pPr>
        <w:numPr>
          <w:ilvl w:val="0"/>
          <w:numId w:val="1060"/>
        </w:numPr>
        <w:pStyle w:val="Compact"/>
      </w:pPr>
      <w:r>
        <w:t xml:space="preserve">Comprehensive ecological and land-use assessment requires evaluating all three factor categories together, since a species’ actual distribution reflects their combined, often interacting influence.</w:t>
      </w:r>
    </w:p>
    <w:bookmarkEnd w:id="75"/>
    <w:bookmarkStart w:id="76" w:name="vegetation-sampling"/>
    <w:p>
      <w:pPr>
        <w:pStyle w:val="Heading3"/>
      </w:pPr>
      <w:r>
        <w:t xml:space="preserve">52. Vegetation Sampling</w:t>
      </w:r>
    </w:p>
    <w:p>
      <w:pPr>
        <w:pStyle w:val="FirstParagraph"/>
      </w:pPr>
      <w:r>
        <w:t xml:space="preserve">Vegetation sampling comprises the systematic methods ecologists use to quantitatively describe and measure plant community composition and structure across a study area, providing the essential empirical data foundation for the ecosystem structure, succession, and conservation topics addressed throughout this section.</w:t>
      </w:r>
    </w:p>
    <w:p>
      <w:pPr>
        <w:pStyle w:val="BodyText"/>
      </w:pPr>
      <w:r>
        <w:rPr>
          <w:bCs/>
          <w:b/>
        </w:rPr>
        <w:t xml:space="preserve">Why systematic sampling is necessary.</w:t>
      </w:r>
      <w:r>
        <w:t xml:space="preserve"> </w:t>
      </w:r>
      <w:r>
        <w:t xml:space="preserve">Since it is generally impractical to individually count and measure every single plant across a large study area, vegetation ecologists use statistically designed sampling methods to survey a representative subset of the area, from which overall vegetation characteristics across the full study area can be reliably estimated — analogous in underlying logic to the sample-plot-based forest biometrics approach discussed in the Agriculture &amp; Forestry subject (Topic 40 there).</w:t>
      </w:r>
    </w:p>
    <w:p>
      <w:pPr>
        <w:pStyle w:val="BodyText"/>
      </w:pPr>
      <w:r>
        <w:rPr>
          <w:bCs/>
          <w:b/>
        </w:rPr>
        <w:t xml:space="preserve">Major sampling methods:</w:t>
      </w:r>
    </w:p>
    <w:p>
      <w:pPr>
        <w:numPr>
          <w:ilvl w:val="0"/>
          <w:numId w:val="1061"/>
        </w:numPr>
        <w:pStyle w:val="Compact"/>
      </w:pPr>
      <w:r>
        <w:rPr>
          <w:bCs/>
          <w:b/>
        </w:rPr>
        <w:t xml:space="preserve">Quadrat sampling</w:t>
      </w:r>
      <w:r>
        <w:t xml:space="preserve"> </w:t>
      </w:r>
      <w:r>
        <w:t xml:space="preserve">— using a defined-area frame (traditionally square, though other shapes are also used) placed at systematically or randomly selected locations across the study area, within which all plants are counted, identified, and measured, providing data on species composition, density (number of individuals per unit area), and cover (the proportion of ground area a species’ foliage occupies when viewed from above) — quadrat size is generally chosen appropriate to the vegetation type being studied (smaller quadrats for low-growing grassland or herbaceous vegetation, larger quadrats for forest vegetation with more widely spaced individual trees).</w:t>
      </w:r>
    </w:p>
    <w:p>
      <w:pPr>
        <w:numPr>
          <w:ilvl w:val="0"/>
          <w:numId w:val="1061"/>
        </w:numPr>
        <w:pStyle w:val="Compact"/>
      </w:pPr>
      <w:r>
        <w:rPr>
          <w:bCs/>
          <w:b/>
        </w:rPr>
        <w:t xml:space="preserve">Transect sampling</w:t>
      </w:r>
      <w:r>
        <w:t xml:space="preserve"> </w:t>
      </w:r>
      <w:r>
        <w:t xml:space="preserve">— recording vegetation along a defined line (or narrow belt) traversing the study area, particularly useful for documenting vegetation change along an environmental gradient (such as elevation, moisture gradient, or distance from a specific feature like a water body or the succession boundary discussed in Topic 58), since a transect specifically captures how vegetation composition changes progressively along that specific spatial gradient.</w:t>
      </w:r>
    </w:p>
    <w:p>
      <w:pPr>
        <w:numPr>
          <w:ilvl w:val="0"/>
          <w:numId w:val="1061"/>
        </w:numPr>
        <w:pStyle w:val="Compact"/>
      </w:pPr>
      <w:r>
        <w:rPr>
          <w:bCs/>
          <w:b/>
        </w:rPr>
        <w:t xml:space="preserve">Point sampling methods</w:t>
      </w:r>
      <w:r>
        <w:t xml:space="preserve"> </w:t>
      </w:r>
      <w:r>
        <w:t xml:space="preserve">— recording which plant species is present at systematically or randomly distributed individual point locations across the study area, generally more time-efficient than full quadrat sampling for estimating basic species cover proportions across large areas.</w:t>
      </w:r>
    </w:p>
    <w:p>
      <w:pPr>
        <w:pStyle w:val="FirstParagraph"/>
      </w:pPr>
      <w:r>
        <w:rPr>
          <w:bCs/>
          <w:b/>
        </w:rPr>
        <w:t xml:space="preserve">Key measured parameters.</w:t>
      </w:r>
      <w:r>
        <w:t xml:space="preserve"> </w:t>
      </w:r>
      <w:r>
        <w:t xml:space="preserve">These include species composition (which species are present), abundance/density (how many individuals of each species), frequency (the proportion of sampled quadrats/points in which a given species occurs, providing a measure of how widespread or patchily distributed a species is across the study area), and cover (the proportional ground area occupied by each species’ foliage).</w:t>
      </w:r>
    </w:p>
    <w:p>
      <w:pPr>
        <w:pStyle w:val="BodyText"/>
      </w:pPr>
      <w:r>
        <w:rPr>
          <w:bCs/>
          <w:b/>
        </w:rPr>
        <w:t xml:space="preserve">Practical applications.</w:t>
      </w:r>
      <w:r>
        <w:t xml:space="preserve"> </w:t>
      </w:r>
      <w:r>
        <w:t xml:space="preserve">Vegetation sampling data underlies practical applications including monitoring rangeland condition and grazing capacity (directly connecting to range management discussed in the Agriculture &amp; Forestry subject, Topic 34 there), tracking ecological succession and restoration progress (Topic 58), assessing biodiversity and conservation status, and detecting vegetation change over time in response to environmental change (including climate change effects and land degradation, connecting to topics discussed extensively in the Environmental Sciences subject).</w:t>
      </w:r>
    </w:p>
    <w:p>
      <w:pPr>
        <w:pStyle w:val="BodyText"/>
      </w:pPr>
      <w:r>
        <w:rPr>
          <w:bCs/>
          <w:b/>
        </w:rPr>
        <w:t xml:space="preserve">Key Takeaways</w:t>
      </w:r>
    </w:p>
    <w:p>
      <w:pPr>
        <w:numPr>
          <w:ilvl w:val="0"/>
          <w:numId w:val="1062"/>
        </w:numPr>
        <w:pStyle w:val="Compact"/>
      </w:pPr>
      <w:r>
        <w:t xml:space="preserve">Vegetation sampling uses systematic methods (quadrats, transects, point sampling) to quantitatively describe plant community composition across a representative subset of a study area, rather than requiring complete enumeration.</w:t>
      </w:r>
    </w:p>
    <w:p>
      <w:pPr>
        <w:numPr>
          <w:ilvl w:val="0"/>
          <w:numId w:val="1062"/>
        </w:numPr>
        <w:pStyle w:val="Compact"/>
      </w:pPr>
      <w:r>
        <w:t xml:space="preserve">Key measured parameters include species composition, abundance/density, frequency, and cover.</w:t>
      </w:r>
    </w:p>
    <w:p>
      <w:pPr>
        <w:numPr>
          <w:ilvl w:val="0"/>
          <w:numId w:val="1062"/>
        </w:numPr>
        <w:pStyle w:val="Compact"/>
      </w:pPr>
      <w:r>
        <w:t xml:space="preserve">Vegetation sampling data underlies practical applications including rangeland condition monitoring, succession/restoration tracking, and detecting vegetation change over time in response to environmental pressures.</w:t>
      </w:r>
    </w:p>
    <w:bookmarkEnd w:id="76"/>
    <w:bookmarkStart w:id="77" w:name="ecosystem-structure-and-productivity"/>
    <w:p>
      <w:pPr>
        <w:pStyle w:val="Heading3"/>
      </w:pPr>
      <w:r>
        <w:t xml:space="preserve">53. Ecosystem Structure and Productivity</w:t>
      </w:r>
    </w:p>
    <w:p>
      <w:pPr>
        <w:pStyle w:val="FirstParagraph"/>
      </w:pPr>
      <w:r>
        <w:t xml:space="preserve">Ecosystem structure and productivity examine how plant communities are organised and how efficiently they capture and convert solar energy into biomass, providing foundational concepts for understanding the ecological energetics, trophic levels, and food web topics that follow (Topics 54–55).</w:t>
      </w:r>
    </w:p>
    <w:p>
      <w:pPr>
        <w:pStyle w:val="BodyText"/>
      </w:pPr>
      <w:r>
        <w:rPr>
          <w:bCs/>
          <w:b/>
        </w:rPr>
        <w:t xml:space="preserve">Ecosystem structure.</w:t>
      </w:r>
      <w:r>
        <w:t xml:space="preserve"> </w:t>
      </w:r>
      <w:r>
        <w:t xml:space="preserve">A plant community’s structure refers to its vertical and horizontal organisation —</w:t>
      </w:r>
      <w:r>
        <w:t xml:space="preserve"> </w:t>
      </w:r>
      <w:r>
        <w:rPr>
          <w:bCs/>
          <w:b/>
        </w:rPr>
        <w:t xml:space="preserve">vertical stratification</w:t>
      </w:r>
      <w:r>
        <w:t xml:space="preserve"> </w:t>
      </w:r>
      <w:r>
        <w:t xml:space="preserve">(the layering of vegetation at different heights, particularly pronounced in forest ecosystems, which typically show distinct canopy, understorey, shrub, and ground-cover layers, each layer adapted to the specific light, moisture, and microclimate conditions found at that height, and each supporting somewhat different associated animal and other organism communities) and</w:t>
      </w:r>
      <w:r>
        <w:t xml:space="preserve"> </w:t>
      </w:r>
      <w:r>
        <w:rPr>
          <w:bCs/>
          <w:b/>
        </w:rPr>
        <w:t xml:space="preserve">horizontal structure/pattern</w:t>
      </w:r>
      <w:r>
        <w:t xml:space="preserve"> </w:t>
      </w:r>
      <w:r>
        <w:t xml:space="preserve">(the spatial arrangement and patchiness of vegetation across a landscape, reflecting underlying edaphic and biotic factor variation discussed in Topic 51, alongside disturbance history and successional stage, Topic 58).</w:t>
      </w:r>
    </w:p>
    <w:p>
      <w:pPr>
        <w:pStyle w:val="BodyText"/>
      </w:pPr>
      <w:r>
        <w:rPr>
          <w:bCs/>
          <w:b/>
        </w:rPr>
        <w:t xml:space="preserve">Primary productivity.</w:t>
      </w:r>
      <w:r>
        <w:t xml:space="preserve"> </w:t>
      </w:r>
      <w:r>
        <w:t xml:space="preserve">Primary productivity refers to the rate at which plants (as primary producers, the foundational trophic level discussed further in Topic 54) convert light energy into chemical energy stored in biomass through photosynthesis (Topics 45–47) — distinguished as</w:t>
      </w:r>
      <w:r>
        <w:t xml:space="preserve"> </w:t>
      </w:r>
      <w:r>
        <w:rPr>
          <w:bCs/>
          <w:b/>
        </w:rPr>
        <w:t xml:space="preserve">gross primary productivity (GPP)</w:t>
      </w:r>
      <w:r>
        <w:t xml:space="preserve">, the total rate of photosynthetic energy capture, and</w:t>
      </w:r>
      <w:r>
        <w:t xml:space="preserve"> </w:t>
      </w:r>
      <w:r>
        <w:rPr>
          <w:bCs/>
          <w:b/>
        </w:rPr>
        <w:t xml:space="preserve">net primary productivity (NPP)</w:t>
      </w:r>
      <w:r>
        <w:t xml:space="preserve">, the energy remaining after subtracting the energy plants themselves consume through their own respiration (Topics 48–50), representing the actual net biomass accumulation rate available to support the rest of the ecosystem’s food web (Topic 55).</w:t>
      </w:r>
    </w:p>
    <w:p>
      <w:pPr>
        <w:pStyle w:val="BodyText"/>
      </w:pPr>
      <w:r>
        <w:rPr>
          <w:bCs/>
          <w:b/>
        </w:rPr>
        <w:t xml:space="preserve">Factors affecting ecosystem productivity.</w:t>
      </w:r>
      <w:r>
        <w:t xml:space="preserve"> </w:t>
      </w:r>
      <w:r>
        <w:t xml:space="preserve">These include the climatic, edaphic, and biotic factors discussed in Topic 51 (since productivity ultimately depends on the same factors determining individual plant growth and survival, aggregated across the entire plant community), with water availability and temperature generally representing the primary limiting factors in most terrestrial ecosystems (explaining why tropical rainforest ecosystems, with abundant water and consistently warm temperatures, generally show among the highest terrestrial primary productivity levels globally, while arid and cold ecosystems generally show substantially lower productivity, directly relevant to understanding Pakistan’s own significant productivity variation across its diverse climate zones, discussed in the Environmental Sciences subject).</w:t>
      </w:r>
    </w:p>
    <w:p>
      <w:pPr>
        <w:pStyle w:val="BodyText"/>
      </w:pPr>
      <w:r>
        <w:rPr>
          <w:bCs/>
          <w:b/>
        </w:rPr>
        <w:t xml:space="preserve">Significance for broader ecosystem function.</w:t>
      </w:r>
      <w:r>
        <w:t xml:space="preserve"> </w:t>
      </w:r>
      <w:r>
        <w:t xml:space="preserve">An ecosystem’s net primary productivity fundamentally determines how much energy is available to support all subsequent trophic levels within that ecosystem (herbivores, predators, and decomposers, discussed in Topics 54–55), meaning primary productivity represents the foundational energetic basis for virtually all ecosystem structure and function — directly relevant to understanding both natural ecosystem carrying capacity and agricultural productivity potential, since agricultural systems (Agriculture &amp; Forestry subject) are, in essence, deliberately managed ecosystems specifically optimised to maximise primary productivity of particular desired crop species.</w:t>
      </w:r>
    </w:p>
    <w:p>
      <w:pPr>
        <w:pStyle w:val="BodyText"/>
      </w:pPr>
      <w:r>
        <w:rPr>
          <w:bCs/>
          <w:b/>
        </w:rPr>
        <w:t xml:space="preserve">Key Takeaways</w:t>
      </w:r>
    </w:p>
    <w:p>
      <w:pPr>
        <w:numPr>
          <w:ilvl w:val="0"/>
          <w:numId w:val="1063"/>
        </w:numPr>
        <w:pStyle w:val="Compact"/>
      </w:pPr>
      <w:r>
        <w:t xml:space="preserve">Ecosystem structure includes vertical stratification (canopy, understorey, shrub, ground layers, particularly pronounced in forests) and horizontal spatial pattern, reflecting underlying environmental and disturbance factors.</w:t>
      </w:r>
    </w:p>
    <w:p>
      <w:pPr>
        <w:numPr>
          <w:ilvl w:val="0"/>
          <w:numId w:val="1063"/>
        </w:numPr>
        <w:pStyle w:val="Compact"/>
      </w:pPr>
      <w:r>
        <w:t xml:space="preserve">Primary productivity (gross and net) measures the rate of photosynthetic energy capture and net biomass accumulation, generally limited primarily by water availability and temperature in most terrestrial ecosystems.</w:t>
      </w:r>
    </w:p>
    <w:p>
      <w:pPr>
        <w:numPr>
          <w:ilvl w:val="0"/>
          <w:numId w:val="1063"/>
        </w:numPr>
        <w:pStyle w:val="Compact"/>
      </w:pPr>
      <w:r>
        <w:t xml:space="preserve">Net primary productivity fundamentally determines the energy available to support all subsequent trophic levels, forming the energetic foundation for ecosystem structure and function, including agricultural productivity potential.</w:t>
      </w:r>
    </w:p>
    <w:bookmarkEnd w:id="77"/>
    <w:bookmarkStart w:id="78" w:name="X8ae20f856b8cc043037f0fe254b0c853b25c01f"/>
    <w:p>
      <w:pPr>
        <w:pStyle w:val="Heading3"/>
      </w:pPr>
      <w:r>
        <w:t xml:space="preserve">54. Ecological Energetics, Pyramids and Trophic Levels</w:t>
      </w:r>
    </w:p>
    <w:p>
      <w:pPr>
        <w:pStyle w:val="FirstParagraph"/>
      </w:pPr>
      <w:r>
        <w:t xml:space="preserve">Ecological energetics examines how energy flows through an ecosystem, from its initial capture by plants (primary producers) through the various levels of organisms that subsequently consume that energy, providing essential conceptual foundation for understanding food chains and webs (Topic 55) and broader ecosystem function.</w:t>
      </w:r>
    </w:p>
    <w:p>
      <w:pPr>
        <w:pStyle w:val="BodyText"/>
      </w:pPr>
      <w:r>
        <w:rPr>
          <w:bCs/>
          <w:b/>
        </w:rPr>
        <w:t xml:space="preserve">Trophic levels.</w:t>
      </w:r>
      <w:r>
        <w:t xml:space="preserve"> </w:t>
      </w:r>
      <w:r>
        <w:t xml:space="preserve">Ecosystems are organised into trophic (</w:t>
      </w:r>
      <w:r>
        <w:t xml:space="preserve">“</w:t>
      </w:r>
      <w:r>
        <w:t xml:space="preserve">feeding</w:t>
      </w:r>
      <w:r>
        <w:t xml:space="preserve">”</w:t>
      </w:r>
      <w:r>
        <w:t xml:space="preserve">) levels:</w:t>
      </w:r>
      <w:r>
        <w:t xml:space="preserve"> </w:t>
      </w:r>
      <w:r>
        <w:rPr>
          <w:bCs/>
          <w:b/>
        </w:rPr>
        <w:t xml:space="preserve">primary producers</w:t>
      </w:r>
      <w:r>
        <w:t xml:space="preserve"> </w:t>
      </w:r>
      <w:r>
        <w:t xml:space="preserve">(plants and other photosynthetic organisms, occupying the foundational trophic level by directly capturing solar energy through photosynthesis, as established in Topics 45–47 and 53);</w:t>
      </w:r>
      <w:r>
        <w:t xml:space="preserve"> </w:t>
      </w:r>
      <w:r>
        <w:rPr>
          <w:bCs/>
          <w:b/>
        </w:rPr>
        <w:t xml:space="preserve">primary consumers</w:t>
      </w:r>
      <w:r>
        <w:t xml:space="preserve"> </w:t>
      </w:r>
      <w:r>
        <w:t xml:space="preserve">(herbivores, organisms that consume plant material directly);</w:t>
      </w:r>
      <w:r>
        <w:t xml:space="preserve"> </w:t>
      </w:r>
      <w:r>
        <w:rPr>
          <w:bCs/>
          <w:b/>
        </w:rPr>
        <w:t xml:space="preserve">secondary consumers</w:t>
      </w:r>
      <w:r>
        <w:t xml:space="preserve"> </w:t>
      </w:r>
      <w:r>
        <w:t xml:space="preserve">(carnivores/predators that consume primary consumers); and</w:t>
      </w:r>
      <w:r>
        <w:t xml:space="preserve"> </w:t>
      </w:r>
      <w:r>
        <w:rPr>
          <w:bCs/>
          <w:b/>
        </w:rPr>
        <w:t xml:space="preserve">tertiary consumers</w:t>
      </w:r>
      <w:r>
        <w:t xml:space="preserve"> </w:t>
      </w:r>
      <w:r>
        <w:t xml:space="preserve">(predators that consume secondary consumers) — with</w:t>
      </w:r>
      <w:r>
        <w:t xml:space="preserve"> </w:t>
      </w:r>
      <w:r>
        <w:rPr>
          <w:bCs/>
          <w:b/>
        </w:rPr>
        <w:t xml:space="preserve">decomposers</w:t>
      </w:r>
      <w:r>
        <w:t xml:space="preserve"> </w:t>
      </w:r>
      <w:r>
        <w:t xml:space="preserve">(primarily bacteria and fungi, connecting to the fungal ecological role discussed in Topic 6) operating across all trophic levels, breaking down dead organic matter from every level and releasing nutrients back into the ecosystem for renewed uptake by primary producers, closing the essential nutrient cycling loop discussed further in relation to the nitrogen cycle (Topic 57).</w:t>
      </w:r>
    </w:p>
    <w:p>
      <w:pPr>
        <w:pStyle w:val="BodyText"/>
      </w:pPr>
      <w:r>
        <w:rPr>
          <w:bCs/>
          <w:b/>
        </w:rPr>
        <w:t xml:space="preserve">The 10% rule and energy pyramids.</w:t>
      </w:r>
      <w:r>
        <w:t xml:space="preserve"> </w:t>
      </w:r>
      <w:r>
        <w:t xml:space="preserve">A fundamental ecological principle holds that, on average, only approximately 10% of the energy available at one trophic level is successfully transferred to and incorporated into the biomass of the next trophic level up — the remaining roughly 90% is lost, primarily through respiration (the energy each organism itself expends for its own metabolic maintenance, movement, and other life processes, connecting directly to the respiration discussion in Topics 48–50) and through energy contained in matter that is not consumed or not successfully digested and assimilated by the next trophic level’s consumers. This progressive energy loss at each trophic transfer is graphically represented as an</w:t>
      </w:r>
      <w:r>
        <w:t xml:space="preserve"> </w:t>
      </w:r>
      <w:r>
        <w:rPr>
          <w:bCs/>
          <w:b/>
        </w:rPr>
        <w:t xml:space="preserve">energy pyramid</w:t>
      </w:r>
      <w:r>
        <w:t xml:space="preserve"> </w:t>
      </w:r>
      <w:r>
        <w:t xml:space="preserve">— a wide base representing the large energy quantity available at the primary producer level, progressively narrowing at each successive trophic level as the 10% rule’s cumulative effect leaves less and less energy available to support each higher level.</w:t>
      </w:r>
    </w:p>
    <w:p>
      <w:pPr>
        <w:pStyle w:val="BodyText"/>
      </w:pPr>
      <w:r>
        <w:rPr>
          <w:bCs/>
          <w:b/>
        </w:rPr>
        <w:t xml:space="preserve">Practical implications of the 10% rule.</w:t>
      </w:r>
      <w:r>
        <w:t xml:space="preserve"> </w:t>
      </w:r>
      <w:r>
        <w:t xml:space="preserve">This principle directly explains several important ecological patterns: why ecosystems can generally support far fewer top predators (by total biomass) than herbivores, and far fewer herbivores than plant biomass; why food chains (Topic 55) are generally limited to a relatively small number of trophic levels (typically four to five at most), since insufficient energy remains available to support additional trophic levels beyond this point; and, of direct practical relevance to global food security discussed in the Environmental Sciences subject, why plant-based human food production is inherently far more energy-efficient (capable of supporting substantially more people from a given land area) than food production based on animal products requiring an additional trophic transfer step, since each additional trophic level in the food production chain loses roughly 90% of the available energy at that step.</w:t>
      </w:r>
    </w:p>
    <w:p>
      <w:pPr>
        <w:pStyle w:val="BodyText"/>
      </w:pPr>
      <w:r>
        <w:rPr>
          <w:bCs/>
          <w:b/>
        </w:rPr>
        <w:t xml:space="preserve">Key Takeaways</w:t>
      </w:r>
    </w:p>
    <w:p>
      <w:pPr>
        <w:numPr>
          <w:ilvl w:val="0"/>
          <w:numId w:val="1064"/>
        </w:numPr>
        <w:pStyle w:val="Compact"/>
      </w:pPr>
      <w:r>
        <w:t xml:space="preserve">Ecosystems are organised into trophic levels (primary producers, primary/secondary/tertiary consumers), with decomposers cycling nutrients from all levels back to primary producers.</w:t>
      </w:r>
    </w:p>
    <w:p>
      <w:pPr>
        <w:numPr>
          <w:ilvl w:val="0"/>
          <w:numId w:val="1064"/>
        </w:numPr>
        <w:pStyle w:val="Compact"/>
      </w:pPr>
      <w:r>
        <w:t xml:space="preserve">The 10% rule holds that only approximately 10% of energy at one trophic level transfers to the next, primarily lost through each level’s own respiration, producing the characteristic narrowing energy pyramid shape.</w:t>
      </w:r>
    </w:p>
    <w:p>
      <w:pPr>
        <w:numPr>
          <w:ilvl w:val="0"/>
          <w:numId w:val="1064"/>
        </w:numPr>
        <w:pStyle w:val="Compact"/>
      </w:pPr>
      <w:r>
        <w:t xml:space="preserve">This principle explains why top predator biomass is far smaller than herbivore or plant biomass, why food chains are limited to relatively few trophic levels, and why plant-based food production is inherently more land-and-energy-efficient than animal-based production.</w:t>
      </w:r>
    </w:p>
    <w:bookmarkEnd w:id="78"/>
    <w:bookmarkStart w:id="79" w:name="food-chains-and-food-webs"/>
    <w:p>
      <w:pPr>
        <w:pStyle w:val="Heading3"/>
      </w:pPr>
      <w:r>
        <w:t xml:space="preserve">55. Food Chains and Food Webs</w:t>
      </w:r>
    </w:p>
    <w:p>
      <w:pPr>
        <w:pStyle w:val="FirstParagraph"/>
      </w:pPr>
      <w:r>
        <w:t xml:space="preserve">Food chains and food webs provide the specific organism-level framework describing how energy, established in Topic 54’s trophic level and energy pyramid discussion, actually flows through particular sequences of feeding relationships within a real ecosystem.</w:t>
      </w:r>
    </w:p>
    <w:p>
      <w:pPr>
        <w:pStyle w:val="BodyText"/>
      </w:pPr>
      <w:r>
        <w:rPr>
          <w:bCs/>
          <w:b/>
        </w:rPr>
        <w:t xml:space="preserve">Food chains.</w:t>
      </w:r>
      <w:r>
        <w:t xml:space="preserve"> </w:t>
      </w:r>
      <w:r>
        <w:t xml:space="preserve">A food chain represents a single, linear sequence of feeding relationships — for example, grass (primary producer) → grasshopper (primary consumer/herbivore) → frog (secondary consumer) → snake (tertiary consumer) → hawk (a further predator level) — with each arrow representing the direction of energy flow from one trophic level to the next, directly illustrating the progressive energy loss described by the 10% rule (Topic 54) at each successive link in the chain.</w:t>
      </w:r>
    </w:p>
    <w:p>
      <w:pPr>
        <w:pStyle w:val="BodyText"/>
      </w:pPr>
      <w:r>
        <w:rPr>
          <w:bCs/>
          <w:b/>
        </w:rPr>
        <w:t xml:space="preserve">Food webs — a more realistic representation.</w:t>
      </w:r>
      <w:r>
        <w:t xml:space="preserve"> </w:t>
      </w:r>
      <w:r>
        <w:t xml:space="preserve">In reality, most organisms within an ecosystem do not feed on just one other single species, and are themselves preyed upon by more than one predator species — a food web represents this more realistic, interconnected network of multiple overlapping food chains within an ecosystem, showing the full complexity of feeding relationships among the many species present, rather than the artificially simplified, single-pathway representation a basic food chain provides.</w:t>
      </w:r>
    </w:p>
    <w:p>
      <w:pPr>
        <w:pStyle w:val="BodyText"/>
      </w:pPr>
      <w:r>
        <w:rPr>
          <w:bCs/>
          <w:b/>
        </w:rPr>
        <w:t xml:space="preserve">Ecological significance of food web complexity.</w:t>
      </w:r>
      <w:r>
        <w:t xml:space="preserve"> </w:t>
      </w:r>
      <w:r>
        <w:t xml:space="preserve">Food webs’ interconnected structure provides important ecosystem resilience: if one particular food source or prey species becomes scarce or temporarily unavailable (due to disease, environmental disturbance, or population fluctuation), predators within a complex food web generally have alternative food sources available (other prey species also present within the web), allowing the broader ecosystem to remain functionally stable despite this disturbance to one particular species or pathway — in contrast, an ecosystem with a highly simplified food web structure (fewer species, fewer alternative feeding pathways) is generally more vulnerable to disruption if any single key species within that limited web is lost, since fewer alternative pathways exist to buffer against that loss, directly connecting to the broader biodiversity conservation rationale discussed extensively in the Environmental Sciences subject.</w:t>
      </w:r>
    </w:p>
    <w:p>
      <w:pPr>
        <w:pStyle w:val="BodyText"/>
      </w:pPr>
      <w:r>
        <w:rPr>
          <w:bCs/>
          <w:b/>
        </w:rPr>
        <w:t xml:space="preserve">Keystone species.</w:t>
      </w:r>
      <w:r>
        <w:t xml:space="preserve"> </w:t>
      </w:r>
      <w:r>
        <w:t xml:space="preserve">Within a food web, certain species (called keystone species) play a disproportionately important structural role relative to their actual abundance — their removal from an ecosystem can trigger disproportionately large cascading effects throughout the rest of the food web, destabilising species relationships and abundances well beyond what the keystone species’ own modest population size might initially suggest, illustrating that food web stability depends not just on overall species diversity, but specifically on the particular structural role certain key species play within that web’s interconnected feeding relationships.</w:t>
      </w:r>
    </w:p>
    <w:p>
      <w:pPr>
        <w:pStyle w:val="BodyText"/>
      </w:pPr>
      <w:r>
        <w:rPr>
          <w:bCs/>
          <w:b/>
        </w:rPr>
        <w:t xml:space="preserve">Key Takeaways</w:t>
      </w:r>
    </w:p>
    <w:p>
      <w:pPr>
        <w:numPr>
          <w:ilvl w:val="0"/>
          <w:numId w:val="1065"/>
        </w:numPr>
        <w:pStyle w:val="Compact"/>
      </w:pPr>
      <w:r>
        <w:t xml:space="preserve">A food chain represents a single linear sequence of feeding relationships; a food web represents the more realistic, interconnected network of multiple overlapping food chains within a real ecosystem.</w:t>
      </w:r>
    </w:p>
    <w:p>
      <w:pPr>
        <w:numPr>
          <w:ilvl w:val="0"/>
          <w:numId w:val="1065"/>
        </w:numPr>
        <w:pStyle w:val="Compact"/>
      </w:pPr>
      <w:r>
        <w:t xml:space="preserve">Food web complexity (multiple alternative feeding pathways) provides ecosystem resilience against disturbance to any single species, in contrast to simplified food webs’ greater vulnerability.</w:t>
      </w:r>
    </w:p>
    <w:p>
      <w:pPr>
        <w:numPr>
          <w:ilvl w:val="0"/>
          <w:numId w:val="1065"/>
        </w:numPr>
        <w:pStyle w:val="Compact"/>
      </w:pPr>
      <w:r>
        <w:t xml:space="preserve">Keystone species play a disproportionately important structural role relative to their abundance, and their loss can trigger cascading destabilising effects throughout the broader food web.</w:t>
      </w:r>
    </w:p>
    <w:bookmarkEnd w:id="79"/>
    <w:bookmarkStart w:id="80" w:name="hydrological-cycle"/>
    <w:p>
      <w:pPr>
        <w:pStyle w:val="Heading3"/>
      </w:pPr>
      <w:r>
        <w:t xml:space="preserve">56. Hydrological Cycle</w:t>
      </w:r>
    </w:p>
    <w:p>
      <w:pPr>
        <w:pStyle w:val="FirstParagraph"/>
      </w:pPr>
      <w:r>
        <w:t xml:space="preserve">The hydrological (water) cycle describes the continuous movement of water through the Earth’s atmosphere, land surface, and living organisms — a process in which plants and vegetation play a significant and often underappreciated active role, extending well beyond simply being one of many passive elements the water cycle happens to pass through.</w:t>
      </w:r>
    </w:p>
    <w:p>
      <w:pPr>
        <w:pStyle w:val="BodyText"/>
      </w:pPr>
      <w:r>
        <w:rPr>
          <w:bCs/>
          <w:b/>
        </w:rPr>
        <w:t xml:space="preserve">Basic hydrological cycle processes.</w:t>
      </w:r>
      <w:r>
        <w:t xml:space="preserve"> </w:t>
      </w:r>
      <w:r>
        <w:t xml:space="preserve">These include evaporation (water transitioning from liquid to vapour, primarily from open water surfaces, driven by solar energy), transpiration (the plant-specific water vapour loss process discussed extensively in Topic 38, together with direct evaporation often jointly referred to as</w:t>
      </w:r>
      <w:r>
        <w:t xml:space="preserve"> </w:t>
      </w:r>
      <w:r>
        <w:t xml:space="preserve">“</w:t>
      </w:r>
      <w:r>
        <w:t xml:space="preserve">evapotranspiration</w:t>
      </w:r>
      <w:r>
        <w:t xml:space="preserve">”</w:t>
      </w:r>
      <w:r>
        <w:t xml:space="preserve"> </w:t>
      </w:r>
      <w:r>
        <w:t xml:space="preserve">when considering vegetated landscapes as a whole), condensation (water vapour transitioning back to liquid form, forming clouds), precipitation (water returning to the land surface as rain, snow, or other forms), and, at the land surface, infiltration (water entering soil) versus surface runoff (water flowing over the land surface toward streams and rivers, rather than infiltrating).</w:t>
      </w:r>
    </w:p>
    <w:p>
      <w:pPr>
        <w:pStyle w:val="BodyText"/>
      </w:pPr>
      <w:r>
        <w:rPr>
          <w:bCs/>
          <w:b/>
        </w:rPr>
        <w:t xml:space="preserve">Vegetation’s active role in the hydrological cycle.</w:t>
      </w:r>
      <w:r>
        <w:t xml:space="preserve"> </w:t>
      </w:r>
      <w:r>
        <w:t xml:space="preserve">Plants influence essentially every stage of the water cycle discussed above: through transpiration, vegetation actively returns substantial water volumes to the atmosphere (in some forest ecosystems, transpiration can represent a majority of total evapotranspiration, meaning forest vegetation plays a major, active role in atmospheric moisture recycling, directly relevant to the deforestation-related regional rainfall pattern disruption discussed in the Environmental Sciences subject); vegetation cover significantly increases water infiltration into soil relative to bare ground (plant roots create channels improving soil water infiltration capacity, and vegetation cover physically slows surface water flow, allowing more time for infiltration rather than rapid runoff, directly connecting to the erosion control and watershed management discussion in the Agriculture &amp; Forestry subject); and vegetation, through root water uptake, directly regulates soil moisture levels and, at a larger scale, influences groundwater recharge rates.</w:t>
      </w:r>
    </w:p>
    <w:p>
      <w:pPr>
        <w:pStyle w:val="BodyText"/>
      </w:pPr>
      <w:r>
        <w:rPr>
          <w:bCs/>
          <w:b/>
        </w:rPr>
        <w:t xml:space="preserve">Watershed-scale significance.</w:t>
      </w:r>
      <w:r>
        <w:t xml:space="preserve"> </w:t>
      </w:r>
      <w:r>
        <w:t xml:space="preserve">This vegetation-hydrology relationship directly underlies the watershed management principles discussed extensively in the Agriculture &amp; Forestry subject (Topic 42 there) — forested watersheds generally produce more gradual, sustained stream flow (since vegetation-enhanced infiltration allows more water to enter and be gradually released from groundwater storage rather than rapidly running off the surface) compared to deforested watersheds, which tend to produce more extreme</w:t>
      </w:r>
      <w:r>
        <w:t xml:space="preserve"> </w:t>
      </w:r>
      <w:r>
        <w:t xml:space="preserve">“</w:t>
      </w:r>
      <w:r>
        <w:t xml:space="preserve">flashy</w:t>
      </w:r>
      <w:r>
        <w:t xml:space="preserve">”</w:t>
      </w:r>
      <w:r>
        <w:t xml:space="preserve"> </w:t>
      </w:r>
      <w:r>
        <w:t xml:space="preserve">runoff response to rainfall events, with both greater flood risk during and immediately after rain events and reduced sustained flow during dry periods — directly explaining, from a plant ecology and hydrology perspective, why forest and vegetation cover is so directly connected to water security, as discussed extensively throughout both this subject and the Agriculture &amp; Forestry subject.</w:t>
      </w:r>
    </w:p>
    <w:p>
      <w:pPr>
        <w:pStyle w:val="BodyText"/>
      </w:pPr>
      <w:r>
        <w:rPr>
          <w:bCs/>
          <w:b/>
        </w:rPr>
        <w:t xml:space="preserve">Key Takeaways</w:t>
      </w:r>
    </w:p>
    <w:p>
      <w:pPr>
        <w:numPr>
          <w:ilvl w:val="0"/>
          <w:numId w:val="1066"/>
        </w:numPr>
        <w:pStyle w:val="Compact"/>
      </w:pPr>
      <w:r>
        <w:t xml:space="preserve">The hydrological cycle encompasses evaporation, transpiration (jointly</w:t>
      </w:r>
      <w:r>
        <w:t xml:space="preserve"> </w:t>
      </w:r>
      <w:r>
        <w:t xml:space="preserve">“</w:t>
      </w:r>
      <w:r>
        <w:t xml:space="preserve">evapotranspiration</w:t>
      </w:r>
      <w:r>
        <w:t xml:space="preserve">”</w:t>
      </w:r>
      <w:r>
        <w:t xml:space="preserve"> </w:t>
      </w:r>
      <w:r>
        <w:t xml:space="preserve">for vegetated landscapes), condensation, precipitation, infiltration, and runoff.</w:t>
      </w:r>
    </w:p>
    <w:p>
      <w:pPr>
        <w:numPr>
          <w:ilvl w:val="0"/>
          <w:numId w:val="1066"/>
        </w:numPr>
        <w:pStyle w:val="Compact"/>
      </w:pPr>
      <w:r>
        <w:t xml:space="preserve">Vegetation actively influences the water cycle at multiple stages — returning substantial water to the atmosphere via transpiration, and significantly increasing soil infiltration relative to bare ground.</w:t>
      </w:r>
    </w:p>
    <w:p>
      <w:pPr>
        <w:numPr>
          <w:ilvl w:val="0"/>
          <w:numId w:val="1066"/>
        </w:numPr>
        <w:pStyle w:val="Compact"/>
      </w:pPr>
      <w:r>
        <w:t xml:space="preserve">Forested watersheds produce more gradual, sustained stream flow compared to deforested watersheds’ more extreme</w:t>
      </w:r>
      <w:r>
        <w:t xml:space="preserve"> </w:t>
      </w:r>
      <w:r>
        <w:t xml:space="preserve">“</w:t>
      </w:r>
      <w:r>
        <w:t xml:space="preserve">flashy</w:t>
      </w:r>
      <w:r>
        <w:t xml:space="preserve">”</w:t>
      </w:r>
      <w:r>
        <w:t xml:space="preserve"> </w:t>
      </w:r>
      <w:r>
        <w:t xml:space="preserve">runoff response, directly explaining the strong connection between forest cover and water security discussed throughout this subject and the Agriculture &amp; Forestry subject.</w:t>
      </w:r>
    </w:p>
    <w:bookmarkEnd w:id="80"/>
    <w:bookmarkStart w:id="81" w:name="nitrogen-cycle"/>
    <w:p>
      <w:pPr>
        <w:pStyle w:val="Heading3"/>
      </w:pPr>
      <w:r>
        <w:t xml:space="preserve">57. Nitrogen Cycle</w:t>
      </w:r>
    </w:p>
    <w:p>
      <w:pPr>
        <w:pStyle w:val="FirstParagraph"/>
      </w:pPr>
      <w:r>
        <w:t xml:space="preserve">The nitrogen cycle describes the continuous movement of nitrogen through the atmosphere, soil, living organisms, and back again, addressing a nutrient of particular biological importance (given nitrogen’s essential role in proteins and nucleic acids, discussed in the mineral nutrition topic, Topic 39) but one requiring specific biological transformation processes before it becomes usable by most organisms, given atmospheric nitrogen gas’s chemically stable, biologically inaccessible form.</w:t>
      </w:r>
    </w:p>
    <w:p>
      <w:pPr>
        <w:pStyle w:val="BodyText"/>
      </w:pPr>
      <w:r>
        <w:rPr>
          <w:bCs/>
          <w:b/>
        </w:rPr>
        <w:t xml:space="preserve">Key nitrogen cycle processes:</w:t>
      </w:r>
    </w:p>
    <w:p>
      <w:pPr>
        <w:numPr>
          <w:ilvl w:val="0"/>
          <w:numId w:val="1067"/>
        </w:numPr>
        <w:pStyle w:val="Compact"/>
      </w:pPr>
      <w:r>
        <w:rPr>
          <w:bCs/>
          <w:b/>
        </w:rPr>
        <w:t xml:space="preserve">Nitrogen fixation</w:t>
      </w:r>
      <w:r>
        <w:t xml:space="preserve"> </w:t>
      </w:r>
      <w:r>
        <w:t xml:space="preserve">— the conversion of atmospheric nitrogen gas (N2) into biologically usable forms (primarily ammonia), carried out primarily by specific nitrogen-fixing bacteria (including the symbiotic</w:t>
      </w:r>
      <w:r>
        <w:t xml:space="preserve"> </w:t>
      </w:r>
      <w:r>
        <w:rPr>
          <w:iCs/>
          <w:i/>
        </w:rPr>
        <w:t xml:space="preserve">Rhizobium</w:t>
      </w:r>
      <w:r>
        <w:t xml:space="preserve"> </w:t>
      </w:r>
      <w:r>
        <w:t xml:space="preserve">bacteria discussed extensively in the Agriculture &amp; Forestry subject’s biological nitrogen fixation topic, and various free-living nitrogen-fixing soil bacteria and cyanobacteria, Topic 2 in this subject), representing the essential entry point through which atmospheric nitrogen becomes available to the broader biological nitrogen cycle.</w:t>
      </w:r>
    </w:p>
    <w:p>
      <w:pPr>
        <w:numPr>
          <w:ilvl w:val="0"/>
          <w:numId w:val="1067"/>
        </w:numPr>
        <w:pStyle w:val="Compact"/>
      </w:pPr>
      <w:r>
        <w:rPr>
          <w:bCs/>
          <w:b/>
        </w:rPr>
        <w:t xml:space="preserve">Nitrification</w:t>
      </w:r>
      <w:r>
        <w:t xml:space="preserve"> </w:t>
      </w:r>
      <w:r>
        <w:t xml:space="preserve">— the further bacterial conversion of ammonia into nitrite and then nitrate, the specific chemical forms of nitrogen most readily absorbed and utilised by plant roots (connecting to the mineral nutrition discussion in Topic 39), carried out by specialised nitrifying bacteria present in most healthy soils.</w:t>
      </w:r>
    </w:p>
    <w:p>
      <w:pPr>
        <w:numPr>
          <w:ilvl w:val="0"/>
          <w:numId w:val="1067"/>
        </w:numPr>
        <w:pStyle w:val="Compact"/>
      </w:pPr>
      <w:r>
        <w:rPr>
          <w:bCs/>
          <w:b/>
        </w:rPr>
        <w:t xml:space="preserve">Assimilation</w:t>
      </w:r>
      <w:r>
        <w:t xml:space="preserve"> </w:t>
      </w:r>
      <w:r>
        <w:t xml:space="preserve">— plants absorbing nitrate (or, to a lesser extent, ammonia) from soil and incorporating this nitrogen into organic molecules, particularly amino acids and proteins, making this nitrogen available to enter the food web (Topic 55) as herbivores and subsequent consumers eat plant material and incorporate plant-derived nitrogen into their own tissue.</w:t>
      </w:r>
    </w:p>
    <w:p>
      <w:pPr>
        <w:numPr>
          <w:ilvl w:val="0"/>
          <w:numId w:val="1067"/>
        </w:numPr>
        <w:pStyle w:val="Compact"/>
      </w:pPr>
      <w:r>
        <w:rPr>
          <w:bCs/>
          <w:b/>
        </w:rPr>
        <w:t xml:space="preserve">Ammonification/decomposition</w:t>
      </w:r>
      <w:r>
        <w:t xml:space="preserve"> </w:t>
      </w:r>
      <w:r>
        <w:t xml:space="preserve">— decomposer organisms (bacteria and fungi, Topic 6) breaking down dead organic matter (from all trophic levels, connecting to Topic 54) and waste products, releasing the nitrogen contained within this organic matter back into the soil in ammonia form, available for renewed nitrification and plant uptake.</w:t>
      </w:r>
    </w:p>
    <w:p>
      <w:pPr>
        <w:numPr>
          <w:ilvl w:val="0"/>
          <w:numId w:val="1067"/>
        </w:numPr>
        <w:pStyle w:val="Compact"/>
      </w:pPr>
      <w:r>
        <w:rPr>
          <w:bCs/>
          <w:b/>
        </w:rPr>
        <w:t xml:space="preserve">Denitrification</w:t>
      </w:r>
      <w:r>
        <w:t xml:space="preserve"> </w:t>
      </w:r>
      <w:r>
        <w:t xml:space="preserve">— specific bacteria (functioning primarily under low-oxygen, waterlogged soil conditions, directly connecting to the waterlogging discussion in the Agriculture &amp; Forestry subject) converting soil nitrate back into atmospheric nitrogen gas, completing the cycle by returning fixed nitrogen back to the atmospheric nitrogen pool.</w:t>
      </w:r>
    </w:p>
    <w:p>
      <w:pPr>
        <w:pStyle w:val="FirstParagraph"/>
      </w:pPr>
      <w:r>
        <w:rPr>
          <w:bCs/>
          <w:b/>
        </w:rPr>
        <w:t xml:space="preserve">Human disruption of the natural nitrogen cycle.</w:t>
      </w:r>
      <w:r>
        <w:t xml:space="preserve"> </w:t>
      </w:r>
      <w:r>
        <w:t xml:space="preserve">Industrial synthetic nitrogen fertiliser production (via the Haber-Bosch process, which artificially fixes atmospheric nitrogen at industrial scale) has dramatically increased the total quantity of biologically available nitrogen entering ecosystems globally, well beyond natural nitrogen fixation rates — while this has enabled the substantially increased agricultural productivity essential to feeding a much larger global population than natural soil fertility alone could support, it has also significantly disrupted the natural nitrogen cycle’s balance, contributing directly to the water pollution and eutrophication problems (excess nitrogen runoff, discussed extensively in the Environmental Sciences subject) and air pollution/greenhouse gas concerns (nitrogen oxide emissions, and nitrous oxide, a potent greenhouse gas released partly through excessive fertiliser-driven denitrification) associated with intensive modern agricultural nitrogen management, directly connecting this fundamental ecological cycle to the environmental sustainability challenges discussed throughout the Agriculture &amp; Forestry and Environmental Sciences subjects.</w:t>
      </w:r>
    </w:p>
    <w:p>
      <w:pPr>
        <w:pStyle w:val="BodyText"/>
      </w:pPr>
      <w:r>
        <w:rPr>
          <w:bCs/>
          <w:b/>
        </w:rPr>
        <w:t xml:space="preserve">Key Takeaways</w:t>
      </w:r>
    </w:p>
    <w:p>
      <w:pPr>
        <w:numPr>
          <w:ilvl w:val="0"/>
          <w:numId w:val="1068"/>
        </w:numPr>
        <w:pStyle w:val="Compact"/>
      </w:pPr>
      <w:r>
        <w:t xml:space="preserve">The nitrogen cycle moves nitrogen through fixation (converting atmospheric N2 to usable ammonia, primarily via bacteria), nitrification (ammonia to plant-available nitrate), assimilation (plant uptake into organic molecules), ammonification (decomposition releasing nitrogen back to soil), and denitrification (returning nitrogen to the atmosphere).</w:t>
      </w:r>
    </w:p>
    <w:p>
      <w:pPr>
        <w:numPr>
          <w:ilvl w:val="0"/>
          <w:numId w:val="1068"/>
        </w:numPr>
        <w:pStyle w:val="Compact"/>
      </w:pPr>
      <w:r>
        <w:t xml:space="preserve">Synthetic industrial nitrogen fertiliser (via the Haber-Bosch process) has dramatically increased biologically available nitrogen beyond natural cycle rates, enabling greater agricultural productivity but also significantly disrupting the natural cycle’s balance.</w:t>
      </w:r>
    </w:p>
    <w:p>
      <w:pPr>
        <w:numPr>
          <w:ilvl w:val="0"/>
          <w:numId w:val="1068"/>
        </w:numPr>
        <w:pStyle w:val="Compact"/>
      </w:pPr>
      <w:r>
        <w:t xml:space="preserve">This disruption directly connects to water pollution/eutrophication from nitrogen runoff and greenhouse gas emissions from excessive fertiliser use, linking this ecological cycle to broader environmental sustainability challenges.</w:t>
      </w:r>
    </w:p>
    <w:bookmarkEnd w:id="81"/>
    <w:bookmarkStart w:id="82" w:name="ecological-succession"/>
    <w:p>
      <w:pPr>
        <w:pStyle w:val="Heading3"/>
      </w:pPr>
      <w:r>
        <w:t xml:space="preserve">58. Ecological Succession</w:t>
      </w:r>
    </w:p>
    <w:p>
      <w:pPr>
        <w:pStyle w:val="FirstParagraph"/>
      </w:pPr>
      <w:r>
        <w:t xml:space="preserve">Ecological succession describes the predictable, progressive process by which plant community composition changes over time following a disturbance or on newly available substrate — a foundational ecological concept explaining how ecosystems develop and recover, directly relevant to understanding both natural ecosystem dynamics and restoration/afforestation efforts discussed extensively in the Agriculture &amp; Forestry subject.</w:t>
      </w:r>
    </w:p>
    <w:p>
      <w:pPr>
        <w:pStyle w:val="BodyText"/>
      </w:pPr>
      <w:r>
        <w:rPr>
          <w:bCs/>
          <w:b/>
        </w:rPr>
        <w:t xml:space="preserve">Primary succession.</w:t>
      </w:r>
      <w:r>
        <w:t xml:space="preserve"> </w:t>
      </w:r>
      <w:r>
        <w:t xml:space="preserve">This occurs on entirely new substrate that has never previously supported vegetation (such as bare rock exposed by glacial retreat, newly formed volcanic land, or exposed sand dunes), beginning with pioneer species specifically adapted to survive extremely harsh, nutrient-poor initial conditions (often including lichens and certain hardy, stress-tolerant plant species capable of establishing on bare mineral substrate with essentially no existing soil), which gradually, through their own growth, death, and decomposition, begin building organic matter and initial soil structure, progressively creating conditions suitable for subsequent, less stress-tolerant but more competitively vigorous plant species to establish.</w:t>
      </w:r>
    </w:p>
    <w:p>
      <w:pPr>
        <w:pStyle w:val="BodyText"/>
      </w:pPr>
      <w:r>
        <w:rPr>
          <w:bCs/>
          <w:b/>
        </w:rPr>
        <w:t xml:space="preserve">Secondary succession.</w:t>
      </w:r>
      <w:r>
        <w:t xml:space="preserve"> </w:t>
      </w:r>
      <w:r>
        <w:t xml:space="preserve">This occurs on substrate that previously supported vegetation but has experienced a disturbance removing that vegetation (such as agricultural land abandonment, forest clearing followed by cessation of active use, or recovery following fire or other natural disturbance) — because existing soil, seed banks, and root systems typically remain largely intact even after vegetation removal, secondary succession generally proceeds considerably faster than primary succession, since the fundamental soil-building process required at the start of primary succession is largely unnecessary.</w:t>
      </w:r>
    </w:p>
    <w:p>
      <w:pPr>
        <w:pStyle w:val="BodyText"/>
      </w:pPr>
      <w:r>
        <w:rPr>
          <w:bCs/>
          <w:b/>
        </w:rPr>
        <w:t xml:space="preserve">The general successional sequence.</w:t>
      </w:r>
      <w:r>
        <w:t xml:space="preserve"> </w:t>
      </w:r>
      <w:r>
        <w:t xml:space="preserve">Both primary and secondary succession typically proceed through a broadly similar general pattern: pioneer/early successional species (fast-growing, well-dispersing species tolerant of the open, resource-rich but often environmentally harsher conditions characteristic of newly disturbed or newly available sites) are progressively replaced over time by intermediate successional species, and eventually by climax community species (longer-lived, often larger and more shade-tolerant species capable of establishing and persisting under the more resource-limited, competitive conditions found within an already well-established, denser plant community) — with the specific climax community composition ultimately reached depending on the specific climatic, edaphic, and biotic factors (Topic 51) characteristic of that particular location.</w:t>
      </w:r>
    </w:p>
    <w:p>
      <w:pPr>
        <w:pStyle w:val="BodyText"/>
      </w:pPr>
      <w:r>
        <w:rPr>
          <w:bCs/>
          <w:b/>
        </w:rPr>
        <w:t xml:space="preserve">Practical relevance to restoration and afforestation.</w:t>
      </w:r>
      <w:r>
        <w:t xml:space="preserve"> </w:t>
      </w:r>
      <w:r>
        <w:t xml:space="preserve">Understanding successional processes has direct practical significance for the afforestation and restoration initiatives discussed extensively in the Agriculture &amp; Forestry subject — recognising whether a given restoration site requires primary succession-style soil-building interventions or can rely on secondary succession’s generally faster natural recovery process, and understanding which pioneer species are appropriate for initial establishment versus which climax species are better suited for eventual longer-term forest composition, directly informs effective, appropriately sequenced restoration planning rather than attempting to establish climax-stage species prematurely on sites not yet ecologically prepared to support them.</w:t>
      </w:r>
    </w:p>
    <w:p>
      <w:pPr>
        <w:pStyle w:val="BodyText"/>
      </w:pPr>
      <w:r>
        <w:rPr>
          <w:bCs/>
          <w:b/>
        </w:rPr>
        <w:t xml:space="preserve">Key Takeaways</w:t>
      </w:r>
    </w:p>
    <w:p>
      <w:pPr>
        <w:numPr>
          <w:ilvl w:val="0"/>
          <w:numId w:val="1069"/>
        </w:numPr>
        <w:pStyle w:val="Compact"/>
      </w:pPr>
      <w:r>
        <w:t xml:space="preserve">Primary succession occurs on entirely new substrate (bare rock, volcanic land), beginning with hardy pioneer species that gradually build soil; secondary succession occurs on previously vegetated land following disturbance, generally proceeding faster given intact soil and seed banks.</w:t>
      </w:r>
    </w:p>
    <w:p>
      <w:pPr>
        <w:numPr>
          <w:ilvl w:val="0"/>
          <w:numId w:val="1069"/>
        </w:numPr>
        <w:pStyle w:val="Compact"/>
      </w:pPr>
      <w:r>
        <w:t xml:space="preserve">Both types typically progress from fast-growing pioneer species through intermediate species to a more stable climax community, with climax composition depending on local climatic, edaphic, and biotic conditions.</w:t>
      </w:r>
    </w:p>
    <w:p>
      <w:pPr>
        <w:numPr>
          <w:ilvl w:val="0"/>
          <w:numId w:val="1069"/>
        </w:numPr>
        <w:pStyle w:val="Compact"/>
      </w:pPr>
      <w:r>
        <w:t xml:space="preserve">Understanding successional stages directly informs effective restoration and afforestation planning, including appropriate species selection sequencing rather than premature attempts to establish climax-stage species.</w:t>
      </w:r>
    </w:p>
    <w:bookmarkEnd w:id="82"/>
    <w:bookmarkStart w:id="83" w:name="X2872035c170d7d34e88a4d9c067cb67fd066e92"/>
    <w:p>
      <w:pPr>
        <w:pStyle w:val="Heading3"/>
      </w:pPr>
      <w:r>
        <w:t xml:space="preserve">59. Salinity, Waterlogging and Soil Conservation in Pakistan</w:t>
      </w:r>
    </w:p>
    <w:p>
      <w:pPr>
        <w:pStyle w:val="FirstParagraph"/>
      </w:pPr>
      <w:r>
        <w:t xml:space="preserve">This topic addresses the plant ecological and physiological dimension of salinity, waterlogging, and soil conservation — building directly on the physiological mechanisms established in Topics 36 (water potential) and 39 (mineral nutrition), and connecting comprehensively to the extensive agricultural management treatment of these same issues in the Agriculture &amp; Forestry subject (Topics 14–15 there).</w:t>
      </w:r>
    </w:p>
    <w:p>
      <w:pPr>
        <w:pStyle w:val="BodyText"/>
      </w:pPr>
      <w:r>
        <w:rPr>
          <w:bCs/>
          <w:b/>
        </w:rPr>
        <w:t xml:space="preserve">Physiological basis of salinity stress, revisited from a plant ecology perspective.</w:t>
      </w:r>
      <w:r>
        <w:t xml:space="preserve"> </w:t>
      </w:r>
      <w:r>
        <w:t xml:space="preserve">As established in Topic 36, highly saline soil water has a substantially lowered (more negative) water potential due to its high dissolved solute concentration, which can, in severe cases, reduce or even reverse the normal water potential gradient plants depend on for water uptake, effectively inducing physiological drought stress even when soil water content is technically adequate — this phenomenon explains why salt-affected land, despite sometimes retaining substantial soil moisture, functions ecologically similarly to genuinely water-scarce, drought-prone land as far as plant water availability and vegetation type are concerned. Beyond this osmotic effect, specific ion toxicity (particularly from excess sodium and chloride ions, which can directly disrupt cellular processes and enzyme function, connecting to Topic 44) represents an additional, distinct mechanism through which salinity damages plant tissue.</w:t>
      </w:r>
    </w:p>
    <w:p>
      <w:pPr>
        <w:pStyle w:val="BodyText"/>
      </w:pPr>
      <w:r>
        <w:rPr>
          <w:bCs/>
          <w:b/>
        </w:rPr>
        <w:t xml:space="preserve">Halophytes and salt-tolerance mechanisms.</w:t>
      </w:r>
      <w:r>
        <w:t xml:space="preserve"> </w:t>
      </w:r>
      <w:r>
        <w:t xml:space="preserve">Certain plant species (halophytes) have evolved specific physiological adaptations enabling successful growth even under significant salinity stress, including mechanisms to actively exclude salt uptake at the root level, to sequester absorbed salt within specific plant tissues or cell compartments (away from more sensitive metabolic machinery), or to actively excrete excess absorbed salt through specialised glands — understanding these natural halophyte adaptations directly informs the salt-tolerant crop variety breeding efforts discussed in the Agriculture &amp; Forestry subject.</w:t>
      </w:r>
    </w:p>
    <w:p>
      <w:pPr>
        <w:pStyle w:val="BodyText"/>
      </w:pPr>
      <w:r>
        <w:rPr>
          <w:bCs/>
          <w:b/>
        </w:rPr>
        <w:t xml:space="preserve">Vegetation’s role in soil conservation, connecting to Topic 56.</w:t>
      </w:r>
      <w:r>
        <w:t xml:space="preserve"> </w:t>
      </w:r>
      <w:r>
        <w:t xml:space="preserve">As established in the hydrological cycle discussion, vegetation cover directly reduces soil erosion risk (through root-based soil stabilisation and canopy interception reducing rainfall’s direct erosive impact on exposed soil) and improves water infiltration (reducing waterlogging risk by allowing more efficient water movement into and through soil rather than pooling at the surface) — meaning maintaining adequate vegetation cover represents a genuinely ecological, plant-community-level approach to soil conservation, directly complementing the more specifically agricultural/engineering conservation practices (contour farming, terracing, drainage infrastructure) discussed in the Agriculture &amp; Forestry subject.</w:t>
      </w:r>
    </w:p>
    <w:p>
      <w:pPr>
        <w:pStyle w:val="BodyText"/>
      </w:pPr>
      <w:r>
        <w:rPr>
          <w:bCs/>
          <w:b/>
        </w:rPr>
        <w:t xml:space="preserve">Pakistan-specific ecological significance.</w:t>
      </w:r>
      <w:r>
        <w:t xml:space="preserve"> </w:t>
      </w:r>
      <w:r>
        <w:t xml:space="preserve">Given the very substantial scale of salinity and waterlogging affecting Pakistan’s Indus Basin agricultural land (discussed extensively in the Agriculture &amp; Forestry subject), understanding the underlying plant ecological and physiological principles addressed in this topic provides essential scientific foundation for both remediation approaches (including biosaline agriculture, using halophyte and salt-tolerant species to gradually stabilise and improve severely affected land) and prevention strategies (maintaining adequate vegetation cover and appropriate water management to avoid inducing salinity and waterlogging in currently unaffected land).</w:t>
      </w:r>
    </w:p>
    <w:p>
      <w:pPr>
        <w:pStyle w:val="BodyText"/>
      </w:pPr>
      <w:r>
        <w:rPr>
          <w:bCs/>
          <w:b/>
        </w:rPr>
        <w:t xml:space="preserve">Key Takeaways</w:t>
      </w:r>
    </w:p>
    <w:p>
      <w:pPr>
        <w:numPr>
          <w:ilvl w:val="0"/>
          <w:numId w:val="1070"/>
        </w:numPr>
        <w:pStyle w:val="Compact"/>
      </w:pPr>
      <w:r>
        <w:t xml:space="preserve">Salinity stress operates through both an osmotic mechanism (lowering soil water potential, inducing physiological drought stress) and direct ion toxicity, explaining why salt-affected land ecologically resembles drought-prone land regardless of actual soil moisture content.</w:t>
      </w:r>
    </w:p>
    <w:p>
      <w:pPr>
        <w:numPr>
          <w:ilvl w:val="0"/>
          <w:numId w:val="1070"/>
        </w:numPr>
        <w:pStyle w:val="Compact"/>
      </w:pPr>
      <w:r>
        <w:t xml:space="preserve">Halophyte plants have evolved specific salt-exclusion, sequestration, or excretion adaptations, directly informing salt-tolerant crop breeding efforts.</w:t>
      </w:r>
    </w:p>
    <w:p>
      <w:pPr>
        <w:numPr>
          <w:ilvl w:val="0"/>
          <w:numId w:val="1070"/>
        </w:numPr>
        <w:pStyle w:val="Compact"/>
      </w:pPr>
      <w:r>
        <w:t xml:space="preserve">Vegetation cover provides genuine ecological soil conservation value through erosion reduction and improved water infiltration, complementing the specifically agricultural/engineering conservation practices discussed in the Agriculture &amp; Forestry subject.</w:t>
      </w:r>
    </w:p>
    <w:bookmarkEnd w:id="83"/>
    <w:bookmarkStart w:id="84" w:name="deforestation-and-biodiversity-loss"/>
    <w:p>
      <w:pPr>
        <w:pStyle w:val="Heading3"/>
      </w:pPr>
      <w:r>
        <w:t xml:space="preserve">60. Deforestation and Biodiversity Loss</w:t>
      </w:r>
    </w:p>
    <w:p>
      <w:pPr>
        <w:pStyle w:val="FirstParagraph"/>
      </w:pPr>
      <w:r>
        <w:t xml:space="preserve">This topic examines deforestation’s ecological mechanisms and consequences from a plant ecology perspective, directly complementing and extending the extensive treatment of deforestation’s causes and policy responses in the Environmental Sciences subject (Topic 36 there) and the Agriculture &amp; Forestry subject’s forestry sector discussion.</w:t>
      </w:r>
    </w:p>
    <w:p>
      <w:pPr>
        <w:pStyle w:val="BodyText"/>
      </w:pPr>
      <w:r>
        <w:rPr>
          <w:bCs/>
          <w:b/>
        </w:rPr>
        <w:t xml:space="preserve">Ecological mechanisms of biodiversity loss from deforestation.</w:t>
      </w:r>
      <w:r>
        <w:t xml:space="preserve"> </w:t>
      </w:r>
      <w:r>
        <w:t xml:space="preserve">Deforestation reduces biodiversity through several interconnected ecological mechanisms: direct habitat loss (the most immediate and significant mechanism, since forest-dependent species simply lose the specific habitat structure and resources, discussed in Topic 53’s ecosystem structure treatment, that forest ecosystems uniquely provide); habitat fragmentation (even when some forest patches remain following partial deforestation, the remaining patches are often too small and too isolated from one another to support viable populations of forest-dependent species, particularly those requiring large territory ranges or those poorly able to disperse across the cleared, unsuitable habitat separating remaining forest fragments); and edge effects (the altered microclimate and increased exposure to external disturbance, such as wind, temperature extremes, and invasive species, characteristic of the boundary zone between remaining forest and adjacent cleared land, which can degrade habitat quality even within forest areas immediately adjacent to clearing, beyond the directly cleared area itself).</w:t>
      </w:r>
    </w:p>
    <w:p>
      <w:pPr>
        <w:pStyle w:val="BodyText"/>
      </w:pPr>
      <w:r>
        <w:rPr>
          <w:bCs/>
          <w:b/>
        </w:rPr>
        <w:t xml:space="preserve">Loss of ecosystem services beyond direct biodiversity impact.</w:t>
      </w:r>
      <w:r>
        <w:t xml:space="preserve"> </w:t>
      </w:r>
      <w:r>
        <w:t xml:space="preserve">Connecting to the hydrological cycle discussion in Topic 56, deforestation disrupts watershed function (reduced infiltration, increased erosion, and more extreme</w:t>
      </w:r>
      <w:r>
        <w:t xml:space="preserve"> </w:t>
      </w:r>
      <w:r>
        <w:t xml:space="preserve">“</w:t>
      </w:r>
      <w:r>
        <w:t xml:space="preserve">flashy</w:t>
      </w:r>
      <w:r>
        <w:t xml:space="preserve">”</w:t>
      </w:r>
      <w:r>
        <w:t xml:space="preserve"> </w:t>
      </w:r>
      <w:r>
        <w:t xml:space="preserve">runoff response); connecting to Topic 57, deforestation disrupts nutrient cycling (since forest vegetation and the specific decomposer communities forests support play a significant role in nutrient retention and cycling within forest ecosystems); and, as discussed extensively in the Environmental Sciences subject, deforestation reduces carbon sequestration capacity, contributing to climate change.</w:t>
      </w:r>
    </w:p>
    <w:p>
      <w:pPr>
        <w:pStyle w:val="BodyText"/>
      </w:pPr>
      <w:r>
        <w:rPr>
          <w:bCs/>
          <w:b/>
        </w:rPr>
        <w:t xml:space="preserve">Successional recovery potential following deforestation.</w:t>
      </w:r>
      <w:r>
        <w:t xml:space="preserve"> </w:t>
      </w:r>
      <w:r>
        <w:t xml:space="preserve">Connecting directly to Topic 58’s succession discussion, cleared forest land can, in principle, undergo secondary succession and eventually recover toward forest cover if human pressure (continued clearing, grazing, or other disturbance) is removed — but the pace and completeness of this natural recovery varies considerably depending on factors including the severity and duration of the original disturbance, remaining soil condition, proximity to intact forest seed sources capable of naturally recolonising the cleared area, and whether the specific biodiversity lost (particularly less mobile or highly habitat-specialised species) can successfully recolonise the recovering area at all, meaning natural secondary succession alone does not necessarily fully restore the original biodiversity and ecosystem function even after vegetation cover itself substantially recovers.</w:t>
      </w:r>
    </w:p>
    <w:p>
      <w:pPr>
        <w:pStyle w:val="BodyText"/>
      </w:pPr>
      <w:r>
        <w:rPr>
          <w:bCs/>
          <w:b/>
        </w:rPr>
        <w:t xml:space="preserve">Relevance to Pakistan’s afforestation policy.</w:t>
      </w:r>
      <w:r>
        <w:t xml:space="preserve"> </w:t>
      </w:r>
      <w:r>
        <w:t xml:space="preserve">This ecological understanding directly informs the design considerations for Pakistan’s large-scale afforestation initiatives discussed extensively in the Agriculture &amp; Forestry subject — effective restoration aiming to genuinely recover biodiversity value, not merely tree cover statistics, requires attention to habitat connectivity (avoiding excessive fragmentation of restored areas), appropriate native species selection supporting genuine ecological function (rather than simple monoculture plantation, Topic 41 in the Agriculture &amp; Forestry subject), and recognition that full biodiversity recovery may require considerably more time and more careful ecological design than simply achieving tree cover targets alone.</w:t>
      </w:r>
    </w:p>
    <w:p>
      <w:pPr>
        <w:pStyle w:val="BodyText"/>
      </w:pPr>
      <w:r>
        <w:rPr>
          <w:bCs/>
          <w:b/>
        </w:rPr>
        <w:t xml:space="preserve">Key Takeaways</w:t>
      </w:r>
    </w:p>
    <w:p>
      <w:pPr>
        <w:numPr>
          <w:ilvl w:val="0"/>
          <w:numId w:val="1071"/>
        </w:numPr>
        <w:pStyle w:val="Compact"/>
      </w:pPr>
      <w:r>
        <w:t xml:space="preserve">Deforestation causes biodiversity loss through direct habitat loss, habitat fragmentation (isolating remaining forest patches below viable population thresholds), and edge effects degrading habitat quality near forest boundaries.</w:t>
      </w:r>
    </w:p>
    <w:p>
      <w:pPr>
        <w:numPr>
          <w:ilvl w:val="0"/>
          <w:numId w:val="1071"/>
        </w:numPr>
        <w:pStyle w:val="Compact"/>
      </w:pPr>
      <w:r>
        <w:t xml:space="preserve">Beyond direct biodiversity impact, deforestation disrupts watershed function, nutrient cycling, and carbon sequestration capacity.</w:t>
      </w:r>
    </w:p>
    <w:p>
      <w:pPr>
        <w:numPr>
          <w:ilvl w:val="0"/>
          <w:numId w:val="1071"/>
        </w:numPr>
        <w:pStyle w:val="Compact"/>
      </w:pPr>
      <w:r>
        <w:t xml:space="preserve">While secondary succession can enable natural recovery following deforestation if human pressure is removed, full biodiversity recovery is not guaranteed and depends on habitat connectivity, remaining soil condition, and proximity to seed sources — directly informing effective afforestation design beyond simple tree cover targets.</w:t>
      </w:r>
    </w:p>
    <w:bookmarkEnd w:id="84"/>
    <w:bookmarkStart w:id="85" w:name="environmental-pollution-and-plants"/>
    <w:p>
      <w:pPr>
        <w:pStyle w:val="Heading3"/>
      </w:pPr>
      <w:r>
        <w:t xml:space="preserve">61. Environmental Pollution and Plants</w:t>
      </w:r>
    </w:p>
    <w:p>
      <w:pPr>
        <w:pStyle w:val="FirstParagraph"/>
      </w:pPr>
      <w:r>
        <w:t xml:space="preserve">Environmental pollution affects plants through several distinct mechanisms, and plants, in turn, can serve as both indicators of pollution levels and, in some applications, active tools for pollution remediation — connecting the plant physiology principles established throughout this section to the pollution topics discussed extensively in the Environmental Sciences subject.</w:t>
      </w:r>
    </w:p>
    <w:p>
      <w:pPr>
        <w:pStyle w:val="BodyText"/>
      </w:pPr>
      <w:r>
        <w:rPr>
          <w:bCs/>
          <w:b/>
        </w:rPr>
        <w:t xml:space="preserve">Air pollution effects on plants.</w:t>
      </w:r>
      <w:r>
        <w:t xml:space="preserve"> </w:t>
      </w:r>
      <w:r>
        <w:t xml:space="preserve">Several air pollutants directly damage plant tissue: sulphur dioxide and nitrogen oxides (Topics 30, 41 in the Environmental Sciences subject) can directly damage leaf tissue upon absorption through stomata, and contribute to acid rain, which can leach essential soil nutrients (connecting to Topic 39) and damage plant root systems and overall soil fertility; ground-level ozone (Topic 30 in that subject) is particularly damaging to plant tissue, causing visible leaf damage (characteristic stippling or bronzing symptoms) and measurably reducing photosynthetic capacity (Topics 45–47) and overall crop yield in ozone-sensitive species, representing a documented and economically significant agricultural productivity concern in regions with elevated ground-level ozone pollution.</w:t>
      </w:r>
    </w:p>
    <w:p>
      <w:pPr>
        <w:pStyle w:val="BodyText"/>
      </w:pPr>
      <w:r>
        <w:rPr>
          <w:bCs/>
          <w:b/>
        </w:rPr>
        <w:t xml:space="preserve">Soil and water pollution effects on plants.</w:t>
      </w:r>
      <w:r>
        <w:t xml:space="preserve"> </w:t>
      </w:r>
      <w:r>
        <w:t xml:space="preserve">Heavy metal contamination (connecting to the soil pollution discussion in the Environmental Sciences subject) can be absorbed by plant roots and, depending on the specific metal and plant species, either cause direct toxicity to the plant itself (disrupting enzyme function, Topic 44, and other essential cellular processes) or accumulate within plant tissue without necessarily severely harming the plant itself, but creating a food safety concern if that contaminated plant tissue is subsequently consumed as food, directly connecting to the food chain bioaccumulation concept and public health risk discussed in the Environmental Sciences subject’s environmental toxicology topic.</w:t>
      </w:r>
    </w:p>
    <w:p>
      <w:pPr>
        <w:pStyle w:val="BodyText"/>
      </w:pPr>
      <w:r>
        <w:rPr>
          <w:bCs/>
          <w:b/>
        </w:rPr>
        <w:t xml:space="preserve">Plants as pollution indicators (bioindicators).</w:t>
      </w:r>
      <w:r>
        <w:t xml:space="preserve"> </w:t>
      </w:r>
      <w:r>
        <w:t xml:space="preserve">Because different plant species show varying sensitivity to specific pollutants, and often display visible, characteristic symptoms in response to specific pollution exposure, certain plant species can serve as practical, low-cost</w:t>
      </w:r>
      <w:r>
        <w:t xml:space="preserve"> </w:t>
      </w:r>
      <w:r>
        <w:t xml:space="preserve">“</w:t>
      </w:r>
      <w:r>
        <w:t xml:space="preserve">bioindicators</w:t>
      </w:r>
      <w:r>
        <w:t xml:space="preserve">”</w:t>
      </w:r>
      <w:r>
        <w:t xml:space="preserve"> </w:t>
      </w:r>
      <w:r>
        <w:t xml:space="preserve">— their presence, absence, or visible condition providing an indirect but useful indication of pollution levels in a given area, complementing more expensive and technically demanding direct instrumental air or water quality monitoring (connecting to the monitoring technologies discussed in the Environmental Sciences subject).</w:t>
      </w:r>
    </w:p>
    <w:p>
      <w:pPr>
        <w:pStyle w:val="BodyText"/>
      </w:pPr>
      <w:r>
        <w:rPr>
          <w:bCs/>
          <w:b/>
        </w:rPr>
        <w:t xml:space="preserve">Phytoremediation.</w:t>
      </w:r>
      <w:r>
        <w:t xml:space="preserve"> </w:t>
      </w:r>
      <w:r>
        <w:t xml:space="preserve">As introduced in the Environmental Sciences subject’s environmental biotechnology topic, certain plant species can be deliberately used to actively remove or neutralise pollutants from contaminated soil or water — through mechanisms including phytoextraction (certain plant species can absorb and accumulate specific heavy metals within their tissue at concentrations well above typical background levels, allowing the contaminant to subsequently be removed from the site when the plant biomass is harvested and appropriately disposed of) and phytodegradation (some plants, often working in conjunction with associated root-zone microorganisms, can break down certain organic pollutant compounds into less harmful substances) — representing a generally lower-cost, though typically slower, remediation approach compared to more intensive physical or chemical soil remediation methods.</w:t>
      </w:r>
    </w:p>
    <w:p>
      <w:pPr>
        <w:pStyle w:val="BodyText"/>
      </w:pPr>
      <w:r>
        <w:rPr>
          <w:bCs/>
          <w:b/>
        </w:rPr>
        <w:t xml:space="preserve">Key Takeaways</w:t>
      </w:r>
    </w:p>
    <w:p>
      <w:pPr>
        <w:numPr>
          <w:ilvl w:val="0"/>
          <w:numId w:val="1072"/>
        </w:numPr>
        <w:pStyle w:val="Compact"/>
      </w:pPr>
      <w:r>
        <w:t xml:space="preserve">Air pollutants (sulphur/nitrogen oxides, ground-level ozone) directly damage plant tissue and reduce photosynthetic capacity and crop yield; soil/water heavy metal contamination can cause direct plant toxicity or accumulate in tissue, creating food safety concerns.</w:t>
      </w:r>
    </w:p>
    <w:p>
      <w:pPr>
        <w:numPr>
          <w:ilvl w:val="0"/>
          <w:numId w:val="1072"/>
        </w:numPr>
        <w:pStyle w:val="Compact"/>
      </w:pPr>
      <w:r>
        <w:t xml:space="preserve">Plant bioindicators, showing characteristic visible responses to specific pollutants, provide a practical, low-cost complement to instrumental pollution monitoring.</w:t>
      </w:r>
    </w:p>
    <w:p>
      <w:pPr>
        <w:numPr>
          <w:ilvl w:val="0"/>
          <w:numId w:val="1072"/>
        </w:numPr>
        <w:pStyle w:val="Compact"/>
      </w:pPr>
      <w:r>
        <w:t xml:space="preserve">Phytoremediation uses plants’ pollutant-absorbing (phytoextraction) or pollutant-breakdown (phytodegradation) capabilities to remediate contaminated sites, offering a generally lower-cost, though slower, alternative to intensive physical/chemical remediation.</w:t>
      </w:r>
    </w:p>
    <w:bookmarkEnd w:id="85"/>
    <w:bookmarkEnd w:id="86"/>
    <w:bookmarkStart w:id="93" w:name="vii.-cytology"/>
    <w:p>
      <w:pPr>
        <w:pStyle w:val="Heading2"/>
      </w:pPr>
      <w:r>
        <w:t xml:space="preserve">VII. Cytology</w:t>
      </w:r>
    </w:p>
    <w:bookmarkStart w:id="87" w:name="cell-cycle"/>
    <w:p>
      <w:pPr>
        <w:pStyle w:val="Heading3"/>
      </w:pPr>
      <w:r>
        <w:t xml:space="preserve">62. Cell Cycle</w:t>
      </w:r>
    </w:p>
    <w:p>
      <w:pPr>
        <w:pStyle w:val="FirstParagraph"/>
      </w:pPr>
      <w:r>
        <w:t xml:space="preserve">The cell cycle is the ordered sequence of events through which a plant cell grows, replicates its genetic material, and divides into two daughter cells — a fundamentally regulated process underlying the growth processes discussed throughout this subject, from meristematic growth (Topic 19) to embryo development (Topic 27) and, when regulation fails, potentially contributing to abnormal growth.</w:t>
      </w:r>
    </w:p>
    <w:p>
      <w:pPr>
        <w:pStyle w:val="BodyText"/>
      </w:pPr>
      <w:r>
        <w:rPr>
          <w:bCs/>
          <w:b/>
        </w:rPr>
        <w:t xml:space="preserve">Phases of the cell cycle.</w:t>
      </w:r>
      <w:r>
        <w:t xml:space="preserve"> </w:t>
      </w:r>
      <w:r>
        <w:t xml:space="preserve">The cell cycle is broadly divided into</w:t>
      </w:r>
      <w:r>
        <w:t xml:space="preserve"> </w:t>
      </w:r>
      <w:r>
        <w:rPr>
          <w:bCs/>
          <w:b/>
        </w:rPr>
        <w:t xml:space="preserve">interphase</w:t>
      </w:r>
      <w:r>
        <w:t xml:space="preserve"> </w:t>
      </w:r>
      <w:r>
        <w:t xml:space="preserve">(the period between cell divisions, during which the majority of a cell’s total cycle time is typically spent, and during which the cell grows and prepares for division) and</w:t>
      </w:r>
      <w:r>
        <w:t xml:space="preserve"> </w:t>
      </w:r>
      <w:r>
        <w:rPr>
          <w:bCs/>
          <w:b/>
        </w:rPr>
        <w:t xml:space="preserve">M phase</w:t>
      </w:r>
      <w:r>
        <w:t xml:space="preserve"> </w:t>
      </w:r>
      <w:r>
        <w:t xml:space="preserve">(mitosis and cytokinesis, the actual division process). Interphase is further subdivided into:</w:t>
      </w:r>
      <w:r>
        <w:t xml:space="preserve"> </w:t>
      </w:r>
      <w:r>
        <w:rPr>
          <w:bCs/>
          <w:b/>
        </w:rPr>
        <w:t xml:space="preserve">G1 phase</w:t>
      </w:r>
      <w:r>
        <w:t xml:space="preserve"> </w:t>
      </w:r>
      <w:r>
        <w:t xml:space="preserve">(initial cell growth following the previous division, during which the cell carries out its normal metabolic functions and grows in size, and during which a key regulatory checkpoint determines whether the cell will proceed to DNA replication or, alternatively, exit the active cycle into a non-dividing resting state);</w:t>
      </w:r>
      <w:r>
        <w:t xml:space="preserve"> </w:t>
      </w:r>
      <w:r>
        <w:rPr>
          <w:bCs/>
          <w:b/>
        </w:rPr>
        <w:t xml:space="preserve">S phase</w:t>
      </w:r>
      <w:r>
        <w:t xml:space="preserve"> </w:t>
      </w:r>
      <w:r>
        <w:t xml:space="preserve">(DNA synthesis, during which the cell’s entire genetic material, its chromosomal DNA, is precisely replicated, connecting directly to the DNA replication mechanism discussed in Topic 81, producing two identical copies of each chromosome); and</w:t>
      </w:r>
      <w:r>
        <w:t xml:space="preserve"> </w:t>
      </w:r>
      <w:r>
        <w:rPr>
          <w:bCs/>
          <w:b/>
        </w:rPr>
        <w:t xml:space="preserve">G2 phase</w:t>
      </w:r>
      <w:r>
        <w:t xml:space="preserve"> </w:t>
      </w:r>
      <w:r>
        <w:t xml:space="preserve">(a further growth and preparation period following DNA replication, during which the cell continues growing and produces the proteins and cellular components necessary for successful division, along with a further regulatory checkpoint verifying that DNA replication has been completed correctly before the cell is permitted to proceed to mitosis).</w:t>
      </w:r>
    </w:p>
    <w:p>
      <w:pPr>
        <w:pStyle w:val="BodyText"/>
      </w:pPr>
      <w:r>
        <w:rPr>
          <w:bCs/>
          <w:b/>
        </w:rPr>
        <w:t xml:space="preserve">Mitosis.</w:t>
      </w:r>
      <w:r>
        <w:t xml:space="preserve"> </w:t>
      </w:r>
      <w:r>
        <w:t xml:space="preserve">Mitosis is the process by which the replicated chromosomes are precisely separated and distributed into two genetically identical daughter nuclei, proceeding through recognised sub-stages (prophase, in which replicated chromosomes condense and become visible; metaphase, in which chromosomes align at the cell’s centre; anaphase, in which sister chromatids — the two identical copies of each replicated chromosome — are pulled apart toward opposite ends of the cell; and telophase, in which two new, separate nuclear envelopes reform around each set of separated chromosomes) — ensuring each resulting daughter cell receives a complete, identical copy of the parent cell’s genetic material.</w:t>
      </w:r>
    </w:p>
    <w:p>
      <w:pPr>
        <w:pStyle w:val="BodyText"/>
      </w:pPr>
      <w:r>
        <w:rPr>
          <w:bCs/>
          <w:b/>
        </w:rPr>
        <w:t xml:space="preserve">Cytokinesis — a distinctively plant-specific process.</w:t>
      </w:r>
      <w:r>
        <w:t xml:space="preserve"> </w:t>
      </w:r>
      <w:r>
        <w:t xml:space="preserve">Following mitosis, cytokinesis physically divides the cell into two separate daughter cells; in plant cells specifically, this process differs notably from typical animal cell division, since the rigid cellulose cell wall (Topic 63) prevents the simple physical pinching-in mechanism animal cells use — instead, plant cells construct an entirely new cell wall structure (the cell plate) starting from the cell’s centre and progressively expanding outward until it fuses with the existing parent cell wall, effectively partitioning the original cell into two separate, independently walled daughter cells.</w:t>
      </w:r>
    </w:p>
    <w:p>
      <w:pPr>
        <w:pStyle w:val="BodyText"/>
      </w:pPr>
      <w:r>
        <w:rPr>
          <w:bCs/>
          <w:b/>
        </w:rPr>
        <w:t xml:space="preserve">Cell cycle regulation and its significance.</w:t>
      </w:r>
      <w:r>
        <w:t xml:space="preserve"> </w:t>
      </w:r>
      <w:r>
        <w:t xml:space="preserve">The cell cycle is tightly regulated by specific checkpoint mechanisms (particularly at the G1 and G2 phase transitions noted above) that verify conditions are appropriate before allowing the cycle to proceed to the next stage — this regulation is essential to normal, controlled plant growth and development (connecting directly to the meristematic growth discussed in Topic 19 and to the coordinated cell division underlying tissue and organ development throughout this subject), and disruption of normal cell cycle regulation, whether through genetic mutation (Topic 73) or other causes, can result in abnormal, uncontrolled cell proliferation.</w:t>
      </w:r>
    </w:p>
    <w:p>
      <w:pPr>
        <w:pStyle w:val="BodyText"/>
      </w:pPr>
      <w:r>
        <w:rPr>
          <w:bCs/>
          <w:b/>
        </w:rPr>
        <w:t xml:space="preserve">Key Takeaways</w:t>
      </w:r>
    </w:p>
    <w:p>
      <w:pPr>
        <w:numPr>
          <w:ilvl w:val="0"/>
          <w:numId w:val="1073"/>
        </w:numPr>
        <w:pStyle w:val="Compact"/>
      </w:pPr>
      <w:r>
        <w:t xml:space="preserve">The cell cycle comprises interphase (G1 growth, S phase DNA replication, G2 further growth/preparation) and M phase (mitosis and cytokinesis), with regulatory checkpoints verifying conditions before each major transition.</w:t>
      </w:r>
    </w:p>
    <w:p>
      <w:pPr>
        <w:numPr>
          <w:ilvl w:val="0"/>
          <w:numId w:val="1073"/>
        </w:numPr>
        <w:pStyle w:val="Compact"/>
      </w:pPr>
      <w:r>
        <w:t xml:space="preserve">Mitosis precisely separates replicated chromosomes into two genetically identical daughter nuclei through prophase, metaphase, anaphase, and telophase.</w:t>
      </w:r>
    </w:p>
    <w:p>
      <w:pPr>
        <w:numPr>
          <w:ilvl w:val="0"/>
          <w:numId w:val="1073"/>
        </w:numPr>
        <w:pStyle w:val="Compact"/>
      </w:pPr>
      <w:r>
        <w:t xml:space="preserve">Plant cytokinesis distinctively involves constructing a new cell plate from the cell centre outward (rather than pinching in, as in animal cells), reflecting the constraint imposed by the rigid plant cell wall.</w:t>
      </w:r>
    </w:p>
    <w:bookmarkEnd w:id="87"/>
    <w:bookmarkStart w:id="88" w:name="cell-wall-and-membrane"/>
    <w:p>
      <w:pPr>
        <w:pStyle w:val="Heading3"/>
      </w:pPr>
      <w:r>
        <w:t xml:space="preserve">63. Cell Wall and Membrane</w:t>
      </w:r>
    </w:p>
    <w:p>
      <w:pPr>
        <w:pStyle w:val="FirstParagraph"/>
      </w:pPr>
      <w:r>
        <w:t xml:space="preserve">The plant cell wall and cell membrane together define the cell’s boundary and represent two structurally and functionally distinct layers — the cell membrane, shared in basic structure with all living cells, and the cell wall, a distinctively plant (and fungal, though chemically different, as established in Topic 5) structural feature providing essential rigidity and support absent in animal cells.</w:t>
      </w:r>
    </w:p>
    <w:p>
      <w:pPr>
        <w:pStyle w:val="BodyText"/>
      </w:pPr>
      <w:r>
        <w:rPr>
          <w:bCs/>
          <w:b/>
        </w:rPr>
        <w:t xml:space="preserve">The cell membrane.</w:t>
      </w:r>
      <w:r>
        <w:t xml:space="preserve"> </w:t>
      </w:r>
      <w:r>
        <w:t xml:space="preserve">Composed primarily of a phospholipid bilayer (two layers of phospholipid molecules, each with a water-attracting</w:t>
      </w:r>
      <w:r>
        <w:t xml:space="preserve"> </w:t>
      </w:r>
      <w:r>
        <w:t xml:space="preserve">“</w:t>
      </w:r>
      <w:r>
        <w:t xml:space="preserve">head</w:t>
      </w:r>
      <w:r>
        <w:t xml:space="preserve">”</w:t>
      </w:r>
      <w:r>
        <w:t xml:space="preserve"> </w:t>
      </w:r>
      <w:r>
        <w:t xml:space="preserve">and water-repelling</w:t>
      </w:r>
      <w:r>
        <w:t xml:space="preserve"> </w:t>
      </w:r>
      <w:r>
        <w:t xml:space="preserve">“</w:t>
      </w:r>
      <w:r>
        <w:t xml:space="preserve">tail,</w:t>
      </w:r>
      <w:r>
        <w:t xml:space="preserve">”</w:t>
      </w:r>
      <w:r>
        <w:t xml:space="preserve"> </w:t>
      </w:r>
      <w:r>
        <w:t xml:space="preserve">spontaneously arranging into a stable bilayer structure with the water-repelling tails facing inward, away from the surrounding water-based environment) embedded with various proteins performing diverse functions — including the active and passive transport proteins discussed in relation to root water and mineral uptake (Topics 37 and 39), signalling receptor proteins (relevant to hormone reception, Topic 40, and cell communication, Topic 64), and enzymes. The cell membrane’s selective permeability (allowing some substances to cross relatively freely while restricting others, requiring specific transport proteins) is fundamental to the water potential and mineral nutrient uptake concepts discussed in Topics 36–39.</w:t>
      </w:r>
    </w:p>
    <w:p>
      <w:pPr>
        <w:pStyle w:val="BodyText"/>
      </w:pPr>
      <w:r>
        <w:rPr>
          <w:bCs/>
          <w:b/>
        </w:rPr>
        <w:t xml:space="preserve">The cell wall.</w:t>
      </w:r>
      <w:r>
        <w:t xml:space="preserve"> </w:t>
      </w:r>
      <w:r>
        <w:t xml:space="preserve">Located external to the cell membrane, the plant cell wall is composed primarily of cellulose (a structural polysaccharide made of long chains of glucose molecules, distinct from the chitin composing fungal cell walls, Topic 5), organised into microfibrils embedded within a matrix of other polysaccharides (including hemicellulose and pectin) and, in some cell types, additional structural compounds such as lignin (a rigid compound providing substantial additional structural strength, particularly abundant in wood/secondary xylem tissue, connecting directly to the secondary growth discussion in Topic 20, and responsible for wood’s characteristic structural rigidity).</w:t>
      </w:r>
    </w:p>
    <w:p>
      <w:pPr>
        <w:pStyle w:val="BodyText"/>
      </w:pPr>
      <w:r>
        <w:rPr>
          <w:bCs/>
          <w:b/>
        </w:rPr>
        <w:t xml:space="preserve">Functions of the cell wall.</w:t>
      </w:r>
      <w:r>
        <w:t xml:space="preserve"> </w:t>
      </w:r>
      <w:r>
        <w:t xml:space="preserve">These include providing structural support (both at the individual cell level and, cumulatively, at the whole-plant level, particularly significant in non-woody herbaceous plants, as discussed in relation to stem anatomy in Topic 22, where turgor pressure against a rigid cell wall provides much of the plant’s structural rigidity); defining and constraining cell shape and size (preventing the potentially damaging over-expansion that could otherwise occur when a plant cell absorbs water and increases in internal turgor pressure, Topic 36); and providing a degree of protection against pathogens (representing a physical barrier a pathogen must penetrate or otherwise overcome to successfully infect plant tissue, connecting to the plant disease process discussed in Topic 7) and against some forms of mechanical damage.</w:t>
      </w:r>
    </w:p>
    <w:p>
      <w:pPr>
        <w:pStyle w:val="BodyText"/>
      </w:pPr>
      <w:r>
        <w:rPr>
          <w:bCs/>
          <w:b/>
        </w:rPr>
        <w:t xml:space="preserve">The middle lamella and plasmodesmata.</w:t>
      </w:r>
      <w:r>
        <w:t xml:space="preserve"> </w:t>
      </w:r>
      <w:r>
        <w:t xml:space="preserve">Adjacent plant cells are connected by a shared, pectin-rich layer called the middle lamella (essentially</w:t>
      </w:r>
      <w:r>
        <w:t xml:space="preserve"> </w:t>
      </w:r>
      <w:r>
        <w:t xml:space="preserve">“</w:t>
      </w:r>
      <w:r>
        <w:t xml:space="preserve">gluing</w:t>
      </w:r>
      <w:r>
        <w:t xml:space="preserve">”</w:t>
      </w:r>
      <w:r>
        <w:t xml:space="preserve"> </w:t>
      </w:r>
      <w:r>
        <w:t xml:space="preserve">adjacent cell walls together, explaining the coordinated, connected structure of plant tissue), while the plasmodesmata (microscopic channels through the cell wall connecting the cytoplasm of adjacent cells, introduced in relation to the symplast water transport pathway in Topic 37) allow direct cell-to-cell communication and material transport without requiring substances to cross the cell wall and membrane barrier at each cell boundary — directly relevant to the cell communication mechanisms discussed further in Topic 64.</w:t>
      </w:r>
    </w:p>
    <w:p>
      <w:pPr>
        <w:pStyle w:val="BodyText"/>
      </w:pPr>
      <w:r>
        <w:rPr>
          <w:bCs/>
          <w:b/>
        </w:rPr>
        <w:t xml:space="preserve">Key Takeaways</w:t>
      </w:r>
    </w:p>
    <w:p>
      <w:pPr>
        <w:numPr>
          <w:ilvl w:val="0"/>
          <w:numId w:val="1074"/>
        </w:numPr>
        <w:pStyle w:val="Compact"/>
      </w:pPr>
      <w:r>
        <w:t xml:space="preserve">The cell membrane (a phospholipid bilayer with embedded transport, signalling, and enzymatic proteins) provides selective permeability fundamental to water and nutrient uptake; the cell wall (primarily cellulose, plus lignin in woody tissue) provides structural support external to the membrane.</w:t>
      </w:r>
    </w:p>
    <w:p>
      <w:pPr>
        <w:numPr>
          <w:ilvl w:val="0"/>
          <w:numId w:val="1074"/>
        </w:numPr>
        <w:pStyle w:val="Compact"/>
      </w:pPr>
      <w:r>
        <w:t xml:space="preserve">The cell wall provides structural support, constrains cell shape against turgor pressure, and offers a physical barrier against pathogens and mechanical damage.</w:t>
      </w:r>
    </w:p>
    <w:p>
      <w:pPr>
        <w:numPr>
          <w:ilvl w:val="0"/>
          <w:numId w:val="1074"/>
        </w:numPr>
        <w:pStyle w:val="Compact"/>
      </w:pPr>
      <w:r>
        <w:t xml:space="preserve">Adjacent cell walls are connected by the middle lamella, while plasmodesmata channels allow direct cytoplasmic connection and communication between adjacent cells, bypassing the wall/membrane barrier.</w:t>
      </w:r>
    </w:p>
    <w:bookmarkEnd w:id="88"/>
    <w:bookmarkStart w:id="89" w:name="cell-communication"/>
    <w:p>
      <w:pPr>
        <w:pStyle w:val="Heading3"/>
      </w:pPr>
      <w:r>
        <w:t xml:space="preserve">64. Cell Communication</w:t>
      </w:r>
    </w:p>
    <w:p>
      <w:pPr>
        <w:pStyle w:val="FirstParagraph"/>
      </w:pPr>
      <w:r>
        <w:t xml:space="preserve">Cell communication addresses the mechanisms by which plant cells coordinate their activities with one another — essential for the integrated, whole-organism-level responses discussed throughout this subject, including hormone signalling (Topic 40), stomatal regulation (Topic 23), and coordinated developmental processes (Topics 19, 62).</w:t>
      </w:r>
    </w:p>
    <w:p>
      <w:pPr>
        <w:pStyle w:val="BodyText"/>
      </w:pPr>
      <w:r>
        <w:rPr>
          <w:bCs/>
          <w:b/>
        </w:rPr>
        <w:t xml:space="preserve">Major cell communication mechanisms in plants:</w:t>
      </w:r>
    </w:p>
    <w:p>
      <w:pPr>
        <w:numPr>
          <w:ilvl w:val="0"/>
          <w:numId w:val="1075"/>
        </w:numPr>
        <w:pStyle w:val="Compact"/>
      </w:pPr>
      <w:r>
        <w:rPr>
          <w:bCs/>
          <w:b/>
        </w:rPr>
        <w:t xml:space="preserve">Direct cell-to-cell communication via plasmodesmata</w:t>
      </w:r>
      <w:r>
        <w:t xml:space="preserve"> </w:t>
      </w:r>
      <w:r>
        <w:t xml:space="preserve">— as introduced in Topic 63, plasmodesmata provide direct cytoplasmic connections between adjacent plant cells, allowing small signalling molecules, and in some cases even larger molecules including certain proteins and RNA molecules, to pass directly from cell to cell without crossing the cell membrane barrier — representing a distinctively plant mechanism for rapid, direct local cell-to-cell communication, functionally somewhat analogous to (though structurally quite distinct from) the gap junction communication mechanism found in some animal cell types.</w:t>
      </w:r>
    </w:p>
    <w:p>
      <w:pPr>
        <w:numPr>
          <w:ilvl w:val="0"/>
          <w:numId w:val="1075"/>
        </w:numPr>
        <w:pStyle w:val="Compact"/>
      </w:pPr>
      <w:r>
        <w:rPr>
          <w:bCs/>
          <w:b/>
        </w:rPr>
        <w:t xml:space="preserve">Hormone signalling</w:t>
      </w:r>
      <w:r>
        <w:t xml:space="preserve"> </w:t>
      </w:r>
      <w:r>
        <w:t xml:space="preserve">— as discussed extensively in Topic 40, plant hormones represent a longer-distance communication mechanism, produced in one part of the plant and transported (through the vascular tissue or, in some cases, via more localised diffusion) to affect cellular behaviour in another part of the plant, binding to specific membrane-embedded or intracellular receptor proteins that trigger a specific cellular response cascade upon hormone binding.</w:t>
      </w:r>
    </w:p>
    <w:p>
      <w:pPr>
        <w:numPr>
          <w:ilvl w:val="0"/>
          <w:numId w:val="1075"/>
        </w:numPr>
        <w:pStyle w:val="Compact"/>
      </w:pPr>
      <w:r>
        <w:rPr>
          <w:bCs/>
          <w:b/>
        </w:rPr>
        <w:t xml:space="preserve">Electrical signalling</w:t>
      </w:r>
      <w:r>
        <w:t xml:space="preserve"> </w:t>
      </w:r>
      <w:r>
        <w:t xml:space="preserve">— certain plants demonstrate rapid electrical signal transmission (action-potential-like signals, conceptually similar in basic underlying electrochemical principle to animal nervous system signalling, though generally propagating considerably more slowly and through different specific cellular mechanisms) enabling notably rapid response to certain stimuli — the well-known rapid leaf-closing response of the Venus flytrap and the touch-sensitive leaf-folding response of the sensitive plant (</w:t>
      </w:r>
      <w:r>
        <w:rPr>
          <w:iCs/>
          <w:i/>
        </w:rPr>
        <w:t xml:space="preserve">Mimosa pudica</w:t>
      </w:r>
      <w:r>
        <w:t xml:space="preserve">) represent particularly striking, visible examples of this electrical signalling mechanism in action, though electrical signalling is understood to play a broader, generally less visibly dramatic role in coordinating plant responses to various stimuli more generally, beyond these particularly well-known dramatic examples.</w:t>
      </w:r>
    </w:p>
    <w:p>
      <w:pPr>
        <w:numPr>
          <w:ilvl w:val="0"/>
          <w:numId w:val="1075"/>
        </w:numPr>
        <w:pStyle w:val="Compact"/>
      </w:pPr>
      <w:r>
        <w:rPr>
          <w:bCs/>
          <w:b/>
        </w:rPr>
        <w:t xml:space="preserve">Chemical signalling between separate plants</w:t>
      </w:r>
      <w:r>
        <w:t xml:space="preserve"> </w:t>
      </w:r>
      <w:r>
        <w:t xml:space="preserve">— some plant species release volatile chemical compounds into the surrounding air in response to herbivore attack or other stress, which can be detected by and trigger defensive physiological responses in neighbouring plants (even genetically unrelated neighbouring individuals) before those neighbouring plants have themselves experienced direct attack, representing a form of inter-plant chemical communication of considerable ongoing scientific research interest, with potential practical relevance to crop protection strategies discussed in the Agriculture &amp; Forestry subject.</w:t>
      </w:r>
    </w:p>
    <w:p>
      <w:pPr>
        <w:pStyle w:val="FirstParagraph"/>
      </w:pPr>
      <w:r>
        <w:rPr>
          <w:bCs/>
          <w:b/>
        </w:rPr>
        <w:t xml:space="preserve">Why understanding cell communication matters.</w:t>
      </w:r>
      <w:r>
        <w:t xml:space="preserve"> </w:t>
      </w:r>
      <w:r>
        <w:t xml:space="preserve">Plant cell communication mechanisms collectively explain how a plant, despite lacking a centralised nervous system or brain comparable to animals, nonetheless achieves substantial coordinated, integrated physiological response across its entire body — from the localised cellular coordination underlying tissue development (Topic 19) to whole-plant-level responses to environmental stimuli including light (phototropism, connecting to auxin signalling, Topic 40), water stress (abscisic acid-mediated stomatal closure, Topics 23 and 40), and pathogen or herbivore attack.</w:t>
      </w:r>
    </w:p>
    <w:p>
      <w:pPr>
        <w:pStyle w:val="BodyText"/>
      </w:pPr>
      <w:r>
        <w:rPr>
          <w:bCs/>
          <w:b/>
        </w:rPr>
        <w:t xml:space="preserve">Key Takeaways</w:t>
      </w:r>
    </w:p>
    <w:p>
      <w:pPr>
        <w:numPr>
          <w:ilvl w:val="0"/>
          <w:numId w:val="1076"/>
        </w:numPr>
        <w:pStyle w:val="Compact"/>
      </w:pPr>
      <w:r>
        <w:t xml:space="preserve">Plant cell communication occurs through direct cytoplasmic connection via plasmodesmata, longer-distance hormone signalling, electrical signalling (dramatically visible in rapid-response plants like Venus flytrap and Mimosa pudica), and volatile chemical signalling between neighbouring plants.</w:t>
      </w:r>
    </w:p>
    <w:p>
      <w:pPr>
        <w:numPr>
          <w:ilvl w:val="0"/>
          <w:numId w:val="1076"/>
        </w:numPr>
        <w:pStyle w:val="Compact"/>
      </w:pPr>
      <w:r>
        <w:t xml:space="preserve">These mechanisms collectively enable coordinated, integrated whole-plant physiological responses despite plants lacking a centralised nervous system comparable to animals.</w:t>
      </w:r>
    </w:p>
    <w:p>
      <w:pPr>
        <w:numPr>
          <w:ilvl w:val="0"/>
          <w:numId w:val="1076"/>
        </w:numPr>
        <w:pStyle w:val="Compact"/>
      </w:pPr>
      <w:r>
        <w:t xml:space="preserve">Inter-plant chemical signalling in response to herbivore attack represents an area of active research interest with potential practical crop protection applications.</w:t>
      </w:r>
    </w:p>
    <w:bookmarkEnd w:id="89"/>
    <w:bookmarkStart w:id="90" w:name="plant-tissue-and-cell-culture"/>
    <w:p>
      <w:pPr>
        <w:pStyle w:val="Heading3"/>
      </w:pPr>
      <w:r>
        <w:t xml:space="preserve">65. Plant Tissue and Cell Culture</w:t>
      </w:r>
    </w:p>
    <w:p>
      <w:pPr>
        <w:pStyle w:val="FirstParagraph"/>
      </w:pPr>
      <w:r>
        <w:t xml:space="preserve">Plant tissue and cell culture refers to the laboratory technique of growing plant cells, tissues, or organs in a controlled, sterile artificial environment, exploiting a fundamental property of plant cells — totipotency — with substantial practical applications extending throughout agriculture, horticulture, and plant genetic engineering.</w:t>
      </w:r>
    </w:p>
    <w:p>
      <w:pPr>
        <w:pStyle w:val="BodyText"/>
      </w:pPr>
      <w:r>
        <w:rPr>
          <w:bCs/>
          <w:b/>
        </w:rPr>
        <w:t xml:space="preserve">The totipotency concept.</w:t>
      </w:r>
      <w:r>
        <w:t xml:space="preserve"> </w:t>
      </w:r>
      <w:r>
        <w:t xml:space="preserve">Plant tissue culture fundamentally relies on totipotency — the remarkable property, more pronounced and practically exploitable in plant cells than in most animal cells, by which a single differentiated plant cell retains the complete genetic information and developmental capacity necessary to regenerate into an entire, complete new plant under appropriate laboratory conditions, given the right combination of growth media and hormonal signals — directly connecting to the auxin/cytokinin balance discussed in Topic 40, since the relative concentration of these two hormone classes in the culture medium is a key factor determining whether cultured plant tissue develops predominantly roots, shoots, or an undifferentiated mass of dividing cells called callus.</w:t>
      </w:r>
    </w:p>
    <w:p>
      <w:pPr>
        <w:pStyle w:val="BodyText"/>
      </w:pPr>
      <w:r>
        <w:rPr>
          <w:bCs/>
          <w:b/>
        </w:rPr>
        <w:t xml:space="preserve">Basic tissue culture process.</w:t>
      </w:r>
      <w:r>
        <w:t xml:space="preserve"> </w:t>
      </w:r>
      <w:r>
        <w:t xml:space="preserve">A small piece of plant tissue (an explant, potentially taken from various plant parts depending on the specific application) is surface-sterilised and placed onto a nutrient-rich, sterile culture medium (typically containing sugars, essential minerals connecting to Topic 39, vitamins, and a specific balance of plant hormones); under appropriate conditions, this explant tissue can be induced to proliferate (often first forming an undifferentiated callus mass, then subsequently, through appropriate hormonal manipulation, differentiating into organised root and shoot structures) and, ultimately, regenerate into a complete new plant, which can then be gradually acclimatised to normal soil and atmospheric growing conditions outside the sterile laboratory environment.</w:t>
      </w:r>
    </w:p>
    <w:p>
      <w:pPr>
        <w:pStyle w:val="BodyText"/>
      </w:pPr>
      <w:r>
        <w:rPr>
          <w:bCs/>
          <w:b/>
        </w:rPr>
        <w:t xml:space="preserve">Practical applications:</w:t>
      </w:r>
    </w:p>
    <w:p>
      <w:pPr>
        <w:numPr>
          <w:ilvl w:val="0"/>
          <w:numId w:val="1077"/>
        </w:numPr>
        <w:pStyle w:val="Compact"/>
      </w:pPr>
      <w:r>
        <w:rPr>
          <w:bCs/>
          <w:b/>
        </w:rPr>
        <w:t xml:space="preserve">Micropropagation</w:t>
      </w:r>
      <w:r>
        <w:t xml:space="preserve"> </w:t>
      </w:r>
      <w:r>
        <w:t xml:space="preserve">— rapid, large-scale clonal propagation of a desired plant genotype, particularly valuable for propagating plants that are difficult to propagate through conventional seed or cutting-based methods, or for rapidly multiplying a particularly valuable improved crop variety or elite genotype, connecting directly to the seed technology and genetic improvement discussions in the Agriculture &amp; Forestry subject.</w:t>
      </w:r>
    </w:p>
    <w:p>
      <w:pPr>
        <w:numPr>
          <w:ilvl w:val="0"/>
          <w:numId w:val="1077"/>
        </w:numPr>
        <w:pStyle w:val="Compact"/>
      </w:pPr>
      <w:r>
        <w:rPr>
          <w:bCs/>
          <w:b/>
        </w:rPr>
        <w:t xml:space="preserve">Production of disease-free planting material</w:t>
      </w:r>
      <w:r>
        <w:t xml:space="preserve"> </w:t>
      </w:r>
      <w:r>
        <w:t xml:space="preserve">— tissue culture, particularly using meristem tissue (Topic 19, since actively dividing meristematic tissue is often relatively free of systemic viral infection even in an otherwise infected parent plant), can be used to produce virus-free planting stock, of direct practical significance for vegetatively propagated crops (propagated from cuttings or tubers rather than seed) that would otherwise tend to accumulate viral infections across successive vegetative propagation generations.</w:t>
      </w:r>
    </w:p>
    <w:p>
      <w:pPr>
        <w:numPr>
          <w:ilvl w:val="0"/>
          <w:numId w:val="1077"/>
        </w:numPr>
        <w:pStyle w:val="Compact"/>
      </w:pPr>
      <w:r>
        <w:rPr>
          <w:bCs/>
          <w:b/>
        </w:rPr>
        <w:t xml:space="preserve">Genetic engineering applications</w:t>
      </w:r>
      <w:r>
        <w:t xml:space="preserve"> </w:t>
      </w:r>
      <w:r>
        <w:t xml:space="preserve">— tissue culture techniques are frequently an essential component of the genetic engineering process discussed in Topic 84, since genetically modified individual plant cells must typically be regenerated into complete plants using tissue culture techniques before the introduced genetic modification can be expressed and evaluated in a fully developed plant.</w:t>
      </w:r>
    </w:p>
    <w:p>
      <w:pPr>
        <w:numPr>
          <w:ilvl w:val="0"/>
          <w:numId w:val="1077"/>
        </w:numPr>
        <w:pStyle w:val="Compact"/>
      </w:pPr>
      <w:r>
        <w:rPr>
          <w:bCs/>
          <w:b/>
        </w:rPr>
        <w:t xml:space="preserve">Germplasm conservation</w:t>
      </w:r>
      <w:r>
        <w:t xml:space="preserve"> </w:t>
      </w:r>
      <w:r>
        <w:t xml:space="preserve">— tissue culture-based storage techniques can provide an alternative, space-efficient method for conserving plant genetic diversity, complementing conventional seed bank storage, particularly valuable for plant species whose seeds do not store well using conventional seed bank methods.</w:t>
      </w:r>
    </w:p>
    <w:p>
      <w:pPr>
        <w:pStyle w:val="FirstParagraph"/>
      </w:pPr>
      <w:r>
        <w:rPr>
          <w:bCs/>
          <w:b/>
        </w:rPr>
        <w:t xml:space="preserve">Key Takeaways</w:t>
      </w:r>
    </w:p>
    <w:p>
      <w:pPr>
        <w:numPr>
          <w:ilvl w:val="0"/>
          <w:numId w:val="1078"/>
        </w:numPr>
        <w:pStyle w:val="Compact"/>
      </w:pPr>
      <w:r>
        <w:t xml:space="preserve">Plant tissue culture exploits totipotency — individual plant cells’ retained capacity to regenerate into a complete new plant — using controlled combinations of nutrients and hormones (particularly the auxin/cytokinin balance) to direct tissue development.</w:t>
      </w:r>
    </w:p>
    <w:p>
      <w:pPr>
        <w:numPr>
          <w:ilvl w:val="0"/>
          <w:numId w:val="1078"/>
        </w:numPr>
        <w:pStyle w:val="Compact"/>
      </w:pPr>
      <w:r>
        <w:t xml:space="preserve">Key applications include micropropagation (rapid clonal multiplication of valuable genotypes), producing disease/virus-free planting material, and serving as an essential step in genetic engineering (Topic 84).</w:t>
      </w:r>
    </w:p>
    <w:p>
      <w:pPr>
        <w:numPr>
          <w:ilvl w:val="0"/>
          <w:numId w:val="1078"/>
        </w:numPr>
        <w:pStyle w:val="Compact"/>
      </w:pPr>
      <w:r>
        <w:t xml:space="preserve">Tissue culture also offers a space-efficient complement to conventional seed banks for conserving plant genetic diversity, particularly for species whose seeds do not store well conventionally.</w:t>
      </w:r>
    </w:p>
    <w:bookmarkEnd w:id="90"/>
    <w:bookmarkStart w:id="91" w:name="cell-senescence-and-death"/>
    <w:p>
      <w:pPr>
        <w:pStyle w:val="Heading3"/>
      </w:pPr>
      <w:r>
        <w:t xml:space="preserve">66. Cell Senescence and Death</w:t>
      </w:r>
    </w:p>
    <w:p>
      <w:pPr>
        <w:pStyle w:val="FirstParagraph"/>
      </w:pPr>
      <w:r>
        <w:t xml:space="preserve">Cell senescence (the progressive decline in cellular function associated with aging) and programmed cell death represent normal, often genetically regulated processes within plant development and physiology, distinct from cell death resulting from acute injury or disease, and serving several important developmental and physiological functions.</w:t>
      </w:r>
    </w:p>
    <w:p>
      <w:pPr>
        <w:pStyle w:val="BodyText"/>
      </w:pPr>
      <w:r>
        <w:rPr>
          <w:bCs/>
          <w:b/>
        </w:rPr>
        <w:t xml:space="preserve">Types of plant cell death.</w:t>
      </w:r>
      <w:r>
        <w:t xml:space="preserve"> </w:t>
      </w:r>
      <w:r>
        <w:rPr>
          <w:bCs/>
          <w:b/>
        </w:rPr>
        <w:t xml:space="preserve">Necrosis</w:t>
      </w:r>
      <w:r>
        <w:t xml:space="preserve"> </w:t>
      </w:r>
      <w:r>
        <w:t xml:space="preserve">refers to unregulated, typically damage-induced cell death (resulting from injury, extreme environmental stress, or pathogen attack, connecting to the plant disease processes discussed in Topics 7–9), generally an uncontrolled process that can trigger localised tissue damage extending somewhat beyond the initially affected cells.</w:t>
      </w:r>
      <w:r>
        <w:t xml:space="preserve"> </w:t>
      </w:r>
      <w:r>
        <w:rPr>
          <w:bCs/>
          <w:b/>
        </w:rPr>
        <w:t xml:space="preserve">Programmed cell death (PCD)</w:t>
      </w:r>
      <w:r>
        <w:t xml:space="preserve">, by contrast, is a genetically regulated, controlled process in which specific cells are deliberately eliminated as part of normal plant development or in a specifically regulated defensive response — this controlled elimination process shares some underlying molecular mechanisms with the analogous, well-studied programmed cell death process in animal development, though the specific plant mechanisms show some distinctive features reflecting plants’ unique cell wall structure (Topic 63).</w:t>
      </w:r>
    </w:p>
    <w:p>
      <w:pPr>
        <w:pStyle w:val="BodyText"/>
      </w:pPr>
      <w:r>
        <w:rPr>
          <w:bCs/>
          <w:b/>
        </w:rPr>
        <w:t xml:space="preserve">Developmental roles of programmed cell death.</w:t>
      </w:r>
      <w:r>
        <w:t xml:space="preserve"> </w:t>
      </w:r>
      <w:r>
        <w:t xml:space="preserve">These include xylem vessel formation (the mature, water-conducting xylem cells discussed throughout this subject’s water transport topics are, in fact, dead at functional maturity — during their development, these cells undergo a specifically regulated programmed cell death process that removes the cell’s internal contents while retaining the surrounding rigid, lignified cell wall structure, creating the effectively empty, hollow conducting tubes through which water moves via the cohesion-tension mechanism discussed in Topic 38); leaf and organ shedding (the process of leaf abscission, particularly pronounced in deciduous plants shedding leaves seasonally, involves a specifically regulated programmed cell death and cell separation process at the base of the leaf stalk, connecting to the hormonal regulation, particularly involving ethylene, discussed in Topic 40); and floral organ development (certain floral structures undergo programmed elimination of specific cells as part of normal flower development and maturation).</w:t>
      </w:r>
    </w:p>
    <w:p>
      <w:pPr>
        <w:pStyle w:val="BodyText"/>
      </w:pPr>
      <w:r>
        <w:rPr>
          <w:bCs/>
          <w:b/>
        </w:rPr>
        <w:t xml:space="preserve">Defensive programmed cell death: the hypersensitive response.</w:t>
      </w:r>
      <w:r>
        <w:t xml:space="preserve"> </w:t>
      </w:r>
      <w:r>
        <w:t xml:space="preserve">A particularly significant defensive application of programmed cell death occurs in plant disease resistance: upon detecting pathogen attack (connecting to the plant pathology discussion in Topic 7), some resistant plants trigger a rapid, localised programmed cell death response at and immediately around the site of pathogen attack — this</w:t>
      </w:r>
      <w:r>
        <w:t xml:space="preserve"> </w:t>
      </w:r>
      <w:r>
        <w:t xml:space="preserve">“</w:t>
      </w:r>
      <w:r>
        <w:t xml:space="preserve">hypersensitive response</w:t>
      </w:r>
      <w:r>
        <w:t xml:space="preserve">”</w:t>
      </w:r>
      <w:r>
        <w:t xml:space="preserve"> </w:t>
      </w:r>
      <w:r>
        <w:t xml:space="preserve">effectively sacrifices a small number of the plant’s own cells at the infection site, but in doing so, deprives the invading pathogen (particularly pathogens requiring living host tissue to obtain nutrients) of the living tissue it needs to successfully establish and spread further, representing an effective localised defensive strategy that limits pathogen spread beyond the initial infection site at the cost of some localised tissue damage.</w:t>
      </w:r>
    </w:p>
    <w:p>
      <w:pPr>
        <w:pStyle w:val="BodyText"/>
      </w:pPr>
      <w:r>
        <w:rPr>
          <w:bCs/>
          <w:b/>
        </w:rPr>
        <w:t xml:space="preserve">Key Takeaways</w:t>
      </w:r>
    </w:p>
    <w:p>
      <w:pPr>
        <w:numPr>
          <w:ilvl w:val="0"/>
          <w:numId w:val="1079"/>
        </w:numPr>
        <w:pStyle w:val="Compact"/>
      </w:pPr>
      <w:r>
        <w:t xml:space="preserve">Necrosis represents unregulated, damage-induced cell death, while programmed cell death (PCD) is a genetically regulated, controlled elimination process serving specific developmental and defensive functions.</w:t>
      </w:r>
    </w:p>
    <w:p>
      <w:pPr>
        <w:numPr>
          <w:ilvl w:val="0"/>
          <w:numId w:val="1079"/>
        </w:numPr>
        <w:pStyle w:val="Compact"/>
      </w:pPr>
      <w:r>
        <w:t xml:space="preserve">Developmental PCD roles include xylem vessel formation (mature xylem cells are dead, creating hollow conducting tubes), leaf abscission (seasonal leaf shedding), and floral organ development.</w:t>
      </w:r>
    </w:p>
    <w:p>
      <w:pPr>
        <w:numPr>
          <w:ilvl w:val="0"/>
          <w:numId w:val="1079"/>
        </w:numPr>
        <w:pStyle w:val="Compact"/>
      </w:pPr>
      <w:r>
        <w:t xml:space="preserve">The hypersensitive response — a rapid, localised PCD triggered upon pathogen detection — sacrifices cells at the infection site to deprive the pathogen of living tissue needed to spread, representing an effective defensive strategy.</w:t>
      </w:r>
    </w:p>
    <w:bookmarkEnd w:id="91"/>
    <w:bookmarkStart w:id="92" w:name="ultrastructure-of-organelles"/>
    <w:p>
      <w:pPr>
        <w:pStyle w:val="Heading3"/>
      </w:pPr>
      <w:r>
        <w:t xml:space="preserve">67. Ultrastructure of Organelles</w:t>
      </w:r>
    </w:p>
    <w:p>
      <w:pPr>
        <w:pStyle w:val="FirstParagraph"/>
      </w:pPr>
      <w:r>
        <w:t xml:space="preserve">Cellular ultrastructure examines the detailed internal organisation of plant cell organelles — the specialised, membrane-bound (in most cases) internal structures performing specific cellular functions — providing the microscopic structural foundation underlying many of the physiological processes discussed throughout this subject.</w:t>
      </w:r>
    </w:p>
    <w:p>
      <w:pPr>
        <w:pStyle w:val="BodyText"/>
      </w:pPr>
      <w:r>
        <w:rPr>
          <w:bCs/>
          <w:b/>
        </w:rPr>
        <w:t xml:space="preserve">The chloroplast</w:t>
      </w:r>
      <w:r>
        <w:t xml:space="preserve">, already discussed functionally in relation to photosynthesis (Topics 45–47), possesses a distinctive internal structure directly related to its function: enclosed by a double membrane (an outer and inner membrane, generally understood, along with certain other organelle features, to reflect chloroplasts’ evolutionary origin from a formerly free-living photosynthetic bacterium engulfed by an ancestral cell — the endosymbiotic theory, discussed further in relation to the origin of life in Topic 76), and containing an internal membrane system, the thylakoids (organised into stacked structures called grana in most plants), where the light reactions’ photosynthetic pigments and electron transport machinery are specifically located (Topic 45), surrounded by the stroma (the fluid-filled space where the carbon fixation reactions, Topic 46, occur) — chloroplasts also contain their own small quantity of DNA and can self-replicate somewhat independently within the cell, further evidence supporting their endosymbiotic evolutionary origin.</w:t>
      </w:r>
    </w:p>
    <w:p>
      <w:pPr>
        <w:pStyle w:val="BodyText"/>
      </w:pPr>
      <w:r>
        <w:rPr>
          <w:bCs/>
          <w:b/>
        </w:rPr>
        <w:t xml:space="preserve">The mitochondrion</w:t>
      </w:r>
      <w:r>
        <w:t xml:space="preserve">, discussed functionally in relation to respiration (Topics 48–50), similarly possesses a double membrane structure (also reflecting endosymbiotic origin, in this case from an ancestral free-living bacterium capable of aerobic respiration) — with the inner membrane characteristically folded into extensive invaginations called cristae, substantially increasing the inner membrane’s total surface area available to house the electron transport chain and ATP synthase enzyme complexes central to oxidative phosphorylation (Topic 50), directly connecting this structural feature to the mitochondrion’s central respiratory function; the fluid-filled interior space (the matrix) houses the Krebs cycle enzymes (Topic 49).</w:t>
      </w:r>
    </w:p>
    <w:p>
      <w:pPr>
        <w:pStyle w:val="BodyText"/>
      </w:pPr>
      <w:r>
        <w:rPr>
          <w:bCs/>
          <w:b/>
        </w:rPr>
        <w:t xml:space="preserve">The nucleus</w:t>
      </w:r>
      <w:r>
        <w:t xml:space="preserve">, containing the cell’s genetic material (chromosomal DNA, discussed in relation to the cell cycle in Topic 62 and DNA structure in Topic 79), is enclosed by a double membrane nuclear envelope, perforated by nuclear pores that regulate the selective passage of molecules (including RNA molecules produced through the transcription process discussed in Topic 82) between the nucleus and the surrounding cytoplasm.</w:t>
      </w:r>
    </w:p>
    <w:p>
      <w:pPr>
        <w:pStyle w:val="BodyText"/>
      </w:pPr>
      <w:r>
        <w:rPr>
          <w:bCs/>
          <w:b/>
        </w:rPr>
        <w:t xml:space="preserve">The vacuole — a particularly prominent and functionally distinctive plant cell organelle.</w:t>
      </w:r>
      <w:r>
        <w:t xml:space="preserve"> </w:t>
      </w:r>
      <w:r>
        <w:t xml:space="preserve">Mature plant cells characteristically contain a large, often single central vacuole, frequently occupying the substantial majority of the total cell volume — considerably more prominent than the generally smaller, more numerous vacuoles found in most animal cells — serving several important functions: maintaining turgor pressure (Topic 36, since the vacuole’s fluid content, and the resulting pressure exerted against the surrounding cell wall, is the primary contributor to overall cell turgor); storage (of water, dissolved nutrients, and various metabolic products, including, in some plant tissues, stored sugars or pigment compounds); and, in some cases, storage of potentially harmful metabolic waste products or defensive secondary metabolite compounds (Topic 33) safely sequestered away from other more sensitive cellular components.</w:t>
      </w:r>
    </w:p>
    <w:p>
      <w:pPr>
        <w:pStyle w:val="BodyText"/>
      </w:pPr>
      <w:r>
        <w:rPr>
          <w:bCs/>
          <w:b/>
        </w:rPr>
        <w:t xml:space="preserve">The endoplasmic reticulum, Golgi apparatus, and ribosomes</w:t>
      </w:r>
      <w:r>
        <w:t xml:space="preserve"> </w:t>
      </w:r>
      <w:r>
        <w:t xml:space="preserve">perform protein and other biomolecule synthesis, processing, and transport functions broadly analogous to their well-characterised roles in other eukaryotic cells generally, supporting the cell’s overall biosynthetic and secretory processes, including the synthesis of cell wall materials (Topic 63) and various proteins essential to the diverse cellular processes discussed throughout this subject.</w:t>
      </w:r>
    </w:p>
    <w:p>
      <w:pPr>
        <w:pStyle w:val="BodyText"/>
      </w:pPr>
      <w:r>
        <w:rPr>
          <w:bCs/>
          <w:b/>
        </w:rPr>
        <w:t xml:space="preserve">Key Takeaways</w:t>
      </w:r>
    </w:p>
    <w:p>
      <w:pPr>
        <w:numPr>
          <w:ilvl w:val="0"/>
          <w:numId w:val="1080"/>
        </w:numPr>
        <w:pStyle w:val="Compact"/>
      </w:pPr>
      <w:r>
        <w:t xml:space="preserve">The chloroplast (photosynthesis) and mitochondrion (respiration) both possess double membranes reflecting their endosymbiotic evolutionary origin from formerly free-living bacteria, with internal structures (thylakoid/grana; cristae) directly reflecting and maximising their respective functional processes.</w:t>
      </w:r>
    </w:p>
    <w:p>
      <w:pPr>
        <w:numPr>
          <w:ilvl w:val="0"/>
          <w:numId w:val="1080"/>
        </w:numPr>
        <w:pStyle w:val="Compact"/>
      </w:pPr>
      <w:r>
        <w:t xml:space="preserve">The nucleus houses chromosomal DNA within a pore-perforated double membrane envelope regulating molecular exchange with the cytoplasm.</w:t>
      </w:r>
    </w:p>
    <w:p>
      <w:pPr>
        <w:numPr>
          <w:ilvl w:val="0"/>
          <w:numId w:val="1080"/>
        </w:numPr>
        <w:pStyle w:val="Compact"/>
      </w:pPr>
      <w:r>
        <w:t xml:space="preserve">The large central vacuole, a particularly prominent and distinctive plant cell feature, maintains turgor pressure and provides storage for nutrients, metabolic products, and defensive compounds.</w:t>
      </w:r>
    </w:p>
    <w:bookmarkEnd w:id="92"/>
    <w:bookmarkEnd w:id="93"/>
    <w:bookmarkStart w:id="101" w:name="viii.-genetics"/>
    <w:p>
      <w:pPr>
        <w:pStyle w:val="Heading2"/>
      </w:pPr>
      <w:r>
        <w:t xml:space="preserve">VIII. Genetics</w:t>
      </w:r>
    </w:p>
    <w:bookmarkStart w:id="94" w:name="mendelian-genetics"/>
    <w:p>
      <w:pPr>
        <w:pStyle w:val="Heading3"/>
      </w:pPr>
      <w:r>
        <w:t xml:space="preserve">68. Mendelian Genetics</w:t>
      </w:r>
    </w:p>
    <w:p>
      <w:pPr>
        <w:pStyle w:val="FirstParagraph"/>
      </w:pPr>
      <w:r>
        <w:t xml:space="preserve">Mendelian genetics, established through Gregor Mendel’s 19th-century pea plant breeding experiments, provides the foundational principles governing how heritable traits are passed from parent to offspring — principles that, despite being discovered decades before chromosomes, genes, and DNA were properly understood at a molecular level (Topics 79–82), remain fundamentally accurate and continue to underlie modern genetics and the crop breeding programmes discussed extensively in the Agriculture &amp; Forestry subject.</w:t>
      </w:r>
    </w:p>
    <w:p>
      <w:pPr>
        <w:pStyle w:val="BodyText"/>
      </w:pPr>
      <w:r>
        <w:rPr>
          <w:bCs/>
          <w:b/>
        </w:rPr>
        <w:t xml:space="preserve">Basic terminology.</w:t>
      </w:r>
      <w:r>
        <w:t xml:space="preserve"> </w:t>
      </w:r>
      <w:r>
        <w:t xml:space="preserve">A</w:t>
      </w:r>
      <w:r>
        <w:t xml:space="preserve"> </w:t>
      </w:r>
      <w:r>
        <w:rPr>
          <w:bCs/>
          <w:b/>
        </w:rPr>
        <w:t xml:space="preserve">gene</w:t>
      </w:r>
      <w:r>
        <w:t xml:space="preserve"> </w:t>
      </w:r>
      <w:r>
        <w:t xml:space="preserve">is a unit of heredity occupying a specific location on a chromosome; different versions of a gene are called</w:t>
      </w:r>
      <w:r>
        <w:t xml:space="preserve"> </w:t>
      </w:r>
      <w:r>
        <w:rPr>
          <w:bCs/>
          <w:b/>
        </w:rPr>
        <w:t xml:space="preserve">alleles</w:t>
      </w:r>
      <w:r>
        <w:t xml:space="preserve">; an organism’s actual genetic makeup for a given trait is its</w:t>
      </w:r>
      <w:r>
        <w:t xml:space="preserve"> </w:t>
      </w:r>
      <w:r>
        <w:rPr>
          <w:bCs/>
          <w:b/>
        </w:rPr>
        <w:t xml:space="preserve">genotype</w:t>
      </w:r>
      <w:r>
        <w:t xml:space="preserve">, while the observable physical expression of that genotype is its</w:t>
      </w:r>
      <w:r>
        <w:t xml:space="preserve"> </w:t>
      </w:r>
      <w:r>
        <w:rPr>
          <w:bCs/>
          <w:b/>
        </w:rPr>
        <w:t xml:space="preserve">phenotype</w:t>
      </w:r>
      <w:r>
        <w:t xml:space="preserve"> </w:t>
      </w:r>
      <w:r>
        <w:t xml:space="preserve">— a distinction of fundamental importance since, as established below, genotype does not always translate in a simple, directly predictable way to phenotype.</w:t>
      </w:r>
      <w:r>
        <w:t xml:space="preserve"> </w:t>
      </w:r>
      <w:r>
        <w:rPr>
          <w:bCs/>
          <w:b/>
        </w:rPr>
        <w:t xml:space="preserve">Dominant</w:t>
      </w:r>
      <w:r>
        <w:t xml:space="preserve"> </w:t>
      </w:r>
      <w:r>
        <w:t xml:space="preserve">alleles are expressed in the phenotype even when only one copy is present (in a heterozygous individual, carrying two different alleles for a given gene);</w:t>
      </w:r>
      <w:r>
        <w:t xml:space="preserve"> </w:t>
      </w:r>
      <w:r>
        <w:rPr>
          <w:bCs/>
          <w:b/>
        </w:rPr>
        <w:t xml:space="preserve">recessive</w:t>
      </w:r>
      <w:r>
        <w:t xml:space="preserve"> </w:t>
      </w:r>
      <w:r>
        <w:t xml:space="preserve">alleles are only expressed in the phenotype when present in two copies (homozygous for that recessive allele), since a single dominant allele copy, when present, masks the recessive allele’s effect.</w:t>
      </w:r>
    </w:p>
    <w:p>
      <w:pPr>
        <w:pStyle w:val="BodyText"/>
      </w:pPr>
      <w:r>
        <w:rPr>
          <w:bCs/>
          <w:b/>
        </w:rPr>
        <w:t xml:space="preserve">Mendel’s Law of Segregation.</w:t>
      </w:r>
      <w:r>
        <w:t xml:space="preserve"> </w:t>
      </w:r>
      <w:r>
        <w:t xml:space="preserve">This principle holds that an organism’s two allele copies for a given gene separate (segregate) from one another during gamete (sperm/egg) formation, such that each individual gamete receives only one of the two allele copies, with fertilisation subsequently restoring the paired allele arrangement in the resulting offspring — directly reflecting the underlying chromosomal behaviour during meiosis (the specific cell division process producing gametes with half the parent’s chromosome number, distinct from the mitotic cell division discussed in Topic 62, and directly relevant to the microsporogenesis and megasporogenesis processes discussed in Topics 24–25).</w:t>
      </w:r>
    </w:p>
    <w:p>
      <w:pPr>
        <w:pStyle w:val="BodyText"/>
      </w:pPr>
      <w:r>
        <w:rPr>
          <w:bCs/>
          <w:b/>
        </w:rPr>
        <w:t xml:space="preserve">Mendel’s Law of Independent Assortment.</w:t>
      </w:r>
      <w:r>
        <w:t xml:space="preserve"> </w:t>
      </w:r>
      <w:r>
        <w:t xml:space="preserve">This principle holds that alleles for different genes (located on different chromosomes, or sufficiently far apart on the same chromosome) segregate independently of one another during gamete formation, meaning the specific allele combination inherited for one trait does not influence which allele combination is inherited for a separate, independently assorting trait.</w:t>
      </w:r>
    </w:p>
    <w:p>
      <w:pPr>
        <w:pStyle w:val="BodyText"/>
      </w:pPr>
      <w:r>
        <w:rPr>
          <w:bCs/>
          <w:b/>
        </w:rPr>
        <w:t xml:space="preserve">Predicting inheritance patterns: the Punnett square.</w:t>
      </w:r>
      <w:r>
        <w:t xml:space="preserve"> </w:t>
      </w:r>
      <w:r>
        <w:t xml:space="preserve">A Punnett square is the standard diagrammatic tool used to predict the probable genotype and phenotype ratios expected among offspring from a cross between parents with known genotypes, systematically working through all possible allele combinations resulting from the random combination of parental gametes — for a simple single-gene cross between two heterozygous parents (each carrying one dominant and one recessive allele), the classic Mendelian ratio predicts offspring in a 3:1 phenotype ratio (three showing the dominant phenotype for every one showing the recessive phenotype), reflecting the underlying 1:2:1 genotype ratio (one homozygous dominant : two heterozygous : one homozygous recessive).</w:t>
      </w:r>
    </w:p>
    <w:p>
      <w:pPr>
        <w:pStyle w:val="BodyText"/>
      </w:pPr>
      <w:r>
        <w:rPr>
          <w:bCs/>
          <w:b/>
        </w:rPr>
        <w:t xml:space="preserve">Significance for crop breeding.</w:t>
      </w:r>
      <w:r>
        <w:t xml:space="preserve"> </w:t>
      </w:r>
      <w:r>
        <w:t xml:space="preserve">These foundational principles directly underlie the predictable, systematic crop breeding programmes discussed extensively in the Agriculture &amp; Forestry subject’s genetic improvement topic — understanding dominant/recessive inheritance patterns and predictable segregation ratios allows plant breeders to design crossing programmes with reasonably predictable expected outcomes, and to calculate the number of offspring likely needed to identify individuals with a desired combination of traits.</w:t>
      </w:r>
    </w:p>
    <w:p>
      <w:pPr>
        <w:pStyle w:val="BodyText"/>
      </w:pPr>
      <w:r>
        <w:rPr>
          <w:bCs/>
          <w:b/>
        </w:rPr>
        <w:t xml:space="preserve">Key Takeaways</w:t>
      </w:r>
    </w:p>
    <w:p>
      <w:pPr>
        <w:numPr>
          <w:ilvl w:val="0"/>
          <w:numId w:val="1081"/>
        </w:numPr>
        <w:pStyle w:val="Compact"/>
      </w:pPr>
      <w:r>
        <w:t xml:space="preserve">Mendelian genetics distinguishes genotype (genetic makeup) from phenotype (observable expression), and dominant alleles (expressed even when heterozygous) from recessive alleles (expressed only when homozygous).</w:t>
      </w:r>
    </w:p>
    <w:p>
      <w:pPr>
        <w:numPr>
          <w:ilvl w:val="0"/>
          <w:numId w:val="1081"/>
        </w:numPr>
        <w:pStyle w:val="Compact"/>
      </w:pPr>
      <w:r>
        <w:t xml:space="preserve">The Law of Segregation holds that paired alleles separate during gamete formation; the Law of Independent Assortment holds that different genes’ alleles segregate independently of one another.</w:t>
      </w:r>
    </w:p>
    <w:p>
      <w:pPr>
        <w:numPr>
          <w:ilvl w:val="0"/>
          <w:numId w:val="1081"/>
        </w:numPr>
        <w:pStyle w:val="Compact"/>
      </w:pPr>
      <w:r>
        <w:t xml:space="preserve">Punnett squares predict offspring genotype/phenotype ratios (classically 3:1 for a simple heterozygous cross), principles that directly underlie predictable, systematic crop breeding programme design.</w:t>
      </w:r>
    </w:p>
    <w:bookmarkEnd w:id="94"/>
    <w:bookmarkStart w:id="95" w:name="X1ce1d63a1cea6f7d37403483a2eb89eaa192d85"/>
    <w:p>
      <w:pPr>
        <w:pStyle w:val="Heading3"/>
      </w:pPr>
      <w:r>
        <w:t xml:space="preserve">69. Multiple Alleles and Polygenic Inheritance</w:t>
      </w:r>
    </w:p>
    <w:p>
      <w:pPr>
        <w:pStyle w:val="FirstParagraph"/>
      </w:pPr>
      <w:r>
        <w:t xml:space="preserve">While Mendel’s original experiments examined traits controlled by a single gene with just two possible alleles (dominant and recessive), many real-world heritable traits show more complex inheritance patterns — multiple alleles and polygenic inheritance represent two important extensions beyond this simplest Mendelian case.</w:t>
      </w:r>
    </w:p>
    <w:p>
      <w:pPr>
        <w:pStyle w:val="BodyText"/>
      </w:pPr>
      <w:r>
        <w:rPr>
          <w:bCs/>
          <w:b/>
        </w:rPr>
        <w:t xml:space="preserve">Multiple alleles.</w:t>
      </w:r>
      <w:r>
        <w:t xml:space="preserve"> </w:t>
      </w:r>
      <w:r>
        <w:t xml:space="preserve">While any single individual organism can carry at most two allele copies for a given gene (one from each parent), a species’ overall population can harbour more than two distinct allele variants for that same gene — meaning that, considered across the full population, more than two possible alleles exist for that gene, even though any given individual is still limited to carrying just two of these possible variants. Multiple allele systems can show varying dominance relationships beyond simple complete dominance, including</w:t>
      </w:r>
      <w:r>
        <w:t xml:space="preserve"> </w:t>
      </w:r>
      <w:r>
        <w:rPr>
          <w:bCs/>
          <w:b/>
        </w:rPr>
        <w:t xml:space="preserve">incomplete dominance</w:t>
      </w:r>
      <w:r>
        <w:t xml:space="preserve"> </w:t>
      </w:r>
      <w:r>
        <w:t xml:space="preserve">(where the heterozygous phenotype appears as an intermediate blend between the two homozygous phenotypes, rather than the heterozygote simply displaying the fully dominant phenotype, as classic Mendelian dominance would predict) and</w:t>
      </w:r>
      <w:r>
        <w:t xml:space="preserve"> </w:t>
      </w:r>
      <w:r>
        <w:rPr>
          <w:bCs/>
          <w:b/>
        </w:rPr>
        <w:t xml:space="preserve">codominance</w:t>
      </w:r>
      <w:r>
        <w:t xml:space="preserve"> </w:t>
      </w:r>
      <w:r>
        <w:t xml:space="preserve">(where both alleles are fully and simultaneously expressed in the heterozygous phenotype, rather than blending or one masking the other).</w:t>
      </w:r>
    </w:p>
    <w:p>
      <w:pPr>
        <w:pStyle w:val="BodyText"/>
      </w:pPr>
      <w:r>
        <w:rPr>
          <w:bCs/>
          <w:b/>
        </w:rPr>
        <w:t xml:space="preserve">Polygenic inheritance.</w:t>
      </w:r>
      <w:r>
        <w:t xml:space="preserve"> </w:t>
      </w:r>
      <w:r>
        <w:t xml:space="preserve">Many economically and biologically important traits — including several traits of direct agricultural significance, such as yield, plant height, and various quantitative disease resistance traits — are controlled not by a single gene but by the combined, cumulative effect of many different genes acting together (each individual gene typically contributing a relatively small incremental effect to the overall trait), a pattern called polygenic inheritance. Because polygenic traits result from the cumulative combination of many genes each contributing a small effect (further modified, in most cases, by environmental influence as well, discussed further below), polygenic traits characteristically show</w:t>
      </w:r>
      <w:r>
        <w:t xml:space="preserve"> </w:t>
      </w:r>
      <w:r>
        <w:rPr>
          <w:bCs/>
          <w:b/>
        </w:rPr>
        <w:t xml:space="preserve">continuous variation</w:t>
      </w:r>
      <w:r>
        <w:t xml:space="preserve"> </w:t>
      </w:r>
      <w:r>
        <w:t xml:space="preserve">— a smooth, continuous range of possible phenotype values (such as plant height ranging continuously from very short to very tall) rather than the small number of sharply distinct phenotype categories characteristic of simple single-gene Mendelian traits (such as flower colour being simply either purple or white, with no intermediate categories).</w:t>
      </w:r>
    </w:p>
    <w:p>
      <w:pPr>
        <w:pStyle w:val="BodyText"/>
      </w:pPr>
      <w:r>
        <w:rPr>
          <w:bCs/>
          <w:b/>
        </w:rPr>
        <w:t xml:space="preserve">Genotype-environment interaction.</w:t>
      </w:r>
      <w:r>
        <w:t xml:space="preserve"> </w:t>
      </w:r>
      <w:r>
        <w:t xml:space="preserve">Particularly relevant to polygenic traits (though applicable to Mendelian traits as well, to varying degrees), the actual phenotype an organism displays often reflects not just its underlying genotype but also the specific environmental conditions it experiences during development — a given genotype’s yield potential, for example, may only be fully realised under favourable growing conditions (adequate water, nutrients, and appropriate climate, connecting extensively to the Agriculture &amp; Forestry subject’s crop growth topics), meaning genotype alone does not fully determine phenotype for most polygenic agricultural traits, a principle of considerable practical significance for crop breeding programmes, since a genotype’s true genetic potential can only be properly assessed through field testing across multiple environments and growing seasons.</w:t>
      </w:r>
    </w:p>
    <w:p>
      <w:pPr>
        <w:pStyle w:val="BodyText"/>
      </w:pPr>
      <w:r>
        <w:rPr>
          <w:bCs/>
          <w:b/>
        </w:rPr>
        <w:t xml:space="preserve">Practical relevance to crop breeding.</w:t>
      </w:r>
      <w:r>
        <w:t xml:space="preserve"> </w:t>
      </w:r>
      <w:r>
        <w:t xml:space="preserve">Understanding polygenic inheritance and genotype-environment interaction directly explains why breeding for complex agricultural traits like yield is considerably more challenging and requires more extensive field testing than breeding for simple, single-gene traits (such as specific disease resistance genes that follow straightforward Mendelian inheritance) — a distinction of direct practical relevance to the crop genetic improvement programmes discussed extensively in the Agriculture &amp; Forestry subject.</w:t>
      </w:r>
    </w:p>
    <w:p>
      <w:pPr>
        <w:pStyle w:val="BodyText"/>
      </w:pPr>
      <w:r>
        <w:rPr>
          <w:bCs/>
          <w:b/>
        </w:rPr>
        <w:t xml:space="preserve">Key Takeaways</w:t>
      </w:r>
    </w:p>
    <w:p>
      <w:pPr>
        <w:numPr>
          <w:ilvl w:val="0"/>
          <w:numId w:val="1082"/>
        </w:numPr>
        <w:pStyle w:val="Compact"/>
      </w:pPr>
      <w:r>
        <w:t xml:space="preserve">Multiple alleles occur when a population harbours more than two allele variants for a gene (though any individual still carries only two), sometimes showing incomplete dominance (blended heterozygous phenotype) or codominance (both alleles fully expressed).</w:t>
      </w:r>
    </w:p>
    <w:p>
      <w:pPr>
        <w:numPr>
          <w:ilvl w:val="0"/>
          <w:numId w:val="1082"/>
        </w:numPr>
        <w:pStyle w:val="Compact"/>
      </w:pPr>
      <w:r>
        <w:t xml:space="preserve">Polygenic inheritance, controlling many important agricultural traits (yield, height), involves many genes each contributing a small cumulative effect, producing continuous rather than sharply categorical phenotype variation.</w:t>
      </w:r>
    </w:p>
    <w:p>
      <w:pPr>
        <w:numPr>
          <w:ilvl w:val="0"/>
          <w:numId w:val="1082"/>
        </w:numPr>
        <w:pStyle w:val="Compact"/>
      </w:pPr>
      <w:r>
        <w:t xml:space="preserve">Genotype-environment interaction means phenotype reflects both genetic potential and environmental conditions, explaining why breeding for complex polygenic traits like yield requires more extensive field testing than breeding for simple single-gene traits.</w:t>
      </w:r>
    </w:p>
    <w:bookmarkEnd w:id="95"/>
    <w:bookmarkStart w:id="96" w:name="Xcde62a97a2a0407f16de60c8407f812143e2937"/>
    <w:p>
      <w:pPr>
        <w:pStyle w:val="Heading3"/>
      </w:pPr>
      <w:r>
        <w:t xml:space="preserve">70. Gene Interaction, Epistasis and Pleiotropy</w:t>
      </w:r>
    </w:p>
    <w:p>
      <w:pPr>
        <w:pStyle w:val="FirstParagraph"/>
      </w:pPr>
      <w:r>
        <w:t xml:space="preserve">Beyond the multiple-gene, cumulative-effect pattern of polygenic inheritance discussed in Topic 69, genes can interact with one another in several other specific ways that further complicate the simple, single-gene Mendelian inheritance pattern discussed in Topic 68 — understanding these interaction patterns is essential for accurately interpreting many real-world inheritance patterns.</w:t>
      </w:r>
    </w:p>
    <w:p>
      <w:pPr>
        <w:pStyle w:val="BodyText"/>
      </w:pPr>
      <w:r>
        <w:rPr>
          <w:bCs/>
          <w:b/>
        </w:rPr>
        <w:t xml:space="preserve">Gene interaction and epistasis.</w:t>
      </w:r>
      <w:r>
        <w:t xml:space="preserve"> </w:t>
      </w:r>
      <w:r>
        <w:t xml:space="preserve">Gene interaction refers generally to situations where the phenotypic expression of one gene is influenced by the presence of one or more other, separate genes —</w:t>
      </w:r>
      <w:r>
        <w:t xml:space="preserve"> </w:t>
      </w:r>
      <w:r>
        <w:rPr>
          <w:bCs/>
          <w:b/>
        </w:rPr>
        <w:t xml:space="preserve">epistasis</w:t>
      </w:r>
      <w:r>
        <w:t xml:space="preserve"> </w:t>
      </w:r>
      <w:r>
        <w:t xml:space="preserve">specifically refers to a particular type of gene interaction in which one gene’s expression masks or otherwise modifies the phenotypic expression of a different gene at a separate genetic location (distinct from simple dominance, which describes the relationship between different alleles of the</w:t>
      </w:r>
      <w:r>
        <w:t xml:space="preserve"> </w:t>
      </w:r>
      <w:r>
        <w:rPr>
          <w:iCs/>
          <w:i/>
        </w:rPr>
        <w:t xml:space="preserve">same</w:t>
      </w:r>
      <w:r>
        <w:t xml:space="preserve"> </w:t>
      </w:r>
      <w:r>
        <w:t xml:space="preserve">gene, whereas epistasis describes an interaction</w:t>
      </w:r>
      <w:r>
        <w:t xml:space="preserve"> </w:t>
      </w:r>
      <w:r>
        <w:rPr>
          <w:iCs/>
          <w:i/>
        </w:rPr>
        <w:t xml:space="preserve">between different genes</w:t>
      </w:r>
      <w:r>
        <w:t xml:space="preserve">). A commonly cited example involves genes controlling pigment production in a biosynthetic pathway sense — if one gene (let us call it gene A) controls whether a plant produces any pigment precursor at all, and a separate gene (gene B) controls the specific colour that precursor is subsequently converted into, then an individual with the non-functional, pigment-precursor-blocking version of gene A will show no colour at all (or a default, unpigmented phenotype) regardless of which specific version of gene B it happens to carry, since there is no pigment precursor available for gene B’s colour-determining function to act upon — gene A’s genotype is said to be epistatic to (masking the expression of) gene B in this scenario.</w:t>
      </w:r>
    </w:p>
    <w:p>
      <w:pPr>
        <w:pStyle w:val="BodyText"/>
      </w:pPr>
      <w:r>
        <w:rPr>
          <w:bCs/>
          <w:b/>
        </w:rPr>
        <w:t xml:space="preserve">Pleiotropy.</w:t>
      </w:r>
      <w:r>
        <w:t xml:space="preserve"> </w:t>
      </w:r>
      <w:r>
        <w:t xml:space="preserve">Pleiotropy refers to the opposite situation in some respects — a single gene influencing multiple, seemingly unrelated phenotypic traits simultaneously, reflecting that the specific biological molecule (typically a protein, connecting to the transcription and translation processes discussed in Topics 82–83) that gene’s expression produces may play a functional role in multiple different biological pathways or processes within the organism, meaning a single genetic change affecting that gene can consequently produce effects across all of the multiple traits that gene’s product happens to influence, rather than affecting only one isolated, single trait.</w:t>
      </w:r>
    </w:p>
    <w:p>
      <w:pPr>
        <w:pStyle w:val="BodyText"/>
      </w:pPr>
      <w:r>
        <w:rPr>
          <w:bCs/>
          <w:b/>
        </w:rPr>
        <w:t xml:space="preserve">Why understanding these interaction patterns matters for crop breeding.</w:t>
      </w:r>
      <w:r>
        <w:t xml:space="preserve"> </w:t>
      </w:r>
      <w:r>
        <w:t xml:space="preserve">These more complex gene interaction patterns have direct practical relevance to the crop genetic improvement discussed extensively in the Agriculture &amp; Forestry subject: epistatic interactions mean that a breeder cannot always straightforwardly predict a specific combination of genes’ resulting phenotype simply by considering each individual gene’s effect in isolation, since the actual expressed phenotype may depend significantly on which other specific genes are also present; and pleiotropy means that breeding to select for one specific desired trait can sometimes inadvertently produce unintended, unanticipated changes in other, seemingly unrelated traits as well, if the gene being selected happens to influence multiple different traits simultaneously — a consideration requiring careful, comprehensive field evaluation of breeding programme outcomes across multiple traits, rather than narrowly focusing evaluation on only the single specific trait a breeding programme originally aimed to improve.</w:t>
      </w:r>
    </w:p>
    <w:p>
      <w:pPr>
        <w:pStyle w:val="BodyText"/>
      </w:pPr>
      <w:r>
        <w:rPr>
          <w:bCs/>
          <w:b/>
        </w:rPr>
        <w:t xml:space="preserve">Key Takeaways</w:t>
      </w:r>
    </w:p>
    <w:p>
      <w:pPr>
        <w:numPr>
          <w:ilvl w:val="0"/>
          <w:numId w:val="1083"/>
        </w:numPr>
        <w:pStyle w:val="Compact"/>
      </w:pPr>
      <w:r>
        <w:t xml:space="preserve">Epistasis occurs when one gene’s expression masks or modifies a separate gene’s phenotypic expression, distinct from dominance (which describes interaction between alleles of the same gene).</w:t>
      </w:r>
    </w:p>
    <w:p>
      <w:pPr>
        <w:numPr>
          <w:ilvl w:val="0"/>
          <w:numId w:val="1083"/>
        </w:numPr>
        <w:pStyle w:val="Compact"/>
      </w:pPr>
      <w:r>
        <w:t xml:space="preserve">Pleiotropy occurs when a single gene influences multiple, seemingly unrelated phenotypic traits simultaneously, reflecting that gene’s product playing a role in multiple biological pathways.</w:t>
      </w:r>
    </w:p>
    <w:p>
      <w:pPr>
        <w:numPr>
          <w:ilvl w:val="0"/>
          <w:numId w:val="1083"/>
        </w:numPr>
        <w:pStyle w:val="Compact"/>
      </w:pPr>
      <w:r>
        <w:t xml:space="preserve">Both phenomena complicate straightforward genetic prediction in crop breeding — epistasis means gene combinations can’t always be predicted from individual gene effects alone, while pleiotropy means selecting for one trait can inadvertently affect other, unrelated traits.</w:t>
      </w:r>
    </w:p>
    <w:bookmarkEnd w:id="96"/>
    <w:bookmarkStart w:id="97" w:name="sex-linked-inheritance"/>
    <w:p>
      <w:pPr>
        <w:pStyle w:val="Heading3"/>
      </w:pPr>
      <w:r>
        <w:t xml:space="preserve">71. Sex-linked Inheritance</w:t>
      </w:r>
    </w:p>
    <w:p>
      <w:pPr>
        <w:pStyle w:val="FirstParagraph"/>
      </w:pPr>
      <w:r>
        <w:t xml:space="preserve">Sex-linked inheritance refers to the inheritance pattern of genes located specifically on sex chromosomes (chromosomes that differ between the two sexes in a given species), producing distinctive inheritance patterns that differ from the standard Mendelian patterns (Topic 68) followed by genes located on non-sex chromosomes (autosomes).</w:t>
      </w:r>
    </w:p>
    <w:p>
      <w:pPr>
        <w:pStyle w:val="BodyText"/>
      </w:pPr>
      <w:r>
        <w:rPr>
          <w:bCs/>
          <w:b/>
        </w:rPr>
        <w:t xml:space="preserve">Sex determination and sex chromosomes in plants.</w:t>
      </w:r>
      <w:r>
        <w:t xml:space="preserve"> </w:t>
      </w:r>
      <w:r>
        <w:t xml:space="preserve">While sex-linked inheritance is most extensively studied and best understood in animal systems (including the well-characterised X/Y chromosome system in humans and many other animals), it is also relevant to the subset of plant species that are dioecious (having separate male and female individual plants, rather than the more common situation among angiosperms of hermaphroditic flowers containing both male and female reproductive structures within the same flower, or monoecious plants bearing separate male and female flowers on the same individual plant) — dioecious plant species (including several economically or ecologically notable examples) possess distinct sex chromosomes in a manner broadly analogous to many animal species’ sex chromosome systems, though the specific sex chromosome systems and their evolutionary origins vary somewhat across different dioecious plant lineages, and plant sex chromosome systems are, in many studied cases, understood to have evolved independently and relatively more recently (in evolutionary terms) compared to the more ancient sex chromosome systems found in many animal groups.</w:t>
      </w:r>
    </w:p>
    <w:p>
      <w:pPr>
        <w:pStyle w:val="BodyText"/>
      </w:pPr>
      <w:r>
        <w:rPr>
          <w:bCs/>
          <w:b/>
        </w:rPr>
        <w:t xml:space="preserve">Distinctive inheritance patterns.</w:t>
      </w:r>
      <w:r>
        <w:t xml:space="preserve"> </w:t>
      </w:r>
      <w:r>
        <w:t xml:space="preserve">Because one sex typically carries two copies of the relevant sex chromosome (analogous to the human X chromosome, carried in two copies by the female sex in the human system) while the other sex carries only a single copy of that same chromosome type (analogous to the human male’s single X chromosome, paired with a distinct Y chromosome carrying largely different genetic content) — a gene located on this asymmetrically distributed sex chromosome shows a distinctive inheritance pattern: the sex carrying only a single copy of the relevant chromosome will directly express whatever allele that single chromosome copy carries (since there is no second copy potentially masking a recessive allele’s expression, unlike the standard autosomal dominant/recessive pattern discussed in Topic 68), while the sex carrying two copies of the relevant chromosome will show the standard dominant/recessive expression pattern based on its two allele copies, exactly as ordinary autosomal genes do.</w:t>
      </w:r>
    </w:p>
    <w:p>
      <w:pPr>
        <w:pStyle w:val="BodyText"/>
      </w:pPr>
      <w:r>
        <w:rPr>
          <w:bCs/>
          <w:b/>
        </w:rPr>
        <w:t xml:space="preserve">Why sex-linked inheritance patterns differ from standard autosomal patterns.</w:t>
      </w:r>
      <w:r>
        <w:t xml:space="preserve"> </w:t>
      </w:r>
      <w:r>
        <w:t xml:space="preserve">This asymmetry directly explains why sex-linked traits often show characteristically different inheritance frequency patterns between the two sexes (with a recessive sex-linked trait typically appearing considerably more frequently in the sex carrying only a single copy of the relevant chromosome, since that single chromosome copy’s allele is always directly expressed, without any possibility of being masked by a second, different allele copy, unlike the situation in the sex carrying two chromosome copies).</w:t>
      </w:r>
    </w:p>
    <w:p>
      <w:pPr>
        <w:pStyle w:val="BodyText"/>
      </w:pPr>
      <w:r>
        <w:rPr>
          <w:bCs/>
          <w:b/>
        </w:rPr>
        <w:t xml:space="preserve">Relevance and limitations for plant genetics generally.</w:t>
      </w:r>
      <w:r>
        <w:t xml:space="preserve"> </w:t>
      </w:r>
      <w:r>
        <w:t xml:space="preserve">While sex-linked inheritance represents an important and instructive extension of basic Mendelian genetic principles, its direct practical relevance is comparatively more limited within plant genetics specifically (compared to its much more extensive practical and research significance in animal and human genetics), given that the large majority of economically important crop plant species discussed throughout the Agriculture &amp; Forestry subject are hermaphroditic or monoecious rather than dioecious, meaning sex-linked inheritance patterns simply do not apply to most of the specific genetic traits of direct agricultural breeding interest in these particular crop species.</w:t>
      </w:r>
    </w:p>
    <w:p>
      <w:pPr>
        <w:pStyle w:val="BodyText"/>
      </w:pPr>
      <w:r>
        <w:rPr>
          <w:bCs/>
          <w:b/>
        </w:rPr>
        <w:t xml:space="preserve">Key Takeaways</w:t>
      </w:r>
    </w:p>
    <w:p>
      <w:pPr>
        <w:numPr>
          <w:ilvl w:val="0"/>
          <w:numId w:val="1084"/>
        </w:numPr>
        <w:pStyle w:val="Compact"/>
      </w:pPr>
      <w:r>
        <w:t xml:space="preserve">Sex-linked inheritance applies to genes located on sex chromosomes, relevant in the subset of plant species that are dioecious (having distinct male and female individuals with distinct sex chromosomes).</w:t>
      </w:r>
    </w:p>
    <w:p>
      <w:pPr>
        <w:numPr>
          <w:ilvl w:val="0"/>
          <w:numId w:val="1084"/>
        </w:numPr>
        <w:pStyle w:val="Compact"/>
      </w:pPr>
      <w:r>
        <w:t xml:space="preserve">The sex carrying only a single copy of the relevant sex chromosome directly expresses whatever allele that copy carries, without the masking effect a second chromosome copy would normally provide, producing characteristically different inheritance frequency patterns between the sexes.</w:t>
      </w:r>
    </w:p>
    <w:p>
      <w:pPr>
        <w:numPr>
          <w:ilvl w:val="0"/>
          <w:numId w:val="1084"/>
        </w:numPr>
        <w:pStyle w:val="Compact"/>
      </w:pPr>
      <w:r>
        <w:t xml:space="preserve">Sex-linked inheritance has more limited direct relevance to most crop plant genetics specifically, since the majority of major crop species are hermaphroditic or monoecious rather than dioecious.</w:t>
      </w:r>
    </w:p>
    <w:bookmarkEnd w:id="97"/>
    <w:bookmarkStart w:id="98" w:name="chromosomal-aberrations"/>
    <w:p>
      <w:pPr>
        <w:pStyle w:val="Heading3"/>
      </w:pPr>
      <w:r>
        <w:t xml:space="preserve">72. Chromosomal Aberrations</w:t>
      </w:r>
    </w:p>
    <w:p>
      <w:pPr>
        <w:pStyle w:val="FirstParagraph"/>
      </w:pPr>
      <w:r>
        <w:t xml:space="preserve">Chromosomal aberrations are structural or numerical changes to an organism’s chromosomes, distinct from the smaller-scale DNA sequence mutations discussed in Topic 73, and range from changes affecting only a small chromosome segment to changes affecting an organism’s entire chromosome set — with significant relevance to both plant evolution (connecting directly to the polyploidy-driven speciation discussed in Topic 31) and crop breeding.</w:t>
      </w:r>
    </w:p>
    <w:p>
      <w:pPr>
        <w:pStyle w:val="BodyText"/>
      </w:pPr>
      <w:r>
        <w:rPr>
          <w:bCs/>
          <w:b/>
        </w:rPr>
        <w:t xml:space="preserve">Structural chromosomal aberrations</w:t>
      </w:r>
      <w:r>
        <w:t xml:space="preserve"> </w:t>
      </w:r>
      <w:r>
        <w:t xml:space="preserve">— changes affecting a chromosome’s internal structure without necessarily changing the total number of chromosomes present:</w:t>
      </w:r>
      <w:r>
        <w:t xml:space="preserve"> </w:t>
      </w:r>
      <w:r>
        <w:rPr>
          <w:bCs/>
          <w:b/>
        </w:rPr>
        <w:t xml:space="preserve">deletions</w:t>
      </w:r>
      <w:r>
        <w:t xml:space="preserve"> </w:t>
      </w:r>
      <w:r>
        <w:t xml:space="preserve">(loss of a chromosome segment, generally harmful or lethal if it removes essential genetic material, with severity depending on the size and specific genetic content of the deleted segment);</w:t>
      </w:r>
      <w:r>
        <w:t xml:space="preserve"> </w:t>
      </w:r>
      <w:r>
        <w:rPr>
          <w:bCs/>
          <w:b/>
        </w:rPr>
        <w:t xml:space="preserve">duplications</w:t>
      </w:r>
      <w:r>
        <w:t xml:space="preserve"> </w:t>
      </w:r>
      <w:r>
        <w:t xml:space="preserve">(a chromosome segment present in more than the normal single copy, which can, in some cases, provide raw material for evolutionary innovation, since a duplicated gene copy is potentially free to accumulate mutations and evolve a new function over evolutionary time while the original gene copy continues performing its original essential function);</w:t>
      </w:r>
      <w:r>
        <w:t xml:space="preserve"> </w:t>
      </w:r>
      <w:r>
        <w:rPr>
          <w:bCs/>
          <w:b/>
        </w:rPr>
        <w:t xml:space="preserve">inversions</w:t>
      </w:r>
      <w:r>
        <w:t xml:space="preserve"> </w:t>
      </w:r>
      <w:r>
        <w:t xml:space="preserve">(a chromosome segment reversed in orientation relative to its normal position, which can disrupt normal gene function if the inversion breakpoint falls within a gene, and can also affect normal chromosome pairing during meiosis, potentially reducing fertility in resulting hybrid offspring between individuals carrying different inversion arrangements); and</w:t>
      </w:r>
      <w:r>
        <w:t xml:space="preserve"> </w:t>
      </w:r>
      <w:r>
        <w:rPr>
          <w:bCs/>
          <w:b/>
        </w:rPr>
        <w:t xml:space="preserve">translocations</w:t>
      </w:r>
      <w:r>
        <w:t xml:space="preserve"> </w:t>
      </w:r>
      <w:r>
        <w:t xml:space="preserve">(a chromosome segment relocated to a different, non-original chromosome, which, like inversions, can disrupt normal meiotic chromosome pairing and reduce hybrid fertility).</w:t>
      </w:r>
    </w:p>
    <w:p>
      <w:pPr>
        <w:pStyle w:val="BodyText"/>
      </w:pPr>
      <w:r>
        <w:rPr>
          <w:bCs/>
          <w:b/>
        </w:rPr>
        <w:t xml:space="preserve">Numerical chromosomal aberrations (changes in chromosome number):</w:t>
      </w:r>
    </w:p>
    <w:p>
      <w:pPr>
        <w:numPr>
          <w:ilvl w:val="0"/>
          <w:numId w:val="1085"/>
        </w:numPr>
        <w:pStyle w:val="Compact"/>
      </w:pPr>
      <w:r>
        <w:rPr>
          <w:bCs/>
          <w:b/>
        </w:rPr>
        <w:t xml:space="preserve">Aneuploidy</w:t>
      </w:r>
      <w:r>
        <w:t xml:space="preserve"> </w:t>
      </w:r>
      <w:r>
        <w:t xml:space="preserve">— a change involving the gain or loss of one or a small number of individual chromosomes (rather than an entire chromosome set), generally disrupting the normal, precisely balanced gene dosage relationships between different chromosomes, and frequently associated with significant developmental abnormality or reduced viability, since this specific gene dosage imbalance disrupts normal, tightly regulated cellular and developmental processes.</w:t>
      </w:r>
    </w:p>
    <w:p>
      <w:pPr>
        <w:numPr>
          <w:ilvl w:val="0"/>
          <w:numId w:val="1085"/>
        </w:numPr>
        <w:pStyle w:val="Compact"/>
      </w:pPr>
      <w:r>
        <w:rPr>
          <w:bCs/>
          <w:b/>
        </w:rPr>
        <w:t xml:space="preserve">Polyploidy</w:t>
      </w:r>
      <w:r>
        <w:t xml:space="preserve"> </w:t>
      </w:r>
      <w:r>
        <w:t xml:space="preserve">— a change involving the gain of one or more complete additional chromosome sets, considerably more common and generally far better tolerated in plants than in most animal groups (in marked contrast to aneuploidy’s generally severe consequences), and, as established in the speciation discussion (Topic 31), a significant sympatric speciation mechanism and a documented feature in the evolutionary history of several major crop species — polyploidy in plants often produces larger cell size and, in some cases, larger and more robust overall plant/organ size (a phenomenon exploited in some polyploid crop varieties bred specifically to produce larger fruit or other larger plant organs).</w:t>
      </w:r>
    </w:p>
    <w:p>
      <w:pPr>
        <w:pStyle w:val="FirstParagraph"/>
      </w:pPr>
      <w:r>
        <w:rPr>
          <w:bCs/>
          <w:b/>
        </w:rPr>
        <w:t xml:space="preserve">Practical relevance to crop breeding.</w:t>
      </w:r>
      <w:r>
        <w:t xml:space="preserve"> </w:t>
      </w:r>
      <w:r>
        <w:t xml:space="preserve">Understanding chromosomal aberrations has direct practical significance for crop breeding programmes (connecting to the genetic improvement discussion in the Agriculture &amp; Forestry subject) — deliberately induced polyploidy (through specific chemical treatments that disrupt normal cell division, causing chromosome doubling) is an established crop breeding technique, used to produce seedless fruit varieties (through inducing an odd-numbered, sterile chromosome set that disrupts normal meiotic pairing and therefore normal seed formation, while the plant’s vegetative fruit tissue itself still develops normally) and, in some cases, to overcome hybrid infertility barriers between related but chromosomally incompatible species by doubling the resulting hybrid’s chromosome number, restoring normal, balanced meiotic pairing and fertility.</w:t>
      </w:r>
    </w:p>
    <w:p>
      <w:pPr>
        <w:pStyle w:val="BodyText"/>
      </w:pPr>
      <w:r>
        <w:rPr>
          <w:bCs/>
          <w:b/>
        </w:rPr>
        <w:t xml:space="preserve">Key Takeaways</w:t>
      </w:r>
    </w:p>
    <w:p>
      <w:pPr>
        <w:numPr>
          <w:ilvl w:val="0"/>
          <w:numId w:val="1086"/>
        </w:numPr>
        <w:pStyle w:val="Compact"/>
      </w:pPr>
      <w:r>
        <w:t xml:space="preserve">Structural chromosomal aberrations (deletions, duplications, inversions, translocations) alter chromosome structure without necessarily changing total chromosome number, with duplications specifically providing potential raw material for evolutionary gene function innovation.</w:t>
      </w:r>
    </w:p>
    <w:p>
      <w:pPr>
        <w:numPr>
          <w:ilvl w:val="0"/>
          <w:numId w:val="1086"/>
        </w:numPr>
        <w:pStyle w:val="Compact"/>
      </w:pPr>
      <w:r>
        <w:t xml:space="preserve">Aneuploidy (gain/loss of individual chromosomes) generally disrupts gene dosage balance, causing significant developmental problems; polyploidy (gain of complete chromosome sets) is far better tolerated in plants and has played a significant role in crop species evolution.</w:t>
      </w:r>
    </w:p>
    <w:p>
      <w:pPr>
        <w:numPr>
          <w:ilvl w:val="0"/>
          <w:numId w:val="1086"/>
        </w:numPr>
        <w:pStyle w:val="Compact"/>
      </w:pPr>
      <w:r>
        <w:t xml:space="preserve">Deliberately induced polyploidy is an established crop breeding technique, used to produce seedless fruit varieties and to restore fertility in hybrids between chromosomally incompatible related species.</w:t>
      </w:r>
    </w:p>
    <w:bookmarkEnd w:id="98"/>
    <w:bookmarkStart w:id="99" w:name="mutations"/>
    <w:p>
      <w:pPr>
        <w:pStyle w:val="Heading3"/>
      </w:pPr>
      <w:r>
        <w:t xml:space="preserve">73. Mutations</w:t>
      </w:r>
    </w:p>
    <w:p>
      <w:pPr>
        <w:pStyle w:val="FirstParagraph"/>
      </w:pPr>
      <w:r>
        <w:t xml:space="preserve">Mutations are heritable changes to an organism’s DNA sequence, representing the fundamental, ultimate source of all genetic variation (upon which natural selection, discussed in Topic 78, and other evolutionary processes act) — distinct from the larger-scale chromosomal aberrations discussed in Topic 72, mutations specifically refer to changes at the level of individual DNA nucleotide bases or small DNA sequence segments.</w:t>
      </w:r>
    </w:p>
    <w:p>
      <w:pPr>
        <w:pStyle w:val="BodyText"/>
      </w:pPr>
      <w:r>
        <w:rPr>
          <w:bCs/>
          <w:b/>
        </w:rPr>
        <w:t xml:space="preserve">Types of mutations by mechanism:</w:t>
      </w:r>
    </w:p>
    <w:p>
      <w:pPr>
        <w:numPr>
          <w:ilvl w:val="0"/>
          <w:numId w:val="1087"/>
        </w:numPr>
        <w:pStyle w:val="Compact"/>
      </w:pPr>
      <w:r>
        <w:rPr>
          <w:bCs/>
          <w:b/>
        </w:rPr>
        <w:t xml:space="preserve">Point mutations</w:t>
      </w:r>
      <w:r>
        <w:t xml:space="preserve"> </w:t>
      </w:r>
      <w:r>
        <w:t xml:space="preserve">— a change affecting a single DNA nucleotide base, including</w:t>
      </w:r>
      <w:r>
        <w:t xml:space="preserve"> </w:t>
      </w:r>
      <w:r>
        <w:rPr>
          <w:bCs/>
          <w:b/>
        </w:rPr>
        <w:t xml:space="preserve">substitutions</w:t>
      </w:r>
      <w:r>
        <w:t xml:space="preserve"> </w:t>
      </w:r>
      <w:r>
        <w:t xml:space="preserve">(one base replaced by a different base) — which can be further classified as</w:t>
      </w:r>
      <w:r>
        <w:t xml:space="preserve"> </w:t>
      </w:r>
      <w:r>
        <w:rPr>
          <w:bCs/>
          <w:b/>
        </w:rPr>
        <w:t xml:space="preserve">silent</w:t>
      </w:r>
      <w:r>
        <w:t xml:space="preserve"> </w:t>
      </w:r>
      <w:r>
        <w:t xml:space="preserve">(the changed DNA sequence still codes for the same amino acid, due to the genetic code’s redundancy, discussed in Topic 83, producing no change to the resulting protein),</w:t>
      </w:r>
      <w:r>
        <w:t xml:space="preserve"> </w:t>
      </w:r>
      <w:r>
        <w:rPr>
          <w:bCs/>
          <w:b/>
        </w:rPr>
        <w:t xml:space="preserve">missense</w:t>
      </w:r>
      <w:r>
        <w:t xml:space="preserve"> </w:t>
      </w:r>
      <w:r>
        <w:t xml:space="preserve">(the changed sequence codes for a different amino acid, potentially altering the resulting protein’s structure and function to varying degrees depending on the specific amino acid change and its functional significance), or</w:t>
      </w:r>
      <w:r>
        <w:t xml:space="preserve"> </w:t>
      </w:r>
      <w:r>
        <w:rPr>
          <w:bCs/>
          <w:b/>
        </w:rPr>
        <w:t xml:space="preserve">nonsense</w:t>
      </w:r>
      <w:r>
        <w:t xml:space="preserve"> </w:t>
      </w:r>
      <w:r>
        <w:t xml:space="preserve">(the changed sequence creates a premature</w:t>
      </w:r>
      <w:r>
        <w:t xml:space="preserve"> </w:t>
      </w:r>
      <w:r>
        <w:t xml:space="preserve">“</w:t>
      </w:r>
      <w:r>
        <w:t xml:space="preserve">stop</w:t>
      </w:r>
      <w:r>
        <w:t xml:space="preserve">”</w:t>
      </w:r>
      <w:r>
        <w:t xml:space="preserve"> </w:t>
      </w:r>
      <w:r>
        <w:t xml:space="preserve">signal, typically truncating the resulting protein and usually severely disrupting or eliminating its normal function) — and</w:t>
      </w:r>
      <w:r>
        <w:t xml:space="preserve"> </w:t>
      </w:r>
      <w:r>
        <w:rPr>
          <w:bCs/>
          <w:b/>
        </w:rPr>
        <w:t xml:space="preserve">insertions or deletions</w:t>
      </w:r>
      <w:r>
        <w:t xml:space="preserve"> </w:t>
      </w:r>
      <w:r>
        <w:t xml:space="preserve">of one or a small number of nucleotide bases, which, unless occurring in multiples of exactly three nucleotides (the length of a genetic code codon, Topic 83), typically cause a</w:t>
      </w:r>
      <w:r>
        <w:t xml:space="preserve"> </w:t>
      </w:r>
      <w:r>
        <w:rPr>
          <w:bCs/>
          <w:b/>
        </w:rPr>
        <w:t xml:space="preserve">frameshift mutation</w:t>
      </w:r>
      <w:r>
        <w:t xml:space="preserve">, shifting the reading frame for all subsequent codons downstream of the mutation site and generally producing a severely altered, typically non-functional resulting protein.</w:t>
      </w:r>
    </w:p>
    <w:p>
      <w:pPr>
        <w:pStyle w:val="FirstParagraph"/>
      </w:pPr>
      <w:r>
        <w:rPr>
          <w:bCs/>
          <w:b/>
        </w:rPr>
        <w:t xml:space="preserve">Causes of mutation.</w:t>
      </w:r>
      <w:r>
        <w:t xml:space="preserve"> </w:t>
      </w:r>
      <w:r>
        <w:t xml:space="preserve">These include</w:t>
      </w:r>
      <w:r>
        <w:t xml:space="preserve"> </w:t>
      </w:r>
      <w:r>
        <w:rPr>
          <w:bCs/>
          <w:b/>
        </w:rPr>
        <w:t xml:space="preserve">spontaneous mutations</w:t>
      </w:r>
      <w:r>
        <w:t xml:space="preserve"> </w:t>
      </w:r>
      <w:r>
        <w:t xml:space="preserve">(naturally occurring, relatively low-frequency errors arising during the DNA replication process, Topic 81, despite the replication machinery’s generally high fidelity and error-correction capability) and</w:t>
      </w:r>
      <w:r>
        <w:t xml:space="preserve"> </w:t>
      </w:r>
      <w:r>
        <w:rPr>
          <w:bCs/>
          <w:b/>
        </w:rPr>
        <w:t xml:space="preserve">induced mutations</w:t>
      </w:r>
      <w:r>
        <w:t xml:space="preserve">, caused by exposure to specific mutagenic agents — including certain chemicals (mutagenic chemical compounds capable of directly damaging or chemically altering DNA structure) and radiation (particularly ultraviolet radiation and ionising radiation, both capable of directly damaging DNA structure) — with induced mutation rates typically substantially exceeding the background spontaneous mutation rate.</w:t>
      </w:r>
    </w:p>
    <w:p>
      <w:pPr>
        <w:pStyle w:val="BodyText"/>
      </w:pPr>
      <w:r>
        <w:rPr>
          <w:bCs/>
          <w:b/>
        </w:rPr>
        <w:t xml:space="preserve">Effects of mutations: a spectrum from harmful to beneficial.</w:t>
      </w:r>
      <w:r>
        <w:t xml:space="preserve"> </w:t>
      </w:r>
      <w:r>
        <w:t xml:space="preserve">Most mutations occurring within an organism’s functionally significant DNA sequence are either</w:t>
      </w:r>
      <w:r>
        <w:t xml:space="preserve"> </w:t>
      </w:r>
      <w:r>
        <w:rPr>
          <w:bCs/>
          <w:b/>
        </w:rPr>
        <w:t xml:space="preserve">neutral</w:t>
      </w:r>
      <w:r>
        <w:t xml:space="preserve"> </w:t>
      </w:r>
      <w:r>
        <w:t xml:space="preserve">(producing no significant functional effect, particularly common for silent mutations, or mutations occurring within non-functional DNA regions) or</w:t>
      </w:r>
      <w:r>
        <w:t xml:space="preserve"> </w:t>
      </w:r>
      <w:r>
        <w:rPr>
          <w:bCs/>
          <w:b/>
        </w:rPr>
        <w:t xml:space="preserve">harmful</w:t>
      </w:r>
      <w:r>
        <w:t xml:space="preserve"> </w:t>
      </w:r>
      <w:r>
        <w:t xml:space="preserve">(disrupting normal protein function or gene regulation, given that most possible random changes to an already well-functioning, evolutionarily refined biological system are more likely to disrupt rather than improve that system’s function) — but a smaller proportion of mutations can be</w:t>
      </w:r>
      <w:r>
        <w:t xml:space="preserve"> </w:t>
      </w:r>
      <w:r>
        <w:rPr>
          <w:bCs/>
          <w:b/>
        </w:rPr>
        <w:t xml:space="preserve">beneficial</w:t>
      </w:r>
      <w:r>
        <w:t xml:space="preserve">, providing some genuine functional or adaptive advantage under specific environmental conditions, representing the essential raw genetic variation that natural selection (Topic 78) can subsequently act upon to drive evolutionary adaptation over successive generations.</w:t>
      </w:r>
    </w:p>
    <w:p>
      <w:pPr>
        <w:pStyle w:val="BodyText"/>
      </w:pPr>
      <w:r>
        <w:rPr>
          <w:bCs/>
          <w:b/>
        </w:rPr>
        <w:t xml:space="preserve">Practical significance: induced mutation breeding.</w:t>
      </w:r>
      <w:r>
        <w:t xml:space="preserve"> </w:t>
      </w:r>
      <w:r>
        <w:t xml:space="preserve">Understanding mutation mechanisms has direct practical application in crop breeding through induced mutation breeding, a technique (connecting to the genetic crop improvement discussion in the Agriculture &amp; Forestry subject) in which crop seeds or other plant material are deliberately exposed to mutagenic chemicals or radiation to artificially increase the mutation rate and generate additional genetic variation beyond what would arise through natural spontaneous mutation alone, with the resulting mutated plant population subsequently screened to identify rare individuals carrying beneficial mutations (such as improved disease resistance or other valuable agronomic traits) for further breeding development — a long-established technique that has contributed to the development of numerous released crop varieties globally.</w:t>
      </w:r>
    </w:p>
    <w:p>
      <w:pPr>
        <w:pStyle w:val="BodyText"/>
      </w:pPr>
      <w:r>
        <w:rPr>
          <w:bCs/>
          <w:b/>
        </w:rPr>
        <w:t xml:space="preserve">Key Takeaways</w:t>
      </w:r>
    </w:p>
    <w:p>
      <w:pPr>
        <w:numPr>
          <w:ilvl w:val="0"/>
          <w:numId w:val="1088"/>
        </w:numPr>
        <w:pStyle w:val="Compact"/>
      </w:pPr>
      <w:r>
        <w:t xml:space="preserve">Mutations are heritable DNA sequence changes representing the fundamental source of genetic variation; point mutations (substitutions, classified as silent/missense/nonsense) and small insertions/deletions (potentially causing frameshift mutations) represent the main mutation types.</w:t>
      </w:r>
    </w:p>
    <w:p>
      <w:pPr>
        <w:numPr>
          <w:ilvl w:val="0"/>
          <w:numId w:val="1088"/>
        </w:numPr>
        <w:pStyle w:val="Compact"/>
      </w:pPr>
      <w:r>
        <w:t xml:space="preserve">Mutations arise spontaneously (replication errors) or through induced exposure to mutagenic chemicals or radiation, with most mutations being neutral or harmful, and only a smaller proportion beneficial.</w:t>
      </w:r>
    </w:p>
    <w:p>
      <w:pPr>
        <w:numPr>
          <w:ilvl w:val="0"/>
          <w:numId w:val="1088"/>
        </w:numPr>
        <w:pStyle w:val="Compact"/>
      </w:pPr>
      <w:r>
        <w:t xml:space="preserve">Induced mutation breeding deliberately increases mutation rate to generate additional crop genetic variation, screened to identify rare beneficial mutations, an established technique contributing to numerous released crop varieties.</w:t>
      </w:r>
    </w:p>
    <w:bookmarkEnd w:id="99"/>
    <w:bookmarkStart w:id="100" w:name="dna-repair"/>
    <w:p>
      <w:pPr>
        <w:pStyle w:val="Heading3"/>
      </w:pPr>
      <w:r>
        <w:t xml:space="preserve">74. DNA Repair</w:t>
      </w:r>
    </w:p>
    <w:p>
      <w:pPr>
        <w:pStyle w:val="FirstParagraph"/>
      </w:pPr>
      <w:r>
        <w:t xml:space="preserve">DNA repair mechanisms are the cellular processes that detect and correct damage or errors in DNA sequence, essential to maintaining genetic stability across successive cell divisions (Topic 62) and generations, and directly relevant to understanding why the spontaneous mutation rate discussed in Topic 73, while not zero, remains relatively low despite DNA’s continuous exposure to various damaging influences.</w:t>
      </w:r>
    </w:p>
    <w:p>
      <w:pPr>
        <w:pStyle w:val="BodyText"/>
      </w:pPr>
      <w:r>
        <w:rPr>
          <w:bCs/>
          <w:b/>
        </w:rPr>
        <w:t xml:space="preserve">Why DNA repair mechanisms are necessary.</w:t>
      </w:r>
      <w:r>
        <w:t xml:space="preserve"> </w:t>
      </w:r>
      <w:r>
        <w:t xml:space="preserve">DNA is continuously subject to potential damage from both external sources (radiation, chemical mutagens, discussed in Topic 73) and internal sources (spontaneous chemical instability of DNA’s constituent molecules, and errors arising during the DNA replication process itself, Topic 81, despite DNA polymerase’s generally high inherent copying accuracy) — without effective repair mechanisms to detect and correct this ongoing damage, the accumulated mutation rate would be substantially higher than what is actually observed, with correspondingly more severe consequences for organism health, development, and evolutionary fitness.</w:t>
      </w:r>
    </w:p>
    <w:p>
      <w:pPr>
        <w:pStyle w:val="BodyText"/>
      </w:pPr>
      <w:r>
        <w:rPr>
          <w:bCs/>
          <w:b/>
        </w:rPr>
        <w:t xml:space="preserve">Major DNA repair mechanisms:</w:t>
      </w:r>
    </w:p>
    <w:p>
      <w:pPr>
        <w:numPr>
          <w:ilvl w:val="0"/>
          <w:numId w:val="1089"/>
        </w:numPr>
        <w:pStyle w:val="Compact"/>
      </w:pPr>
      <w:r>
        <w:rPr>
          <w:bCs/>
          <w:b/>
        </w:rPr>
        <w:t xml:space="preserve">Mismatch repair</w:t>
      </w:r>
      <w:r>
        <w:t xml:space="preserve"> </w:t>
      </w:r>
      <w:r>
        <w:t xml:space="preserve">— a mechanism specifically operating during and immediately following DNA replication (Topic 81), detecting and correcting the relatively rare base-pairing errors that DNA polymerase’s own proofreading function fails to catch during the replication process itself, providing an important additional layer of replication accuracy beyond DNA polymerase’s own inherent proofreading capability.</w:t>
      </w:r>
    </w:p>
    <w:p>
      <w:pPr>
        <w:numPr>
          <w:ilvl w:val="0"/>
          <w:numId w:val="1089"/>
        </w:numPr>
        <w:pStyle w:val="Compact"/>
      </w:pPr>
      <w:r>
        <w:rPr>
          <w:bCs/>
          <w:b/>
        </w:rPr>
        <w:t xml:space="preserve">Excision repair mechanisms</w:t>
      </w:r>
      <w:r>
        <w:t xml:space="preserve"> </w:t>
      </w:r>
      <w:r>
        <w:t xml:space="preserve">— including both nucleotide excision repair (which detects and removes damaged DNA segments caused by various forms of damage, including the specific DNA structural distortion caused by ultraviolet radiation exposure) and base excision repair (which specifically removes individual damaged or chemically altered DNA bases) — both mechanisms follow a broadly similar general strategy: removing the damaged DNA segment or base, then using the intact, undamaged complementary DNA strand as a template to accurately resynthesise the correct replacement sequence, directly exploiting DNA’s double-stranded structure (Topic 79) as a built-in mechanism providing a reliable template for accurate repair.</w:t>
      </w:r>
    </w:p>
    <w:p>
      <w:pPr>
        <w:numPr>
          <w:ilvl w:val="0"/>
          <w:numId w:val="1089"/>
        </w:numPr>
        <w:pStyle w:val="Compact"/>
      </w:pPr>
      <w:r>
        <w:rPr>
          <w:bCs/>
          <w:b/>
        </w:rPr>
        <w:t xml:space="preserve">Double-strand break repair</w:t>
      </w:r>
      <w:r>
        <w:t xml:space="preserve"> </w:t>
      </w:r>
      <w:r>
        <w:t xml:space="preserve">— addressing a particularly severe category of DNA damage in which both strands of the DNA double helix are broken (rather than damage affecting only one strand, which can still be repaired using the intact complementary strand as a template, as in the excision repair mechanisms above) — repaired through mechanisms including homologous recombination (using a separate, undamaged copy of the same chromosome region, typically from a sister chromatid produced during DNA replication, as a template for accurate repair) or, when no matching undamaged template is readily available, less precise mechanisms that directly rejoin the broken DNA ends, which can sometimes introduce small sequence errors at the repair site given this mechanism’s comparatively lower inherent precision.</w:t>
      </w:r>
    </w:p>
    <w:p>
      <w:pPr>
        <w:pStyle w:val="FirstParagraph"/>
      </w:pPr>
      <w:r>
        <w:rPr>
          <w:bCs/>
          <w:b/>
        </w:rPr>
        <w:t xml:space="preserve">Significance for understanding mutation rates and evolution.</w:t>
      </w:r>
      <w:r>
        <w:t xml:space="preserve"> </w:t>
      </w:r>
      <w:r>
        <w:t xml:space="preserve">The existence and generally high effectiveness of these various DNA repair mechanisms directly explains why observed spontaneous mutation rates remain relatively low despite DNA’s continuous exposure to various damaging influences — but critically, DNA repair mechanisms are not perfectly effective (some rare instances of damage inevitably evade detection and correction, or are repaired with some small remaining error), meaning a low but non-zero mutation rate persists even with fully functional repair mechanisms in place, providing the ongoing, gradual supply of new genetic variation that fuels the evolutionary processes discussed in Topics 75–78, while the generally high effectiveness of these repair mechanisms simultaneously prevents mutation rates from becoming so high as to be overwhelmingly harmful to organism survival and reproduction.</w:t>
      </w:r>
    </w:p>
    <w:p>
      <w:pPr>
        <w:pStyle w:val="BodyText"/>
      </w:pPr>
      <w:r>
        <w:rPr>
          <w:bCs/>
          <w:b/>
        </w:rPr>
        <w:t xml:space="preserve">Key Takeaways</w:t>
      </w:r>
    </w:p>
    <w:p>
      <w:pPr>
        <w:numPr>
          <w:ilvl w:val="0"/>
          <w:numId w:val="1090"/>
        </w:numPr>
        <w:pStyle w:val="Compact"/>
      </w:pPr>
      <w:r>
        <w:t xml:space="preserve">DNA repair mechanisms correct ongoing DNA damage from external (radiation, chemicals) and internal (replication errors, spontaneous chemical instability) sources, maintaining genetic stability across cell divisions and generations.</w:t>
      </w:r>
    </w:p>
    <w:p>
      <w:pPr>
        <w:numPr>
          <w:ilvl w:val="0"/>
          <w:numId w:val="1090"/>
        </w:numPr>
        <w:pStyle w:val="Compact"/>
      </w:pPr>
      <w:r>
        <w:t xml:space="preserve">Key mechanisms include mismatch repair (correcting replication errors), excision repair (removing and resynthesising damaged segments/bases using the intact complementary strand as template), and double-strand break repair (using homologous recombination or direct end-joining).</w:t>
      </w:r>
    </w:p>
    <w:p>
      <w:pPr>
        <w:numPr>
          <w:ilvl w:val="0"/>
          <w:numId w:val="1090"/>
        </w:numPr>
        <w:pStyle w:val="Compact"/>
      </w:pPr>
      <w:r>
        <w:t xml:space="preserve">These mechanisms explain why mutation rates remain relatively low despite continuous DNA damage exposure, though imperfect repair effectiveness ensures a low but non-zero mutation rate persists, providing the ongoing genetic variation supply that fuels evolutionary processes.</w:t>
      </w:r>
    </w:p>
    <w:bookmarkEnd w:id="100"/>
    <w:bookmarkEnd w:id="101"/>
    <w:bookmarkStart w:id="106" w:name="ix.-evolution"/>
    <w:p>
      <w:pPr>
        <w:pStyle w:val="Heading2"/>
      </w:pPr>
      <w:r>
        <w:t xml:space="preserve">IX. Evolution</w:t>
      </w:r>
    </w:p>
    <w:bookmarkStart w:id="102" w:name="history-and-basic-concepts-of-evolution"/>
    <w:p>
      <w:pPr>
        <w:pStyle w:val="Heading3"/>
      </w:pPr>
      <w:r>
        <w:t xml:space="preserve">75. History and Basic Concepts of Evolution</w:t>
      </w:r>
    </w:p>
    <w:p>
      <w:pPr>
        <w:pStyle w:val="FirstParagraph"/>
      </w:pPr>
      <w:r>
        <w:t xml:space="preserve">Evolutionary theory — the scientific framework explaining how species change over time and how the diversity of life arose — provides the essential unifying conceptual framework underlying much of the taxonomy, physiology, and ecology content addressed throughout this subject, and this topic traces its historical development and establishes its core concepts.</w:t>
      </w:r>
    </w:p>
    <w:p>
      <w:pPr>
        <w:pStyle w:val="BodyText"/>
      </w:pPr>
      <w:r>
        <w:rPr>
          <w:bCs/>
          <w:b/>
        </w:rPr>
        <w:t xml:space="preserve">Pre-Darwinian ideas.</w:t>
      </w:r>
      <w:r>
        <w:t xml:space="preserve"> </w:t>
      </w:r>
      <w:r>
        <w:t xml:space="preserve">Before Charles Darwin’s work, various naturalists had proposed that species could change over time (contradicting the then-dominant view of species as fixed and unchanging since their original creation), including Jean-Baptiste Lamarck’s early 19th-century theory proposing that organisms could acquire beneficial characteristics during their own lifetime (through use or disuse of particular features) and directly pass these acquired characteristics on to their offspring — a mechanism now understood, based on modern genetic understanding (Topics 79–82), to be generally incorrect as a primary evolutionary mechanism (since heritable genetic material is not typically altered by an organism’s lifetime experiences in the direct, systematic way Lamarck’s theory proposed), though Lamarck’s broader proposal that species do change over time represented an important conceptual precursor to Darwin’s subsequent, more scientifically robust theory.</w:t>
      </w:r>
    </w:p>
    <w:p>
      <w:pPr>
        <w:pStyle w:val="BodyText"/>
      </w:pPr>
      <w:r>
        <w:rPr>
          <w:bCs/>
          <w:b/>
        </w:rPr>
        <w:t xml:space="preserve">Darwin’s contribution.</w:t>
      </w:r>
      <w:r>
        <w:t xml:space="preserve"> </w:t>
      </w:r>
      <w:r>
        <w:t xml:space="preserve">Charles Darwin’s 1859 publication</w:t>
      </w:r>
      <w:r>
        <w:t xml:space="preserve"> </w:t>
      </w:r>
      <w:r>
        <w:rPr>
          <w:iCs/>
          <w:i/>
        </w:rPr>
        <w:t xml:space="preserve">On the Origin of Species</w:t>
      </w:r>
      <w:r>
        <w:t xml:space="preserve"> </w:t>
      </w:r>
      <w:r>
        <w:t xml:space="preserve">proposed natural selection (examined in detail in Topic 78) as the primary mechanism driving evolutionary change — the theory that heritable variation exists within populations, that this variation affects individual organisms’ relative survival and reproductive success, and that traits associated with greater survival and reproductive success will consequently become more common in subsequent generations, gradually altering a population’s characteristics over successive generations without requiring any deliberate direction or acquired-characteristic inheritance mechanism.</w:t>
      </w:r>
    </w:p>
    <w:p>
      <w:pPr>
        <w:pStyle w:val="BodyText"/>
      </w:pPr>
      <w:r>
        <w:rPr>
          <w:bCs/>
          <w:b/>
        </w:rPr>
        <w:t xml:space="preserve">The modern evolutionary synthesis.</w:t>
      </w:r>
      <w:r>
        <w:t xml:space="preserve"> </w:t>
      </w:r>
      <w:r>
        <w:t xml:space="preserve">Darwin’s original theory, developed well before the molecular understanding of genetics and heredity established through the work discussed in Topics 68 and 79–82, was subsequently integrated with Mendelian genetics and, later, molecular genetic understanding during the mid-20th century</w:t>
      </w:r>
      <w:r>
        <w:t xml:space="preserve"> </w:t>
      </w:r>
      <w:r>
        <w:t xml:space="preserve">“</w:t>
      </w:r>
      <w:r>
        <w:t xml:space="preserve">modern synthesis,</w:t>
      </w:r>
      <w:r>
        <w:t xml:space="preserve">”</w:t>
      </w:r>
      <w:r>
        <w:t xml:space="preserve"> </w:t>
      </w:r>
      <w:r>
        <w:t xml:space="preserve">which provided the specific mechanistic explanation (mutation as the source of new heritable variation, Topic 73; Mendelian inheritance patterns explaining how this variation is passed to offspring, Topic 68) that Darwin’s original theory had lacked, producing the comprehensive, mechanistically well-supported evolutionary framework accepted within mainstream biological science today.</w:t>
      </w:r>
    </w:p>
    <w:p>
      <w:pPr>
        <w:pStyle w:val="BodyText"/>
      </w:pPr>
      <w:r>
        <w:rPr>
          <w:bCs/>
          <w:b/>
        </w:rPr>
        <w:t xml:space="preserve">Core evolutionary concepts.</w:t>
      </w:r>
      <w:r>
        <w:t xml:space="preserve"> </w:t>
      </w:r>
      <w:r>
        <w:t xml:space="preserve">These include the basic requirement of heritable variation (a population must contain genetically-based variation in traits for natural selection to act upon, ultimately supplied by the mutation process discussed in Topic 73), differential survival and reproduction (individuals with certain trait variations must, on average, survive and reproduce more successfully than individuals with alternative trait variations, under the specific environmental conditions the population experiences), and the resulting change in trait frequency across successive generations — collectively defining evolution, at its most basic level, as a change in the heritable characteristics of a population over successive generations.</w:t>
      </w:r>
    </w:p>
    <w:p>
      <w:pPr>
        <w:pStyle w:val="BodyText"/>
      </w:pPr>
      <w:r>
        <w:rPr>
          <w:bCs/>
          <w:b/>
        </w:rPr>
        <w:t xml:space="preserve">Key Takeaways</w:t>
      </w:r>
    </w:p>
    <w:p>
      <w:pPr>
        <w:numPr>
          <w:ilvl w:val="0"/>
          <w:numId w:val="1091"/>
        </w:numPr>
        <w:pStyle w:val="Compact"/>
      </w:pPr>
      <w:r>
        <w:t xml:space="preserve">Lamarck’s early theory of acquired-characteristic inheritance is now understood to be generally incorrect, but represented an important conceptual precursor to Darwin’s subsequent theory of evolution by natural selection.</w:t>
      </w:r>
    </w:p>
    <w:p>
      <w:pPr>
        <w:numPr>
          <w:ilvl w:val="0"/>
          <w:numId w:val="1091"/>
        </w:numPr>
        <w:pStyle w:val="Compact"/>
      </w:pPr>
      <w:r>
        <w:t xml:space="preserve">Darwin’s 1859 theory proposed natural selection — differential survival and reproduction based on heritable variation — as the primary evolutionary mechanism, without requiring deliberate direction.</w:t>
      </w:r>
    </w:p>
    <w:p>
      <w:pPr>
        <w:numPr>
          <w:ilvl w:val="0"/>
          <w:numId w:val="1091"/>
        </w:numPr>
        <w:pStyle w:val="Compact"/>
      </w:pPr>
      <w:r>
        <w:t xml:space="preserve">The mid-20th century</w:t>
      </w:r>
      <w:r>
        <w:t xml:space="preserve"> </w:t>
      </w:r>
      <w:r>
        <w:t xml:space="preserve">“</w:t>
      </w:r>
      <w:r>
        <w:t xml:space="preserve">modern synthesis</w:t>
      </w:r>
      <w:r>
        <w:t xml:space="preserve">”</w:t>
      </w:r>
      <w:r>
        <w:t xml:space="preserve"> </w:t>
      </w:r>
      <w:r>
        <w:t xml:space="preserve">integrated Darwin’s theory with Mendelian and molecular genetics, providing the specific mechanistic explanation for heritable variation’s origin and inheritance that produces the comprehensive evolutionary framework accepted today.</w:t>
      </w:r>
    </w:p>
    <w:bookmarkEnd w:id="102"/>
    <w:bookmarkStart w:id="103" w:name="origin-and-evolution-of-life"/>
    <w:p>
      <w:pPr>
        <w:pStyle w:val="Heading3"/>
      </w:pPr>
      <w:r>
        <w:t xml:space="preserve">76. Origin and Evolution of Life</w:t>
      </w:r>
    </w:p>
    <w:p>
      <w:pPr>
        <w:pStyle w:val="FirstParagraph"/>
      </w:pPr>
      <w:r>
        <w:t xml:space="preserve">The origin and early evolution of life addresses how the very first living organisms arose from non-living chemical matter, and how the fundamental cellular characteristics distinguishing major groups of living organisms (including the plant kingdom addressed throughout this subject) subsequently evolved — representing an area characterised by somewhat greater scientific uncertainty than the well-established core mechanisms of evolution by natural selection (Topic 78), given the practical challenge of directly observing or definitively reconstructing events that occurred billions of years ago.</w:t>
      </w:r>
    </w:p>
    <w:p>
      <w:pPr>
        <w:pStyle w:val="BodyText"/>
      </w:pPr>
      <w:r>
        <w:rPr>
          <w:bCs/>
          <w:b/>
        </w:rPr>
        <w:t xml:space="preserve">The chemical origin of life (abiogenesis).</w:t>
      </w:r>
      <w:r>
        <w:t xml:space="preserve"> </w:t>
      </w:r>
      <w:r>
        <w:t xml:space="preserve">Current scientific understanding proposes that life originated through a gradual chemical process on early Earth, in which simple organic (carbon-containing) molecules formed from even simpler inorganic starting materials (under early Earth’s specific atmospheric and environmental conditions, quite different from today’s oxygen-rich atmosphere), and these simple organic molecules subsequently combined and organised into progressively more complex structures, eventually giving rise to self-replicating molecular systems and, ultimately, the first simple cellular life forms — while the precise specific chemical pathway remains an area of active scientific research and some continuing uncertainty (given the practical difficulty of directly testing or observing processes that occurred so long ago under environmental conditions difficult to precisely recreate), the basic principle that life arose through a gradual chemical process from non-living matter, rather than requiring some entirely separate, non-chemical originating mechanism, is well supported by the convergent evidence discussed below.</w:t>
      </w:r>
    </w:p>
    <w:p>
      <w:pPr>
        <w:pStyle w:val="BodyText"/>
      </w:pPr>
      <w:r>
        <w:rPr>
          <w:bCs/>
          <w:b/>
        </w:rPr>
        <w:t xml:space="preserve">Early cellular evolution: prokaryotes preceding eukaryotes.</w:t>
      </w:r>
      <w:r>
        <w:t xml:space="preserve"> </w:t>
      </w:r>
      <w:r>
        <w:t xml:space="preserve">The earliest life forms are understood to have been simple, relatively small, prokaryotic cells (cells lacking a membrane-bound nucleus and other membrane-bound internal organelles, in contrast to the more structurally complex eukaryotic cells, including plant cells, discussed extensively in the Cytology section, Topics 62–67) — more structurally complex eukaryotic cells are understood to have evolved considerably later.</w:t>
      </w:r>
    </w:p>
    <w:p>
      <w:pPr>
        <w:pStyle w:val="BodyText"/>
      </w:pPr>
      <w:r>
        <w:rPr>
          <w:bCs/>
          <w:b/>
        </w:rPr>
        <w:t xml:space="preserve">The endosymbiotic theory.</w:t>
      </w:r>
      <w:r>
        <w:t xml:space="preserve"> </w:t>
      </w:r>
      <w:r>
        <w:t xml:space="preserve">As introduced briefly in Topic 67’s ultrastructure discussion, the endosymbiotic theory proposes that key eukaryotic cell organelles — specifically chloroplasts and mitochondria — originated as formerly free-living prokaryotic organisms that were engulfed by, and eventually became permanently integrated within, an ancestral host cell, evolving over time from an initially separate, free-living organism into a permanently integrated cellular organelle. This theory is supported by several distinctive lines of evidence: both chloroplasts and mitochondria possess their own distinct DNA, structurally distinct from and organised differently than the cell’s main nuclear DNA; both organelles are enclosed by a double membrane (consistent with an original engulfment process, in which an outer membrane derived from the host cell’s own engulfing membrane would have enclosed the pre-existing single membrane of the originally free-living engulfed organism); and both organelles can self-replicate through a division process occurring somewhat independently of, though still coordinated with, the host cell’s own overall cell division cycle (Topic 62) — together, this evidence provides compelling, mutually reinforcing support for chloroplasts’ and mitochondria’s proposed evolutionary origin as formerly independent organisms.</w:t>
      </w:r>
    </w:p>
    <w:p>
      <w:pPr>
        <w:pStyle w:val="BodyText"/>
      </w:pPr>
      <w:r>
        <w:rPr>
          <w:bCs/>
          <w:b/>
        </w:rPr>
        <w:t xml:space="preserve">Significance for understanding plant evolution.</w:t>
      </w:r>
      <w:r>
        <w:t xml:space="preserve"> </w:t>
      </w:r>
      <w:r>
        <w:t xml:space="preserve">This deep evolutionary history — the chemical origin of the first cellular life, and the subsequent endosymbiotic origin of the chloroplast, the organelle whose photosynthetic function (Topics 45–47) ultimately makes all subsequent plant life and, indeed, virtually all other life on Earth possible, given photosynthesis’s foundational role in global food webs (Topic 54) — provides essential deep evolutionary context for understanding the entire subsequent history of plant evolution traced throughout this subject, from algae (Topics 1–4) through the progressively more complex land plant groups discussed in Sections I through IV.</w:t>
      </w:r>
    </w:p>
    <w:p>
      <w:pPr>
        <w:pStyle w:val="BodyText"/>
      </w:pPr>
      <w:r>
        <w:rPr>
          <w:bCs/>
          <w:b/>
        </w:rPr>
        <w:t xml:space="preserve">Key Takeaways</w:t>
      </w:r>
    </w:p>
    <w:p>
      <w:pPr>
        <w:numPr>
          <w:ilvl w:val="0"/>
          <w:numId w:val="1092"/>
        </w:numPr>
        <w:pStyle w:val="Compact"/>
      </w:pPr>
      <w:r>
        <w:t xml:space="preserve">Current scientific understanding proposes life originated through a gradual chemical process (abiogenesis) from simple organic molecules under early Earth’s specific environmental conditions, though the precise chemical pathway remains an area of ongoing research.</w:t>
      </w:r>
    </w:p>
    <w:p>
      <w:pPr>
        <w:numPr>
          <w:ilvl w:val="0"/>
          <w:numId w:val="1092"/>
        </w:numPr>
        <w:pStyle w:val="Compact"/>
      </w:pPr>
      <w:r>
        <w:t xml:space="preserve">The earliest life forms were simple prokaryotic cells, with more structurally complex eukaryotic cells (including plant cells) evolving considerably later.</w:t>
      </w:r>
    </w:p>
    <w:p>
      <w:pPr>
        <w:numPr>
          <w:ilvl w:val="0"/>
          <w:numId w:val="1092"/>
        </w:numPr>
        <w:pStyle w:val="Compact"/>
      </w:pPr>
      <w:r>
        <w:t xml:space="preserve">The endosymbiotic theory, supported by distinctive DNA, double-membrane, and independent-replication evidence, proposes that chloroplasts and mitochondria originated as formerly free-living prokaryotic organisms engulfed by and integrated within an ancestral host cell.</w:t>
      </w:r>
    </w:p>
    <w:bookmarkEnd w:id="103"/>
    <w:bookmarkStart w:id="104" w:name="Xf80e17e24a0c5c2a56d987416346dbee1b7f67a"/>
    <w:p>
      <w:pPr>
        <w:pStyle w:val="Heading3"/>
      </w:pPr>
      <w:r>
        <w:t xml:space="preserve">77. Convergent, Divergent and Parallel Evolution</w:t>
      </w:r>
    </w:p>
    <w:p>
      <w:pPr>
        <w:pStyle w:val="FirstParagraph"/>
      </w:pPr>
      <w:r>
        <w:t xml:space="preserve">Convergent, divergent, and parallel evolution describe three distinct patterns by which evolutionary change can produce similarity or difference among species — understanding these distinct patterns is essential for correctly interpreting observed similarities and differences between species, directly relevant to the taxonomic classification challenges discussed in Topic 29, where distinguishing genuine shared ancestry from merely superficial similarity is a central concern.</w:t>
      </w:r>
    </w:p>
    <w:p>
      <w:pPr>
        <w:pStyle w:val="BodyText"/>
      </w:pPr>
      <w:r>
        <w:rPr>
          <w:bCs/>
          <w:b/>
        </w:rPr>
        <w:t xml:space="preserve">Divergent evolution.</w:t>
      </w:r>
      <w:r>
        <w:t xml:space="preserve"> </w:t>
      </w:r>
      <w:r>
        <w:t xml:space="preserve">This describes the pattern in which related species, sharing a common evolutionary ancestor, become progressively more different from one another over evolutionary time, typically as a result of adapting to different environmental conditions or ecological niches following some form of separation (connecting directly to the allopatric speciation mechanism discussed in Topic 31) — divergent evolution is, in essence, the standard, expected pattern of evolutionary diversification from a common ancestor, and produces the branching, tree-like pattern of evolutionary relationship that phylogenetic classification (Topic 29) aims to accurately reconstruct and represent.</w:t>
      </w:r>
    </w:p>
    <w:p>
      <w:pPr>
        <w:pStyle w:val="BodyText"/>
      </w:pPr>
      <w:r>
        <w:rPr>
          <w:bCs/>
          <w:b/>
        </w:rPr>
        <w:t xml:space="preserve">Convergent evolution.</w:t>
      </w:r>
      <w:r>
        <w:t xml:space="preserve"> </w:t>
      </w:r>
      <w:r>
        <w:t xml:space="preserve">This describes the notably different pattern in which unrelated or only distantly related species, not sharing a particularly recent common ancestor, independently evolve similar characteristics or adaptations, typically because they face similar environmental pressures or occupy similar ecological niches, despite their considerable underlying evolutionary distance — convergent evolution is of particular importance for taxonomic classification because it can produce misleading superficial similarity that might naively suggest close evolutionary relationship where genuine close relationship does not actually exist, directly explaining why modern phylogenetic classification increasingly relies on molecular genetic evidence (Topic 29) rather than morphological similarity alone, since molecular evidence is generally much less susceptible to this convergent evolution confound than superficial structural similarity is. A frequently cited example relevant to plant biology involves cactus-like succulent plant forms, which have evolved independently in several entirely distinct, only distantly related plant lineages in different arid regions of the world, converging on broadly similar water-storage and drought-adaptation strategies (including thick, water-storing tissue and reduced leaf surface area) in response to similarly harsh, water-scarce environmental conditions, despite these convergent succulent lineages not sharing a particularly close common ancestor.</w:t>
      </w:r>
    </w:p>
    <w:p>
      <w:pPr>
        <w:pStyle w:val="BodyText"/>
      </w:pPr>
      <w:r>
        <w:rPr>
          <w:bCs/>
          <w:b/>
        </w:rPr>
        <w:t xml:space="preserve">Parallel evolution.</w:t>
      </w:r>
      <w:r>
        <w:t xml:space="preserve"> </w:t>
      </w:r>
      <w:r>
        <w:t xml:space="preserve">This describes a pattern somewhat intermediate between divergent and convergent evolution — related species (sharing a relatively more recent common ancestor than the distantly related species involved in typical convergent evolution cases) independently evolve similar adaptations following their initial divergence, typically because they face similar environmental pressures, but starting from a shared underlying genetic and developmental foundation inherited from their more recent common ancestor (in contrast to convergent evolution, where the independently evolving lineages start from a much more evolutionarily distant, dissimilar underlying genetic and developmental starting point).</w:t>
      </w:r>
    </w:p>
    <w:p>
      <w:pPr>
        <w:pStyle w:val="BodyText"/>
      </w:pPr>
      <w:r>
        <w:rPr>
          <w:bCs/>
          <w:b/>
        </w:rPr>
        <w:t xml:space="preserve">Practical significance for interpreting plant characteristics.</w:t>
      </w:r>
      <w:r>
        <w:t xml:space="preserve"> </w:t>
      </w:r>
      <w:r>
        <w:t xml:space="preserve">Understanding these three distinct evolutionary patterns has direct practical significance for correctly interpreting observed plant characteristics and for constructing accurate taxonomic classifications — a researcher observing similar characteristics across different plant species must carefully consider whether that similarity most likely reflects genuine shared ancestry (divergent evolution from a common ancestor, with the similarity representing a retained ancestral characteristic) or independently evolved convergent/parallel adaptation to similar environmental pressures (in which case the similarity, however striking, does not necessarily indicate particularly close evolutionary relationship) — a distinction of direct relevance to the chemotaxonomy discussion in Topic 33, where convergently evolved similar defensive secondary metabolite compounds across unrelated plant lineages represent exactly this kind of potentially taxonomically misleading convergent similarity.</w:t>
      </w:r>
    </w:p>
    <w:p>
      <w:pPr>
        <w:pStyle w:val="BodyText"/>
      </w:pPr>
      <w:r>
        <w:rPr>
          <w:bCs/>
          <w:b/>
        </w:rPr>
        <w:t xml:space="preserve">Key Takeaways</w:t>
      </w:r>
    </w:p>
    <w:p>
      <w:pPr>
        <w:numPr>
          <w:ilvl w:val="0"/>
          <w:numId w:val="1093"/>
        </w:numPr>
        <w:pStyle w:val="Compact"/>
      </w:pPr>
      <w:r>
        <w:t xml:space="preserve">Divergent evolution describes related species from a common ancestor becoming progressively more different over time, representing the standard, expected pattern of evolutionary diversification.</w:t>
      </w:r>
    </w:p>
    <w:p>
      <w:pPr>
        <w:numPr>
          <w:ilvl w:val="0"/>
          <w:numId w:val="1093"/>
        </w:numPr>
        <w:pStyle w:val="Compact"/>
      </w:pPr>
      <w:r>
        <w:t xml:space="preserve">Convergent evolution describes unrelated or distantly related species independently evolving similar characteristics due to similar environmental pressures, potentially producing misleading superficial similarity that does not indicate close relationship — as seen in independently evolved succulent, cactus-like plant forms across different lineages.</w:t>
      </w:r>
    </w:p>
    <w:p>
      <w:pPr>
        <w:numPr>
          <w:ilvl w:val="0"/>
          <w:numId w:val="1093"/>
        </w:numPr>
        <w:pStyle w:val="Compact"/>
      </w:pPr>
      <w:r>
        <w:t xml:space="preserve">Parallel evolution describes related species (sharing a more recent common ancestor than typical convergent cases) independently evolving similar adaptations from a shared genetic starting point, representing a pattern intermediate between divergent and convergent evolution.</w:t>
      </w:r>
    </w:p>
    <w:bookmarkEnd w:id="104"/>
    <w:bookmarkStart w:id="105" w:name="natural-selection"/>
    <w:p>
      <w:pPr>
        <w:pStyle w:val="Heading3"/>
      </w:pPr>
      <w:r>
        <w:t xml:space="preserve">78. Natural Selection</w:t>
      </w:r>
    </w:p>
    <w:p>
      <w:pPr>
        <w:pStyle w:val="FirstParagraph"/>
      </w:pPr>
      <w:r>
        <w:t xml:space="preserve">Natural selection, introduced in Topic 75 as Darwin’s central proposed evolutionary mechanism, represents the process by which heritable traits that enhance an organism’s survival and reproductive success within a given environment become progressively more common within a population over successive generations — this topic examines the specific requirements and mechanisms of natural selection in more detail.</w:t>
      </w:r>
    </w:p>
    <w:p>
      <w:pPr>
        <w:pStyle w:val="BodyText"/>
      </w:pPr>
      <w:r>
        <w:rPr>
          <w:bCs/>
          <w:b/>
        </w:rPr>
        <w:t xml:space="preserve">Requirements for natural selection to operate.</w:t>
      </w:r>
      <w:r>
        <w:t xml:space="preserve"> </w:t>
      </w:r>
      <w:r>
        <w:t xml:space="preserve">Three fundamental conditions must be met for natural selection to produce evolutionary change within a population:</w:t>
      </w:r>
      <w:r>
        <w:t xml:space="preserve"> </w:t>
      </w:r>
      <w:r>
        <w:rPr>
          <w:bCs/>
          <w:b/>
        </w:rPr>
        <w:t xml:space="preserve">heritable variation</w:t>
      </w:r>
      <w:r>
        <w:t xml:space="preserve"> </w:t>
      </w:r>
      <w:r>
        <w:t xml:space="preserve">(individuals within the population must vary in some trait, and this variation must have at least a partly genetic basis capable of being passed to offspring, ultimately supplied by the mutation process discussed in Topic 73, and reshuffled each generation through the Mendelian inheritance mechanisms discussed in Topic 68);</w:t>
      </w:r>
      <w:r>
        <w:t xml:space="preserve"> </w:t>
      </w:r>
      <w:r>
        <w:rPr>
          <w:bCs/>
          <w:b/>
        </w:rPr>
        <w:t xml:space="preserve">differential fitness</w:t>
      </w:r>
      <w:r>
        <w:t xml:space="preserve"> </w:t>
      </w:r>
      <w:r>
        <w:t xml:space="preserve">(this trait variation must be associated with differences in survival and/or reproductive success — individuals with certain trait variants must, on average, survive to reproductive age and/or produce more successful offspring than individuals with alternative trait variants, under the specific environmental conditions the population currently experiences); and</w:t>
      </w:r>
      <w:r>
        <w:t xml:space="preserve"> </w:t>
      </w:r>
      <w:r>
        <w:rPr>
          <w:bCs/>
          <w:b/>
        </w:rPr>
        <w:t xml:space="preserve">inheritance</w:t>
      </w:r>
      <w:r>
        <w:t xml:space="preserve"> </w:t>
      </w:r>
      <w:r>
        <w:t xml:space="preserve">(offspring must tend to resemble their parents for the trait in question, ensuring that traits associated with higher relative fitness are more likely to be passed on and to become correspondingly more common in the subsequent generation) — when all three conditions are met, the trait variants associated with higher relative fitness will, on average, become progressively more common within the population over successive generations, constituting evolutionary change by natural selection.</w:t>
      </w:r>
    </w:p>
    <w:p>
      <w:pPr>
        <w:pStyle w:val="BodyText"/>
      </w:pPr>
      <w:r>
        <w:rPr>
          <w:bCs/>
          <w:b/>
        </w:rPr>
        <w:t xml:space="preserve">Types of selection patterns.</w:t>
      </w:r>
      <w:r>
        <w:t xml:space="preserve"> </w:t>
      </w:r>
      <w:r>
        <w:rPr>
          <w:bCs/>
          <w:b/>
        </w:rPr>
        <w:t xml:space="preserve">Directional selection</w:t>
      </w:r>
      <w:r>
        <w:t xml:space="preserve"> </w:t>
      </w:r>
      <w:r>
        <w:t xml:space="preserve">favours one extreme of a trait’s range of variation over the alternative extreme (and over intermediate values), progressively shifting the population’s average trait value in that favoured direction over successive generations — a pattern of direct relevance to artificial selection in crop breeding (Agriculture &amp; Forestry subject), where breeders deliberately apply strong directional selection pressure favouring specific desired traits (such as higher yield or specific disease resistance).</w:t>
      </w:r>
      <w:r>
        <w:t xml:space="preserve"> </w:t>
      </w:r>
      <w:r>
        <w:rPr>
          <w:bCs/>
          <w:b/>
        </w:rPr>
        <w:t xml:space="preserve">Stabilising selection</w:t>
      </w:r>
      <w:r>
        <w:t xml:space="preserve"> </w:t>
      </w:r>
      <w:r>
        <w:t xml:space="preserve">favours intermediate trait values over both extremes, tending to reduce a population’s overall trait variation around an already well-adapted intermediate optimum, rather than shifting the population average in either direction.</w:t>
      </w:r>
      <w:r>
        <w:t xml:space="preserve"> </w:t>
      </w:r>
      <w:r>
        <w:rPr>
          <w:bCs/>
          <w:b/>
        </w:rPr>
        <w:t xml:space="preserve">Disruptive selection</w:t>
      </w:r>
      <w:r>
        <w:t xml:space="preserve"> </w:t>
      </w:r>
      <w:r>
        <w:t xml:space="preserve">favours both extremes of a trait’s range over intermediate values, potentially, in some cases, contributing to eventual population divergence and even speciation (Topic 31) if the favoured extreme trait values become associated with sufficient reproductive isolation between the two diverging extreme-trait subpopulations.</w:t>
      </w:r>
    </w:p>
    <w:p>
      <w:pPr>
        <w:pStyle w:val="BodyText"/>
      </w:pPr>
      <w:r>
        <w:rPr>
          <w:bCs/>
          <w:b/>
        </w:rPr>
        <w:t xml:space="preserve">Adaptation as natural selection’s characteristic outcome.</w:t>
      </w:r>
      <w:r>
        <w:t xml:space="preserve"> </w:t>
      </w:r>
      <w:r>
        <w:t xml:space="preserve">Sustained natural selection, operating consistently over many successive generations, produces adaptation — the progressive evolutionary refinement of a population’s characteristics to better suit its specific environmental conditions and ecological niche, explaining the generally excellent apparent</w:t>
      </w:r>
      <w:r>
        <w:t xml:space="preserve"> </w:t>
      </w:r>
      <w:r>
        <w:t xml:space="preserve">“</w:t>
      </w:r>
      <w:r>
        <w:t xml:space="preserve">fit</w:t>
      </w:r>
      <w:r>
        <w:t xml:space="preserve">”</w:t>
      </w:r>
      <w:r>
        <w:t xml:space="preserve"> </w:t>
      </w:r>
      <w:r>
        <w:t xml:space="preserve">observed between most organisms’ characteristics and the specific environmental challenges they face (such as the drought-adaptation strategies convergently evolved by succulent plants discussed in Topic 77, or the salt-tolerance mechanisms evolved by halophyte plants discussed in Topic 59) — though it is important to recognise that natural selection acts only upon existing heritable variation already present within a population (it cannot directly generate specifically needed new variation on demand, but can only select among whatever variation the ongoing mutation process happens to have already supplied), and that natural selection optimises for reproductive success under current environmental conditions specifically, not for any independent notion of an organism’s overall</w:t>
      </w:r>
      <w:r>
        <w:t xml:space="preserve"> </w:t>
      </w:r>
      <w:r>
        <w:t xml:space="preserve">“</w:t>
      </w:r>
      <w:r>
        <w:t xml:space="preserve">perfection,</w:t>
      </w:r>
      <w:r>
        <w:t xml:space="preserve">”</w:t>
      </w:r>
      <w:r>
        <w:t xml:space="preserve"> </w:t>
      </w:r>
      <w:r>
        <w:t xml:space="preserve">meaning adaptations that were advantageous under past environmental conditions can become disadvantageous, or even actively maladaptive, if environmental conditions subsequently change — directly relevant to understanding species’ vulnerability to rapid environmental change, including the ongoing climate change discussed extensively in the Environmental Sciences subject, since evolutionary adaptation through natural selection generally requires many generations to produce significant change, a timescale that may not keep pace with sufficiently rapid environmental change.</w:t>
      </w:r>
    </w:p>
    <w:p>
      <w:pPr>
        <w:pStyle w:val="BodyText"/>
      </w:pPr>
      <w:r>
        <w:rPr>
          <w:bCs/>
          <w:b/>
        </w:rPr>
        <w:t xml:space="preserve">Key Takeaways</w:t>
      </w:r>
    </w:p>
    <w:p>
      <w:pPr>
        <w:numPr>
          <w:ilvl w:val="0"/>
          <w:numId w:val="1094"/>
        </w:numPr>
        <w:pStyle w:val="Compact"/>
      </w:pPr>
      <w:r>
        <w:t xml:space="preserve">Natural selection requires heritable variation, differential fitness associated with that variation, and inheritance of the trait to offspring; when all three conditions are met, favoured trait variants become progressively more common over successive generations.</w:t>
      </w:r>
    </w:p>
    <w:p>
      <w:pPr>
        <w:numPr>
          <w:ilvl w:val="0"/>
          <w:numId w:val="1094"/>
        </w:numPr>
        <w:pStyle w:val="Compact"/>
      </w:pPr>
      <w:r>
        <w:t xml:space="preserve">Directional selection shifts a population’s average trait value toward one extreme (relevant to artificial crop breeding selection); stabilising selection favours intermediate values, reducing variation; disruptive selection favours both extremes, potentially contributing to speciation.</w:t>
      </w:r>
    </w:p>
    <w:p>
      <w:pPr>
        <w:numPr>
          <w:ilvl w:val="0"/>
          <w:numId w:val="1094"/>
        </w:numPr>
        <w:pStyle w:val="Compact"/>
      </w:pPr>
      <w:r>
        <w:t xml:space="preserve">Sustained natural selection produces adaptation to current environmental conditions specifically, but cannot generate needed variation on demand and can leave populations vulnerable when environmental change occurs faster than evolutionary adaptation can keep pace, directly relevant to species vulnerability under rapid climate change.</w:t>
      </w:r>
    </w:p>
    <w:bookmarkEnd w:id="105"/>
    <w:bookmarkEnd w:id="106"/>
    <w:bookmarkStart w:id="114" w:name="x.-molecular-biology"/>
    <w:p>
      <w:pPr>
        <w:pStyle w:val="Heading2"/>
      </w:pPr>
      <w:r>
        <w:t xml:space="preserve">X. Molecular Biology</w:t>
      </w:r>
    </w:p>
    <w:bookmarkStart w:id="107" w:name="nucleic-acids"/>
    <w:p>
      <w:pPr>
        <w:pStyle w:val="Heading3"/>
      </w:pPr>
      <w:r>
        <w:t xml:space="preserve">79. Nucleic Acids</w:t>
      </w:r>
    </w:p>
    <w:p>
      <w:pPr>
        <w:pStyle w:val="FirstParagraph"/>
      </w:pPr>
      <w:r>
        <w:t xml:space="preserve">Nucleic acids — DNA (deoxyribonucleic acid) and RNA (ribonucleic acid) — are the molecular basis of heredity and, more broadly, of the entire flow of genetic information within living cells, providing the essential molecular foundation underlying the genetics topics discussed throughout Section VIII and the specific molecular processes examined throughout this final section.</w:t>
      </w:r>
    </w:p>
    <w:p>
      <w:pPr>
        <w:pStyle w:val="BodyText"/>
      </w:pPr>
      <w:r>
        <w:rPr>
          <w:bCs/>
          <w:b/>
        </w:rPr>
        <w:t xml:space="preserve">Basic nucleic acid structure.</w:t>
      </w:r>
      <w:r>
        <w:t xml:space="preserve"> </w:t>
      </w:r>
      <w:r>
        <w:t xml:space="preserve">Both DNA and RNA are polymers (large molecules built from repeating smaller subunit molecules, called monomers) composed of repeating</w:t>
      </w:r>
      <w:r>
        <w:t xml:space="preserve"> </w:t>
      </w:r>
      <w:r>
        <w:rPr>
          <w:bCs/>
          <w:b/>
        </w:rPr>
        <w:t xml:space="preserve">nucleotide</w:t>
      </w:r>
      <w:r>
        <w:t xml:space="preserve"> </w:t>
      </w:r>
      <w:r>
        <w:t xml:space="preserve">subunits, each nucleotide itself composed of three components: a five-carbon sugar molecule (deoxyribose in DNA, ribose in RNA — the specific structural difference between these two closely related sugar molecules being one of the defining chemical distinctions between DNA and RNA), a phosphate group, and one of several possible</w:t>
      </w:r>
      <w:r>
        <w:t xml:space="preserve"> </w:t>
      </w:r>
      <w:r>
        <w:rPr>
          <w:bCs/>
          <w:b/>
        </w:rPr>
        <w:t xml:space="preserve">nitrogenous bases</w:t>
      </w:r>
      <w:r>
        <w:t xml:space="preserve"> </w:t>
      </w:r>
      <w:r>
        <w:t xml:space="preserve">— in DNA, the four possible bases are adenine (A), thymine (T), guanine (G), and cytosine (C); in RNA, thymine is replaced by a structurally similar but chemically distinct base, uracil (U), while the other three bases (A, G, C) remain the same.</w:t>
      </w:r>
    </w:p>
    <w:p>
      <w:pPr>
        <w:pStyle w:val="BodyText"/>
      </w:pPr>
      <w:r>
        <w:rPr>
          <w:bCs/>
          <w:b/>
        </w:rPr>
        <w:t xml:space="preserve">DNA’s double helix structure.</w:t>
      </w:r>
      <w:r>
        <w:t xml:space="preserve"> </w:t>
      </w:r>
      <w:r>
        <w:t xml:space="preserve">DNA characteristically exists as a double-stranded molecule, with its two component strands wound around one another into the well-known double helix structure — the two strands are held together by hydrogen bonding between specifically paired complementary bases on opposite strands, following a strict, chemically determined base-pairing rule: adenine (A) always pairs specifically with thymine (T), and guanine (G) always pairs specifically with cytosine (C) — this strict, predictable complementary base-pairing rule is of fundamental importance, directly enabling both the DNA replication mechanism (Topic 81, since each original strand can serve as a template specifying the exact sequence of its new complementary partner strand) and several of the DNA repair mechanisms discussed in Topic 74 (which similarly exploit the intact complementary strand as an accurate repair template).</w:t>
      </w:r>
    </w:p>
    <w:p>
      <w:pPr>
        <w:pStyle w:val="BodyText"/>
      </w:pPr>
      <w:r>
        <w:rPr>
          <w:bCs/>
          <w:b/>
        </w:rPr>
        <w:t xml:space="preserve">RNA’s structure and functional diversity.</w:t>
      </w:r>
      <w:r>
        <w:t xml:space="preserve"> </w:t>
      </w:r>
      <w:r>
        <w:t xml:space="preserve">In contrast to DNA’s characteristic double-stranded structure, RNA typically exists as a single-stranded molecule (though it can fold back upon itself to form localised double-stranded regions and complex three-dimensional structures in some RNA types), and serves several distinct functional roles within the overall flow of genetic information, discussed further in Topics 82–83:</w:t>
      </w:r>
      <w:r>
        <w:t xml:space="preserve"> </w:t>
      </w:r>
      <w:r>
        <w:rPr>
          <w:bCs/>
          <w:b/>
        </w:rPr>
        <w:t xml:space="preserve">messenger RNA (mRNA)</w:t>
      </w:r>
      <w:r>
        <w:t xml:space="preserve"> </w:t>
      </w:r>
      <w:r>
        <w:t xml:space="preserve">carries genetic information copied from DNA to the cellular machinery responsible for protein synthesis (the process of transcription, Topic 82);</w:t>
      </w:r>
      <w:r>
        <w:t xml:space="preserve"> </w:t>
      </w:r>
      <w:r>
        <w:rPr>
          <w:bCs/>
          <w:b/>
        </w:rPr>
        <w:t xml:space="preserve">transfer RNA (tRNA)</w:t>
      </w:r>
      <w:r>
        <w:t xml:space="preserve"> </w:t>
      </w:r>
      <w:r>
        <w:t xml:space="preserve">and</w:t>
      </w:r>
      <w:r>
        <w:t xml:space="preserve"> </w:t>
      </w:r>
      <w:r>
        <w:rPr>
          <w:bCs/>
          <w:b/>
        </w:rPr>
        <w:t xml:space="preserve">ribosomal RNA (rRNA)</w:t>
      </w:r>
      <w:r>
        <w:t xml:space="preserve"> </w:t>
      </w:r>
      <w:r>
        <w:t xml:space="preserve">play essential structural and functional roles in the subsequent translation process (Topic 83) that uses the mRNA’s carried genetic information to actually synthesise a specific protein.</w:t>
      </w:r>
    </w:p>
    <w:p>
      <w:pPr>
        <w:pStyle w:val="BodyText"/>
      </w:pPr>
      <w:r>
        <w:rPr>
          <w:bCs/>
          <w:b/>
        </w:rPr>
        <w:t xml:space="preserve">Why nucleic acid structure directly enables genetic information storage and transmission.</w:t>
      </w:r>
      <w:r>
        <w:t xml:space="preserve"> </w:t>
      </w:r>
      <w:r>
        <w:t xml:space="preserve">The specific sequence of the four possible nitrogenous bases along a DNA (or RNA) strand encodes genetic information in a manner directly analogous to how a sequence of letters encodes written information — with the specific base sequence ultimately determining, through the processes examined in Topics 82–83, the specific sequence of amino acids incorporated into a resulting protein, and therefore that protein’s specific structure and function — providing the essential molecular mechanism through which the heritable genetic information (genes, alleles) discussed throughout the genetics section is actually physically stored, accurately copied (Topic 81), and ultimately expressed as observable phenotypic traits.</w:t>
      </w:r>
    </w:p>
    <w:p>
      <w:pPr>
        <w:pStyle w:val="BodyText"/>
      </w:pPr>
      <w:r>
        <w:rPr>
          <w:bCs/>
          <w:b/>
        </w:rPr>
        <w:t xml:space="preserve">Key Takeaways</w:t>
      </w:r>
    </w:p>
    <w:p>
      <w:pPr>
        <w:numPr>
          <w:ilvl w:val="0"/>
          <w:numId w:val="1095"/>
        </w:numPr>
        <w:pStyle w:val="Compact"/>
      </w:pPr>
      <w:r>
        <w:t xml:space="preserve">DNA and RNA are nucleic acid polymers built from nucleotide subunits (sugar, phosphate, and one of four nitrogenous bases), with DNA using thymine and RNA using uracil in place of thymine.</w:t>
      </w:r>
    </w:p>
    <w:p>
      <w:pPr>
        <w:numPr>
          <w:ilvl w:val="0"/>
          <w:numId w:val="1095"/>
        </w:numPr>
        <w:pStyle w:val="Compact"/>
      </w:pPr>
      <w:r>
        <w:t xml:space="preserve">DNA’s double helix structure relies on strict complementary base pairing (A-T, G-C) between its two strands, directly enabling DNA replication and repair mechanisms.</w:t>
      </w:r>
    </w:p>
    <w:p>
      <w:pPr>
        <w:numPr>
          <w:ilvl w:val="0"/>
          <w:numId w:val="1095"/>
        </w:numPr>
        <w:pStyle w:val="Compact"/>
      </w:pPr>
      <w:r>
        <w:t xml:space="preserve">RNA typically exists as a single-stranded molecule serving distinct functional roles (mRNA carrying genetic information for transcription; tRNA and rRNA supporting translation), with the specific base sequence in nucleic acids ultimately encoding the genetic information expressed as protein structure and, consequently, phenotypic traits.</w:t>
      </w:r>
    </w:p>
    <w:bookmarkEnd w:id="107"/>
    <w:bookmarkStart w:id="108" w:name="dna-as-hereditary-material"/>
    <w:p>
      <w:pPr>
        <w:pStyle w:val="Heading3"/>
      </w:pPr>
      <w:r>
        <w:t xml:space="preserve">80. DNA as Hereditary Material</w:t>
      </w:r>
    </w:p>
    <w:p>
      <w:pPr>
        <w:pStyle w:val="FirstParagraph"/>
      </w:pPr>
      <w:r>
        <w:t xml:space="preserve">Understanding DNA specifically (rather than protein, which was, historically, an alternative candidate molecule initially considered by some early researchers) as the actual molecular basis of heredity represents a landmark scientific achievement, and reviewing the key evidence establishing this conclusion illustrates both the scientific reasoning process and the specific properties a hereditary molecule must possess.</w:t>
      </w:r>
    </w:p>
    <w:p>
      <w:pPr>
        <w:pStyle w:val="BodyText"/>
      </w:pPr>
      <w:r>
        <w:rPr>
          <w:bCs/>
          <w:b/>
        </w:rPr>
        <w:t xml:space="preserve">Historical background: the initial protein hypothesis.</w:t>
      </w:r>
      <w:r>
        <w:t xml:space="preserve"> </w:t>
      </w:r>
      <w:r>
        <w:t xml:space="preserve">Before DNA’s role was conclusively established, some early 20th-century researchers initially favoured protein, rather than DNA, as the more likely candidate hereditary molecule — this view partly reflected the reasonable-seeming assumption, common at the time, that proteins’ greater apparent chemical and structural complexity and diversity (given the twenty different possible amino acid building blocks proteins are constructed from) made them seemingly better suited to encoding the very large amount of complex genetic information necessary to specify an entire organism’s inherited characteristics, compared to DNA’s apparently simpler structure, built from only four possible nucleotide bases.</w:t>
      </w:r>
    </w:p>
    <w:p>
      <w:pPr>
        <w:pStyle w:val="BodyText"/>
      </w:pPr>
      <w:r>
        <w:rPr>
          <w:bCs/>
          <w:b/>
        </w:rPr>
        <w:t xml:space="preserve">Key evidence establishing DNA’s role.</w:t>
      </w:r>
      <w:r>
        <w:t xml:space="preserve"> </w:t>
      </w:r>
      <w:r>
        <w:t xml:space="preserve">Several landmark mid-20th century experiments progressively established that DNA, rather than protein, is the actual hereditary material: experiments demonstrating that a specific, purified genetic</w:t>
      </w:r>
      <w:r>
        <w:t xml:space="preserve"> </w:t>
      </w:r>
      <w:r>
        <w:t xml:space="preserve">“</w:t>
      </w:r>
      <w:r>
        <w:t xml:space="preserve">transforming factor</w:t>
      </w:r>
      <w:r>
        <w:t xml:space="preserve">”</w:t>
      </w:r>
      <w:r>
        <w:t xml:space="preserve"> </w:t>
      </w:r>
      <w:r>
        <w:t xml:space="preserve">capable of heritably altering a bacterial strain’s characteristics was chemically identified as DNA rather than protein; and subsequent experiments using bacteriophages (viruses that infect bacteria) that specifically tracked which viral component (protein or DNA) actually entered the infected host bacterial cell and directed the production of new virus particles, definitively demonstrating that DNA, not protein, was the specific genetic material being transmitted and directing this process.</w:t>
      </w:r>
    </w:p>
    <w:p>
      <w:pPr>
        <w:pStyle w:val="BodyText"/>
      </w:pPr>
      <w:r>
        <w:rPr>
          <w:bCs/>
          <w:b/>
        </w:rPr>
        <w:t xml:space="preserve">Why DNA, despite its apparently simpler four-base structure, can encode substantial genetic information.</w:t>
      </w:r>
      <w:r>
        <w:t xml:space="preserve"> </w:t>
      </w:r>
      <w:r>
        <w:t xml:space="preserve">The apparent paradox of a molecule built from only four different bases nonetheless successfully encoding the very large quantity of genetic information necessary to specify complex organisms is resolved once considering DNA’s actual immense length (a plant genome, like other complex organism genomes, contains an extremely large total number of individual bases) and, critically, the specific sequence order in which these four bases occur along that great length — much as a written language using only a relatively small alphabet of letters can nonetheless encode an essentially unlimited range and complexity of information through different letter sequence combinations and lengths, DNA’s specific base sequence, considered across its very substantial total length, provides more than sufficient combinatorial capacity to encode the full genetic information content required to specify a complex organism.</w:t>
      </w:r>
    </w:p>
    <w:p>
      <w:pPr>
        <w:pStyle w:val="BodyText"/>
      </w:pPr>
      <w:r>
        <w:rPr>
          <w:bCs/>
          <w:b/>
        </w:rPr>
        <w:t xml:space="preserve">Significance for the subject’s broader genetics content.</w:t>
      </w:r>
      <w:r>
        <w:t xml:space="preserve"> </w:t>
      </w:r>
      <w:r>
        <w:t xml:space="preserve">Establishing DNA specifically as the hereditary molecule provided the essential molecular foundation that subsequently enabled the detailed understanding of DNA replication (Topic 81), gene expression through transcription and translation (Topics 82–83), and genetic engineering techniques (Topic 84) addressed throughout the remainder of this section — transforming genetics from the purely pattern-based, phenotype-level science Mendel had originally established (Topic 68) into a molecular science capable of directly explaining heredity’s underlying physical and chemical mechanism.</w:t>
      </w:r>
    </w:p>
    <w:p>
      <w:pPr>
        <w:pStyle w:val="BodyText"/>
      </w:pPr>
      <w:r>
        <w:rPr>
          <w:bCs/>
          <w:b/>
        </w:rPr>
        <w:t xml:space="preserve">Key Takeaways</w:t>
      </w:r>
    </w:p>
    <w:p>
      <w:pPr>
        <w:numPr>
          <w:ilvl w:val="0"/>
          <w:numId w:val="1096"/>
        </w:numPr>
        <w:pStyle w:val="Compact"/>
      </w:pPr>
      <w:r>
        <w:t xml:space="preserve">Before DNA’s role was established, some researchers initially favoured protein as the more likely hereditary molecule, given its greater apparent structural complexity relative to DNA’s simpler four-base structure.</w:t>
      </w:r>
    </w:p>
    <w:p>
      <w:pPr>
        <w:numPr>
          <w:ilvl w:val="0"/>
          <w:numId w:val="1096"/>
        </w:numPr>
        <w:pStyle w:val="Compact"/>
      </w:pPr>
      <w:r>
        <w:t xml:space="preserve">Landmark mid-20th century experiments (including bacterial transformation and bacteriophage tracking experiments) definitively established DNA, not protein, as the actual hereditary material.</w:t>
      </w:r>
    </w:p>
    <w:p>
      <w:pPr>
        <w:numPr>
          <w:ilvl w:val="0"/>
          <w:numId w:val="1096"/>
        </w:numPr>
        <w:pStyle w:val="Compact"/>
      </w:pPr>
      <w:r>
        <w:t xml:space="preserve">DNA’s apparently simple four-base structure can nonetheless encode substantial genetic information given its great length and the specific sequence order of bases along that length, analogous to how a small alphabet can encode unlimited written information through different sequence combinations.</w:t>
      </w:r>
    </w:p>
    <w:bookmarkEnd w:id="108"/>
    <w:bookmarkStart w:id="109" w:name="dna-replication"/>
    <w:p>
      <w:pPr>
        <w:pStyle w:val="Heading3"/>
      </w:pPr>
      <w:r>
        <w:t xml:space="preserve">81. DNA Replication</w:t>
      </w:r>
    </w:p>
    <w:p>
      <w:pPr>
        <w:pStyle w:val="FirstParagraph"/>
      </w:pPr>
      <w:r>
        <w:t xml:space="preserve">DNA replication is the process by which a cell accurately copies its entire DNA content before cell division (connecting directly to the S phase of the cell cycle discussed in Topic 62), ensuring each resulting daughter cell receives a complete, accurate copy of the organism’s full genetic information.</w:t>
      </w:r>
    </w:p>
    <w:p>
      <w:pPr>
        <w:pStyle w:val="BodyText"/>
      </w:pPr>
      <w:r>
        <w:rPr>
          <w:bCs/>
          <w:b/>
        </w:rPr>
        <w:t xml:space="preserve">The semiconservative replication model.</w:t>
      </w:r>
      <w:r>
        <w:t xml:space="preserve"> </w:t>
      </w:r>
      <w:r>
        <w:t xml:space="preserve">DNA replication follows a</w:t>
      </w:r>
      <w:r>
        <w:t xml:space="preserve"> </w:t>
      </w:r>
      <w:r>
        <w:t xml:space="preserve">“</w:t>
      </w:r>
      <w:r>
        <w:t xml:space="preserve">semiconservative</w:t>
      </w:r>
      <w:r>
        <w:t xml:space="preserve">”</w:t>
      </w:r>
      <w:r>
        <w:t xml:space="preserve"> </w:t>
      </w:r>
      <w:r>
        <w:t xml:space="preserve">pattern, directly exploiting the complementary base-pairing structure established in Topic 79: the original DNA double helix’s two strands separate, and each original (parental) strand then serves as a template directing the synthesis of a new complementary partner strand, following the strict A-T and G-C base-pairing rule — the result is two new DNA double helix molecules, each composed of one original (parental) strand and one newly synthesised strand, rather than either an entirely new double helix or the original double helix remaining fully intact and unchanged (the two alternative, ultimately disproven replication models that were considered and experimentally ruled out before this semiconservative model was conclusively established).</w:t>
      </w:r>
    </w:p>
    <w:p>
      <w:pPr>
        <w:pStyle w:val="BodyText"/>
      </w:pPr>
      <w:r>
        <w:rPr>
          <w:bCs/>
          <w:b/>
        </w:rPr>
        <w:t xml:space="preserve">Key steps and enzymes involved in the replication process.</w:t>
      </w:r>
      <w:r>
        <w:t xml:space="preserve"> </w:t>
      </w:r>
      <w:r>
        <w:rPr>
          <w:bCs/>
          <w:b/>
        </w:rPr>
        <w:t xml:space="preserve">Helicase</w:t>
      </w:r>
      <w:r>
        <w:t xml:space="preserve">, an enzyme that unwinds and separates the original DNA double helix’s two strands at a specific starting location (the origin of replication), creating the physical separation necessary for each strand to subsequently serve as an accessible template.</w:t>
      </w:r>
      <w:r>
        <w:t xml:space="preserve"> </w:t>
      </w:r>
      <w:r>
        <w:rPr>
          <w:bCs/>
          <w:b/>
        </w:rPr>
        <w:t xml:space="preserve">DNA polymerase</w:t>
      </w:r>
      <w:r>
        <w:t xml:space="preserve">, the central enzyme responsible for actually synthesising each new complementary DNA strand, reading along each separated template strand and adding the correct complementary nucleotide bases (following the A-T, G-C pairing rule) in the appropriate sequence to build the new strand — DNA polymerase also possesses an important inherent proofreading capability, capable of detecting and immediately correcting the majority of base-pairing errors as they occur during the synthesis process itself, contributing significantly to replication’s overall high accuracy (complementing the further mismatch repair mechanism discussed in Topic 74, which catches the smaller number of errors DNA polymerase’s own proofreading fails to detect).</w:t>
      </w:r>
      <w:r>
        <w:t xml:space="preserve"> </w:t>
      </w:r>
      <w:r>
        <w:rPr>
          <w:bCs/>
          <w:b/>
        </w:rPr>
        <w:t xml:space="preserve">Other supporting enzymes</w:t>
      </w:r>
      <w:r>
        <w:t xml:space="preserve">, including specific enzymes that relieve the physical structural strain generated ahead of the unwinding replication process, and enzymes (ligase) that join together the small DNA fragments that are synthesised discontinuously along one of the two template strands (given DNA polymerase’s specific directional synthesis requirement, one new strand — the</w:t>
      </w:r>
      <w:r>
        <w:t xml:space="preserve"> </w:t>
      </w:r>
      <w:r>
        <w:t xml:space="preserve">“</w:t>
      </w:r>
      <w:r>
        <w:t xml:space="preserve">leading strand</w:t>
      </w:r>
      <w:r>
        <w:t xml:space="preserve">”</w:t>
      </w:r>
      <w:r>
        <w:t xml:space="preserve"> </w:t>
      </w:r>
      <w:r>
        <w:t xml:space="preserve">— can be synthesised continuously, while the other — the</w:t>
      </w:r>
      <w:r>
        <w:t xml:space="preserve"> </w:t>
      </w:r>
      <w:r>
        <w:t xml:space="preserve">“</w:t>
      </w:r>
      <w:r>
        <w:t xml:space="preserve">lagging strand</w:t>
      </w:r>
      <w:r>
        <w:t xml:space="preserve">”</w:t>
      </w:r>
      <w:r>
        <w:t xml:space="preserve"> </w:t>
      </w:r>
      <w:r>
        <w:t xml:space="preserve">— must be synthesised in a series of shorter discontinuous fragments subsequently joined together by ligase).</w:t>
      </w:r>
    </w:p>
    <w:p>
      <w:pPr>
        <w:pStyle w:val="BodyText"/>
      </w:pPr>
      <w:r>
        <w:rPr>
          <w:bCs/>
          <w:b/>
        </w:rPr>
        <w:t xml:space="preserve">Replication accuracy and its biological importance.</w:t>
      </w:r>
      <w:r>
        <w:t xml:space="preserve"> </w:t>
      </w:r>
      <w:r>
        <w:t xml:space="preserve">The combination of DNA polymerase’s inherent proofreading capability and the subsequent mismatch repair mechanism (Topic 74) together produce an extremely low final error rate for the overall DNA replication process — an accuracy level of considerable biological importance, since any replication errors that do persist uncorrected become new, potentially heritable mutations (Topic 73), meaning replication accuracy directly determines the baseline spontaneous mutation rate discussed in that topic, striking an evolutionarily important balance between sufficient accuracy to maintain overall genetic stability across generations, and a low but non-zero error rate providing the ongoing genetic variation supply that ultimately fuels the evolutionary processes discussed in Topics 75–78.</w:t>
      </w:r>
    </w:p>
    <w:p>
      <w:pPr>
        <w:pStyle w:val="BodyText"/>
      </w:pPr>
      <w:r>
        <w:rPr>
          <w:bCs/>
          <w:b/>
        </w:rPr>
        <w:t xml:space="preserve">Key Takeaways</w:t>
      </w:r>
    </w:p>
    <w:p>
      <w:pPr>
        <w:numPr>
          <w:ilvl w:val="0"/>
          <w:numId w:val="1097"/>
        </w:numPr>
        <w:pStyle w:val="Compact"/>
      </w:pPr>
      <w:r>
        <w:t xml:space="preserve">DNA replication is semiconservative: each original DNA strand serves as a template for synthesising a new complementary strand, producing two new double helices, each containing one original and one newly synthesised strand.</w:t>
      </w:r>
    </w:p>
    <w:p>
      <w:pPr>
        <w:numPr>
          <w:ilvl w:val="0"/>
          <w:numId w:val="1097"/>
        </w:numPr>
        <w:pStyle w:val="Compact"/>
      </w:pPr>
      <w:r>
        <w:t xml:space="preserve">Key enzymes include helicase (unwinding the double helix) and DNA polymerase (synthesising new strands by adding correctly complementary bases, with inherent proofreading capability), along with supporting enzymes including ligase (joining discontinuously synthesised lagging-strand fragments).</w:t>
      </w:r>
    </w:p>
    <w:p>
      <w:pPr>
        <w:numPr>
          <w:ilvl w:val="0"/>
          <w:numId w:val="1097"/>
        </w:numPr>
        <w:pStyle w:val="Compact"/>
      </w:pPr>
      <w:r>
        <w:t xml:space="preserve">The combination of DNA polymerase’s proofreading and subsequent mismatch repair produces very high replication accuracy, directly determining the baseline spontaneous mutation rate and striking a balance between genetic stability and the ongoing variation supply needed for evolution.</w:t>
      </w:r>
    </w:p>
    <w:bookmarkEnd w:id="109"/>
    <w:bookmarkStart w:id="110" w:name="transcription"/>
    <w:p>
      <w:pPr>
        <w:pStyle w:val="Heading3"/>
      </w:pPr>
      <w:r>
        <w:t xml:space="preserve">82. Transcription</w:t>
      </w:r>
    </w:p>
    <w:p>
      <w:pPr>
        <w:pStyle w:val="FirstParagraph"/>
      </w:pPr>
      <w:r>
        <w:t xml:space="preserve">Transcription is the first major step in gene expression — the process by which the genetic information encoded in a specific DNA gene sequence is copied into a corresponding messenger RNA (mRNA) molecule, which subsequently carries that genetic information to the cellular machinery responsible for the translation process (Topic 83) that ultimately produces the specific protein the gene encodes.</w:t>
      </w:r>
    </w:p>
    <w:p>
      <w:pPr>
        <w:pStyle w:val="BodyText"/>
      </w:pPr>
      <w:r>
        <w:rPr>
          <w:bCs/>
          <w:b/>
        </w:rPr>
        <w:t xml:space="preserve">The transcription process.</w:t>
      </w:r>
      <w:r>
        <w:t xml:space="preserve"> </w:t>
      </w:r>
      <w:r>
        <w:t xml:space="preserve">Transcription is catalysed by the enzyme RNA polymerase, which binds to a specific DNA sequence (the promoter region, marking the starting point of a particular gene) and then proceeds to unwind a local, limited section of the DNA double helix (in contrast to DNA replication’s much more extensive strand separation, transcription typically involves separating only a relatively short, localised DNA section at any given time), using one of the two exposed DNA strands (the template strand) as a guide to synthesise a complementary RNA strand — following essentially the same base-pairing logic established in DNA replication (Topic 81), except that RNA polymerase incorporates the RNA-specific base uracil (U) in place of DNA’s thymine (T) wherever the DNA template strand presents an adenine (A) base, while otherwise following the standard A-U (in place of A-T) and G-C complementary pairing pattern. RNA polymerase continues synthesising the growing mRNA strand until it reaches a specific DNA sequence signalling the end of the gene (the terminator sequence), at which point the newly synthesised mRNA molecule is released, and the DNA double helix re-forms behind the departing RNA polymerase enzyme.</w:t>
      </w:r>
    </w:p>
    <w:p>
      <w:pPr>
        <w:pStyle w:val="BodyText"/>
      </w:pPr>
      <w:r>
        <w:rPr>
          <w:bCs/>
          <w:b/>
        </w:rPr>
        <w:t xml:space="preserve">RNA processing in eukaryotic cells — a step specific to eukaryotes like plants.</w:t>
      </w:r>
      <w:r>
        <w:t xml:space="preserve"> </w:t>
      </w:r>
      <w:r>
        <w:t xml:space="preserve">In eukaryotic organisms (including plants, in contrast to the generally simpler, more direct transcription process found in prokaryotic organisms lacking a membrane-bound nucleus), the initial RNA transcript typically undergoes further processing before it is considered a mature, translation-ready mRNA molecule — most significantly,</w:t>
      </w:r>
      <w:r>
        <w:t xml:space="preserve"> </w:t>
      </w:r>
      <w:r>
        <w:rPr>
          <w:bCs/>
          <w:b/>
        </w:rPr>
        <w:t xml:space="preserve">splicing</w:t>
      </w:r>
      <w:r>
        <w:t xml:space="preserve">, a process that removes non-coding intervening sequences (called introns) from within the initial transcript and joins together the remaining coding sequences (called exons) that are then represented in the final, mature mRNA molecule, since eukaryotic genes characteristically contain these intervening non-coding intron sequences interrupting their coding exon sequences, unlike the generally more continuous, uninterrupted coding sequences typically found in prokaryotic genes.</w:t>
      </w:r>
    </w:p>
    <w:p>
      <w:pPr>
        <w:pStyle w:val="BodyText"/>
      </w:pPr>
      <w:r>
        <w:rPr>
          <w:bCs/>
          <w:b/>
        </w:rPr>
        <w:t xml:space="preserve">Gene expression regulation.</w:t>
      </w:r>
      <w:r>
        <w:t xml:space="preserve"> </w:t>
      </w:r>
      <w:r>
        <w:t xml:space="preserve">Not every gene present within a plant’s genome is actively transcribed at all times, in every cell, or under every environmental condition — transcription is subject to substantial regulatory control, involving specific regulatory proteins that can bind to particular DNA sequences near a gene’s promoter region, either promoting or inhibiting RNA polymerase’s ability to successfully initiate transcription of that particular gene, providing the essential underlying molecular mechanism through which a plant can precisely control which specific genes are actively expressed in which specific cells, at which specific developmental stages, and in response to which specific environmental or hormonal signals (directly connecting to the plant hormone signalling discussed in Topic 40, since hormone signalling frequently operates, at the molecular level, specifically by triggering changes in which particular genes a target cell subsequently transcribes).</w:t>
      </w:r>
    </w:p>
    <w:p>
      <w:pPr>
        <w:pStyle w:val="BodyText"/>
      </w:pPr>
      <w:r>
        <w:rPr>
          <w:bCs/>
          <w:b/>
        </w:rPr>
        <w:t xml:space="preserve">Key Takeaways</w:t>
      </w:r>
    </w:p>
    <w:p>
      <w:pPr>
        <w:numPr>
          <w:ilvl w:val="0"/>
          <w:numId w:val="1098"/>
        </w:numPr>
        <w:pStyle w:val="Compact"/>
      </w:pPr>
      <w:r>
        <w:t xml:space="preserve">Transcription, catalysed by RNA polymerase, copies a specific DNA gene sequence into a complementary mRNA molecule, using the same base-pairing logic as DNA replication but incorporating uracil in place of thymine.</w:t>
      </w:r>
    </w:p>
    <w:p>
      <w:pPr>
        <w:numPr>
          <w:ilvl w:val="0"/>
          <w:numId w:val="1098"/>
        </w:numPr>
        <w:pStyle w:val="Compact"/>
      </w:pPr>
      <w:r>
        <w:t xml:space="preserve">In eukaryotic organisms like plants, the initial RNA transcript undergoes splicing, removing non-coding intron sequences and joining the remaining coding exon sequences to produce the mature, translation-ready mRNA.</w:t>
      </w:r>
    </w:p>
    <w:p>
      <w:pPr>
        <w:numPr>
          <w:ilvl w:val="0"/>
          <w:numId w:val="1098"/>
        </w:numPr>
        <w:pStyle w:val="Compact"/>
      </w:pPr>
      <w:r>
        <w:t xml:space="preserve">Transcription is subject to substantial regulatory control through regulatory proteins affecting RNA polymerase’s ability to initiate transcription, providing the molecular mechanism underlying differential gene expression across different cells, developmental stages, and in response to environmental/hormonal signals.</w:t>
      </w:r>
    </w:p>
    <w:bookmarkEnd w:id="110"/>
    <w:bookmarkStart w:id="111" w:name="genetic-code-and-translation"/>
    <w:p>
      <w:pPr>
        <w:pStyle w:val="Heading3"/>
      </w:pPr>
      <w:r>
        <w:t xml:space="preserve">83. Genetic Code and Translation</w:t>
      </w:r>
    </w:p>
    <w:p>
      <w:pPr>
        <w:pStyle w:val="FirstParagraph"/>
      </w:pPr>
      <w:r>
        <w:t xml:space="preserve">Translation is the process by which the genetic information carried by a mature mRNA molecule (produced through the transcription process discussed in Topic 82) is used to direct the synthesis of a specific protein — following the specific set of rules collectively known as the genetic code, which precisely specifies how mRNA’s nucleotide sequence corresponds to a protein’s amino acid sequence.</w:t>
      </w:r>
    </w:p>
    <w:p>
      <w:pPr>
        <w:pStyle w:val="BodyText"/>
      </w:pPr>
      <w:r>
        <w:rPr>
          <w:bCs/>
          <w:b/>
        </w:rPr>
        <w:t xml:space="preserve">The genetic code.</w:t>
      </w:r>
      <w:r>
        <w:t xml:space="preserve"> </w:t>
      </w:r>
      <w:r>
        <w:t xml:space="preserve">The genetic code operates through</w:t>
      </w:r>
      <w:r>
        <w:t xml:space="preserve"> </w:t>
      </w:r>
      <w:r>
        <w:rPr>
          <w:bCs/>
          <w:b/>
        </w:rPr>
        <w:t xml:space="preserve">codons</w:t>
      </w:r>
      <w:r>
        <w:t xml:space="preserve"> </w:t>
      </w:r>
      <w:r>
        <w:t xml:space="preserve">— specific sequences of three consecutive mRNA nucleotide bases, each codon specifying (with a small number of specific exceptions) one particular amino acid to be incorporated into the growing protein chain at that position — since there are four possible bases and codons are three bases long, there are 64 total possible codon combinations, but only twenty standard amino acids actually need to be specified, meaning the genetic code is characteristically</w:t>
      </w:r>
      <w:r>
        <w:t xml:space="preserve"> </w:t>
      </w:r>
      <w:r>
        <w:rPr>
          <w:bCs/>
          <w:b/>
        </w:rPr>
        <w:t xml:space="preserve">redundant</w:t>
      </w:r>
      <w:r>
        <w:t xml:space="preserve"> </w:t>
      </w:r>
      <w:r>
        <w:t xml:space="preserve">(also called</w:t>
      </w:r>
      <w:r>
        <w:t xml:space="preserve"> </w:t>
      </w:r>
      <w:r>
        <w:t xml:space="preserve">“</w:t>
      </w:r>
      <w:r>
        <w:t xml:space="preserve">degenerate</w:t>
      </w:r>
      <w:r>
        <w:t xml:space="preserve">”</w:t>
      </w:r>
      <w:r>
        <w:t xml:space="preserve">): most individual amino acids are specified by more than one possible codon sequence, a redundancy that directly explains the existence of</w:t>
      </w:r>
      <w:r>
        <w:t xml:space="preserve"> </w:t>
      </w:r>
      <w:r>
        <w:t xml:space="preserve">“</w:t>
      </w:r>
      <w:r>
        <w:t xml:space="preserve">silent</w:t>
      </w:r>
      <w:r>
        <w:t xml:space="preserve">”</w:t>
      </w:r>
      <w:r>
        <w:t xml:space="preserve"> </w:t>
      </w:r>
      <w:r>
        <w:t xml:space="preserve">mutations discussed in Topic 73, since a DNA sequence change that alters a codon to an alternative codon still specifying the identical amino acid produces no resulting change to the synthesised protein. The genetic code additionally includes a specific</w:t>
      </w:r>
      <w:r>
        <w:t xml:space="preserve"> </w:t>
      </w:r>
      <w:r>
        <w:t xml:space="preserve">“</w:t>
      </w:r>
      <w:r>
        <w:t xml:space="preserve">start</w:t>
      </w:r>
      <w:r>
        <w:t xml:space="preserve">”</w:t>
      </w:r>
      <w:r>
        <w:t xml:space="preserve"> </w:t>
      </w:r>
      <w:r>
        <w:t xml:space="preserve">codon (marking the specific position where protein synthesis should begin) and specific</w:t>
      </w:r>
      <w:r>
        <w:t xml:space="preserve"> </w:t>
      </w:r>
      <w:r>
        <w:t xml:space="preserve">“</w:t>
      </w:r>
      <w:r>
        <w:t xml:space="preserve">stop</w:t>
      </w:r>
      <w:r>
        <w:t xml:space="preserve">”</w:t>
      </w:r>
      <w:r>
        <w:t xml:space="preserve"> </w:t>
      </w:r>
      <w:r>
        <w:t xml:space="preserve">codons (signalling where protein synthesis should terminate, directly relevant to understanding the severe disruptive effect of nonsense mutations discussed in Topic 73, which prematurely introduce one of these stop signals partway through a gene’s normal coding sequence). A particularly notable and biologically significant feature is the genetic code’s remarkable</w:t>
      </w:r>
      <w:r>
        <w:t xml:space="preserve"> </w:t>
      </w:r>
      <w:r>
        <w:rPr>
          <w:bCs/>
          <w:b/>
        </w:rPr>
        <w:t xml:space="preserve">universality</w:t>
      </w:r>
      <w:r>
        <w:t xml:space="preserve"> </w:t>
      </w:r>
      <w:r>
        <w:t xml:space="preserve">— with only some minor exceptions found in certain specific organisms, the same genetic code (the same specific set of codon-to-amino-acid correspondence rules) is shared across essentially all known living organisms, from bacteria through plants to animals, strongly suggesting that all currently known life shares an extremely deep common evolutionary ancestry extending back to a very early common ancestor in which this shared genetic code was already established.</w:t>
      </w:r>
    </w:p>
    <w:p>
      <w:pPr>
        <w:pStyle w:val="BodyText"/>
      </w:pPr>
      <w:r>
        <w:rPr>
          <w:bCs/>
          <w:b/>
        </w:rPr>
        <w:t xml:space="preserve">The translation process.</w:t>
      </w:r>
      <w:r>
        <w:t xml:space="preserve"> </w:t>
      </w:r>
      <w:r>
        <w:t xml:space="preserve">Translation occurs at ribosomes (Topic 67), the specialised organelle structures composed of ribosomal RNA (rRNA, Topic 79) and associated proteins that provide the physical site where translation actually occurs — the ribosome moves progressively along the mRNA molecule, reading successive codons in sequence; for each mRNA codon encountered, a specific matching transfer RNA (tRNA) molecule, each carrying a specific corresponding amino acid, brings that correct amino acid into the growing protein chain (with each specific tRNA molecule capable of recognising and pairing with only its own matching mRNA codon sequence, based on the same fundamental complementary base-pairing principle established in Topics 79 and 81–82, here applied at a smaller, single-codon scale), with the ribosome catalysing the formation of a chemical bond joining each newly delivered amino acid to the preceding amino acid in the growing chain, continuing this process until a stop codon is reached, terminating translation and releasing the completed protein chain.</w:t>
      </w:r>
    </w:p>
    <w:p>
      <w:pPr>
        <w:pStyle w:val="BodyText"/>
      </w:pPr>
      <w:r>
        <w:rPr>
          <w:bCs/>
          <w:b/>
        </w:rPr>
        <w:t xml:space="preserve">Why genetic code universality supports engineering applications.</w:t>
      </w:r>
      <w:r>
        <w:t xml:space="preserve"> </w:t>
      </w:r>
      <w:r>
        <w:t xml:space="preserve">The genetic code’s remarkable universality across virtually all living organisms has direct, substantial practical significance for the genetic engineering applications discussed in Topic 84 — since the same fundamental codon-to-amino-acid correspondence rules apply essentially universally, a specific gene (and its encoded genetic instructions) taken from one organism can generally be successfully inserted into and correctly, functionally expressed within an entirely different, potentially only very distantly related organism (including transferring a gene from one entirely different species into a crop plant, as occurs in the genetically modified organism examples discussed in the Agriculture &amp; Forestry subject and further explored in Topic 84 here), since the receiving organism’s own translation machinery will correctly interpret the inserted foreign gene’s codons according to this essentially universal shared genetic code.</w:t>
      </w:r>
    </w:p>
    <w:p>
      <w:pPr>
        <w:pStyle w:val="BodyText"/>
      </w:pPr>
      <w:r>
        <w:rPr>
          <w:bCs/>
          <w:b/>
        </w:rPr>
        <w:t xml:space="preserve">Key Takeaways</w:t>
      </w:r>
    </w:p>
    <w:p>
      <w:pPr>
        <w:numPr>
          <w:ilvl w:val="0"/>
          <w:numId w:val="1099"/>
        </w:numPr>
        <w:pStyle w:val="Compact"/>
      </w:pPr>
      <w:r>
        <w:t xml:space="preserve">The genetic code specifies how mRNA codons (three-base sequences) correspond to specific amino acids, with 64 possible codons for only twenty amino acids producing a redundant/degenerate code that explains silent mutations, plus specific start and stop codons.</w:t>
      </w:r>
    </w:p>
    <w:p>
      <w:pPr>
        <w:numPr>
          <w:ilvl w:val="0"/>
          <w:numId w:val="1099"/>
        </w:numPr>
        <w:pStyle w:val="Compact"/>
      </w:pPr>
      <w:r>
        <w:t xml:space="preserve">The genetic code’s remarkable near-universality across virtually all living organisms provides strong evidence of deep shared evolutionary ancestry.</w:t>
      </w:r>
    </w:p>
    <w:p>
      <w:pPr>
        <w:numPr>
          <w:ilvl w:val="0"/>
          <w:numId w:val="1099"/>
        </w:numPr>
        <w:pStyle w:val="Compact"/>
      </w:pPr>
      <w:r>
        <w:t xml:space="preserve">Translation, occurring at ribosomes, uses matching tRNA molecules to deliver the correct amino acid for each mRNA codon, building the protein chain until a stop codon terminates the process; the genetic code’s universality directly enables genetic engineering’s ability to transfer functional genes between very different species.</w:t>
      </w:r>
    </w:p>
    <w:bookmarkEnd w:id="111"/>
    <w:bookmarkStart w:id="112" w:name="genetic-engineering"/>
    <w:p>
      <w:pPr>
        <w:pStyle w:val="Heading3"/>
      </w:pPr>
      <w:r>
        <w:t xml:space="preserve">84. Genetic Engineering</w:t>
      </w:r>
    </w:p>
    <w:p>
      <w:pPr>
        <w:pStyle w:val="FirstParagraph"/>
      </w:pPr>
      <w:r>
        <w:t xml:space="preserve">Genetic engineering refers to the direct, deliberate manipulation of an organism’s genetic material using modern molecular biology techniques — most significantly, the direct insertion of a specific gene from one organism into another organism’s genome — representing a fundamentally more precise and direct approach to genetic modification than the conventional breeding techniques discussed in the Agriculture &amp; Forestry subject (Topic 16 there), which rely on the comparatively slower, less targeted process of crossing and selecting among naturally occurring genetic variation.</w:t>
      </w:r>
    </w:p>
    <w:p>
      <w:pPr>
        <w:pStyle w:val="BodyText"/>
      </w:pPr>
      <w:r>
        <w:rPr>
          <w:bCs/>
          <w:b/>
        </w:rPr>
        <w:t xml:space="preserve">Basic genetic engineering process.</w:t>
      </w:r>
      <w:r>
        <w:t xml:space="preserve"> </w:t>
      </w:r>
      <w:r>
        <w:t xml:space="preserve">A typical plant genetic engineering process involves several key steps:</w:t>
      </w:r>
      <w:r>
        <w:t xml:space="preserve"> </w:t>
      </w:r>
      <w:r>
        <w:rPr>
          <w:bCs/>
          <w:b/>
        </w:rPr>
        <w:t xml:space="preserve">identifying and isolating</w:t>
      </w:r>
      <w:r>
        <w:t xml:space="preserve"> </w:t>
      </w:r>
      <w:r>
        <w:t xml:space="preserve">the specific gene of interest (the gene encoding a desired trait, potentially sourced from an entirely different, unrelated organism, given the genetic code’s universality discussed in Topic 83, which enables successful gene transfer even between quite distantly related species);</w:t>
      </w:r>
      <w:r>
        <w:t xml:space="preserve"> </w:t>
      </w:r>
      <w:r>
        <w:rPr>
          <w:bCs/>
          <w:b/>
        </w:rPr>
        <w:t xml:space="preserve">constructing a gene delivery vector</w:t>
      </w:r>
      <w:r>
        <w:t xml:space="preserve"> </w:t>
      </w:r>
      <w:r>
        <w:t xml:space="preserve">(typically incorporating the target gene alongside additional regulatory DNA sequences necessary for its proper expression within the recipient plant, such as an appropriate promoter sequence directing when and where the inserted gene should be transcribed, connecting to the gene expression regulation discussed in Topic 82);</w:t>
      </w:r>
      <w:r>
        <w:t xml:space="preserve"> </w:t>
      </w:r>
      <w:r>
        <w:rPr>
          <w:bCs/>
          <w:b/>
        </w:rPr>
        <w:t xml:space="preserve">introducing the constructed gene into recipient plant cells</w:t>
      </w:r>
      <w:r>
        <w:t xml:space="preserve"> </w:t>
      </w:r>
      <w:r>
        <w:t xml:space="preserve">(achieved through various specific delivery methods, including using a specifically modified, disease-disabled bacterial species naturally capable of transferring DNA into plant cells as part of its own natural infection process, or direct physical/mechanical DNA delivery methods); and</w:t>
      </w:r>
      <w:r>
        <w:t xml:space="preserve"> </w:t>
      </w:r>
      <w:r>
        <w:rPr>
          <w:bCs/>
          <w:b/>
        </w:rPr>
        <w:t xml:space="preserve">regenerating a complete, genetically modified plant</w:t>
      </w:r>
      <w:r>
        <w:t xml:space="preserve"> </w:t>
      </w:r>
      <w:r>
        <w:t xml:space="preserve">from the successfully modified individual plant cells, typically relying on the plant tissue culture techniques discussed in Topic 65, exploiting plant cells’ characteristic totipotency.</w:t>
      </w:r>
    </w:p>
    <w:p>
      <w:pPr>
        <w:pStyle w:val="BodyText"/>
      </w:pPr>
      <w:r>
        <w:rPr>
          <w:bCs/>
          <w:b/>
        </w:rPr>
        <w:t xml:space="preserve">Verification and selection.</w:t>
      </w:r>
      <w:r>
        <w:t xml:space="preserve"> </w:t>
      </w:r>
      <w:r>
        <w:t xml:space="preserve">Because gene delivery methods are not perfectly efficient (not every individual plant cell exposed to the delivery process actually successfully incorporates the intended gene), genetic engineering protocols typically incorporate a selectable marker gene alongside the actual desired trait gene, allowing researchers to efficiently identify and select specifically those individual plant cells that have successfully incorporated the introduced genetic material (typically by exposing the treated cells to a specific selective agent, such as an antibiotic or herbicide, that only successfully modified cells carrying the accompanying marker gene are able to survive and continue growing under).</w:t>
      </w:r>
    </w:p>
    <w:p>
      <w:pPr>
        <w:pStyle w:val="BodyText"/>
      </w:pPr>
      <w:r>
        <w:rPr>
          <w:bCs/>
          <w:b/>
        </w:rPr>
        <w:t xml:space="preserve">Distinction from conventional breeding.</w:t>
      </w:r>
      <w:r>
        <w:t xml:space="preserve"> </w:t>
      </w:r>
      <w:r>
        <w:t xml:space="preserve">While conventional breeding techniques (Topic 16 in the Agriculture &amp; Forestry subject) work by combining and selecting among existing genetic variation already present within a given species or closely related, cross-compatible species (limited to the specific range of genetic variation that species happens to naturally possess or that can be introduced through conventional interspecific crossing), genetic engineering can, in principle, introduce specific genetic material from essentially any source organism, entirely bypassing the natural sexual reproduction and cross-compatibility limitations that constrain conventional breeding — providing considerably greater precision (introducing a single specific, well-characterised gene, rather than an entire chromosome’s worth of genetic material as occurs during conventional sexual reproduction and crossing, meaning genetic engineering generally introduces less unintended,</w:t>
      </w:r>
      <w:r>
        <w:t xml:space="preserve"> </w:t>
      </w:r>
      <w:r>
        <w:t xml:space="preserve">“</w:t>
      </w:r>
      <w:r>
        <w:t xml:space="preserve">hitchhiking</w:t>
      </w:r>
      <w:r>
        <w:t xml:space="preserve">”</w:t>
      </w:r>
      <w:r>
        <w:t xml:space="preserve"> </w:t>
      </w:r>
      <w:r>
        <w:t xml:space="preserve">genetic material alongside the specific trait of interest compared to conventional crossing) and considerably greater flexibility regarding the potential source of the introduced genetic trait.</w:t>
      </w:r>
    </w:p>
    <w:p>
      <w:pPr>
        <w:pStyle w:val="BodyText"/>
      </w:pPr>
      <w:r>
        <w:rPr>
          <w:bCs/>
          <w:b/>
        </w:rPr>
        <w:t xml:space="preserve">Key Takeaways</w:t>
      </w:r>
    </w:p>
    <w:p>
      <w:pPr>
        <w:numPr>
          <w:ilvl w:val="0"/>
          <w:numId w:val="1100"/>
        </w:numPr>
        <w:pStyle w:val="Compact"/>
      </w:pPr>
      <w:r>
        <w:t xml:space="preserve">Genetic engineering directly inserts a specific gene into an organism’s genome, typically involving gene isolation, vector construction with appropriate regulatory sequences, delivery into recipient plant cells, and regeneration of a complete modified plant via tissue culture techniques.</w:t>
      </w:r>
    </w:p>
    <w:p>
      <w:pPr>
        <w:numPr>
          <w:ilvl w:val="0"/>
          <w:numId w:val="1100"/>
        </w:numPr>
        <w:pStyle w:val="Compact"/>
      </w:pPr>
      <w:r>
        <w:t xml:space="preserve">Selectable marker genes allow efficient identification of successfully modified plant cells among the generally imperfect efficiency of gene delivery methods.</w:t>
      </w:r>
    </w:p>
    <w:p>
      <w:pPr>
        <w:numPr>
          <w:ilvl w:val="0"/>
          <w:numId w:val="1100"/>
        </w:numPr>
        <w:pStyle w:val="Compact"/>
      </w:pPr>
      <w:r>
        <w:t xml:space="preserve">Genetic engineering differs fundamentally from conventional breeding by bypassing natural sexual reproduction and cross-compatibility limitations, allowing gene transfer from essentially any source organism with greater precision than conventional crossing’s introduction of large amounts of additional, unselected genetic material.</w:t>
      </w:r>
    </w:p>
    <w:bookmarkEnd w:id="112"/>
    <w:bookmarkStart w:id="113" w:name="applications-and-gmos"/>
    <w:p>
      <w:pPr>
        <w:pStyle w:val="Heading3"/>
      </w:pPr>
      <w:r>
        <w:t xml:space="preserve">85. Applications and GMOs</w:t>
      </w:r>
    </w:p>
    <w:p>
      <w:pPr>
        <w:pStyle w:val="FirstParagraph"/>
      </w:pPr>
      <w:r>
        <w:t xml:space="preserve">This concluding topic surveys the practical applications of genetic engineering (Topic 84) in agriculture, connecting the molecular biology principles established throughout this final section back to the genetically modified organism discussion in the Agriculture &amp; Forestry subject (Topic 17 there), and providing an integrating summary of the deep, direct connection between fundamental plant molecular biology and practical crop improvement.</w:t>
      </w:r>
    </w:p>
    <w:p>
      <w:pPr>
        <w:pStyle w:val="BodyText"/>
      </w:pPr>
      <w:r>
        <w:rPr>
          <w:bCs/>
          <w:b/>
        </w:rPr>
        <w:t xml:space="preserve">Major categories of agricultural genetic engineering applications, connecting to and extending the GMO discussion in the Agriculture &amp; Forestry subject:</w:t>
      </w:r>
    </w:p>
    <w:p>
      <w:pPr>
        <w:numPr>
          <w:ilvl w:val="0"/>
          <w:numId w:val="1101"/>
        </w:numPr>
        <w:pStyle w:val="Compact"/>
      </w:pPr>
      <w:r>
        <w:rPr>
          <w:bCs/>
          <w:b/>
        </w:rPr>
        <w:t xml:space="preserve">Pest resistance</w:t>
      </w:r>
      <w:r>
        <w:t xml:space="preserve"> </w:t>
      </w:r>
      <w:r>
        <w:t xml:space="preserve">— most prominently, the insertion of genes derived from the soil bacterium</w:t>
      </w:r>
      <w:r>
        <w:t xml:space="preserve"> </w:t>
      </w:r>
      <w:r>
        <w:rPr>
          <w:iCs/>
          <w:i/>
        </w:rPr>
        <w:t xml:space="preserve">Bacillus thuringiensis</w:t>
      </w:r>
      <w:r>
        <w:t xml:space="preserve"> </w:t>
      </w:r>
      <w:r>
        <w:t xml:space="preserve">(Bt), producing a specific protein toxic to particular insect pest species when ingested but generally considered safe for humans and most non-target organisms, into crop plants including the Bt cotton discussed extensively in the Agriculture &amp; Forestry subject, given cotton’s major significance to Pakistan’s agricultural economy.</w:t>
      </w:r>
    </w:p>
    <w:p>
      <w:pPr>
        <w:numPr>
          <w:ilvl w:val="0"/>
          <w:numId w:val="1101"/>
        </w:numPr>
        <w:pStyle w:val="Compact"/>
      </w:pPr>
      <w:r>
        <w:rPr>
          <w:bCs/>
          <w:b/>
        </w:rPr>
        <w:t xml:space="preserve">Herbicide tolerance</w:t>
      </w:r>
      <w:r>
        <w:t xml:space="preserve"> </w:t>
      </w:r>
      <w:r>
        <w:t xml:space="preserve">— engineering crop plants to tolerate the direct application of specific herbicide compounds that would otherwise damage or kill the crop alongside the intended weeds, allowing more effective, simplified weed control through direct herbicide application across an entire field without harming the tolerant crop itself.</w:t>
      </w:r>
    </w:p>
    <w:p>
      <w:pPr>
        <w:numPr>
          <w:ilvl w:val="0"/>
          <w:numId w:val="1101"/>
        </w:numPr>
        <w:pStyle w:val="Compact"/>
      </w:pPr>
      <w:r>
        <w:rPr>
          <w:bCs/>
          <w:b/>
        </w:rPr>
        <w:t xml:space="preserve">Disease resistance</w:t>
      </w:r>
      <w:r>
        <w:t xml:space="preserve"> </w:t>
      </w:r>
      <w:r>
        <w:t xml:space="preserve">— introducing genes conferring resistance to specific viral, bacterial, or fungal plant pathogens (connecting to the plant pathology discussion in Topics 7–9), an application of particular potential significance for viral diseases specifically, given the general absence of any direct chemical treatment for plant viral infection once it has already occurred (as noted in Topic 9), making genetically engineered resistance a particularly valuable preventive management approach for economically significant viral diseases such as the cotton leaf curl virus discussed in the Agriculture &amp; Forestry subject.</w:t>
      </w:r>
    </w:p>
    <w:p>
      <w:pPr>
        <w:numPr>
          <w:ilvl w:val="0"/>
          <w:numId w:val="1101"/>
        </w:numPr>
        <w:pStyle w:val="Compact"/>
      </w:pPr>
      <w:r>
        <w:rPr>
          <w:bCs/>
          <w:b/>
        </w:rPr>
        <w:t xml:space="preserve">Abiotic stress tolerance</w:t>
      </w:r>
      <w:r>
        <w:t xml:space="preserve"> </w:t>
      </w:r>
      <w:r>
        <w:t xml:space="preserve">— an area of active ongoing research and, in some cases, emerging commercial application, aiming to engineer improved crop tolerance to drought, salinity (connecting to Topic 59), and temperature extremes, of particular potential significance for Pakistani agriculture given the water scarcity, salinity, and climate change challenges discussed extensively throughout the Agriculture &amp; Forestry and Environmental Sciences subjects.</w:t>
      </w:r>
    </w:p>
    <w:p>
      <w:pPr>
        <w:numPr>
          <w:ilvl w:val="0"/>
          <w:numId w:val="1101"/>
        </w:numPr>
        <w:pStyle w:val="Compact"/>
      </w:pPr>
      <w:r>
        <w:rPr>
          <w:bCs/>
          <w:b/>
        </w:rPr>
        <w:t xml:space="preserve">Nutritional enhancement</w:t>
      </w:r>
      <w:r>
        <w:t xml:space="preserve"> </w:t>
      </w:r>
      <w:r>
        <w:t xml:space="preserve">— engineering crops with improved nutritional content, such as enhanced vitamin or mineral content, aiming to address specific nutritional deficiencies particularly prevalent in populations heavily dependent on a single staple crop for the majority of their dietary intake.</w:t>
      </w:r>
    </w:p>
    <w:p>
      <w:pPr>
        <w:pStyle w:val="FirstParagraph"/>
      </w:pPr>
      <w:r>
        <w:rPr>
          <w:bCs/>
          <w:b/>
        </w:rPr>
        <w:t xml:space="preserve">Balanced consideration of benefits and concerns, echoing the treatment in the Agriculture &amp; Forestry subject.</w:t>
      </w:r>
      <w:r>
        <w:t xml:space="preserve"> </w:t>
      </w:r>
      <w:r>
        <w:t xml:space="preserve">Genetic engineering offers substantial potential benefits — including more precisely targeted trait introduction, the ability to introduce traits from otherwise sexually incompatible source organisms, and generally faster development timelines for certain traits compared to conventional breeding approaches — but also raises legitimate concerns requiring careful, case-by-case regulatory evaluation rather than blanket endorsement or rejection: biosafety and ecological concerns regarding potential unintended environmental effects (addressed at the international level through the Cartagena Protocol on Biosafety, discussed in the Environmental Sciences subject); the risk of target pests or pathogens evolving resistance to a single engineered resistance mechanism over time (requiring accompanying integrated pest/disease management strategies, Topics 9 and 23 in the Agriculture &amp; Forestry subject, rather than reliance on genetic engineering alone); and economic and equity concerns regarding smallholder farmers’ access to and dependence on patented genetically engineered seed technology.</w:t>
      </w:r>
    </w:p>
    <w:p>
      <w:pPr>
        <w:pStyle w:val="BodyText"/>
      </w:pPr>
      <w:r>
        <w:rPr>
          <w:bCs/>
          <w:b/>
        </w:rPr>
        <w:t xml:space="preserve">Concluding synthesis.</w:t>
      </w:r>
      <w:r>
        <w:t xml:space="preserve"> </w:t>
      </w:r>
      <w:r>
        <w:t xml:space="preserve">This final topic’s direct connection back to the Agriculture &amp; Forestry subject’s practical crop discussion illustrates the deep, genuinely integrated relationship between fundamental plant molecular biology (nucleic acid structure, Topic 79; DNA replication, Topic 81; transcription and translation, Topics 82–83) and practical, applied crop science — the specific molecular mechanisms examined throughout this Botany subject’s final section are not merely abstract theoretical knowledge, but provide the essential scientific foundation directly enabling the genetic crop improvement techniques of substantial, ongoing practical significance to Pakistani and global agriculture discussed extensively throughout the Agriculture &amp; Forestry subject.</w:t>
      </w:r>
    </w:p>
    <w:p>
      <w:pPr>
        <w:pStyle w:val="BodyText"/>
      </w:pPr>
      <w:r>
        <w:rPr>
          <w:bCs/>
          <w:b/>
        </w:rPr>
        <w:t xml:space="preserve">Key Takeaways</w:t>
      </w:r>
    </w:p>
    <w:p>
      <w:pPr>
        <w:numPr>
          <w:ilvl w:val="0"/>
          <w:numId w:val="1102"/>
        </w:numPr>
        <w:pStyle w:val="Compact"/>
      </w:pPr>
      <w:r>
        <w:t xml:space="preserve">Major agricultural genetic engineering applications include pest resistance (Bt cotton), herbicide tolerance, disease resistance (particularly valuable for viral diseases lacking direct treatment), abiotic stress tolerance (drought, salinity), and nutritional enhancement.</w:t>
      </w:r>
    </w:p>
    <w:p>
      <w:pPr>
        <w:numPr>
          <w:ilvl w:val="0"/>
          <w:numId w:val="1102"/>
        </w:numPr>
        <w:pStyle w:val="Compact"/>
      </w:pPr>
      <w:r>
        <w:t xml:space="preserve">Genetic engineering offers substantial benefits (precision, cross-species trait transfer, faster development) alongside legitimate concerns (biosafety, resistance evolution, smallholder seed-access equity) requiring careful, case-by-case regulatory evaluation.</w:t>
      </w:r>
    </w:p>
    <w:p>
      <w:pPr>
        <w:numPr>
          <w:ilvl w:val="0"/>
          <w:numId w:val="1102"/>
        </w:numPr>
        <w:pStyle w:val="Compact"/>
      </w:pPr>
      <w:r>
        <w:t xml:space="preserve">The deep, integrated connection between fundamental plant molecular biology and practical crop science demonstrates that the molecular mechanisms examined throughout this section provide the essential scientific foundation for genetic crop improvement techniques of substantial ongoing significance to Pakistani and global agriculture.</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2026-09-21T05:32:27Z</dcterms:created>
  <dcterms:modified xsi:type="dcterms:W3CDTF">2026-09-21T05:32:27Z</dcterms:modified>
</cp:coreProperties>
</file>

<file path=docProps/custom.xml><?xml version="1.0" encoding="utf-8"?>
<Properties xmlns="http://schemas.openxmlformats.org/officeDocument/2006/custom-properties" xmlns:vt="http://schemas.openxmlformats.org/officeDocument/2006/docPropsVTypes"/>
</file>