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British History</w:t>
      </w:r>
    </w:p>
    <w:p>
      <w:pPr>
        <w:pStyle w:val="Subtitle"/>
      </w:pPr>
      <w:r>
        <w:t xml:space="preserve">Expanded</w:t>
      </w:r>
      <w:r>
        <w:t xml:space="preserve"> </w:t>
      </w:r>
      <w:r>
        <w:t xml:space="preserve">Master</w:t>
      </w:r>
      <w:r>
        <w:t xml:space="preserve"> </w:t>
      </w:r>
      <w:r>
        <w:t xml:space="preserve">Study</w:t>
      </w:r>
      <w:r>
        <w:t xml:space="preserve"> </w:t>
      </w:r>
      <w:r>
        <w:t xml:space="preserve">Resource</w:t>
      </w:r>
      <w:r>
        <w:t xml:space="preserve"> </w:t>
      </w:r>
      <w:r>
        <w:t xml:space="preserve">—</w:t>
      </w:r>
      <w:r>
        <w:t xml:space="preserve"> </w:t>
      </w:r>
      <w:r>
        <w:t xml:space="preserve">FPSC</w:t>
      </w:r>
      <w:r>
        <w:t xml:space="preserve"> </w:t>
      </w:r>
      <w:r>
        <w:t xml:space="preserve">Group</w:t>
      </w:r>
      <w:r>
        <w:t xml:space="preserve"> </w:t>
      </w:r>
      <w:r>
        <w:t xml:space="preserve">IV</w:t>
      </w:r>
      <w:r>
        <w:t xml:space="preserve"> </w:t>
      </w:r>
      <w:r>
        <w:t xml:space="preserve">Optional</w:t>
      </w:r>
      <w:r>
        <w:t xml:space="preserve"> </w:t>
      </w:r>
      <w:r>
        <w:t xml:space="preserve">Subject</w:t>
      </w:r>
      <w:r>
        <w:t xml:space="preserve"> </w:t>
      </w:r>
      <w:r>
        <w:t xml:space="preserve">(Code</w:t>
      </w:r>
      <w:r>
        <w:t xml:space="preserve"> </w:t>
      </w:r>
      <w:r>
        <w:t xml:space="preserve">28,</w:t>
      </w:r>
      <w:r>
        <w:t xml:space="preserve"> </w:t>
      </w:r>
      <w:r>
        <w:t xml:space="preserve">100</w:t>
      </w:r>
      <w:r>
        <w:t xml:space="preserve"> </w:t>
      </w:r>
      <w:r>
        <w:t xml:space="preserve">Marks)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how-to-use-this-resource"/>
    <w:p>
      <w:pPr>
        <w:pStyle w:val="Heading1"/>
      </w:pPr>
      <w:r>
        <w:t xml:space="preserve">How to Use This Resource</w:t>
      </w:r>
    </w:p>
    <w:p>
      <w:pPr>
        <w:pStyle w:val="FirstParagraph"/>
      </w:pPr>
      <w:r>
        <w:t xml:space="preserve">This resource expands the original</w:t>
      </w:r>
      <w:r>
        <w:t xml:space="preserve"> </w:t>
      </w:r>
      <w:r>
        <w:rPr>
          <w:iCs/>
          <w:i/>
        </w:rPr>
        <w:t xml:space="preserve">Group IV Easy Crash Course</w:t>
      </w:r>
      <w:r>
        <w:t xml:space="preserve"> </w:t>
      </w:r>
      <w:r>
        <w:t xml:space="preserve">chapter on British History into a fuller teaching text, preserving every preparation checklist,</w:t>
      </w:r>
      <w:r>
        <w:t xml:space="preserve"> </w:t>
      </w:r>
      <w:r>
        <w:t xml:space="preserve">“</w:t>
      </w:r>
      <w:r>
        <w:t xml:space="preserve">common confusion,</w:t>
      </w:r>
      <w:r>
        <w:t xml:space="preserve">”</w:t>
      </w:r>
      <w:r>
        <w:t xml:space="preserve"> </w:t>
      </w:r>
      <w:r>
        <w:t xml:space="preserve">and</w:t>
      </w:r>
      <w:r>
        <w:t xml:space="preserve"> </w:t>
      </w:r>
      <w:r>
        <w:t xml:space="preserve">“</w:t>
      </w:r>
      <w:r>
        <w:t xml:space="preserve">easy revision point</w:t>
      </w:r>
      <w:r>
        <w:t xml:space="preserve">”</w:t>
      </w:r>
      <w:r>
        <w:t xml:space="preserve"> </w:t>
      </w:r>
      <w:r>
        <w:t xml:space="preserve">from the original notes while adding background, fuller explanation, key terms, and a closing</w:t>
      </w:r>
      <w:r>
        <w:t xml:space="preserve"> </w:t>
      </w:r>
      <w:r>
        <w:t xml:space="preserve">“</w:t>
      </w:r>
      <w:r>
        <w:t xml:space="preserve">Key Takeaways</w:t>
      </w:r>
      <w:r>
        <w:t xml:space="preserve">”</w:t>
      </w:r>
      <w:r>
        <w:t xml:space="preserve"> </w:t>
      </w:r>
      <w:r>
        <w:t xml:space="preserve">section to each topic.</w:t>
      </w:r>
    </w:p>
    <w:bookmarkStart w:id="20" w:name="official-syllabus-at-a-glance"/>
    <w:p>
      <w:pPr>
        <w:pStyle w:val="Heading2"/>
      </w:pPr>
      <w:r>
        <w:t xml:space="preserve">Official Syllabus at a Glance</w:t>
      </w:r>
    </w:p>
    <w:p>
      <w:pPr>
        <w:numPr>
          <w:ilvl w:val="0"/>
          <w:numId w:val="1001"/>
        </w:numPr>
        <w:pStyle w:val="Compact"/>
      </w:pPr>
      <w:r>
        <w:rPr>
          <w:bCs/>
          <w:b/>
        </w:rPr>
        <w:t xml:space="preserve">I. The Glorious Revolution (1688):</w:t>
      </w:r>
      <w:r>
        <w:t xml:space="preserve"> </w:t>
      </w:r>
      <w:r>
        <w:t xml:space="preserve">causes and results; William and Mary; Queen Anne.</w:t>
      </w:r>
    </w:p>
    <w:p>
      <w:pPr>
        <w:numPr>
          <w:ilvl w:val="0"/>
          <w:numId w:val="1001"/>
        </w:numPr>
        <w:pStyle w:val="Compact"/>
      </w:pPr>
      <w:r>
        <w:rPr>
          <w:bCs/>
          <w:b/>
        </w:rPr>
        <w:t xml:space="preserve">II. The Hanoverian Era:</w:t>
      </w:r>
      <w:r>
        <w:t xml:space="preserve"> </w:t>
      </w:r>
      <w:r>
        <w:t xml:space="preserve">Jacobite rebellions; Walpole and Whig oligarchy; American War of Independence.</w:t>
      </w:r>
    </w:p>
    <w:p>
      <w:pPr>
        <w:numPr>
          <w:ilvl w:val="0"/>
          <w:numId w:val="1001"/>
        </w:numPr>
        <w:pStyle w:val="Compact"/>
      </w:pPr>
      <w:r>
        <w:rPr>
          <w:bCs/>
          <w:b/>
        </w:rPr>
        <w:t xml:space="preserve">III. Union of England and Scotland.</w:t>
      </w:r>
    </w:p>
    <w:p>
      <w:pPr>
        <w:numPr>
          <w:ilvl w:val="0"/>
          <w:numId w:val="1001"/>
        </w:numPr>
        <w:pStyle w:val="Compact"/>
      </w:pPr>
      <w:r>
        <w:rPr>
          <w:bCs/>
          <w:b/>
        </w:rPr>
        <w:t xml:space="preserve">IV. Union of England and Ireland.</w:t>
      </w:r>
    </w:p>
    <w:p>
      <w:pPr>
        <w:numPr>
          <w:ilvl w:val="0"/>
          <w:numId w:val="1001"/>
        </w:numPr>
        <w:pStyle w:val="Compact"/>
      </w:pPr>
      <w:r>
        <w:rPr>
          <w:bCs/>
          <w:b/>
        </w:rPr>
        <w:t xml:space="preserve">V. The Old Colonial System.</w:t>
      </w:r>
    </w:p>
    <w:p>
      <w:pPr>
        <w:numPr>
          <w:ilvl w:val="0"/>
          <w:numId w:val="1001"/>
        </w:numPr>
        <w:pStyle w:val="Compact"/>
      </w:pPr>
      <w:r>
        <w:rPr>
          <w:bCs/>
          <w:b/>
        </w:rPr>
        <w:t xml:space="preserve">VI. French Revolution and Napoleonic Wars:</w:t>
      </w:r>
      <w:r>
        <w:t xml:space="preserve"> </w:t>
      </w:r>
      <w:r>
        <w:t xml:space="preserve">causes, Britain’s role and effects on Britain.</w:t>
      </w:r>
    </w:p>
    <w:p>
      <w:pPr>
        <w:numPr>
          <w:ilvl w:val="0"/>
          <w:numId w:val="1001"/>
        </w:numPr>
        <w:pStyle w:val="Compact"/>
      </w:pPr>
      <w:r>
        <w:rPr>
          <w:bCs/>
          <w:b/>
        </w:rPr>
        <w:t xml:space="preserve">VII. Industrial and Agricultural Revolutions:</w:t>
      </w:r>
      <w:r>
        <w:t xml:space="preserve"> </w:t>
      </w:r>
      <w:r>
        <w:t xml:space="preserve">causes and political/social effects; party politics; Methodist movement; socialism; liberalism; colonization; Chartism.</w:t>
      </w:r>
    </w:p>
    <w:p>
      <w:pPr>
        <w:numPr>
          <w:ilvl w:val="0"/>
          <w:numId w:val="1001"/>
        </w:numPr>
        <w:pStyle w:val="Compact"/>
      </w:pPr>
      <w:r>
        <w:rPr>
          <w:bCs/>
          <w:b/>
        </w:rPr>
        <w:t xml:space="preserve">VIII. Robert Peel and Return of the Tories:</w:t>
      </w:r>
      <w:r>
        <w:t xml:space="preserve"> </w:t>
      </w:r>
      <w:r>
        <w:t xml:space="preserve">internal policies and the Irish problem.</w:t>
      </w:r>
    </w:p>
    <w:p>
      <w:pPr>
        <w:numPr>
          <w:ilvl w:val="0"/>
          <w:numId w:val="1001"/>
        </w:numPr>
        <w:pStyle w:val="Compact"/>
      </w:pPr>
      <w:r>
        <w:rPr>
          <w:bCs/>
          <w:b/>
        </w:rPr>
        <w:t xml:space="preserve">IX. Victorian Era:</w:t>
      </w:r>
      <w:r>
        <w:t xml:space="preserve"> </w:t>
      </w:r>
      <w:r>
        <w:t xml:space="preserve">internal reforms, Liberals, foreign policy, Disraeli and Gladstone, Ireland and free trade.</w:t>
      </w:r>
    </w:p>
    <w:p>
      <w:pPr>
        <w:numPr>
          <w:ilvl w:val="0"/>
          <w:numId w:val="1001"/>
        </w:numPr>
        <w:pStyle w:val="Compact"/>
      </w:pPr>
      <w:r>
        <w:rPr>
          <w:bCs/>
          <w:b/>
        </w:rPr>
        <w:t xml:space="preserve">X. Edwardian Era:</w:t>
      </w:r>
      <w:r>
        <w:t xml:space="preserve"> </w:t>
      </w:r>
      <w:r>
        <w:t xml:space="preserve">domestic and foreign policy; origins and development of the Labour Party.</w:t>
      </w:r>
    </w:p>
    <w:p>
      <w:pPr>
        <w:numPr>
          <w:ilvl w:val="0"/>
          <w:numId w:val="1001"/>
        </w:numPr>
        <w:pStyle w:val="Compact"/>
      </w:pPr>
      <w:r>
        <w:rPr>
          <w:bCs/>
          <w:b/>
        </w:rPr>
        <w:t xml:space="preserve">XI. Britain in the First World War and Aftermath:</w:t>
      </w:r>
      <w:r>
        <w:t xml:space="preserve"> </w:t>
      </w:r>
      <w:r>
        <w:t xml:space="preserve">causes, peace settlement, League of Nations, Great Depression, appeasement and rearmament.</w:t>
      </w:r>
    </w:p>
    <w:p>
      <w:pPr>
        <w:numPr>
          <w:ilvl w:val="0"/>
          <w:numId w:val="1001"/>
        </w:numPr>
        <w:pStyle w:val="Compact"/>
      </w:pPr>
      <w:r>
        <w:rPr>
          <w:bCs/>
          <w:b/>
        </w:rPr>
        <w:t xml:space="preserve">XII. Britain in the Second World War and Aftermath:</w:t>
      </w:r>
      <w:r>
        <w:t xml:space="preserve"> </w:t>
      </w:r>
      <w:r>
        <w:t xml:space="preserve">causes and events, Churchill, wartime conferences, United Nations, effects and Labour reforms.</w:t>
      </w:r>
    </w:p>
    <w:p>
      <w:pPr>
        <w:numPr>
          <w:ilvl w:val="0"/>
          <w:numId w:val="1001"/>
        </w:numPr>
        <w:pStyle w:val="Compact"/>
      </w:pPr>
      <w:r>
        <w:rPr>
          <w:bCs/>
          <w:b/>
        </w:rPr>
        <w:t xml:space="preserve">XIII. Britain and the Cold War:</w:t>
      </w:r>
      <w:r>
        <w:t xml:space="preserve"> </w:t>
      </w:r>
      <w:r>
        <w:t xml:space="preserve">Commonwealth, NATO, decolonization, EEC, internal and foreign policy.</w:t>
      </w:r>
    </w:p>
    <w:p>
      <w:pPr>
        <w:numPr>
          <w:ilvl w:val="0"/>
          <w:numId w:val="1001"/>
        </w:numPr>
        <w:pStyle w:val="Compact"/>
      </w:pPr>
      <w:r>
        <w:rPr>
          <w:bCs/>
          <w:b/>
        </w:rPr>
        <w:t xml:space="preserve">XIV. Thatcherism to Cameron (1979–2012):</w:t>
      </w:r>
      <w:r>
        <w:t xml:space="preserve"> </w:t>
      </w:r>
      <w:r>
        <w:t xml:space="preserve">domestic change, society, foreign policy, Falklands, Major, Europe, Blair/New Labour, War on Terror, 2008 crisis and Cameron reforms.</w:t>
      </w:r>
    </w:p>
    <w:bookmarkEnd w:id="20"/>
    <w:bookmarkStart w:id="21" w:name="how-to-approach-this-subject"/>
    <w:p>
      <w:pPr>
        <w:pStyle w:val="Heading2"/>
      </w:pPr>
      <w:r>
        <w:t xml:space="preserve">How to Approach This Subject</w:t>
      </w:r>
    </w:p>
    <w:p>
      <w:pPr>
        <w:numPr>
          <w:ilvl w:val="0"/>
          <w:numId w:val="1002"/>
        </w:numPr>
        <w:pStyle w:val="Compact"/>
      </w:pPr>
      <w:r>
        <w:t xml:space="preserve">Build one timeline from 1688 to 2012, marking constitutional change, party development, industrialisation, empire and major wars in separate columns.</w:t>
      </w:r>
    </w:p>
    <w:p>
      <w:pPr>
        <w:numPr>
          <w:ilvl w:val="0"/>
          <w:numId w:val="1002"/>
        </w:numPr>
        <w:pStyle w:val="Compact"/>
      </w:pPr>
      <w:r>
        <w:t xml:space="preserve">Reward continuity and change explicitly: ask what changed in Crown-Parliament relations, voting, parties, economy, empire and welfare after every major event.</w:t>
      </w:r>
    </w:p>
    <w:p>
      <w:pPr>
        <w:numPr>
          <w:ilvl w:val="0"/>
          <w:numId w:val="1002"/>
        </w:numPr>
        <w:pStyle w:val="Compact"/>
      </w:pPr>
      <w:r>
        <w:t xml:space="preserve">Study prime ministers through policies and historical significance rather than personal biography.</w:t>
      </w:r>
    </w:p>
    <w:p>
      <w:pPr>
        <w:numPr>
          <w:ilvl w:val="0"/>
          <w:numId w:val="1002"/>
        </w:numPr>
        <w:pStyle w:val="Compact"/>
      </w:pPr>
      <w:r>
        <w:t xml:space="preserve">Keep domestic and foreign policy connected: war, empire and economic change repeatedly produced major internal political reform.</w:t>
      </w:r>
    </w:p>
    <w:p>
      <w:pPr>
        <w:numPr>
          <w:ilvl w:val="0"/>
          <w:numId w:val="1002"/>
        </w:numPr>
        <w:pStyle w:val="Compact"/>
      </w:pPr>
      <w:r>
        <w:t xml:space="preserve">When discussing Ireland, Scotland and empire, avoid writing only from Westminster’s perspective; include local political reactions and consequences.</w:t>
      </w:r>
    </w:p>
    <w:p>
      <w:pPr>
        <w:numPr>
          <w:ilvl w:val="0"/>
          <w:numId w:val="1002"/>
        </w:numPr>
        <w:pStyle w:val="Compact"/>
      </w:pPr>
      <w:r>
        <w:t xml:space="preserve">Use comparison tables for Gladstone–Disraeli, Thatcher–Blair, and pre/post-war Britain.</w:t>
      </w:r>
    </w:p>
    <w:bookmarkEnd w:id="21"/>
    <w:bookmarkEnd w:id="22"/>
    <w:bookmarkStart w:id="30" w:name="X8a26c07437a536fda72c7845edc01d05ced1855"/>
    <w:p>
      <w:pPr>
        <w:pStyle w:val="Heading1"/>
        <w:pageBreakBefore/>
      </w:pPr>
      <w:r>
        <w:t xml:space="preserve">1. The Glorious Revolution, William and Mary, and Queen Anne</w:t>
      </w:r>
    </w:p>
    <w:bookmarkStart w:id="23" w:name="why-this-topic-matters"/>
    <w:p>
      <w:pPr>
        <w:pStyle w:val="Heading2"/>
      </w:pPr>
      <w:r>
        <w:t xml:space="preserve">Why This Topic Matters</w:t>
      </w:r>
    </w:p>
    <w:p>
      <w:pPr>
        <w:pStyle w:val="FirstParagraph"/>
      </w:pPr>
      <w:r>
        <w:t xml:space="preserve">This is the foundation topic for Britain’s entire constitutional development: it establishes the pattern of limited, parliamentary monarchy that every later topic in this subject assumes as its starting point.</w:t>
      </w:r>
    </w:p>
    <w:bookmarkEnd w:id="23"/>
    <w:bookmarkStart w:id="24" w:name="the-crisis-and-the-168889-settlement"/>
    <w:p>
      <w:pPr>
        <w:pStyle w:val="Heading2"/>
      </w:pPr>
      <w:r>
        <w:t xml:space="preserve">The Crisis and the 1688–89 Settlement</w:t>
      </w:r>
    </w:p>
    <w:p>
      <w:pPr>
        <w:pStyle w:val="FirstParagraph"/>
      </w:pPr>
      <w:r>
        <w:t xml:space="preserve">James II’s Catholic faith, his use of royal prerogative to relax legal restrictions on Catholics, and — decisively — the 1688 birth of a Catholic male heir who threatened a lasting Catholic dynasty, alarmed Protestant political leaders enough that a group of them invited James’s Protestant son-in-law, William of Orange (married to James’s daughter Mary), to intervene militarily. William landed with an army; James’s support collapsed and he fled to France. Parliament then offered the crown jointly to William and Mary on explicit constitutional conditions rather than as an unconditional restoration of royal authority. The</w:t>
      </w:r>
      <w:r>
        <w:t xml:space="preserve"> </w:t>
      </w:r>
      <w:r>
        <w:rPr>
          <w:bCs/>
          <w:b/>
        </w:rPr>
        <w:t xml:space="preserve">Bill of Rights (1689)</w:t>
      </w:r>
      <w:r>
        <w:t xml:space="preserve"> </w:t>
      </w:r>
      <w:r>
        <w:t xml:space="preserve">condemned specific abuses of royal power and strengthened Parliament’s role over taxation, legislation, and the maintenance of a standing army — a genuinely significant shift, though not the creation of full modern democracy: political participation remained narrow and property-based, and the monarchy retained real, if now more limited, influence for a long time afterward.</w:t>
      </w:r>
    </w:p>
    <w:bookmarkEnd w:id="24"/>
    <w:bookmarkStart w:id="25" w:name="X300dfeae2ba321813f686975aa33d32b9d5ea80"/>
    <w:p>
      <w:pPr>
        <w:pStyle w:val="Heading2"/>
      </w:pPr>
      <w:r>
        <w:t xml:space="preserve">War, Finance, and the Institutions It Built</w:t>
      </w:r>
    </w:p>
    <w:p>
      <w:pPr>
        <w:pStyle w:val="FirstParagraph"/>
      </w:pPr>
      <w:r>
        <w:t xml:space="preserve">William’s prolonged wars against Louis XIV had an important side effect: they drove the growth of state finance, public borrowing, and new institutions such as the</w:t>
      </w:r>
      <w:r>
        <w:t xml:space="preserve"> </w:t>
      </w:r>
      <w:r>
        <w:rPr>
          <w:bCs/>
          <w:b/>
        </w:rPr>
        <w:t xml:space="preserve">Bank of England</w:t>
      </w:r>
      <w:r>
        <w:t xml:space="preserve"> </w:t>
      </w:r>
      <w:r>
        <w:t xml:space="preserve">(founded 1694), meaning war financing directly expanded both parliamentary fiscal authority and the state’s administrative capacity — a pattern (war driving institutional development) that recurs throughout this entire subject.</w:t>
      </w:r>
    </w:p>
    <w:bookmarkEnd w:id="25"/>
    <w:bookmarkStart w:id="26" w:name="X93200e4b2cb56ebc90e60e3380f88af3ec632af"/>
    <w:p>
      <w:pPr>
        <w:pStyle w:val="Heading2"/>
      </w:pPr>
      <w:r>
        <w:t xml:space="preserve">Queen Anne, Party Politics, and Union with Scotland</w:t>
      </w:r>
    </w:p>
    <w:p>
      <w:pPr>
        <w:pStyle w:val="FirstParagraph"/>
      </w:pPr>
      <w:r>
        <w:t xml:space="preserve">Anne’s reign (1702–1714) saw increasingly durable rivalry between</w:t>
      </w:r>
      <w:r>
        <w:t xml:space="preserve"> </w:t>
      </w:r>
      <w:r>
        <w:rPr>
          <w:bCs/>
          <w:b/>
        </w:rPr>
        <w:t xml:space="preserve">Whigs and Tories</w:t>
      </w:r>
      <w:r>
        <w:t xml:space="preserve">, continued development of cabinet-style government, and Britain’s involvement in the War of the Spanish Succession — though the fully modern party system had not yet emerged. The</w:t>
      </w:r>
      <w:r>
        <w:t xml:space="preserve"> </w:t>
      </w:r>
      <w:r>
        <w:rPr>
          <w:bCs/>
          <w:b/>
        </w:rPr>
        <w:t xml:space="preserve">Acts of Union (1707)</w:t>
      </w:r>
      <w:r>
        <w:t xml:space="preserve">, negotiated during her reign, created the single</w:t>
      </w:r>
      <w:r>
        <w:t xml:space="preserve"> </w:t>
      </w:r>
      <w:r>
        <w:rPr>
          <w:bCs/>
          <w:b/>
        </w:rPr>
        <w:t xml:space="preserve">Kingdom of Great Britain</w:t>
      </w:r>
      <w:r>
        <w:t xml:space="preserve"> </w:t>
      </w:r>
      <w:r>
        <w:t xml:space="preserve">with one Parliament at Westminster, while Scotland retained important separate institutions, including its own legal system and Presbyterian church establishment (Topic 3 covers this union in full).</w:t>
      </w:r>
    </w:p>
    <w:bookmarkEnd w:id="26"/>
    <w:bookmarkStart w:id="27" w:name="key-terms-and-concepts"/>
    <w:p>
      <w:pPr>
        <w:pStyle w:val="Heading2"/>
      </w:pPr>
      <w:r>
        <w:t xml:space="preserve">Key Terms and Concepts</w:t>
      </w:r>
    </w:p>
    <w:p>
      <w:pPr>
        <w:numPr>
          <w:ilvl w:val="0"/>
          <w:numId w:val="1003"/>
        </w:numPr>
        <w:pStyle w:val="Compact"/>
      </w:pPr>
      <w:r>
        <w:rPr>
          <w:bCs/>
          <w:b/>
        </w:rPr>
        <w:t xml:space="preserve">Bill of Rights (1689):</w:t>
      </w:r>
      <w:r>
        <w:t xml:space="preserve"> </w:t>
      </w:r>
      <w:r>
        <w:t xml:space="preserve">The Act constraining royal power and strengthening Parliament’s authority over taxation, legislation and the military, distinct from the later American Bill of Rights.</w:t>
      </w:r>
    </w:p>
    <w:p>
      <w:pPr>
        <w:numPr>
          <w:ilvl w:val="0"/>
          <w:numId w:val="1003"/>
        </w:numPr>
        <w:pStyle w:val="Compact"/>
      </w:pPr>
      <w:r>
        <w:rPr>
          <w:bCs/>
          <w:b/>
        </w:rPr>
        <w:t xml:space="preserve">Limited (constitutional) monarchy:</w:t>
      </w:r>
      <w:r>
        <w:t xml:space="preserve"> </w:t>
      </w:r>
      <w:r>
        <w:t xml:space="preserve">The post-1689 arrangement in which the Crown governed within parliamentary and legal limits, though not yet within a fully democratic franchise.</w:t>
      </w:r>
    </w:p>
    <w:bookmarkEnd w:id="27"/>
    <w:bookmarkStart w:id="28" w:name="preparation-toolkit"/>
    <w:p>
      <w:pPr>
        <w:pStyle w:val="Heading2"/>
      </w:pPr>
      <w:r>
        <w:t xml:space="preserve">Preparation Toolkit</w:t>
      </w:r>
    </w:p>
    <w:p>
      <w:pPr>
        <w:pStyle w:val="FirstParagraph"/>
      </w:pPr>
      <w:r>
        <w:rPr>
          <w:bCs/>
          <w:b/>
        </w:rPr>
        <w:t xml:space="preserve">Preparation Checklist</w:t>
      </w:r>
    </w:p>
    <w:p>
      <w:pPr>
        <w:numPr>
          <w:ilvl w:val="0"/>
          <w:numId w:val="1004"/>
        </w:numPr>
        <w:pStyle w:val="Compact"/>
      </w:pPr>
      <w:r>
        <w:t xml:space="preserve">Prepare causes under religion, succession, royal power and parliamentary politics; then list constitutional results and explain why 1688–89 mattered for limited monarchy without claiming it created modern democracy.</w:t>
      </w:r>
    </w:p>
    <w:p>
      <w:pPr>
        <w:numPr>
          <w:ilvl w:val="0"/>
          <w:numId w:val="1004"/>
        </w:numPr>
        <w:pStyle w:val="Compact"/>
      </w:pPr>
      <w:r>
        <w:t xml:space="preserve">Practise one analytical outline answering:</w:t>
      </w:r>
      <w:r>
        <w:t xml:space="preserve"> </w:t>
      </w:r>
      <w:r>
        <w:t xml:space="preserve">“</w:t>
      </w:r>
      <w:r>
        <w:t xml:space="preserve">How did the 1688–89 settlement change the relationship between Crown and Parliament, and what remained unchanged?</w:t>
      </w:r>
      <w:r>
        <w:t xml:space="preserve">”</w:t>
      </w:r>
    </w:p>
    <w:p>
      <w:pPr>
        <w:pStyle w:val="FirstParagraph"/>
      </w:pPr>
      <w:r>
        <w:rPr>
          <w:bCs/>
          <w:b/>
        </w:rPr>
        <w:t xml:space="preserve">Common Confusions to Avoid</w:t>
      </w:r>
    </w:p>
    <w:p>
      <w:pPr>
        <w:numPr>
          <w:ilvl w:val="0"/>
          <w:numId w:val="1005"/>
        </w:numPr>
        <w:pStyle w:val="Compact"/>
      </w:pPr>
      <w:r>
        <w:t xml:space="preserve">Do not call the Glorious Revolution a modern democratic revolution; the electorate remained narrow and property-based.</w:t>
      </w:r>
    </w:p>
    <w:p>
      <w:pPr>
        <w:numPr>
          <w:ilvl w:val="0"/>
          <w:numId w:val="1005"/>
        </w:numPr>
        <w:pStyle w:val="Compact"/>
      </w:pPr>
      <w:r>
        <w:t xml:space="preserve">Do not confuse the Bill of Rights 1689 with the later American Bill of Rights.</w:t>
      </w:r>
    </w:p>
    <w:p>
      <w:pPr>
        <w:numPr>
          <w:ilvl w:val="0"/>
          <w:numId w:val="1005"/>
        </w:numPr>
        <w:pStyle w:val="Compact"/>
      </w:pPr>
      <w:r>
        <w:t xml:space="preserve">Do not treat the 1707 union as the same event as the 1603 Union of the Crowns (Topic 3 clarifies this distinction fully).</w:t>
      </w:r>
    </w:p>
    <w:p>
      <w:pPr>
        <w:pStyle w:val="FirstParagraph"/>
      </w:pPr>
      <w:r>
        <w:rPr>
          <w:bCs/>
          <w:b/>
        </w:rPr>
        <w:t xml:space="preserve">Easy Revision Points</w:t>
      </w:r>
    </w:p>
    <w:p>
      <w:pPr>
        <w:numPr>
          <w:ilvl w:val="0"/>
          <w:numId w:val="1006"/>
        </w:numPr>
        <w:pStyle w:val="Compact"/>
      </w:pPr>
      <w:r>
        <w:t xml:space="preserve">James II’s Catholicism and use of royal prerogative generated strong opposition among political elites.</w:t>
      </w:r>
    </w:p>
    <w:p>
      <w:pPr>
        <w:numPr>
          <w:ilvl w:val="0"/>
          <w:numId w:val="1006"/>
        </w:numPr>
        <w:pStyle w:val="Compact"/>
      </w:pPr>
      <w:r>
        <w:t xml:space="preserve">William of Orange landed in England in 1688; James II ultimately fled to France.</w:t>
      </w:r>
    </w:p>
    <w:p>
      <w:pPr>
        <w:numPr>
          <w:ilvl w:val="0"/>
          <w:numId w:val="1006"/>
        </w:numPr>
        <w:pStyle w:val="Compact"/>
      </w:pPr>
      <w:r>
        <w:t xml:space="preserve">The Bill of Rights 1689 limited certain royal powers and strengthened Parliament’s constitutional position.</w:t>
      </w:r>
    </w:p>
    <w:p>
      <w:pPr>
        <w:numPr>
          <w:ilvl w:val="0"/>
          <w:numId w:val="1006"/>
        </w:numPr>
        <w:pStyle w:val="Compact"/>
      </w:pPr>
      <w:r>
        <w:t xml:space="preserve">Queen Anne reigned from 1702 to 1714 and presided during the War of the Spanish Succession.</w:t>
      </w:r>
    </w:p>
    <w:p>
      <w:pPr>
        <w:numPr>
          <w:ilvl w:val="0"/>
          <w:numId w:val="1006"/>
        </w:numPr>
        <w:pStyle w:val="Compact"/>
      </w:pPr>
      <w:r>
        <w:t xml:space="preserve">The Acts of Union 1707 created the Kingdom of Great Britain by uniting the English and Scottish parliaments.</w:t>
      </w:r>
    </w:p>
    <w:bookmarkEnd w:id="28"/>
    <w:bookmarkStart w:id="29" w:name="key-takeaways"/>
    <w:p>
      <w:pPr>
        <w:pStyle w:val="Heading2"/>
      </w:pPr>
      <w:r>
        <w:t xml:space="preserve">Key Takeaways</w:t>
      </w:r>
    </w:p>
    <w:p>
      <w:pPr>
        <w:numPr>
          <w:ilvl w:val="0"/>
          <w:numId w:val="1007"/>
        </w:numPr>
        <w:pStyle w:val="Compact"/>
      </w:pPr>
      <w:r>
        <w:t xml:space="preserve">1688–89 established limited, parliamentary monarchy through elite political conflict, not mass democratic revolution — a distinction every later topic in this subject depends on.</w:t>
      </w:r>
    </w:p>
    <w:p>
      <w:pPr>
        <w:numPr>
          <w:ilvl w:val="0"/>
          <w:numId w:val="1007"/>
        </w:numPr>
        <w:pStyle w:val="Compact"/>
      </w:pPr>
      <w:r>
        <w:t xml:space="preserve">War financing under William III directly built lasting fiscal-administrative institutions (the Bank of England among them), establishing a war-drives-institutional-development pattern that recurs throughout British history.</w:t>
      </w:r>
    </w:p>
    <w:p>
      <w:pPr>
        <w:numPr>
          <w:ilvl w:val="0"/>
          <w:numId w:val="1007"/>
        </w:numPr>
        <w:pStyle w:val="Compact"/>
      </w:pPr>
      <w:r>
        <w:t xml:space="preserve">Queen Anne’s reign carries the 1689 settlement into durable party politics and the 1707 union with Scotland, directly bridging into Topic 3.</w:t>
      </w:r>
    </w:p>
    <w:bookmarkEnd w:id="29"/>
    <w:bookmarkEnd w:id="30"/>
    <w:bookmarkStart w:id="37" w:name="X114f3f1f09a870904b0d1dc8668dfb7f7f2ce9b"/>
    <w:p>
      <w:pPr>
        <w:pStyle w:val="Heading1"/>
        <w:pageBreakBefore/>
      </w:pPr>
      <w:r>
        <w:t xml:space="preserve">2. The Hanoverian Era: Jacobites, Walpole and American Independence</w:t>
      </w:r>
    </w:p>
    <w:bookmarkStart w:id="31" w:name="why-this-topic-matters-1"/>
    <w:p>
      <w:pPr>
        <w:pStyle w:val="Heading2"/>
      </w:pPr>
      <w:r>
        <w:t xml:space="preserve">Why This Topic Matters</w:t>
      </w:r>
    </w:p>
    <w:p>
      <w:pPr>
        <w:pStyle w:val="FirstParagraph"/>
      </w:pPr>
      <w:r>
        <w:t xml:space="preserve">This topic covers three connected developments — securing the Protestant succession, developing cabinet government, and losing the American colonies — that together show both the consolidation and the limits of Britain’s post-1688 constitutional and imperial settlement.</w:t>
      </w:r>
    </w:p>
    <w:bookmarkEnd w:id="31"/>
    <w:bookmarkStart w:id="32" w:name="X682e1a060d8b340257f635f7c59b936cfa54d6e"/>
    <w:p>
      <w:pPr>
        <w:pStyle w:val="Heading2"/>
      </w:pPr>
      <w:r>
        <w:t xml:space="preserve">Succession, Jacobite Rebellions, and Walpole’s Government</w:t>
      </w:r>
    </w:p>
    <w:p>
      <w:pPr>
        <w:pStyle w:val="FirstParagraph"/>
      </w:pPr>
      <w:r>
        <w:t xml:space="preserve">George I became king in 1714 under the Protestant succession established by earlier legislation, an accession that excluded the Catholic Stuart claim and became the focus of</w:t>
      </w:r>
      <w:r>
        <w:t xml:space="preserve"> </w:t>
      </w:r>
      <w:r>
        <w:rPr>
          <w:bCs/>
          <w:b/>
        </w:rPr>
        <w:t xml:space="preserve">Jacobite</w:t>
      </w:r>
      <w:r>
        <w:t xml:space="preserve"> </w:t>
      </w:r>
      <w:r>
        <w:t xml:space="preserve">opposition, most seriously in the risings of 1715 and 1745; the 1745 rising’s defeat at</w:t>
      </w:r>
      <w:r>
        <w:t xml:space="preserve"> </w:t>
      </w:r>
      <w:r>
        <w:rPr>
          <w:bCs/>
          <w:b/>
        </w:rPr>
        <w:t xml:space="preserve">Culloden (1746)</w:t>
      </w:r>
      <w:r>
        <w:t xml:space="preserve"> </w:t>
      </w:r>
      <w:r>
        <w:t xml:space="preserve">effectively ended the Jacobites as a serious military threat.</w:t>
      </w:r>
      <w:r>
        <w:t xml:space="preserve"> </w:t>
      </w:r>
      <w:r>
        <w:rPr>
          <w:bCs/>
          <w:b/>
        </w:rPr>
        <w:t xml:space="preserve">Robert Walpole</w:t>
      </w:r>
      <w:r>
        <w:t xml:space="preserve"> </w:t>
      </w:r>
      <w:r>
        <w:t xml:space="preserve">dominated government from 1721 to 1742 through skilful management of Parliament, royal favour, patronage and financial stability, and is often called Britain’s first prime minister — though the office and its conventions developed gradually rather than being formally created at any single moment. Whig elites controlled much of eighteenth-century political life through parliamentary influence, local patronage and Crown links, a pattern historians sometimes call the</w:t>
      </w:r>
      <w:r>
        <w:t xml:space="preserve"> </w:t>
      </w:r>
      <w:r>
        <w:t xml:space="preserve">“</w:t>
      </w:r>
      <w:r>
        <w:t xml:space="preserve">Whig oligarchy.</w:t>
      </w:r>
      <w:r>
        <w:t xml:space="preserve">”</w:t>
      </w:r>
    </w:p>
    <w:bookmarkEnd w:id="32"/>
    <w:bookmarkStart w:id="33" w:name="Xfe4eed0e2706733d2554127074db8abc2ce1ab0"/>
    <w:p>
      <w:pPr>
        <w:pStyle w:val="Heading2"/>
      </w:pPr>
      <w:r>
        <w:t xml:space="preserve">Imperial Victory, Debt, and the American Crisis</w:t>
      </w:r>
    </w:p>
    <w:p>
      <w:pPr>
        <w:pStyle w:val="FirstParagraph"/>
      </w:pPr>
      <w:r>
        <w:t xml:space="preserve">Britain’s victory in the</w:t>
      </w:r>
      <w:r>
        <w:t xml:space="preserve"> </w:t>
      </w:r>
      <w:r>
        <w:rPr>
          <w:bCs/>
          <w:b/>
        </w:rPr>
        <w:t xml:space="preserve">Seven Years’ War</w:t>
      </w:r>
      <w:r>
        <w:t xml:space="preserve"> </w:t>
      </w:r>
      <w:r>
        <w:t xml:space="preserve">(1756–63) massively expanded imperial territory but also left substantial debt and new defence costs, prompting Parliament to seek greater direct financial contribution from the American colonies. Measures such as the</w:t>
      </w:r>
      <w:r>
        <w:t xml:space="preserve"> </w:t>
      </w:r>
      <w:r>
        <w:rPr>
          <w:bCs/>
          <w:b/>
        </w:rPr>
        <w:t xml:space="preserve">Stamp Act</w:t>
      </w:r>
      <w:r>
        <w:t xml:space="preserve"> </w:t>
      </w:r>
      <w:r>
        <w:t xml:space="preserve">raised a fundamental constitutional question — whether Parliament could tax colonists who had no representatives at Westminster — and colonial resistance progressively shifted from protest toward outright claims of political independence. The conflict escalated into full war and became an international struggle once France allied with the Americans; British defeat at</w:t>
      </w:r>
      <w:r>
        <w:t xml:space="preserve"> </w:t>
      </w:r>
      <w:r>
        <w:rPr>
          <w:bCs/>
          <w:b/>
        </w:rPr>
        <w:t xml:space="preserve">Yorktown</w:t>
      </w:r>
      <w:r>
        <w:t xml:space="preserve"> </w:t>
      </w:r>
      <w:r>
        <w:t xml:space="preserve">and the</w:t>
      </w:r>
      <w:r>
        <w:t xml:space="preserve"> </w:t>
      </w:r>
      <w:r>
        <w:rPr>
          <w:bCs/>
          <w:b/>
        </w:rPr>
        <w:t xml:space="preserve">Treaty of Paris (1783)</w:t>
      </w:r>
      <w:r>
        <w:t xml:space="preserve"> </w:t>
      </w:r>
      <w:r>
        <w:t xml:space="preserve">forced recognition of American independence and a fundamental rethinking of imperial strategy (developed further in Topic 5).</w:t>
      </w:r>
    </w:p>
    <w:bookmarkEnd w:id="33"/>
    <w:bookmarkStart w:id="34" w:name="key-terms-and-concepts-1"/>
    <w:p>
      <w:pPr>
        <w:pStyle w:val="Heading2"/>
      </w:pPr>
      <w:r>
        <w:t xml:space="preserve">Key Terms and Concepts</w:t>
      </w:r>
    </w:p>
    <w:p>
      <w:pPr>
        <w:numPr>
          <w:ilvl w:val="0"/>
          <w:numId w:val="1008"/>
        </w:numPr>
        <w:pStyle w:val="Compact"/>
      </w:pPr>
      <w:r>
        <w:rPr>
          <w:bCs/>
          <w:b/>
        </w:rPr>
        <w:t xml:space="preserve">Jacobitism:</w:t>
      </w:r>
      <w:r>
        <w:t xml:space="preserve"> </w:t>
      </w:r>
      <w:r>
        <w:t xml:space="preserve">The movement seeking to restore the exiled Catholic Stuart line, defeated decisively at Culloden in 1746.</w:t>
      </w:r>
    </w:p>
    <w:p>
      <w:pPr>
        <w:numPr>
          <w:ilvl w:val="0"/>
          <w:numId w:val="1008"/>
        </w:numPr>
        <w:pStyle w:val="Compact"/>
      </w:pPr>
      <w:r>
        <w:rPr>
          <w:bCs/>
          <w:b/>
        </w:rPr>
        <w:t xml:space="preserve">Whig oligarchy:</w:t>
      </w:r>
      <w:r>
        <w:t xml:space="preserve"> </w:t>
      </w:r>
      <w:r>
        <w:t xml:space="preserve">The dominance of Whig elites in eighteenth-century political life through parliamentary influence and patronage.</w:t>
      </w:r>
    </w:p>
    <w:bookmarkEnd w:id="34"/>
    <w:bookmarkStart w:id="35" w:name="preparation-toolkit-1"/>
    <w:p>
      <w:pPr>
        <w:pStyle w:val="Heading2"/>
      </w:pPr>
      <w:r>
        <w:t xml:space="preserve">Preparation Toolkit</w:t>
      </w:r>
    </w:p>
    <w:p>
      <w:pPr>
        <w:pStyle w:val="FirstParagraph"/>
      </w:pPr>
      <w:r>
        <w:rPr>
          <w:bCs/>
          <w:b/>
        </w:rPr>
        <w:t xml:space="preserve">Preparation Checklist</w:t>
      </w:r>
    </w:p>
    <w:p>
      <w:pPr>
        <w:numPr>
          <w:ilvl w:val="0"/>
          <w:numId w:val="1009"/>
        </w:numPr>
        <w:pStyle w:val="Compact"/>
      </w:pPr>
      <w:r>
        <w:t xml:space="preserve">Make three mini-topics: Hanoverian succession/Jacobitism; Walpole and political institutions; the American crisis.</w:t>
      </w:r>
    </w:p>
    <w:p>
      <w:pPr>
        <w:numPr>
          <w:ilvl w:val="0"/>
          <w:numId w:val="1009"/>
        </w:numPr>
        <w:pStyle w:val="Compact"/>
      </w:pPr>
      <w:r>
        <w:t xml:space="preserve">For Walpole, explain why he is often called Britain’s first prime minister while noting the office evolved gradually rather than being formally created.</w:t>
      </w:r>
    </w:p>
    <w:p>
      <w:pPr>
        <w:numPr>
          <w:ilvl w:val="0"/>
          <w:numId w:val="1009"/>
        </w:numPr>
        <w:pStyle w:val="Compact"/>
      </w:pPr>
      <w:r>
        <w:t xml:space="preserve">Practise one analytical outline answering:</w:t>
      </w:r>
      <w:r>
        <w:t xml:space="preserve"> </w:t>
      </w:r>
      <w:r>
        <w:t xml:space="preserve">“</w:t>
      </w:r>
      <w:r>
        <w:t xml:space="preserve">How did the constitutional dispute over taxation without representation escalate into American independence?</w:t>
      </w:r>
      <w:r>
        <w:t xml:space="preserve">”</w:t>
      </w:r>
    </w:p>
    <w:p>
      <w:pPr>
        <w:pStyle w:val="FirstParagraph"/>
      </w:pPr>
      <w:r>
        <w:rPr>
          <w:bCs/>
          <w:b/>
        </w:rPr>
        <w:t xml:space="preserve">Common Confusions to Avoid</w:t>
      </w:r>
    </w:p>
    <w:p>
      <w:pPr>
        <w:numPr>
          <w:ilvl w:val="0"/>
          <w:numId w:val="1010"/>
        </w:numPr>
        <w:pStyle w:val="Compact"/>
      </w:pPr>
      <w:r>
        <w:t xml:space="preserve">Do not say Walpole legally created the office of prime minister; the office evolved through convention.</w:t>
      </w:r>
    </w:p>
    <w:p>
      <w:pPr>
        <w:numPr>
          <w:ilvl w:val="0"/>
          <w:numId w:val="1010"/>
        </w:numPr>
        <w:pStyle w:val="Compact"/>
      </w:pPr>
      <w:r>
        <w:t xml:space="preserve">Do not explain the American Revolution only through taxation; representation, imperial authority, colonial institutions and Enlightenment ideas all mattered.</w:t>
      </w:r>
    </w:p>
    <w:p>
      <w:pPr>
        <w:numPr>
          <w:ilvl w:val="0"/>
          <w:numId w:val="1010"/>
        </w:numPr>
        <w:pStyle w:val="Compact"/>
      </w:pPr>
      <w:r>
        <w:t xml:space="preserve">Do not assume the loss of America ended the British Empire; imperial expansion continued elsewhere (Topic 5).</w:t>
      </w:r>
    </w:p>
    <w:p>
      <w:pPr>
        <w:pStyle w:val="FirstParagraph"/>
      </w:pPr>
      <w:r>
        <w:rPr>
          <w:bCs/>
          <w:b/>
        </w:rPr>
        <w:t xml:space="preserve">Easy Revision Points</w:t>
      </w:r>
    </w:p>
    <w:p>
      <w:pPr>
        <w:numPr>
          <w:ilvl w:val="0"/>
          <w:numId w:val="1011"/>
        </w:numPr>
        <w:pStyle w:val="Compact"/>
      </w:pPr>
      <w:r>
        <w:t xml:space="preserve">George I became king in 1714 under the Protestant succession established by earlier legislation.</w:t>
      </w:r>
    </w:p>
    <w:p>
      <w:pPr>
        <w:numPr>
          <w:ilvl w:val="0"/>
          <w:numId w:val="1011"/>
        </w:numPr>
        <w:pStyle w:val="Compact"/>
      </w:pPr>
      <w:r>
        <w:t xml:space="preserve">Major Jacobite risings occurred in 1715 and 1745; the latter ended decisively after Culloden in 1746.</w:t>
      </w:r>
    </w:p>
    <w:p>
      <w:pPr>
        <w:numPr>
          <w:ilvl w:val="0"/>
          <w:numId w:val="1011"/>
        </w:numPr>
        <w:pStyle w:val="Compact"/>
      </w:pPr>
      <w:r>
        <w:t xml:space="preserve">Robert Walpole dominated government from 1721 to 1742 and helped develop cabinet-parliamentary practices.</w:t>
      </w:r>
    </w:p>
    <w:p>
      <w:pPr>
        <w:numPr>
          <w:ilvl w:val="0"/>
          <w:numId w:val="1011"/>
        </w:numPr>
        <w:pStyle w:val="Compact"/>
      </w:pPr>
      <w:r>
        <w:t xml:space="preserve">Britain’s victory in the Seven Years’ War increased imperial territory but also debt, contributing to disputes over taxing the American colonies.</w:t>
      </w:r>
    </w:p>
    <w:p>
      <w:pPr>
        <w:numPr>
          <w:ilvl w:val="0"/>
          <w:numId w:val="1011"/>
        </w:numPr>
        <w:pStyle w:val="Compact"/>
      </w:pPr>
      <w:r>
        <w:t xml:space="preserve">The Treaty of Paris (1783) confirmed British recognition of American independence.</w:t>
      </w:r>
    </w:p>
    <w:bookmarkEnd w:id="35"/>
    <w:bookmarkStart w:id="36" w:name="key-takeaways-1"/>
    <w:p>
      <w:pPr>
        <w:pStyle w:val="Heading2"/>
      </w:pPr>
      <w:r>
        <w:t xml:space="preserve">Key Takeaways</w:t>
      </w:r>
    </w:p>
    <w:p>
      <w:pPr>
        <w:numPr>
          <w:ilvl w:val="0"/>
          <w:numId w:val="1012"/>
        </w:numPr>
        <w:pStyle w:val="Compact"/>
      </w:pPr>
      <w:r>
        <w:t xml:space="preserve">Jacobite defeat, Walpole’s political management, and the American crisis together show the Hanoverian era consolidating domestic constitutional order while exposing the limits of imperial control.</w:t>
      </w:r>
    </w:p>
    <w:p>
      <w:pPr>
        <w:numPr>
          <w:ilvl w:val="0"/>
          <w:numId w:val="1012"/>
        </w:numPr>
        <w:pStyle w:val="Compact"/>
      </w:pPr>
      <w:r>
        <w:t xml:space="preserve">The American dispute is best explained as a genuine constitutional disagreement (representation and consent to taxation), not merely a tax-rate grievance.</w:t>
      </w:r>
    </w:p>
    <w:p>
      <w:pPr>
        <w:numPr>
          <w:ilvl w:val="0"/>
          <w:numId w:val="1012"/>
        </w:numPr>
        <w:pStyle w:val="Compact"/>
      </w:pPr>
      <w:r>
        <w:t xml:space="preserve">Loss of America directly caused Britain’s later imperial reorientation toward Asia, the Pacific and Africa, examined in Topic 5.</w:t>
      </w:r>
    </w:p>
    <w:bookmarkEnd w:id="36"/>
    <w:bookmarkEnd w:id="37"/>
    <w:bookmarkStart w:id="44" w:name="union-of-england-and-scotland"/>
    <w:p>
      <w:pPr>
        <w:pStyle w:val="Heading1"/>
        <w:pageBreakBefore/>
      </w:pPr>
      <w:r>
        <w:t xml:space="preserve">3. Union of England and Scotland</w:t>
      </w:r>
    </w:p>
    <w:bookmarkStart w:id="38" w:name="why-this-topic-matters-2"/>
    <w:p>
      <w:pPr>
        <w:pStyle w:val="Heading2"/>
      </w:pPr>
      <w:r>
        <w:t xml:space="preserve">Why This Topic Matters</w:t>
      </w:r>
    </w:p>
    <w:p>
      <w:pPr>
        <w:pStyle w:val="FirstParagraph"/>
      </w:pPr>
      <w:r>
        <w:t xml:space="preserve">This topic requires a precise distinction most candidates get wrong: 1603 created one monarch over two kingdoms; 1707 created one kingdom and one parliament. Confusing these is one of the most common errors in the entire subject.</w:t>
      </w:r>
    </w:p>
    <w:bookmarkEnd w:id="38"/>
    <w:bookmarkStart w:id="39" w:name="X5fc74014c3b27e8bd08c38dbf76e4ae6c858d62"/>
    <w:p>
      <w:pPr>
        <w:pStyle w:val="Heading2"/>
      </w:pPr>
      <w:r>
        <w:t xml:space="preserve">From the Union of the Crowns to the Treaty of Union</w:t>
      </w:r>
    </w:p>
    <w:p>
      <w:pPr>
        <w:pStyle w:val="FirstParagraph"/>
      </w:pPr>
      <w:r>
        <w:t xml:space="preserve">James VI of Scotland inherited the English throne as James I in</w:t>
      </w:r>
      <w:r>
        <w:t xml:space="preserve"> </w:t>
      </w:r>
      <w:r>
        <w:rPr>
          <w:bCs/>
          <w:b/>
        </w:rPr>
        <w:t xml:space="preserve">1603</w:t>
      </w:r>
      <w:r>
        <w:t xml:space="preserve">, creating a personal union under one monarch while England and Scotland remained separate kingdoms with separate parliaments, laws and churches. After 1688, English leaders wanted assurance that Scotland would follow the same Protestant succession, fearing a separate Scottish succession choice could revive security threats or foreign alliances. Scottish interest in union was strengthened by economic motives — particularly the desire for access to English colonial trade after the costly failure of the</w:t>
      </w:r>
      <w:r>
        <w:t xml:space="preserve"> </w:t>
      </w:r>
      <w:r>
        <w:rPr>
          <w:bCs/>
          <w:b/>
        </w:rPr>
        <w:t xml:space="preserve">Darien scheme</w:t>
      </w:r>
      <w:r>
        <w:t xml:space="preserve"> </w:t>
      </w:r>
      <w:r>
        <w:t xml:space="preserve">— though economic motives operated alongside, not instead of, dynastic and security considerations. Commissioners negotiated terms, and the Scottish Parliament accepted the treaty amid intense controversy involving patronage, commercial expectation and security calculation together.</w:t>
      </w:r>
    </w:p>
    <w:bookmarkEnd w:id="39"/>
    <w:bookmarkStart w:id="40" w:name="terms-and-what-scotland-retained"/>
    <w:p>
      <w:pPr>
        <w:pStyle w:val="Heading2"/>
      </w:pPr>
      <w:r>
        <w:t xml:space="preserve">Terms and What Scotland Retained</w:t>
      </w:r>
    </w:p>
    <w:p>
      <w:pPr>
        <w:pStyle w:val="FirstParagraph"/>
      </w:pPr>
      <w:r>
        <w:t xml:space="preserve">From 1707 there was one British Parliament and one Kingdom of Great Britain; Scotland gained representation at Westminster and access to English imperial trade, while sharing taxation and national-debt arrangements under negotiated terms. Crucially, Scotland</w:t>
      </w:r>
      <w:r>
        <w:t xml:space="preserve"> </w:t>
      </w:r>
      <w:r>
        <w:rPr>
          <w:bCs/>
          <w:b/>
        </w:rPr>
        <w:t xml:space="preserve">retained</w:t>
      </w:r>
      <w:r>
        <w:t xml:space="preserve"> </w:t>
      </w:r>
      <w:r>
        <w:t xml:space="preserve">its own legal system, the established Presbyterian Church, and important educational traditions — meaning the union achieved political and economic integration without complete institutional absorption, a nuance essential to any strong answer.</w:t>
      </w:r>
    </w:p>
    <w:bookmarkEnd w:id="40"/>
    <w:bookmarkStart w:id="41" w:name="key-terms-and-concepts-2"/>
    <w:p>
      <w:pPr>
        <w:pStyle w:val="Heading2"/>
      </w:pPr>
      <w:r>
        <w:t xml:space="preserve">Key Terms and Concepts</w:t>
      </w:r>
    </w:p>
    <w:p>
      <w:pPr>
        <w:numPr>
          <w:ilvl w:val="0"/>
          <w:numId w:val="1013"/>
        </w:numPr>
        <w:pStyle w:val="Compact"/>
      </w:pPr>
      <w:r>
        <w:rPr>
          <w:bCs/>
          <w:b/>
        </w:rPr>
        <w:t xml:space="preserve">Union of the Crowns (1603):</w:t>
      </w:r>
      <w:r>
        <w:t xml:space="preserve"> </w:t>
      </w:r>
      <w:r>
        <w:t xml:space="preserve">A personal dynastic union under one monarch, with separate parliaments retained.</w:t>
      </w:r>
    </w:p>
    <w:p>
      <w:pPr>
        <w:numPr>
          <w:ilvl w:val="0"/>
          <w:numId w:val="1013"/>
        </w:numPr>
        <w:pStyle w:val="Compact"/>
      </w:pPr>
      <w:r>
        <w:rPr>
          <w:bCs/>
          <w:b/>
        </w:rPr>
        <w:t xml:space="preserve">Acts of Union (1707):</w:t>
      </w:r>
      <w:r>
        <w:t xml:space="preserve"> </w:t>
      </w:r>
      <w:r>
        <w:t xml:space="preserve">The treaty creating one Kingdom of Great Britain and one Westminster Parliament, while preserving distinct Scottish legal and religious institutions.</w:t>
      </w:r>
    </w:p>
    <w:bookmarkEnd w:id="41"/>
    <w:bookmarkStart w:id="42" w:name="preparation-toolkit-2"/>
    <w:p>
      <w:pPr>
        <w:pStyle w:val="Heading2"/>
      </w:pPr>
      <w:r>
        <w:t xml:space="preserve">Preparation Toolkit</w:t>
      </w:r>
    </w:p>
    <w:p>
      <w:pPr>
        <w:pStyle w:val="FirstParagraph"/>
      </w:pPr>
      <w:r>
        <w:rPr>
          <w:bCs/>
          <w:b/>
        </w:rPr>
        <w:t xml:space="preserve">Preparation Checklist</w:t>
      </w:r>
    </w:p>
    <w:p>
      <w:pPr>
        <w:numPr>
          <w:ilvl w:val="0"/>
          <w:numId w:val="1014"/>
        </w:numPr>
        <w:pStyle w:val="Compact"/>
      </w:pPr>
      <w:r>
        <w:t xml:space="preserve">Prepare causes from both English and Scottish viewpoints, then divide consequences into constitutional, economic and identity-related effects.</w:t>
      </w:r>
    </w:p>
    <w:p>
      <w:pPr>
        <w:numPr>
          <w:ilvl w:val="0"/>
          <w:numId w:val="1014"/>
        </w:numPr>
        <w:pStyle w:val="Compact"/>
      </w:pPr>
      <w:r>
        <w:t xml:space="preserve">Practise one analytical outline answering:</w:t>
      </w:r>
      <w:r>
        <w:t xml:space="preserve"> </w:t>
      </w:r>
      <w:r>
        <w:t xml:space="preserve">“</w:t>
      </w:r>
      <w:r>
        <w:t xml:space="preserve">Why did union become attractive to both English and Scottish political interests by 1707, despite Scotland retaining separate institutions?</w:t>
      </w:r>
      <w:r>
        <w:t xml:space="preserve">”</w:t>
      </w:r>
    </w:p>
    <w:p>
      <w:pPr>
        <w:pStyle w:val="FirstParagraph"/>
      </w:pPr>
      <w:r>
        <w:rPr>
          <w:bCs/>
          <w:b/>
        </w:rPr>
        <w:t xml:space="preserve">Common Confusions to Avoid</w:t>
      </w:r>
    </w:p>
    <w:p>
      <w:pPr>
        <w:numPr>
          <w:ilvl w:val="0"/>
          <w:numId w:val="1015"/>
        </w:numPr>
        <w:pStyle w:val="Compact"/>
      </w:pPr>
      <w:r>
        <w:t xml:space="preserve">Do not write 1603 and 1707 as the same kind of union.</w:t>
      </w:r>
    </w:p>
    <w:p>
      <w:pPr>
        <w:numPr>
          <w:ilvl w:val="0"/>
          <w:numId w:val="1015"/>
        </w:numPr>
        <w:pStyle w:val="Compact"/>
      </w:pPr>
      <w:r>
        <w:t xml:space="preserve">Do not claim Scotland lost its separate legal system in 1707.</w:t>
      </w:r>
    </w:p>
    <w:p>
      <w:pPr>
        <w:numPr>
          <w:ilvl w:val="0"/>
          <w:numId w:val="1015"/>
        </w:numPr>
        <w:pStyle w:val="Compact"/>
      </w:pPr>
      <w:r>
        <w:t xml:space="preserve">Do not reduce the union to bribery alone; economic, dynastic and security factors all mattered.</w:t>
      </w:r>
    </w:p>
    <w:p>
      <w:pPr>
        <w:pStyle w:val="FirstParagraph"/>
      </w:pPr>
      <w:r>
        <w:rPr>
          <w:bCs/>
          <w:b/>
        </w:rPr>
        <w:t xml:space="preserve">Easy Revision Points</w:t>
      </w:r>
    </w:p>
    <w:p>
      <w:pPr>
        <w:numPr>
          <w:ilvl w:val="0"/>
          <w:numId w:val="1016"/>
        </w:numPr>
        <w:pStyle w:val="Compact"/>
      </w:pPr>
      <w:r>
        <w:t xml:space="preserve">James VI of Scotland became James I of England in 1603, creating a personal union of crowns but not one parliament.</w:t>
      </w:r>
    </w:p>
    <w:p>
      <w:pPr>
        <w:numPr>
          <w:ilvl w:val="0"/>
          <w:numId w:val="1016"/>
        </w:numPr>
        <w:pStyle w:val="Compact"/>
      </w:pPr>
      <w:r>
        <w:t xml:space="preserve">The Acts of Union took effect in 1707 and created the Kingdom of Great Britain.</w:t>
      </w:r>
    </w:p>
    <w:p>
      <w:pPr>
        <w:numPr>
          <w:ilvl w:val="0"/>
          <w:numId w:val="1016"/>
        </w:numPr>
        <w:pStyle w:val="Compact"/>
      </w:pPr>
      <w:r>
        <w:t xml:space="preserve">Scotland retained important institutional distinctions, including Scots law and the Presbyterian Church settlement.</w:t>
      </w:r>
    </w:p>
    <w:p>
      <w:pPr>
        <w:numPr>
          <w:ilvl w:val="0"/>
          <w:numId w:val="1016"/>
        </w:numPr>
        <w:pStyle w:val="Compact"/>
      </w:pPr>
      <w:r>
        <w:t xml:space="preserve">Access to English colonial trade was economically significant for Scottish merchants over time.</w:t>
      </w:r>
    </w:p>
    <w:bookmarkEnd w:id="42"/>
    <w:bookmarkStart w:id="43" w:name="key-takeaways-2"/>
    <w:p>
      <w:pPr>
        <w:pStyle w:val="Heading2"/>
      </w:pPr>
      <w:r>
        <w:t xml:space="preserve">Key Takeaways</w:t>
      </w:r>
    </w:p>
    <w:p>
      <w:pPr>
        <w:numPr>
          <w:ilvl w:val="0"/>
          <w:numId w:val="1017"/>
        </w:numPr>
        <w:pStyle w:val="Compact"/>
      </w:pPr>
      <w:r>
        <w:t xml:space="preserve">Keep the 1603/1707 distinction precise: same monarch versus one kingdom and one parliament — this is the topic’s single highest-value exam point.</w:t>
      </w:r>
    </w:p>
    <w:p>
      <w:pPr>
        <w:numPr>
          <w:ilvl w:val="0"/>
          <w:numId w:val="1017"/>
        </w:numPr>
        <w:pStyle w:val="Compact"/>
      </w:pPr>
      <w:r>
        <w:t xml:space="preserve">Union resulted from combined dynastic-security and economic pressures, not one factor alone, and Scotland’s retained institutions show it was integration without absorption.</w:t>
      </w:r>
    </w:p>
    <w:bookmarkEnd w:id="43"/>
    <w:bookmarkEnd w:id="44"/>
    <w:bookmarkStart w:id="52" w:name="union-of-england-and-ireland"/>
    <w:p>
      <w:pPr>
        <w:pStyle w:val="Heading1"/>
        <w:pageBreakBefore/>
      </w:pPr>
      <w:r>
        <w:t xml:space="preserve">4. Union of England and Ireland</w:t>
      </w:r>
    </w:p>
    <w:bookmarkStart w:id="45" w:name="why-this-topic-matters-3"/>
    <w:p>
      <w:pPr>
        <w:pStyle w:val="Heading2"/>
      </w:pPr>
      <w:r>
        <w:t xml:space="preserve">Why This Topic Matters</w:t>
      </w:r>
    </w:p>
    <w:p>
      <w:pPr>
        <w:pStyle w:val="FirstParagraph"/>
      </w:pPr>
      <w:r>
        <w:t xml:space="preserve">This topic shows that formal constitutional union does not automatically resolve underlying political grievance — the</w:t>
      </w:r>
      <w:r>
        <w:t xml:space="preserve"> </w:t>
      </w:r>
      <w:r>
        <w:t xml:space="preserve">“</w:t>
      </w:r>
      <w:r>
        <w:t xml:space="preserve">Irish question</w:t>
      </w:r>
      <w:r>
        <w:t xml:space="preserve">”</w:t>
      </w:r>
      <w:r>
        <w:t xml:space="preserve"> </w:t>
      </w:r>
      <w:r>
        <w:t xml:space="preserve">continued, and evolved, for well over a century after 1801.</w:t>
      </w:r>
    </w:p>
    <w:bookmarkEnd w:id="45"/>
    <w:bookmarkStart w:id="46" w:name="background-rebellion-and-union"/>
    <w:p>
      <w:pPr>
        <w:pStyle w:val="Heading2"/>
      </w:pPr>
      <w:r>
        <w:t xml:space="preserve">Background, Rebellion, and Union</w:t>
      </w:r>
    </w:p>
    <w:p>
      <w:pPr>
        <w:pStyle w:val="FirstParagraph"/>
      </w:pPr>
      <w:r>
        <w:t xml:space="preserve">Eighteenth-century Irish political power was concentrated in a Protestant elite (the</w:t>
      </w:r>
      <w:r>
        <w:t xml:space="preserve"> </w:t>
      </w:r>
      <w:r>
        <w:t xml:space="preserve">“</w:t>
      </w:r>
      <w:r>
        <w:t xml:space="preserve">Protestant Ascendancy</w:t>
      </w:r>
      <w:r>
        <w:t xml:space="preserve">”</w:t>
      </w:r>
      <w:r>
        <w:t xml:space="preserve">), while the Catholic majority faced legal and political disabilities only gradually relaxed. The</w:t>
      </w:r>
      <w:r>
        <w:t xml:space="preserve"> </w:t>
      </w:r>
      <w:r>
        <w:rPr>
          <w:bCs/>
          <w:b/>
        </w:rPr>
        <w:t xml:space="preserve">1798 Rebellion</w:t>
      </w:r>
      <w:r>
        <w:t xml:space="preserve">, led by the United Irishmen and shaped partly by the revolutionary-era atmosphere, heightened British fears that French intervention could exploit Irish instability. The resulting</w:t>
      </w:r>
      <w:r>
        <w:t xml:space="preserve"> </w:t>
      </w:r>
      <w:r>
        <w:rPr>
          <w:bCs/>
          <w:b/>
        </w:rPr>
        <w:t xml:space="preserve">Acts of Union</w:t>
      </w:r>
      <w:r>
        <w:t xml:space="preserve">, effective from</w:t>
      </w:r>
      <w:r>
        <w:t xml:space="preserve"> </w:t>
      </w:r>
      <w:r>
        <w:rPr>
          <w:bCs/>
          <w:b/>
        </w:rPr>
        <w:t xml:space="preserve">1801</w:t>
      </w:r>
      <w:r>
        <w:t xml:space="preserve">, created the United Kingdom of Great Britain and Ireland, abolishing the separate Irish Parliament and seating Irish members at Westminster instead.</w:t>
      </w:r>
    </w:p>
    <w:bookmarkEnd w:id="46"/>
    <w:bookmarkStart w:id="47" w:name="X898d34484c14271c2d82bfabf2590bbacf976ee"/>
    <w:p>
      <w:pPr>
        <w:pStyle w:val="Heading2"/>
      </w:pPr>
      <w:r>
        <w:t xml:space="preserve">Unfulfilled Promises, Famine, and Home Rule</w:t>
      </w:r>
    </w:p>
    <w:p>
      <w:pPr>
        <w:pStyle w:val="FirstParagraph"/>
      </w:pPr>
      <w:r>
        <w:t xml:space="preserve">George III’s opposition to immediate Catholic political equality meant one key expectation surrounding union went unfulfilled at the outset;</w:t>
      </w:r>
      <w:r>
        <w:t xml:space="preserve"> </w:t>
      </w:r>
      <w:r>
        <w:rPr>
          <w:bCs/>
          <w:b/>
        </w:rPr>
        <w:t xml:space="preserve">Catholic emancipation</w:t>
      </w:r>
      <w:r>
        <w:t xml:space="preserve"> </w:t>
      </w:r>
      <w:r>
        <w:t xml:space="preserve">finally came only in</w:t>
      </w:r>
      <w:r>
        <w:t xml:space="preserve"> </w:t>
      </w:r>
      <w:r>
        <w:rPr>
          <w:bCs/>
          <w:b/>
        </w:rPr>
        <w:t xml:space="preserve">1829</w:t>
      </w:r>
      <w:r>
        <w:t xml:space="preserve">, after sustained mass political pressure associated with Daniel O’Connell. Rural poverty, landlord-tenant relations, and the</w:t>
      </w:r>
      <w:r>
        <w:t xml:space="preserve"> </w:t>
      </w:r>
      <w:r>
        <w:rPr>
          <w:bCs/>
          <w:b/>
        </w:rPr>
        <w:t xml:space="preserve">Great Famine of the 1840s</w:t>
      </w:r>
      <w:r>
        <w:t xml:space="preserve"> </w:t>
      </w:r>
      <w:r>
        <w:t xml:space="preserve">deepened social and political grievance, and British famine-era policy became a lasting source of historical criticism. By the late nineteenth century, Irish nationalists increasingly demanded</w:t>
      </w:r>
      <w:r>
        <w:t xml:space="preserve"> </w:t>
      </w:r>
      <w:r>
        <w:rPr>
          <w:bCs/>
          <w:b/>
        </w:rPr>
        <w:t xml:space="preserve">Home Rule</w:t>
      </w:r>
      <w:r>
        <w:t xml:space="preserve"> </w:t>
      </w:r>
      <w:r>
        <w:t xml:space="preserve">(legislative self-government within the UK) — a demand that divided British parties and faced strong unionist opposition, especially in Ulster.</w:t>
      </w:r>
    </w:p>
    <w:bookmarkEnd w:id="47"/>
    <w:bookmarkStart w:id="48" w:name="partition-and-the-irish-free-state"/>
    <w:p>
      <w:pPr>
        <w:pStyle w:val="Heading2"/>
      </w:pPr>
      <w:r>
        <w:t xml:space="preserve">Partition and the Irish Free State</w:t>
      </w:r>
    </w:p>
    <w:p>
      <w:pPr>
        <w:pStyle w:val="FirstParagraph"/>
      </w:pPr>
      <w:r>
        <w:t xml:space="preserve">After further revolution, war, and negotiation, most of Ireland became the</w:t>
      </w:r>
      <w:r>
        <w:t xml:space="preserve"> </w:t>
      </w:r>
      <w:r>
        <w:rPr>
          <w:bCs/>
          <w:b/>
        </w:rPr>
        <w:t xml:space="preserve">Irish Free State in 1922</w:t>
      </w:r>
      <w:r>
        <w:t xml:space="preserve">, while Northern Ireland remained within the United Kingdom — meaning the 1801 union survived only in modified, partitioned territorial form.</w:t>
      </w:r>
    </w:p>
    <w:bookmarkEnd w:id="48"/>
    <w:bookmarkStart w:id="49" w:name="key-terms-and-concepts-3"/>
    <w:p>
      <w:pPr>
        <w:pStyle w:val="Heading2"/>
      </w:pPr>
      <w:r>
        <w:t xml:space="preserve">Key Terms and Concepts</w:t>
      </w:r>
    </w:p>
    <w:p>
      <w:pPr>
        <w:numPr>
          <w:ilvl w:val="0"/>
          <w:numId w:val="1018"/>
        </w:numPr>
        <w:pStyle w:val="Compact"/>
      </w:pPr>
      <w:r>
        <w:rPr>
          <w:bCs/>
          <w:b/>
        </w:rPr>
        <w:t xml:space="preserve">Catholic emancipation (1829):</w:t>
      </w:r>
      <w:r>
        <w:t xml:space="preserve"> </w:t>
      </w:r>
      <w:r>
        <w:t xml:space="preserve">The legislation allowing Catholics to sit in Parliament, achieved decades after the 1801 union itself.</w:t>
      </w:r>
    </w:p>
    <w:p>
      <w:pPr>
        <w:numPr>
          <w:ilvl w:val="0"/>
          <w:numId w:val="1018"/>
        </w:numPr>
        <w:pStyle w:val="Compact"/>
      </w:pPr>
      <w:r>
        <w:rPr>
          <w:bCs/>
          <w:b/>
        </w:rPr>
        <w:t xml:space="preserve">Home Rule:</w:t>
      </w:r>
      <w:r>
        <w:t xml:space="preserve"> </w:t>
      </w:r>
      <w:r>
        <w:t xml:space="preserve">The late-nineteenth-century demand for Irish legislative self-government within the United Kingdom, distinct from full independence.</w:t>
      </w:r>
    </w:p>
    <w:bookmarkEnd w:id="49"/>
    <w:bookmarkStart w:id="50" w:name="preparation-toolkit-3"/>
    <w:p>
      <w:pPr>
        <w:pStyle w:val="Heading2"/>
      </w:pPr>
      <w:r>
        <w:t xml:space="preserve">Preparation Toolkit</w:t>
      </w:r>
    </w:p>
    <w:p>
      <w:pPr>
        <w:pStyle w:val="FirstParagraph"/>
      </w:pPr>
      <w:r>
        <w:rPr>
          <w:bCs/>
          <w:b/>
        </w:rPr>
        <w:t xml:space="preserve">Preparation Checklist</w:t>
      </w:r>
    </w:p>
    <w:p>
      <w:pPr>
        <w:numPr>
          <w:ilvl w:val="0"/>
          <w:numId w:val="1019"/>
        </w:numPr>
        <w:pStyle w:val="Compact"/>
      </w:pPr>
      <w:r>
        <w:t xml:space="preserve">Prepare union causes, union terms, and post-union problems as three separate stages; build a mini-timeline from 1798 to 1922.</w:t>
      </w:r>
    </w:p>
    <w:p>
      <w:pPr>
        <w:numPr>
          <w:ilvl w:val="0"/>
          <w:numId w:val="1019"/>
        </w:numPr>
        <w:pStyle w:val="Compact"/>
      </w:pPr>
      <w:r>
        <w:t xml:space="preserve">Practise one analytical outline answering:</w:t>
      </w:r>
      <w:r>
        <w:t xml:space="preserve"> </w:t>
      </w:r>
      <w:r>
        <w:t xml:space="preserve">“</w:t>
      </w:r>
      <w:r>
        <w:t xml:space="preserve">Why did formal union in 1801 fail to resolve Ireland’s political problems?</w:t>
      </w:r>
      <w:r>
        <w:t xml:space="preserve">”</w:t>
      </w:r>
    </w:p>
    <w:p>
      <w:pPr>
        <w:pStyle w:val="FirstParagraph"/>
      </w:pPr>
      <w:r>
        <w:rPr>
          <w:bCs/>
          <w:b/>
        </w:rPr>
        <w:t xml:space="preserve">Common Confusions to Avoid</w:t>
      </w:r>
    </w:p>
    <w:p>
      <w:pPr>
        <w:numPr>
          <w:ilvl w:val="0"/>
          <w:numId w:val="1020"/>
        </w:numPr>
        <w:pStyle w:val="Compact"/>
      </w:pPr>
      <w:r>
        <w:t xml:space="preserve">Do not say the 1801 union made Ireland politically peaceful.</w:t>
      </w:r>
    </w:p>
    <w:p>
      <w:pPr>
        <w:numPr>
          <w:ilvl w:val="0"/>
          <w:numId w:val="1020"/>
        </w:numPr>
        <w:pStyle w:val="Compact"/>
      </w:pPr>
      <w:r>
        <w:t xml:space="preserve">Do not confuse Catholic emancipation (1829) with Home Rule; they are different issues separated by decades.</w:t>
      </w:r>
    </w:p>
    <w:p>
      <w:pPr>
        <w:numPr>
          <w:ilvl w:val="0"/>
          <w:numId w:val="1020"/>
        </w:numPr>
        <w:pStyle w:val="Compact"/>
      </w:pPr>
      <w:r>
        <w:t xml:space="preserve">Do not treat Irish nationalism as one single movement; constitutional, revolutionary and unionist traditions all existed simultaneously.</w:t>
      </w:r>
    </w:p>
    <w:p>
      <w:pPr>
        <w:pStyle w:val="FirstParagraph"/>
      </w:pPr>
      <w:r>
        <w:rPr>
          <w:bCs/>
          <w:b/>
        </w:rPr>
        <w:t xml:space="preserve">Easy Revision Points</w:t>
      </w:r>
    </w:p>
    <w:p>
      <w:pPr>
        <w:numPr>
          <w:ilvl w:val="0"/>
          <w:numId w:val="1021"/>
        </w:numPr>
        <w:pStyle w:val="Compact"/>
      </w:pPr>
      <w:r>
        <w:t xml:space="preserve">A major rebellion occurred in Ireland in 1798 amid revolutionary and sectarian tensions.</w:t>
      </w:r>
    </w:p>
    <w:p>
      <w:pPr>
        <w:numPr>
          <w:ilvl w:val="0"/>
          <w:numId w:val="1021"/>
        </w:numPr>
        <w:pStyle w:val="Compact"/>
      </w:pPr>
      <w:r>
        <w:t xml:space="preserve">The Acts of Union joined Great Britain and Ireland in the United Kingdom from 1801.</w:t>
      </w:r>
    </w:p>
    <w:p>
      <w:pPr>
        <w:numPr>
          <w:ilvl w:val="0"/>
          <w:numId w:val="1021"/>
        </w:numPr>
        <w:pStyle w:val="Compact"/>
      </w:pPr>
      <w:r>
        <w:t xml:space="preserve">Catholic emancipation was enacted in 1829.</w:t>
      </w:r>
    </w:p>
    <w:p>
      <w:pPr>
        <w:numPr>
          <w:ilvl w:val="0"/>
          <w:numId w:val="1021"/>
        </w:numPr>
        <w:pStyle w:val="Compact"/>
      </w:pPr>
      <w:r>
        <w:t xml:space="preserve">Home Rule became a major late nineteenth- and early twentieth-century political issue.</w:t>
      </w:r>
    </w:p>
    <w:p>
      <w:pPr>
        <w:numPr>
          <w:ilvl w:val="0"/>
          <w:numId w:val="1021"/>
        </w:numPr>
        <w:pStyle w:val="Compact"/>
      </w:pPr>
      <w:r>
        <w:t xml:space="preserve">Most of Ireland left the United Kingdom as the Irish Free State in 1922, while Northern Ireland remained within the UK.</w:t>
      </w:r>
    </w:p>
    <w:bookmarkEnd w:id="50"/>
    <w:bookmarkStart w:id="51" w:name="key-takeaways-3"/>
    <w:p>
      <w:pPr>
        <w:pStyle w:val="Heading2"/>
      </w:pPr>
      <w:r>
        <w:t xml:space="preserve">Key Takeaways</w:t>
      </w:r>
    </w:p>
    <w:p>
      <w:pPr>
        <w:numPr>
          <w:ilvl w:val="0"/>
          <w:numId w:val="1022"/>
        </w:numPr>
        <w:pStyle w:val="Compact"/>
      </w:pPr>
      <w:r>
        <w:t xml:space="preserve">Treat 1801 as the beginning of a new constitutional phase, not a solution — the Irish question persisted and evolved for over a century afterward.</w:t>
      </w:r>
    </w:p>
    <w:p>
      <w:pPr>
        <w:numPr>
          <w:ilvl w:val="0"/>
          <w:numId w:val="1022"/>
        </w:numPr>
        <w:pStyle w:val="Compact"/>
      </w:pPr>
      <w:r>
        <w:t xml:space="preserve">Catholic emancipation, the Famine, and Home Rule each represent a distinct stage of the same underlying unresolved problem, and should be kept analytically separate even while connected chronologically.</w:t>
      </w:r>
    </w:p>
    <w:bookmarkEnd w:id="51"/>
    <w:bookmarkEnd w:id="52"/>
    <w:bookmarkStart w:id="60" w:name="the-old-colonial-system"/>
    <w:p>
      <w:pPr>
        <w:pStyle w:val="Heading1"/>
        <w:pageBreakBefore/>
      </w:pPr>
      <w:r>
        <w:t xml:space="preserve">5. The Old Colonial System</w:t>
      </w:r>
    </w:p>
    <w:bookmarkStart w:id="53" w:name="why-this-topic-matters-4"/>
    <w:p>
      <w:pPr>
        <w:pStyle w:val="Heading2"/>
      </w:pPr>
      <w:r>
        <w:t xml:space="preserve">Why This Topic Matters</w:t>
      </w:r>
    </w:p>
    <w:p>
      <w:pPr>
        <w:pStyle w:val="FirstParagraph"/>
      </w:pPr>
      <w:r>
        <w:t xml:space="preserve">This topic explains the mercantilist logic underlying Britain’s pre-1783 Atlantic empire, and why the American crisis (Topics 2 and 4) exposed that system’s structural limits — directly setting up Britain’s later imperial reorientation.</w:t>
      </w:r>
    </w:p>
    <w:bookmarkEnd w:id="53"/>
    <w:bookmarkStart w:id="54" w:name="Xc8fff1c311e391769c64d93ace6a63828d1d526"/>
    <w:p>
      <w:pPr>
        <w:pStyle w:val="Heading2"/>
      </w:pPr>
      <w:r>
        <w:t xml:space="preserve">Mercantilism, Navigation Acts and Plantation Economies</w:t>
      </w:r>
    </w:p>
    <w:p>
      <w:pPr>
        <w:pStyle w:val="FirstParagraph"/>
      </w:pPr>
      <w:r>
        <w:t xml:space="preserve">European governments in this era generally believed national power depended on controlling trade, shipping and bullion flows; colonies were expected to supply raw materials, purchase metropolitan manufactured goods, and strengthen imperial commerce accordingly.</w:t>
      </w:r>
      <w:r>
        <w:t xml:space="preserve"> </w:t>
      </w:r>
      <w:r>
        <w:rPr>
          <w:bCs/>
          <w:b/>
        </w:rPr>
        <w:t xml:space="preserve">Navigation Acts</w:t>
      </w:r>
      <w:r>
        <w:t xml:space="preserve"> </w:t>
      </w:r>
      <w:r>
        <w:t xml:space="preserve">tried to reserve significant trade for English/British ships and regulate where colonial products could legally be sold, though enforcement varied considerably by time and region. Caribbean plantation economies generated enormous wealth from sugar and other products, but this wealth depended fundamentally on</w:t>
      </w:r>
      <w:r>
        <w:t xml:space="preserve"> </w:t>
      </w:r>
      <w:r>
        <w:rPr>
          <w:bCs/>
          <w:b/>
        </w:rPr>
        <w:t xml:space="preserve">enslaved African labour</w:t>
      </w:r>
      <w:r>
        <w:t xml:space="preserve"> </w:t>
      </w:r>
      <w:r>
        <w:t xml:space="preserve">— slavery was central to the Atlantic imperial economy, not a marginal or separable feature, and any account of the old colonial system omitting it is seriously incomplete.</w:t>
      </w:r>
    </w:p>
    <w:bookmarkEnd w:id="54"/>
    <w:bookmarkStart w:id="55" w:name="Xc4f3b3750d4cb4c3a3db5f41851e6a60a5b84fb"/>
    <w:p>
      <w:pPr>
        <w:pStyle w:val="Heading2"/>
      </w:pPr>
      <w:r>
        <w:t xml:space="preserve">Colonial Institutions and the Path to Crisis</w:t>
      </w:r>
    </w:p>
    <w:p>
      <w:pPr>
        <w:pStyle w:val="FirstParagraph"/>
      </w:pPr>
      <w:r>
        <w:t xml:space="preserve">Many mainland American colonies developed elected assemblies and local traditions of self-taxation and self-government, institutions that encouraged colonists to regard internal taxation as something requiring their own consent — directly explaining the constitutional shock produced by post-1763 British revenue measures (Topic 2). Britain and France competed extensively across North America, the Caribbean, and elsewhere; victory in the Seven Years’ War expanded British territory but also generated the debt and administrative burden that triggered the taxation disputes leading to American independence.</w:t>
      </w:r>
    </w:p>
    <w:bookmarkEnd w:id="55"/>
    <w:bookmarkStart w:id="56" w:name="after-america-a-new-imperial-direction"/>
    <w:p>
      <w:pPr>
        <w:pStyle w:val="Heading2"/>
      </w:pPr>
      <w:r>
        <w:t xml:space="preserve">After America: A New Imperial Direction</w:t>
      </w:r>
    </w:p>
    <w:p>
      <w:pPr>
        <w:pStyle w:val="FirstParagraph"/>
      </w:pPr>
      <w:r>
        <w:t xml:space="preserve">Following American independence, Britain increasingly redirected imperial expansion toward Asia, the Pacific, and Africa, producing an empire considerably more geographically diverse and administratively varied than the earlier, more narrowly Atlantic mercantilist system — a transition that connects directly into the imperial themes of Topics 9 and 13.</w:t>
      </w:r>
    </w:p>
    <w:bookmarkEnd w:id="56"/>
    <w:bookmarkStart w:id="57" w:name="key-terms-and-concepts-4"/>
    <w:p>
      <w:pPr>
        <w:pStyle w:val="Heading2"/>
      </w:pPr>
      <w:r>
        <w:t xml:space="preserve">Key Terms and Concepts</w:t>
      </w:r>
    </w:p>
    <w:p>
      <w:pPr>
        <w:numPr>
          <w:ilvl w:val="0"/>
          <w:numId w:val="1023"/>
        </w:numPr>
        <w:pStyle w:val="Compact"/>
      </w:pPr>
      <w:r>
        <w:rPr>
          <w:bCs/>
          <w:b/>
        </w:rPr>
        <w:t xml:space="preserve">Mercantilism:</w:t>
      </w:r>
      <w:r>
        <w:t xml:space="preserve"> </w:t>
      </w:r>
      <w:r>
        <w:t xml:space="preserve">The economic doctrine that national power depends on controlling trade, shipping and bullion, with colonies serving the metropolitan economy.</w:t>
      </w:r>
    </w:p>
    <w:p>
      <w:pPr>
        <w:numPr>
          <w:ilvl w:val="0"/>
          <w:numId w:val="1023"/>
        </w:numPr>
        <w:pStyle w:val="Compact"/>
      </w:pPr>
      <w:r>
        <w:rPr>
          <w:bCs/>
          <w:b/>
        </w:rPr>
        <w:t xml:space="preserve">Navigation Acts:</w:t>
      </w:r>
      <w:r>
        <w:t xml:space="preserve"> </w:t>
      </w:r>
      <w:r>
        <w:t xml:space="preserve">Legislation regulating colonial shipping and trade in favour of English/British commercial interests.</w:t>
      </w:r>
    </w:p>
    <w:bookmarkEnd w:id="57"/>
    <w:bookmarkStart w:id="58" w:name="preparation-toolkit-4"/>
    <w:p>
      <w:pPr>
        <w:pStyle w:val="Heading2"/>
      </w:pPr>
      <w:r>
        <w:t xml:space="preserve">Preparation Toolkit</w:t>
      </w:r>
    </w:p>
    <w:p>
      <w:pPr>
        <w:pStyle w:val="FirstParagraph"/>
      </w:pPr>
      <w:r>
        <w:rPr>
          <w:bCs/>
          <w:b/>
        </w:rPr>
        <w:t xml:space="preserve">Preparation Checklist</w:t>
      </w:r>
    </w:p>
    <w:p>
      <w:pPr>
        <w:numPr>
          <w:ilvl w:val="0"/>
          <w:numId w:val="1024"/>
        </w:numPr>
        <w:pStyle w:val="Compact"/>
      </w:pPr>
      <w:r>
        <w:t xml:space="preserve">Define mercantilism clearly; use the American colonies as the main case but connect them explicitly to the Caribbean and the Atlantic slave economy.</w:t>
      </w:r>
    </w:p>
    <w:p>
      <w:pPr>
        <w:numPr>
          <w:ilvl w:val="0"/>
          <w:numId w:val="1024"/>
        </w:numPr>
        <w:pStyle w:val="Compact"/>
      </w:pPr>
      <w:r>
        <w:t xml:space="preserve">Practise one analytical outline answering:</w:t>
      </w:r>
      <w:r>
        <w:t xml:space="preserve"> </w:t>
      </w:r>
      <w:r>
        <w:t xml:space="preserve">“</w:t>
      </w:r>
      <w:r>
        <w:t xml:space="preserve">How did the mercantilist old colonial system’s own internal tensions contribute to the American crisis?</w:t>
      </w:r>
      <w:r>
        <w:t xml:space="preserve">”</w:t>
      </w:r>
    </w:p>
    <w:p>
      <w:pPr>
        <w:pStyle w:val="FirstParagraph"/>
      </w:pPr>
      <w:r>
        <w:rPr>
          <w:bCs/>
          <w:b/>
        </w:rPr>
        <w:t xml:space="preserve">Common Confusions to Avoid</w:t>
      </w:r>
    </w:p>
    <w:p>
      <w:pPr>
        <w:numPr>
          <w:ilvl w:val="0"/>
          <w:numId w:val="1025"/>
        </w:numPr>
        <w:pStyle w:val="Compact"/>
      </w:pPr>
      <w:r>
        <w:t xml:space="preserve">Do not define mercantilism as simply</w:t>
      </w:r>
      <w:r>
        <w:t xml:space="preserve"> </w:t>
      </w:r>
      <w:r>
        <w:t xml:space="preserve">“</w:t>
      </w:r>
      <w:r>
        <w:t xml:space="preserve">selling more than buying</w:t>
      </w:r>
      <w:r>
        <w:t xml:space="preserve">”</w:t>
      </w:r>
      <w:r>
        <w:t xml:space="preserve">; it also involved regulation, shipping, monopoly and imperial power.</w:t>
      </w:r>
    </w:p>
    <w:p>
      <w:pPr>
        <w:numPr>
          <w:ilvl w:val="0"/>
          <w:numId w:val="1025"/>
        </w:numPr>
        <w:pStyle w:val="Compact"/>
      </w:pPr>
      <w:r>
        <w:t xml:space="preserve">Do not discuss the old colonial system without slavery and plantation economies — they were central, not peripheral.</w:t>
      </w:r>
    </w:p>
    <w:p>
      <w:pPr>
        <w:numPr>
          <w:ilvl w:val="0"/>
          <w:numId w:val="1025"/>
        </w:numPr>
        <w:pStyle w:val="Compact"/>
      </w:pPr>
      <w:r>
        <w:t xml:space="preserve">Do not imply all colonies were governed through one identical constitutional model.</w:t>
      </w:r>
    </w:p>
    <w:p>
      <w:pPr>
        <w:pStyle w:val="FirstParagraph"/>
      </w:pPr>
      <w:r>
        <w:rPr>
          <w:bCs/>
          <w:b/>
        </w:rPr>
        <w:t xml:space="preserve">Easy Revision Points</w:t>
      </w:r>
    </w:p>
    <w:p>
      <w:pPr>
        <w:numPr>
          <w:ilvl w:val="0"/>
          <w:numId w:val="1026"/>
        </w:numPr>
        <w:pStyle w:val="Compact"/>
      </w:pPr>
      <w:r>
        <w:t xml:space="preserve">Mercantilist policy sought to channel colonial trade for the benefit of the imperial economy.</w:t>
      </w:r>
    </w:p>
    <w:p>
      <w:pPr>
        <w:numPr>
          <w:ilvl w:val="0"/>
          <w:numId w:val="1026"/>
        </w:numPr>
        <w:pStyle w:val="Compact"/>
      </w:pPr>
      <w:r>
        <w:t xml:space="preserve">Navigation legislation regulated shipping and colonial commerce in favour of English/British interests.</w:t>
      </w:r>
    </w:p>
    <w:p>
      <w:pPr>
        <w:numPr>
          <w:ilvl w:val="0"/>
          <w:numId w:val="1026"/>
        </w:numPr>
        <w:pStyle w:val="Compact"/>
      </w:pPr>
      <w:r>
        <w:t xml:space="preserve">Plantation colonies in the Caribbean relied heavily on enslaved African labour and were economically central to the empire.</w:t>
      </w:r>
    </w:p>
    <w:p>
      <w:pPr>
        <w:numPr>
          <w:ilvl w:val="0"/>
          <w:numId w:val="1026"/>
        </w:numPr>
        <w:pStyle w:val="Compact"/>
      </w:pPr>
      <w:r>
        <w:t xml:space="preserve">After 1763, new taxes and tighter imperial controls intensified conflict in mainland North America.</w:t>
      </w:r>
    </w:p>
    <w:p>
      <w:pPr>
        <w:numPr>
          <w:ilvl w:val="0"/>
          <w:numId w:val="1026"/>
        </w:numPr>
        <w:pStyle w:val="Compact"/>
      </w:pPr>
      <w:r>
        <w:t xml:space="preserve">After American independence, Britain’s empire continued and expanded in other parts of the world.</w:t>
      </w:r>
    </w:p>
    <w:bookmarkEnd w:id="58"/>
    <w:bookmarkStart w:id="59" w:name="key-takeaways-4"/>
    <w:p>
      <w:pPr>
        <w:pStyle w:val="Heading2"/>
      </w:pPr>
      <w:r>
        <w:t xml:space="preserve">Key Takeaways</w:t>
      </w:r>
    </w:p>
    <w:p>
      <w:pPr>
        <w:numPr>
          <w:ilvl w:val="0"/>
          <w:numId w:val="1027"/>
        </w:numPr>
        <w:pStyle w:val="Compact"/>
      </w:pPr>
      <w:r>
        <w:t xml:space="preserve">The old colonial system was a regulated, mercantilist Atlantic commercial system built substantially on enslaved labour — both facts must appear together in any strong answer.</w:t>
      </w:r>
    </w:p>
    <w:p>
      <w:pPr>
        <w:numPr>
          <w:ilvl w:val="0"/>
          <w:numId w:val="1027"/>
        </w:numPr>
        <w:pStyle w:val="Compact"/>
      </w:pPr>
      <w:r>
        <w:t xml:space="preserve">The same colonial assemblies that made the mercantilist system administratively workable also produced the self-government expectations that made post-1763 taxation disputes an existential constitutional crisis.</w:t>
      </w:r>
    </w:p>
    <w:p>
      <w:pPr>
        <w:numPr>
          <w:ilvl w:val="0"/>
          <w:numId w:val="1027"/>
        </w:numPr>
        <w:pStyle w:val="Compact"/>
      </w:pPr>
      <w:r>
        <w:t xml:space="preserve">Loss of America redirected, rather than ended, British imperial ambition — directly connecting to the empire discussed in Topics 9 and 13.</w:t>
      </w:r>
    </w:p>
    <w:bookmarkEnd w:id="59"/>
    <w:bookmarkEnd w:id="60"/>
    <w:bookmarkStart w:id="68" w:name="Xccbb8c34e6aa727a3c9283179f25b4731ff7764"/>
    <w:p>
      <w:pPr>
        <w:pStyle w:val="Heading1"/>
        <w:pageBreakBefore/>
      </w:pPr>
      <w:r>
        <w:t xml:space="preserve">6. French Revolution and Napoleonic Wars: Britain’s Role and Impact</w:t>
      </w:r>
    </w:p>
    <w:bookmarkStart w:id="61" w:name="why-this-topic-matters-5"/>
    <w:p>
      <w:pPr>
        <w:pStyle w:val="Heading2"/>
      </w:pPr>
      <w:r>
        <w:t xml:space="preserve">Why This Topic Matters</w:t>
      </w:r>
    </w:p>
    <w:p>
      <w:pPr>
        <w:pStyle w:val="FirstParagraph"/>
      </w:pPr>
      <w:r>
        <w:t xml:space="preserve">A strong answer on</w:t>
      </w:r>
      <w:r>
        <w:t xml:space="preserve"> </w:t>
      </w:r>
      <w:r>
        <w:t xml:space="preserve">“</w:t>
      </w:r>
      <w:r>
        <w:t xml:space="preserve">Britain’s role</w:t>
      </w:r>
      <w:r>
        <w:t xml:space="preserve">”</w:t>
      </w:r>
      <w:r>
        <w:t xml:space="preserve"> </w:t>
      </w:r>
      <w:r>
        <w:t xml:space="preserve">must show naval, financial and diplomatic power together with land warfare — reducing this two-decade conflict to</w:t>
      </w:r>
      <w:r>
        <w:t xml:space="preserve"> </w:t>
      </w:r>
      <w:r>
        <w:t xml:space="preserve">“</w:t>
      </w:r>
      <w:r>
        <w:t xml:space="preserve">Waterloo alone</w:t>
      </w:r>
      <w:r>
        <w:t xml:space="preserve">”</w:t>
      </w:r>
      <w:r>
        <w:t xml:space="preserve"> </w:t>
      </w:r>
      <w:r>
        <w:t xml:space="preserve">is the single most common error on this topic.</w:t>
      </w:r>
    </w:p>
    <w:bookmarkEnd w:id="61"/>
    <w:bookmarkStart w:id="62" w:name="from-sympathy-to-war-and-naval-supremacy"/>
    <w:p>
      <w:pPr>
        <w:pStyle w:val="Heading2"/>
      </w:pPr>
      <w:r>
        <w:t xml:space="preserve">From Sympathy to War, and Naval Supremacy</w:t>
      </w:r>
    </w:p>
    <w:p>
      <w:pPr>
        <w:pStyle w:val="FirstParagraph"/>
      </w:pPr>
      <w:r>
        <w:t xml:space="preserve">Many Britons initially viewed the French Revolution with interest, but the execution of Louis XVI, revolutionary expansion, and escalating war transformed British elite opinion; Britain entered the conflict in</w:t>
      </w:r>
      <w:r>
        <w:t xml:space="preserve"> </w:t>
      </w:r>
      <w:r>
        <w:rPr>
          <w:bCs/>
          <w:b/>
        </w:rPr>
        <w:t xml:space="preserve">1793</w:t>
      </w:r>
      <w:r>
        <w:t xml:space="preserve">. The Royal Navy protected trade, blockaded France, and defeated major enemy fleets, with</w:t>
      </w:r>
      <w:r>
        <w:t xml:space="preserve"> </w:t>
      </w:r>
      <w:r>
        <w:rPr>
          <w:bCs/>
          <w:b/>
        </w:rPr>
        <w:t xml:space="preserve">Nelson’s victory at Trafalgar (1805)</w:t>
      </w:r>
      <w:r>
        <w:t xml:space="preserve"> </w:t>
      </w:r>
      <w:r>
        <w:t xml:space="preserve">removing the immediate danger of French naval superiority and securing Britain’s command of the seas for the remainder of the conflict.</w:t>
      </w:r>
    </w:p>
    <w:bookmarkEnd w:id="62"/>
    <w:bookmarkStart w:id="63" w:name="X2943d5de1dade2440019547f347500f69cb127f"/>
    <w:p>
      <w:pPr>
        <w:pStyle w:val="Heading2"/>
      </w:pPr>
      <w:r>
        <w:t xml:space="preserve">Finance, the Continental System, and the Peninsular War</w:t>
      </w:r>
    </w:p>
    <w:p>
      <w:pPr>
        <w:pStyle w:val="FirstParagraph"/>
      </w:pPr>
      <w:r>
        <w:t xml:space="preserve">Britain’s financial role — taxation, borrowing, and subsidies paid to sustain successive continental coalitions against France — was arguably as important as any single battle, since it was Britain’s fiscal capacity that kept allied coalitions in the field despite repeated French victories on the continent. Napoleon’s</w:t>
      </w:r>
      <w:r>
        <w:t xml:space="preserve"> </w:t>
      </w:r>
      <w:r>
        <w:rPr>
          <w:bCs/>
          <w:b/>
        </w:rPr>
        <w:t xml:space="preserve">Continental System</w:t>
      </w:r>
      <w:r>
        <w:t xml:space="preserve"> </w:t>
      </w:r>
      <w:r>
        <w:t xml:space="preserve">attempted to exclude British commerce from continental Europe, and while British merchants and consumers suffered real disruption, Britain adapted through wider global and maritime markets. British forces under</w:t>
      </w:r>
      <w:r>
        <w:t xml:space="preserve"> </w:t>
      </w:r>
      <w:r>
        <w:rPr>
          <w:bCs/>
          <w:b/>
        </w:rPr>
        <w:t xml:space="preserve">Wellington</w:t>
      </w:r>
      <w:r>
        <w:t xml:space="preserve"> </w:t>
      </w:r>
      <w:r>
        <w:t xml:space="preserve">fought alongside local allies in the</w:t>
      </w:r>
      <w:r>
        <w:t xml:space="preserve"> </w:t>
      </w:r>
      <w:r>
        <w:rPr>
          <w:bCs/>
          <w:b/>
        </w:rPr>
        <w:t xml:space="preserve">Peninsular War</w:t>
      </w:r>
      <w:r>
        <w:t xml:space="preserve"> </w:t>
      </w:r>
      <w:r>
        <w:t xml:space="preserve">in Portugal and Spain, tying down substantial French troops and providing Britain’s major sustained land contribution to Napoleon’s eventual defeat.</w:t>
      </w:r>
    </w:p>
    <w:bookmarkEnd w:id="63"/>
    <w:bookmarkStart w:id="64" w:name="waterloo-and-domestic-impact"/>
    <w:p>
      <w:pPr>
        <w:pStyle w:val="Heading2"/>
      </w:pPr>
      <w:r>
        <w:t xml:space="preserve">Waterloo and Domestic Impact</w:t>
      </w:r>
    </w:p>
    <w:p>
      <w:pPr>
        <w:pStyle w:val="FirstParagraph"/>
      </w:pPr>
      <w:r>
        <w:t xml:space="preserve">After Napoleon’s return from Elba, a British-led allied army under Wellington, together with Prussian forces under Blücher, defeated him at</w:t>
      </w:r>
      <w:r>
        <w:t xml:space="preserve"> </w:t>
      </w:r>
      <w:r>
        <w:rPr>
          <w:bCs/>
          <w:b/>
        </w:rPr>
        <w:t xml:space="preserve">Waterloo (1815)</w:t>
      </w:r>
      <w:r>
        <w:t xml:space="preserve"> </w:t>
      </w:r>
      <w:r>
        <w:t xml:space="preserve">— a coalition victory, not a solely British one. At home, the war years increased national debt, taxation and food prices, while the government restricted radical political movements; industrial production and finance also adapted substantially to sustained wartime demand, shaping Britain’s postwar social and political environment directly relevant to Topic 7.</w:t>
      </w:r>
    </w:p>
    <w:bookmarkEnd w:id="64"/>
    <w:bookmarkStart w:id="65" w:name="key-terms-and-concepts-5"/>
    <w:p>
      <w:pPr>
        <w:pStyle w:val="Heading2"/>
      </w:pPr>
      <w:r>
        <w:t xml:space="preserve">Key Terms and Concepts</w:t>
      </w:r>
    </w:p>
    <w:p>
      <w:pPr>
        <w:numPr>
          <w:ilvl w:val="0"/>
          <w:numId w:val="1028"/>
        </w:numPr>
        <w:pStyle w:val="Compact"/>
      </w:pPr>
      <w:r>
        <w:rPr>
          <w:bCs/>
          <w:b/>
        </w:rPr>
        <w:t xml:space="preserve">Continental System:</w:t>
      </w:r>
      <w:r>
        <w:t xml:space="preserve"> </w:t>
      </w:r>
      <w:r>
        <w:t xml:space="preserve">Napoleon’s policy of excluding British trade from continental Europe.</w:t>
      </w:r>
    </w:p>
    <w:p>
      <w:pPr>
        <w:numPr>
          <w:ilvl w:val="0"/>
          <w:numId w:val="1028"/>
        </w:numPr>
        <w:pStyle w:val="Compact"/>
      </w:pPr>
      <w:r>
        <w:rPr>
          <w:bCs/>
          <w:b/>
        </w:rPr>
        <w:t xml:space="preserve">Peninsular War:</w:t>
      </w:r>
      <w:r>
        <w:t xml:space="preserve"> </w:t>
      </w:r>
      <w:r>
        <w:t xml:space="preserve">The sustained British-led land campaign in Portugal and Spain against French occupation.</w:t>
      </w:r>
    </w:p>
    <w:bookmarkEnd w:id="65"/>
    <w:bookmarkStart w:id="66" w:name="preparation-toolkit-5"/>
    <w:p>
      <w:pPr>
        <w:pStyle w:val="Heading2"/>
      </w:pPr>
      <w:r>
        <w:t xml:space="preserve">Preparation Toolkit</w:t>
      </w:r>
    </w:p>
    <w:p>
      <w:pPr>
        <w:pStyle w:val="FirstParagraph"/>
      </w:pPr>
      <w:r>
        <w:rPr>
          <w:bCs/>
          <w:b/>
        </w:rPr>
        <w:t xml:space="preserve">Preparation Checklist</w:t>
      </w:r>
    </w:p>
    <w:p>
      <w:pPr>
        <w:numPr>
          <w:ilvl w:val="0"/>
          <w:numId w:val="1029"/>
        </w:numPr>
        <w:pStyle w:val="Compact"/>
      </w:pPr>
      <w:r>
        <w:t xml:space="preserve">Build a short military timeline but devote equal space to domestic effects; in any</w:t>
      </w:r>
      <w:r>
        <w:t xml:space="preserve"> </w:t>
      </w:r>
      <w:r>
        <w:t xml:space="preserve">“</w:t>
      </w:r>
      <w:r>
        <w:t xml:space="preserve">Britain’s role</w:t>
      </w:r>
      <w:r>
        <w:t xml:space="preserve">”</w:t>
      </w:r>
      <w:r>
        <w:t xml:space="preserve"> </w:t>
      </w:r>
      <w:r>
        <w:t xml:space="preserve">question, show finance, navy, diplomacy, coalition-building and land warfare together.</w:t>
      </w:r>
    </w:p>
    <w:p>
      <w:pPr>
        <w:numPr>
          <w:ilvl w:val="0"/>
          <w:numId w:val="1029"/>
        </w:numPr>
        <w:pStyle w:val="Compact"/>
      </w:pPr>
      <w:r>
        <w:t xml:space="preserve">Practise one analytical outline answering:</w:t>
      </w:r>
      <w:r>
        <w:t xml:space="preserve"> </w:t>
      </w:r>
      <w:r>
        <w:t xml:space="preserve">“</w:t>
      </w:r>
      <w:r>
        <w:t xml:space="preserve">In what ways was Britain’s financial and naval contribution as important as its land warfare in defeating Napoleon?</w:t>
      </w:r>
      <w:r>
        <w:t xml:space="preserve">”</w:t>
      </w:r>
    </w:p>
    <w:p>
      <w:pPr>
        <w:pStyle w:val="FirstParagraph"/>
      </w:pPr>
      <w:r>
        <w:rPr>
          <w:bCs/>
          <w:b/>
        </w:rPr>
        <w:t xml:space="preserve">Common Confusions to Avoid</w:t>
      </w:r>
    </w:p>
    <w:p>
      <w:pPr>
        <w:numPr>
          <w:ilvl w:val="0"/>
          <w:numId w:val="1030"/>
        </w:numPr>
        <w:pStyle w:val="Compact"/>
      </w:pPr>
      <w:r>
        <w:t xml:space="preserve">Do not make Waterloo the entire story of Britain’s role; naval, financial and diplomatic power were fundamental throughout.</w:t>
      </w:r>
    </w:p>
    <w:p>
      <w:pPr>
        <w:numPr>
          <w:ilvl w:val="0"/>
          <w:numId w:val="1030"/>
        </w:numPr>
        <w:pStyle w:val="Compact"/>
      </w:pPr>
      <w:r>
        <w:t xml:space="preserve">Do not say Britain fought continuously on land in Europe from 1793 to 1815; its military role varied significantly by phase.</w:t>
      </w:r>
    </w:p>
    <w:p>
      <w:pPr>
        <w:numPr>
          <w:ilvl w:val="0"/>
          <w:numId w:val="1030"/>
        </w:numPr>
        <w:pStyle w:val="Compact"/>
      </w:pPr>
      <w:r>
        <w:t xml:space="preserve">Do not ignore domestic effects — debt, repression, radicalism and economic disruption are essential parts of the topic.</w:t>
      </w:r>
    </w:p>
    <w:p>
      <w:pPr>
        <w:pStyle w:val="FirstParagraph"/>
      </w:pPr>
      <w:r>
        <w:rPr>
          <w:bCs/>
          <w:b/>
        </w:rPr>
        <w:t xml:space="preserve">Easy Revision Points</w:t>
      </w:r>
    </w:p>
    <w:p>
      <w:pPr>
        <w:numPr>
          <w:ilvl w:val="0"/>
          <w:numId w:val="1031"/>
        </w:numPr>
        <w:pStyle w:val="Compact"/>
      </w:pPr>
      <w:r>
        <w:t xml:space="preserve">Britain entered war against revolutionary France in 1793.</w:t>
      </w:r>
    </w:p>
    <w:p>
      <w:pPr>
        <w:numPr>
          <w:ilvl w:val="0"/>
          <w:numId w:val="1031"/>
        </w:numPr>
        <w:pStyle w:val="Compact"/>
      </w:pPr>
      <w:r>
        <w:t xml:space="preserve">Admiral Nelson’s victory at Trafalgar in 1805 secured decisive British naval advantage.</w:t>
      </w:r>
    </w:p>
    <w:p>
      <w:pPr>
        <w:numPr>
          <w:ilvl w:val="0"/>
          <w:numId w:val="1031"/>
        </w:numPr>
        <w:pStyle w:val="Compact"/>
      </w:pPr>
      <w:r>
        <w:t xml:space="preserve">Napoleon’s Continental System attempted to exclude British trade from much of continental Europe.</w:t>
      </w:r>
    </w:p>
    <w:p>
      <w:pPr>
        <w:numPr>
          <w:ilvl w:val="0"/>
          <w:numId w:val="1031"/>
        </w:numPr>
        <w:pStyle w:val="Compact"/>
      </w:pPr>
      <w:r>
        <w:t xml:space="preserve">British forces under Wellington played a major role in the Peninsular War.</w:t>
      </w:r>
    </w:p>
    <w:p>
      <w:pPr>
        <w:numPr>
          <w:ilvl w:val="0"/>
          <w:numId w:val="1031"/>
        </w:numPr>
        <w:pStyle w:val="Compact"/>
      </w:pPr>
      <w:r>
        <w:t xml:space="preserve">Napoleon was finally defeated at Waterloo in 1815 by allied forces including a British-led army and Prussian forces.</w:t>
      </w:r>
    </w:p>
    <w:bookmarkEnd w:id="66"/>
    <w:bookmarkStart w:id="67" w:name="key-takeaways-5"/>
    <w:p>
      <w:pPr>
        <w:pStyle w:val="Heading2"/>
      </w:pPr>
      <w:r>
        <w:t xml:space="preserve">Key Takeaways</w:t>
      </w:r>
    </w:p>
    <w:p>
      <w:pPr>
        <w:numPr>
          <w:ilvl w:val="0"/>
          <w:numId w:val="1032"/>
        </w:numPr>
        <w:pStyle w:val="Compact"/>
      </w:pPr>
      <w:r>
        <w:t xml:space="preserve">Answer any</w:t>
      </w:r>
      <w:r>
        <w:t xml:space="preserve"> </w:t>
      </w:r>
      <w:r>
        <w:t xml:space="preserve">“</w:t>
      </w:r>
      <w:r>
        <w:t xml:space="preserve">Britain’s role</w:t>
      </w:r>
      <w:r>
        <w:t xml:space="preserve">”</w:t>
      </w:r>
      <w:r>
        <w:t xml:space="preserve"> </w:t>
      </w:r>
      <w:r>
        <w:t xml:space="preserve">question in two connected halves: how Britain helped defeat Napoleon (navy, finance, diplomacy, land warfare together), and how the long war changed Britain itself (debt, taxation, repression, economic adaptation).</w:t>
      </w:r>
    </w:p>
    <w:p>
      <w:pPr>
        <w:numPr>
          <w:ilvl w:val="0"/>
          <w:numId w:val="1032"/>
        </w:numPr>
        <w:pStyle w:val="Compact"/>
      </w:pPr>
      <w:r>
        <w:t xml:space="preserve">Trafalgar and Waterloo are the two most memorable battles, but Britain’s financial capacity to sustain repeated continental coalitions is the less obvious, higher-value point for a strong answer.</w:t>
      </w:r>
    </w:p>
    <w:bookmarkEnd w:id="67"/>
    <w:bookmarkEnd w:id="68"/>
    <w:bookmarkStart w:id="76" w:name="X1747d05ab0482ea82919b36e131e2c0abd89299"/>
    <w:p>
      <w:pPr>
        <w:pStyle w:val="Heading1"/>
        <w:pageBreakBefore/>
      </w:pPr>
      <w:r>
        <w:t xml:space="preserve">7. Industrial and Agricultural Revolutions and Their Political-Social Effects</w:t>
      </w:r>
    </w:p>
    <w:bookmarkStart w:id="69" w:name="why-this-topic-matters-6"/>
    <w:p>
      <w:pPr>
        <w:pStyle w:val="Heading2"/>
      </w:pPr>
      <w:r>
        <w:t xml:space="preserve">Why This Topic Matters</w:t>
      </w:r>
    </w:p>
    <w:p>
      <w:pPr>
        <w:pStyle w:val="FirstParagraph"/>
      </w:pPr>
      <w:r>
        <w:t xml:space="preserve">Industrialisation should be explained as a connected system of reinforcing changes, not a single invention or</w:t>
      </w:r>
      <w:r>
        <w:t xml:space="preserve"> </w:t>
      </w:r>
      <w:r>
        <w:t xml:space="preserve">“</w:t>
      </w:r>
      <w:r>
        <w:t xml:space="preserve">magic factor</w:t>
      </w:r>
      <w:r>
        <w:t xml:space="preserve">”</w:t>
      </w:r>
      <w:r>
        <w:t xml:space="preserve"> </w:t>
      </w:r>
      <w:r>
        <w:t xml:space="preserve">— and its social and political consequences (new classes, new cities, new political movements) are as testable as its economic causes.</w:t>
      </w:r>
    </w:p>
    <w:bookmarkEnd w:id="69"/>
    <w:bookmarkStart w:id="70" w:name="X741a72e9339e5d4dc28698a707d1b5ea2dd0328"/>
    <w:p>
      <w:pPr>
        <w:pStyle w:val="Heading2"/>
      </w:pPr>
      <w:r>
        <w:t xml:space="preserve">Agricultural Change, Energy, and Technology</w:t>
      </w:r>
    </w:p>
    <w:p>
      <w:pPr>
        <w:pStyle w:val="FirstParagraph"/>
      </w:pPr>
      <w:r>
        <w:rPr>
          <w:bCs/>
          <w:b/>
        </w:rPr>
        <w:t xml:space="preserve">Enclosure</w:t>
      </w:r>
      <w:r>
        <w:t xml:space="preserve">, improved crop rotation, selective breeding, and growing commercialisation raised agricultural productivity in many regions, helping support population growth and releasing labour for other work — although enclosure also disrupted some rural communities, and its timing and effects varied considerably by region. Britain’s abundant coal and accessible iron resources gave it major industrial advantages: coal powered steam engines and iron production, while imported cotton fed a rapidly mechanising textile industry. Innovations in spinning, weaving and steam power encouraged larger-scale production, and the resulting</w:t>
      </w:r>
      <w:r>
        <w:t xml:space="preserve"> </w:t>
      </w:r>
      <w:r>
        <w:rPr>
          <w:bCs/>
          <w:b/>
        </w:rPr>
        <w:t xml:space="preserve">factory system</w:t>
      </w:r>
      <w:r>
        <w:t xml:space="preserve"> </w:t>
      </w:r>
      <w:r>
        <w:t xml:space="preserve">concentrated labour and machinery together, fundamentally changing work discipline and the employer-worker relationship.</w:t>
      </w:r>
    </w:p>
    <w:bookmarkEnd w:id="70"/>
    <w:bookmarkStart w:id="71" w:name="X6c4bdefa0c862f83a3b398f1556908f8b348d4d"/>
    <w:p>
      <w:pPr>
        <w:pStyle w:val="Heading2"/>
      </w:pPr>
      <w:r>
        <w:t xml:space="preserve">Transport, Urbanisation, and New Social Classes</w:t>
      </w:r>
    </w:p>
    <w:p>
      <w:pPr>
        <w:pStyle w:val="FirstParagraph"/>
      </w:pPr>
      <w:r>
        <w:t xml:space="preserve">Canals, turnpike roads, and later railways sharply reduced transport costs and connected regional markets, while Britain’s overseas trade and empire supplied both raw materials and export customers. Rapid urban growth created new industrial cities, a growing middle class, and an expanding wage-earning working class, with housing, sanitation, disease, and workplace conditions becoming major social and political questions in their own right — not side effects to be mentioned only in passing.</w:t>
      </w:r>
    </w:p>
    <w:bookmarkEnd w:id="71"/>
    <w:bookmarkStart w:id="72" w:name="political-and-religious-responses"/>
    <w:p>
      <w:pPr>
        <w:pStyle w:val="Heading2"/>
      </w:pPr>
      <w:r>
        <w:t xml:space="preserve">Political and Religious Responses</w:t>
      </w:r>
    </w:p>
    <w:p>
      <w:pPr>
        <w:pStyle w:val="FirstParagraph"/>
      </w:pPr>
      <w:r>
        <w:t xml:space="preserve">Reformers, trade unions,</w:t>
      </w:r>
      <w:r>
        <w:t xml:space="preserve"> </w:t>
      </w:r>
      <w:r>
        <w:rPr>
          <w:bCs/>
          <w:b/>
        </w:rPr>
        <w:t xml:space="preserve">Chartists</w:t>
      </w:r>
      <w:r>
        <w:t xml:space="preserve"> </w:t>
      </w:r>
      <w:r>
        <w:t xml:space="preserve">(from the late 1830s, demanding broader male suffrage and other parliamentary reforms), liberals and socialists all responded to the new industrial society, increasingly connecting political exclusion with economic inequality in their demands.</w:t>
      </w:r>
      <w:r>
        <w:t xml:space="preserve"> </w:t>
      </w:r>
      <w:r>
        <w:rPr>
          <w:bCs/>
          <w:b/>
        </w:rPr>
        <w:t xml:space="preserve">Methodism</w:t>
      </w:r>
      <w:r>
        <w:t xml:space="preserve"> </w:t>
      </w:r>
      <w:r>
        <w:t xml:space="preserve">and other voluntary religious movements provided moral community, education, and social organisation for many working people, showing that industrialisation reshaped religious and civil-society life as much as economic life.</w:t>
      </w:r>
    </w:p>
    <w:bookmarkEnd w:id="72"/>
    <w:bookmarkStart w:id="73" w:name="key-terms-and-concepts-6"/>
    <w:p>
      <w:pPr>
        <w:pStyle w:val="Heading2"/>
      </w:pPr>
      <w:r>
        <w:t xml:space="preserve">Key Terms and Concepts</w:t>
      </w:r>
    </w:p>
    <w:p>
      <w:pPr>
        <w:numPr>
          <w:ilvl w:val="0"/>
          <w:numId w:val="1033"/>
        </w:numPr>
        <w:pStyle w:val="Compact"/>
      </w:pPr>
      <w:r>
        <w:rPr>
          <w:bCs/>
          <w:b/>
        </w:rPr>
        <w:t xml:space="preserve">Enclosure:</w:t>
      </w:r>
      <w:r>
        <w:t xml:space="preserve"> </w:t>
      </w:r>
      <w:r>
        <w:t xml:space="preserve">The consolidation and privatisation of agricultural land, raising productivity while disrupting some rural communities.</w:t>
      </w:r>
    </w:p>
    <w:p>
      <w:pPr>
        <w:numPr>
          <w:ilvl w:val="0"/>
          <w:numId w:val="1033"/>
        </w:numPr>
        <w:pStyle w:val="Compact"/>
      </w:pPr>
      <w:r>
        <w:rPr>
          <w:bCs/>
          <w:b/>
        </w:rPr>
        <w:t xml:space="preserve">Chartism:</w:t>
      </w:r>
      <w:r>
        <w:t xml:space="preserve"> </w:t>
      </w:r>
      <w:r>
        <w:t xml:space="preserve">The working-class political movement from the late 1830s demanding broader male suffrage and parliamentary reform.</w:t>
      </w:r>
    </w:p>
    <w:bookmarkEnd w:id="73"/>
    <w:bookmarkStart w:id="74" w:name="preparation-toolkit-6"/>
    <w:p>
      <w:pPr>
        <w:pStyle w:val="Heading2"/>
      </w:pPr>
      <w:r>
        <w:t xml:space="preserve">Preparation Toolkit</w:t>
      </w:r>
    </w:p>
    <w:p>
      <w:pPr>
        <w:pStyle w:val="FirstParagraph"/>
      </w:pPr>
      <w:r>
        <w:rPr>
          <w:bCs/>
          <w:b/>
        </w:rPr>
        <w:t xml:space="preserve">Preparation Checklist</w:t>
      </w:r>
    </w:p>
    <w:p>
      <w:pPr>
        <w:numPr>
          <w:ilvl w:val="0"/>
          <w:numId w:val="1034"/>
        </w:numPr>
        <w:pStyle w:val="Compact"/>
      </w:pPr>
      <w:r>
        <w:t xml:space="preserve">Prepare causes as an interconnected system, not one single factor; build a consequences table covering economy, urban society, labour, politics, ideas, public health and empire.</w:t>
      </w:r>
    </w:p>
    <w:p>
      <w:pPr>
        <w:numPr>
          <w:ilvl w:val="0"/>
          <w:numId w:val="1034"/>
        </w:numPr>
        <w:pStyle w:val="Compact"/>
      </w:pPr>
      <w:r>
        <w:t xml:space="preserve">Practise one analytical outline answering:</w:t>
      </w:r>
      <w:r>
        <w:t xml:space="preserve"> </w:t>
      </w:r>
      <w:r>
        <w:t xml:space="preserve">“</w:t>
      </w:r>
      <w:r>
        <w:t xml:space="preserve">How did industrialisation produce new political movements and demands in early nineteenth-century Britain?</w:t>
      </w:r>
      <w:r>
        <w:t xml:space="preserve">”</w:t>
      </w:r>
    </w:p>
    <w:p>
      <w:pPr>
        <w:pStyle w:val="FirstParagraph"/>
      </w:pPr>
      <w:r>
        <w:rPr>
          <w:bCs/>
          <w:b/>
        </w:rPr>
        <w:t xml:space="preserve">Common Confusions to Avoid</w:t>
      </w:r>
    </w:p>
    <w:p>
      <w:pPr>
        <w:numPr>
          <w:ilvl w:val="0"/>
          <w:numId w:val="1035"/>
        </w:numPr>
        <w:pStyle w:val="Compact"/>
      </w:pPr>
      <w:r>
        <w:t xml:space="preserve">Do not search for one single cause of industrialisation; it was a connected system of changes.</w:t>
      </w:r>
    </w:p>
    <w:p>
      <w:pPr>
        <w:numPr>
          <w:ilvl w:val="0"/>
          <w:numId w:val="1035"/>
        </w:numPr>
        <w:pStyle w:val="Compact"/>
      </w:pPr>
      <w:r>
        <w:t xml:space="preserve">Do not say enclosure automatically created industrial workers everywhere; the relationship varied regionally.</w:t>
      </w:r>
    </w:p>
    <w:p>
      <w:pPr>
        <w:numPr>
          <w:ilvl w:val="0"/>
          <w:numId w:val="1035"/>
        </w:numPr>
        <w:pStyle w:val="Compact"/>
      </w:pPr>
      <w:r>
        <w:t xml:space="preserve">Do not treat industrialisation as only economic progress; social cost and political conflict are essential to the topic.</w:t>
      </w:r>
    </w:p>
    <w:p>
      <w:pPr>
        <w:pStyle w:val="FirstParagraph"/>
      </w:pPr>
      <w:r>
        <w:rPr>
          <w:bCs/>
          <w:b/>
        </w:rPr>
        <w:t xml:space="preserve">Easy Revision Points</w:t>
      </w:r>
    </w:p>
    <w:p>
      <w:pPr>
        <w:numPr>
          <w:ilvl w:val="0"/>
          <w:numId w:val="1036"/>
        </w:numPr>
        <w:pStyle w:val="Compact"/>
      </w:pPr>
      <w:r>
        <w:t xml:space="preserve">Agricultural change included enclosure, crop rotation, selective breeding and commercialisation, with timing and effects varying by region.</w:t>
      </w:r>
    </w:p>
    <w:p>
      <w:pPr>
        <w:numPr>
          <w:ilvl w:val="0"/>
          <w:numId w:val="1036"/>
        </w:numPr>
        <w:pStyle w:val="Compact"/>
      </w:pPr>
      <w:r>
        <w:t xml:space="preserve">Coal, iron, mechanised textiles and steam power were central to early British industrialisation.</w:t>
      </w:r>
    </w:p>
    <w:p>
      <w:pPr>
        <w:numPr>
          <w:ilvl w:val="0"/>
          <w:numId w:val="1036"/>
        </w:numPr>
        <w:pStyle w:val="Compact"/>
      </w:pPr>
      <w:r>
        <w:t xml:space="preserve">Rapid urban growth produced both opportunity and severe housing, sanitation and labour problems.</w:t>
      </w:r>
    </w:p>
    <w:p>
      <w:pPr>
        <w:numPr>
          <w:ilvl w:val="0"/>
          <w:numId w:val="1036"/>
        </w:numPr>
        <w:pStyle w:val="Compact"/>
      </w:pPr>
      <w:r>
        <w:t xml:space="preserve">Chartism, especially from the late 1830s, demanded broader male suffrage and other parliamentary changes.</w:t>
      </w:r>
    </w:p>
    <w:bookmarkEnd w:id="74"/>
    <w:bookmarkStart w:id="75" w:name="key-takeaways-6"/>
    <w:p>
      <w:pPr>
        <w:pStyle w:val="Heading2"/>
      </w:pPr>
      <w:r>
        <w:t xml:space="preserve">Key Takeaways</w:t>
      </w:r>
    </w:p>
    <w:p>
      <w:pPr>
        <w:numPr>
          <w:ilvl w:val="0"/>
          <w:numId w:val="1037"/>
        </w:numPr>
        <w:pStyle w:val="Compact"/>
      </w:pPr>
      <w:r>
        <w:t xml:space="preserve">Present industrialisation as a system of mutually reinforcing changes (agriculture, energy, technology, transport, markets) rather than any single cause.</w:t>
      </w:r>
    </w:p>
    <w:p>
      <w:pPr>
        <w:numPr>
          <w:ilvl w:val="0"/>
          <w:numId w:val="1037"/>
        </w:numPr>
        <w:pStyle w:val="Compact"/>
      </w:pPr>
      <w:r>
        <w:t xml:space="preserve">New social classes and new political movements (Chartism, trade unions) are direct consequences of industrial change and belong in the same answer as the economic narrative, not a separate one.</w:t>
      </w:r>
    </w:p>
    <w:bookmarkEnd w:id="75"/>
    <w:bookmarkEnd w:id="76"/>
    <w:bookmarkStart w:id="84" w:name="robert-peel-and-the-return-of-the-tories"/>
    <w:p>
      <w:pPr>
        <w:pStyle w:val="Heading1"/>
        <w:pageBreakBefore/>
      </w:pPr>
      <w:r>
        <w:t xml:space="preserve">8. Robert Peel and the Return of the Tories</w:t>
      </w:r>
    </w:p>
    <w:bookmarkStart w:id="77" w:name="why-this-topic-matters-7"/>
    <w:p>
      <w:pPr>
        <w:pStyle w:val="Heading2"/>
      </w:pPr>
      <w:r>
        <w:t xml:space="preserve">Why This Topic Matters</w:t>
      </w:r>
    </w:p>
    <w:p>
      <w:pPr>
        <w:pStyle w:val="FirstParagraph"/>
      </w:pPr>
      <w:r>
        <w:t xml:space="preserve">Peel represents nineteenth-century conservatism adapting to a reformed, industrialising society, and the Corn Law crisis is the single key episode for understanding both his significance and his party’s fracture.</w:t>
      </w:r>
    </w:p>
    <w:bookmarkEnd w:id="77"/>
    <w:bookmarkStart w:id="78" w:name="Xe943be8549b5f857cd1ad81127c5c69314af283"/>
    <w:p>
      <w:pPr>
        <w:pStyle w:val="Heading2"/>
      </w:pPr>
      <w:r>
        <w:t xml:space="preserve">Administrative Reform and the Tamworth Manifesto</w:t>
      </w:r>
    </w:p>
    <w:p>
      <w:pPr>
        <w:pStyle w:val="FirstParagraph"/>
      </w:pPr>
      <w:r>
        <w:t xml:space="preserve">As Home Secretary, Peel reorganised criminal law and helped create the</w:t>
      </w:r>
      <w:r>
        <w:t xml:space="preserve"> </w:t>
      </w:r>
      <w:r>
        <w:rPr>
          <w:bCs/>
          <w:b/>
        </w:rPr>
        <w:t xml:space="preserve">Metropolitan Police (1829)</w:t>
      </w:r>
      <w:r>
        <w:t xml:space="preserve">, emphasising professional administration and public order over purely traditional authority. His</w:t>
      </w:r>
      <w:r>
        <w:t xml:space="preserve"> </w:t>
      </w:r>
      <w:r>
        <w:rPr>
          <w:bCs/>
          <w:b/>
        </w:rPr>
        <w:t xml:space="preserve">Tamworth Manifesto (1834)</w:t>
      </w:r>
      <w:r>
        <w:t xml:space="preserve"> </w:t>
      </w:r>
      <w:r>
        <w:t xml:space="preserve">accepted the basic reality of the 1832 Reform Act while promising cautious correction of remaining abuses — a foundational moment in defining a more pragmatic Conservative identity after the collapse of old-style Tory politics.</w:t>
      </w:r>
    </w:p>
    <w:bookmarkEnd w:id="78"/>
    <w:bookmarkStart w:id="79" w:name="X01bb96aa4b1820e6dfed7e9b52757a457a50bd8"/>
    <w:p>
      <w:pPr>
        <w:pStyle w:val="Heading2"/>
      </w:pPr>
      <w:r>
        <w:t xml:space="preserve">Government, Social Legislation, and Ireland</w:t>
      </w:r>
    </w:p>
    <w:p>
      <w:pPr>
        <w:pStyle w:val="FirstParagraph"/>
      </w:pPr>
      <w:r>
        <w:t xml:space="preserve">Peel’s 1841–46 government pursued budget and tariff reform, strengthening state finance while reducing trade barriers in line with growing economic-liberal thinking, and his period also saw factory and mining regulation — showing that Victorian conservatism could accept limited state intervention in social conditions while still defending property and order. In Ireland, Peel placed the Maynooth grant on a more permanent footing and attempted measures to ease tension, but Irish poverty, religious division and land questions remained deeply difficult to resolve.</w:t>
      </w:r>
    </w:p>
    <w:bookmarkEnd w:id="79"/>
    <w:bookmarkStart w:id="80" w:name="the-corn-laws-and-the-party-split"/>
    <w:p>
      <w:pPr>
        <w:pStyle w:val="Heading2"/>
      </w:pPr>
      <w:r>
        <w:t xml:space="preserve">The Corn Laws and the Party Split</w:t>
      </w:r>
    </w:p>
    <w:p>
      <w:pPr>
        <w:pStyle w:val="FirstParagraph"/>
      </w:pPr>
      <w:r>
        <w:t xml:space="preserve">Protectionist grain tariffs (the</w:t>
      </w:r>
      <w:r>
        <w:t xml:space="preserve"> </w:t>
      </w:r>
      <w:r>
        <w:rPr>
          <w:bCs/>
          <w:b/>
        </w:rPr>
        <w:t xml:space="preserve">Corn Laws</w:t>
      </w:r>
      <w:r>
        <w:t xml:space="preserve">) benefited agricultural interests but raised food prices; amid the Irish famine crisis and mounting free-trade pressure, Peel moved to</w:t>
      </w:r>
      <w:r>
        <w:t xml:space="preserve"> </w:t>
      </w:r>
      <w:r>
        <w:rPr>
          <w:bCs/>
          <w:b/>
        </w:rPr>
        <w:t xml:space="preserve">repeal the Corn Laws in 1846</w:t>
      </w:r>
      <w:r>
        <w:t xml:space="preserve">. Repeal passed with opposition support but split the Conservative Party between Peelites and protectionists, costing Peel his own office — while Peelites went on to influence later Liberal politics, demonstrating that policy principle could, in this case, override party unity entirely.</w:t>
      </w:r>
    </w:p>
    <w:bookmarkEnd w:id="80"/>
    <w:bookmarkStart w:id="81" w:name="key-terms-and-concepts-7"/>
    <w:p>
      <w:pPr>
        <w:pStyle w:val="Heading2"/>
      </w:pPr>
      <w:r>
        <w:t xml:space="preserve">Key Terms and Concepts</w:t>
      </w:r>
    </w:p>
    <w:p>
      <w:pPr>
        <w:numPr>
          <w:ilvl w:val="0"/>
          <w:numId w:val="1038"/>
        </w:numPr>
        <w:pStyle w:val="Compact"/>
      </w:pPr>
      <w:r>
        <w:rPr>
          <w:bCs/>
          <w:b/>
        </w:rPr>
        <w:t xml:space="preserve">Tamworth Manifesto (1834):</w:t>
      </w:r>
      <w:r>
        <w:t xml:space="preserve"> </w:t>
      </w:r>
      <w:r>
        <w:t xml:space="preserve">Peel’s foundational statement of pragmatic, reform-accepting Conservatism.</w:t>
      </w:r>
    </w:p>
    <w:p>
      <w:pPr>
        <w:numPr>
          <w:ilvl w:val="0"/>
          <w:numId w:val="1038"/>
        </w:numPr>
        <w:pStyle w:val="Compact"/>
      </w:pPr>
      <w:r>
        <w:rPr>
          <w:bCs/>
          <w:b/>
        </w:rPr>
        <w:t xml:space="preserve">Corn Laws:</w:t>
      </w:r>
      <w:r>
        <w:t xml:space="preserve"> </w:t>
      </w:r>
      <w:r>
        <w:t xml:space="preserve">Protectionist grain tariffs whose 1846 repeal split the Conservative Party.</w:t>
      </w:r>
    </w:p>
    <w:bookmarkEnd w:id="81"/>
    <w:bookmarkStart w:id="82" w:name="preparation-toolkit-7"/>
    <w:p>
      <w:pPr>
        <w:pStyle w:val="Heading2"/>
      </w:pPr>
      <w:r>
        <w:t xml:space="preserve">Preparation Toolkit</w:t>
      </w:r>
    </w:p>
    <w:p>
      <w:pPr>
        <w:pStyle w:val="FirstParagraph"/>
      </w:pPr>
      <w:r>
        <w:rPr>
          <w:bCs/>
          <w:b/>
        </w:rPr>
        <w:t xml:space="preserve">Preparation Checklist</w:t>
      </w:r>
    </w:p>
    <w:p>
      <w:pPr>
        <w:numPr>
          <w:ilvl w:val="0"/>
          <w:numId w:val="1039"/>
        </w:numPr>
        <w:pStyle w:val="Compact"/>
      </w:pPr>
      <w:r>
        <w:t xml:space="preserve">Prepare Peel as</w:t>
      </w:r>
      <w:r>
        <w:t xml:space="preserve"> </w:t>
      </w:r>
      <w:r>
        <w:t xml:space="preserve">“</w:t>
      </w:r>
      <w:r>
        <w:t xml:space="preserve">old Tory to modern Conservative adaptation</w:t>
      </w:r>
      <w:r>
        <w:t xml:space="preserve">”</w:t>
      </w:r>
      <w:r>
        <w:t xml:space="preserve">; for every policy, ask whether it reflected pragmatism, economic liberalisation, or social order.</w:t>
      </w:r>
    </w:p>
    <w:p>
      <w:pPr>
        <w:numPr>
          <w:ilvl w:val="0"/>
          <w:numId w:val="1039"/>
        </w:numPr>
        <w:pStyle w:val="Compact"/>
      </w:pPr>
      <w:r>
        <w:t xml:space="preserve">Give special attention to the Irish famine-era context of Corn Law repeal.</w:t>
      </w:r>
    </w:p>
    <w:p>
      <w:pPr>
        <w:numPr>
          <w:ilvl w:val="0"/>
          <w:numId w:val="1039"/>
        </w:numPr>
        <w:pStyle w:val="Compact"/>
      </w:pPr>
      <w:r>
        <w:t xml:space="preserve">Practise one analytical outline answering:</w:t>
      </w:r>
      <w:r>
        <w:t xml:space="preserve"> </w:t>
      </w:r>
      <w:r>
        <w:t xml:space="preserve">“</w:t>
      </w:r>
      <w:r>
        <w:t xml:space="preserve">Why did Corn Law repeal split the Conservative Party, and what does this reveal about Peel’s political priorities?</w:t>
      </w:r>
      <w:r>
        <w:t xml:space="preserve">”</w:t>
      </w:r>
    </w:p>
    <w:p>
      <w:pPr>
        <w:pStyle w:val="FirstParagraph"/>
      </w:pPr>
      <w:r>
        <w:rPr>
          <w:bCs/>
          <w:b/>
        </w:rPr>
        <w:t xml:space="preserve">Common Confusions to Avoid</w:t>
      </w:r>
    </w:p>
    <w:p>
      <w:pPr>
        <w:numPr>
          <w:ilvl w:val="0"/>
          <w:numId w:val="1040"/>
        </w:numPr>
        <w:pStyle w:val="Compact"/>
      </w:pPr>
      <w:r>
        <w:t xml:space="preserve">Do not say Peel was simply a free-market ideologue; he combined economic liberalisation with administrative and social regulation.</w:t>
      </w:r>
    </w:p>
    <w:p>
      <w:pPr>
        <w:numPr>
          <w:ilvl w:val="0"/>
          <w:numId w:val="1040"/>
        </w:numPr>
        <w:pStyle w:val="Compact"/>
      </w:pPr>
      <w:r>
        <w:t xml:space="preserve">Do not separate Corn Law repeal from the Irish famine context and the Anti-Corn Law League campaign.</w:t>
      </w:r>
    </w:p>
    <w:p>
      <w:pPr>
        <w:numPr>
          <w:ilvl w:val="0"/>
          <w:numId w:val="1040"/>
        </w:numPr>
        <w:pStyle w:val="Compact"/>
      </w:pPr>
      <w:r>
        <w:t xml:space="preserve">Do not assume the Conservative Party remained united after 1846.</w:t>
      </w:r>
    </w:p>
    <w:p>
      <w:pPr>
        <w:pStyle w:val="FirstParagraph"/>
      </w:pPr>
      <w:r>
        <w:rPr>
          <w:bCs/>
          <w:b/>
        </w:rPr>
        <w:t xml:space="preserve">Easy Revision Points</w:t>
      </w:r>
    </w:p>
    <w:p>
      <w:pPr>
        <w:numPr>
          <w:ilvl w:val="0"/>
          <w:numId w:val="1041"/>
        </w:numPr>
        <w:pStyle w:val="Compact"/>
      </w:pPr>
      <w:r>
        <w:t xml:space="preserve">The Metropolitan Police Act 1829, associated with Peel as Home Secretary, created a professional police force for London.</w:t>
      </w:r>
    </w:p>
    <w:p>
      <w:pPr>
        <w:numPr>
          <w:ilvl w:val="0"/>
          <w:numId w:val="1041"/>
        </w:numPr>
        <w:pStyle w:val="Compact"/>
      </w:pPr>
      <w:r>
        <w:t xml:space="preserve">The Tamworth Manifesto of 1834 is a landmark in the development of modern Conservatism.</w:t>
      </w:r>
    </w:p>
    <w:p>
      <w:pPr>
        <w:numPr>
          <w:ilvl w:val="0"/>
          <w:numId w:val="1041"/>
        </w:numPr>
        <w:pStyle w:val="Compact"/>
      </w:pPr>
      <w:r>
        <w:t xml:space="preserve">Peel served as prime minister in 1834–35 and 1841–46.</w:t>
      </w:r>
    </w:p>
    <w:p>
      <w:pPr>
        <w:numPr>
          <w:ilvl w:val="0"/>
          <w:numId w:val="1041"/>
        </w:numPr>
        <w:pStyle w:val="Compact"/>
      </w:pPr>
      <w:r>
        <w:t xml:space="preserve">The Corn Laws were repealed in 1846, dividing Conservatives between Peelites and protectionists.</w:t>
      </w:r>
    </w:p>
    <w:bookmarkEnd w:id="82"/>
    <w:bookmarkStart w:id="83" w:name="key-takeaways-7"/>
    <w:p>
      <w:pPr>
        <w:pStyle w:val="Heading2"/>
      </w:pPr>
      <w:r>
        <w:t xml:space="preserve">Key Takeaways</w:t>
      </w:r>
    </w:p>
    <w:p>
      <w:pPr>
        <w:numPr>
          <w:ilvl w:val="0"/>
          <w:numId w:val="1042"/>
        </w:numPr>
        <w:pStyle w:val="Compact"/>
      </w:pPr>
      <w:r>
        <w:t xml:space="preserve">Peel illustrates how nineteenth-century conservatism adapted to reform and industrial economics through pragmatic administration rather than fixed ideology.</w:t>
      </w:r>
    </w:p>
    <w:p>
      <w:pPr>
        <w:numPr>
          <w:ilvl w:val="0"/>
          <w:numId w:val="1042"/>
        </w:numPr>
        <w:pStyle w:val="Compact"/>
      </w:pPr>
      <w:r>
        <w:t xml:space="preserve">Corn Law repeal cannot be separated from its Irish famine context, and its consequence — a fractured Conservative Party — matters as much as the policy decision itself.</w:t>
      </w:r>
    </w:p>
    <w:bookmarkEnd w:id="83"/>
    <w:bookmarkEnd w:id="84"/>
    <w:bookmarkStart w:id="92" w:name="X7002759d11ae3c3e345b8b9b265a9f5fb99edf1"/>
    <w:p>
      <w:pPr>
        <w:pStyle w:val="Heading1"/>
        <w:pageBreakBefore/>
      </w:pPr>
      <w:r>
        <w:t xml:space="preserve">9. The Victorian Era: Reform, Parties, Empire and Ireland</w:t>
      </w:r>
    </w:p>
    <w:bookmarkStart w:id="85" w:name="why-this-topic-matters-8"/>
    <w:p>
      <w:pPr>
        <w:pStyle w:val="Heading2"/>
      </w:pPr>
      <w:r>
        <w:t xml:space="preserve">Why This Topic Matters</w:t>
      </w:r>
    </w:p>
    <w:p>
      <w:pPr>
        <w:pStyle w:val="FirstParagraph"/>
      </w:pPr>
      <w:r>
        <w:t xml:space="preserve">This topic rewards organisation around four connected themes — expanding political participation, Gladstone-Disraeli rivalry, the Irish question, and empire/foreign policy — rather than a biography of Queen Victoria or an uncritical</w:t>
      </w:r>
      <w:r>
        <w:t xml:space="preserve"> </w:t>
      </w:r>
      <w:r>
        <w:t xml:space="preserve">“</w:t>
      </w:r>
      <w:r>
        <w:t xml:space="preserve">golden age</w:t>
      </w:r>
      <w:r>
        <w:t xml:space="preserve">”</w:t>
      </w:r>
      <w:r>
        <w:t xml:space="preserve"> </w:t>
      </w:r>
      <w:r>
        <w:t xml:space="preserve">narrative.</w:t>
      </w:r>
    </w:p>
    <w:bookmarkEnd w:id="85"/>
    <w:bookmarkStart w:id="86" w:name="political-reform-and-party-organisation"/>
    <w:p>
      <w:pPr>
        <w:pStyle w:val="Heading2"/>
      </w:pPr>
      <w:r>
        <w:t xml:space="preserve">Political Reform and Party Organisation</w:t>
      </w:r>
    </w:p>
    <w:p>
      <w:pPr>
        <w:pStyle w:val="FirstParagraph"/>
      </w:pPr>
      <w:r>
        <w:t xml:space="preserve">The</w:t>
      </w:r>
      <w:r>
        <w:t xml:space="preserve"> </w:t>
      </w:r>
      <w:r>
        <w:rPr>
          <w:bCs/>
          <w:b/>
        </w:rPr>
        <w:t xml:space="preserve">Reform Acts of 1867 and 1884–85</w:t>
      </w:r>
      <w:r>
        <w:t xml:space="preserve"> </w:t>
      </w:r>
      <w:r>
        <w:t xml:space="preserve">substantially widened male voting rights, while secret-ballot and constituency reforms changed electoral practice — moving Britain toward mass politics, though universal adult suffrage came only later (Topic 10). Liberal and Conservative parties built stronger national and local organisations to compete for this larger electorate, with leaders increasingly appealing directly to public opinion.</w:t>
      </w:r>
    </w:p>
    <w:bookmarkEnd w:id="86"/>
    <w:bookmarkStart w:id="87" w:name="gladstone-disraeli-and-ireland"/>
    <w:p>
      <w:pPr>
        <w:pStyle w:val="Heading2"/>
      </w:pPr>
      <w:r>
        <w:t xml:space="preserve">Gladstone, Disraeli, and Ireland</w:t>
      </w:r>
    </w:p>
    <w:p>
      <w:pPr>
        <w:pStyle w:val="FirstParagraph"/>
      </w:pPr>
      <w:r>
        <w:rPr>
          <w:bCs/>
          <w:b/>
        </w:rPr>
        <w:t xml:space="preserve">William Gladstone’s</w:t>
      </w:r>
      <w:r>
        <w:t xml:space="preserve"> </w:t>
      </w:r>
      <w:r>
        <w:t xml:space="preserve">Liberalism emphasised financial economy, administrative reform, and — from the 1880s — Irish Home Rule, alongside education, civil-service and military reforms.</w:t>
      </w:r>
      <w:r>
        <w:t xml:space="preserve"> </w:t>
      </w:r>
      <w:r>
        <w:rPr>
          <w:bCs/>
          <w:b/>
        </w:rPr>
        <w:t xml:space="preserve">Benjamin Disraeli’s</w:t>
      </w:r>
      <w:r>
        <w:t xml:space="preserve"> </w:t>
      </w:r>
      <w:r>
        <w:t xml:space="preserve">Conservatism combined social-reform rhetoric (including significant public-health and housing legislation) with imperial ambition and a more assertive national style. Gladstone’s attempts to grant Irish</w:t>
      </w:r>
      <w:r>
        <w:t xml:space="preserve"> </w:t>
      </w:r>
      <w:r>
        <w:rPr>
          <w:bCs/>
          <w:b/>
        </w:rPr>
        <w:t xml:space="preserve">Home Rule</w:t>
      </w:r>
      <w:r>
        <w:t xml:space="preserve"> </w:t>
      </w:r>
      <w:r>
        <w:t xml:space="preserve">split the Liberal Party itself and strengthened unionist resistance, showing how deeply the Irish question (Topic 4) continued to shape mainstream British party politics decades after formal union.</w:t>
      </w:r>
    </w:p>
    <w:bookmarkEnd w:id="87"/>
    <w:bookmarkStart w:id="88" w:name="empire-and-social-reality"/>
    <w:p>
      <w:pPr>
        <w:pStyle w:val="Heading2"/>
      </w:pPr>
      <w:r>
        <w:t xml:space="preserve">Empire and Social Reality</w:t>
      </w:r>
    </w:p>
    <w:p>
      <w:pPr>
        <w:pStyle w:val="FirstParagraph"/>
      </w:pPr>
      <w:r>
        <w:t xml:space="preserve">Britain expanded influence across India, Africa, the Mediterranean and beyond during this period, driven by a mixture of strategic routes, trade, settler expansion, prestige, and competition with other powers — never one single motive. At the same time, industrial prosperity and imperial expansion coexisted with urban poverty, class division, gender inequality, and labour conflict; a balanced answer resists romanticising the era as a simple</w:t>
      </w:r>
      <w:r>
        <w:t xml:space="preserve"> </w:t>
      </w:r>
      <w:r>
        <w:t xml:space="preserve">“</w:t>
      </w:r>
      <w:r>
        <w:t xml:space="preserve">golden age.</w:t>
      </w:r>
      <w:r>
        <w:t xml:space="preserve">”</w:t>
      </w:r>
    </w:p>
    <w:bookmarkEnd w:id="88"/>
    <w:bookmarkStart w:id="89" w:name="key-terms-and-concepts-8"/>
    <w:p>
      <w:pPr>
        <w:pStyle w:val="Heading2"/>
      </w:pPr>
      <w:r>
        <w:t xml:space="preserve">Key Terms and Concepts</w:t>
      </w:r>
    </w:p>
    <w:p>
      <w:pPr>
        <w:numPr>
          <w:ilvl w:val="0"/>
          <w:numId w:val="1043"/>
        </w:numPr>
        <w:pStyle w:val="Compact"/>
      </w:pPr>
      <w:r>
        <w:rPr>
          <w:bCs/>
          <w:b/>
        </w:rPr>
        <w:t xml:space="preserve">Reform Acts (1867, 1884–85):</w:t>
      </w:r>
      <w:r>
        <w:t xml:space="preserve"> </w:t>
      </w:r>
      <w:r>
        <w:t xml:space="preserve">Legislation substantially widening the male electorate without yet achieving universal suffrage.</w:t>
      </w:r>
    </w:p>
    <w:p>
      <w:pPr>
        <w:numPr>
          <w:ilvl w:val="0"/>
          <w:numId w:val="1043"/>
        </w:numPr>
        <w:pStyle w:val="Compact"/>
      </w:pPr>
      <w:r>
        <w:rPr>
          <w:bCs/>
          <w:b/>
        </w:rPr>
        <w:t xml:space="preserve">Home Rule (Gladstonian):</w:t>
      </w:r>
      <w:r>
        <w:t xml:space="preserve"> </w:t>
      </w:r>
      <w:r>
        <w:t xml:space="preserve">Gladstone’s proposal for Irish self-government, which split his own Liberal Party.</w:t>
      </w:r>
    </w:p>
    <w:bookmarkEnd w:id="89"/>
    <w:bookmarkStart w:id="90" w:name="preparation-toolkit-8"/>
    <w:p>
      <w:pPr>
        <w:pStyle w:val="Heading2"/>
      </w:pPr>
      <w:r>
        <w:t xml:space="preserve">Preparation Toolkit</w:t>
      </w:r>
    </w:p>
    <w:p>
      <w:pPr>
        <w:pStyle w:val="FirstParagraph"/>
      </w:pPr>
      <w:r>
        <w:rPr>
          <w:bCs/>
          <w:b/>
        </w:rPr>
        <w:t xml:space="preserve">Preparation Checklist</w:t>
      </w:r>
    </w:p>
    <w:p>
      <w:pPr>
        <w:numPr>
          <w:ilvl w:val="0"/>
          <w:numId w:val="1044"/>
        </w:numPr>
        <w:pStyle w:val="Compact"/>
      </w:pPr>
      <w:r>
        <w:t xml:space="preserve">Create a Gladstone-versus-Disraeli comparison table; prepare domestic reform, Ireland, economy/free trade, and empire/foreign policy as separate answer modules.</w:t>
      </w:r>
    </w:p>
    <w:p>
      <w:pPr>
        <w:numPr>
          <w:ilvl w:val="0"/>
          <w:numId w:val="1044"/>
        </w:numPr>
        <w:pStyle w:val="Compact"/>
      </w:pPr>
      <w:r>
        <w:t xml:space="preserve">Practise one analytical outline answering:</w:t>
      </w:r>
      <w:r>
        <w:t xml:space="preserve"> </w:t>
      </w:r>
      <w:r>
        <w:t xml:space="preserve">“</w:t>
      </w:r>
      <w:r>
        <w:t xml:space="preserve">Compare Gladstonian Liberalism and Disraelian Conservatism as responses to an expanding electorate.</w:t>
      </w:r>
      <w:r>
        <w:t xml:space="preserve">”</w:t>
      </w:r>
    </w:p>
    <w:p>
      <w:pPr>
        <w:pStyle w:val="FirstParagraph"/>
      </w:pPr>
      <w:r>
        <w:rPr>
          <w:bCs/>
          <w:b/>
        </w:rPr>
        <w:t xml:space="preserve">Common Confusions to Avoid</w:t>
      </w:r>
    </w:p>
    <w:p>
      <w:pPr>
        <w:numPr>
          <w:ilvl w:val="0"/>
          <w:numId w:val="1045"/>
        </w:numPr>
        <w:pStyle w:val="Compact"/>
      </w:pPr>
      <w:r>
        <w:t xml:space="preserve">Do not write the Victorian era as a biography of Queen Victoria.</w:t>
      </w:r>
    </w:p>
    <w:p>
      <w:pPr>
        <w:numPr>
          <w:ilvl w:val="0"/>
          <w:numId w:val="1045"/>
        </w:numPr>
        <w:pStyle w:val="Compact"/>
      </w:pPr>
      <w:r>
        <w:t xml:space="preserve">Do not portray Gladstone and Disraeli as exact opposites on every issue; both adapted to electoral and social change.</w:t>
      </w:r>
    </w:p>
    <w:p>
      <w:pPr>
        <w:numPr>
          <w:ilvl w:val="0"/>
          <w:numId w:val="1045"/>
        </w:numPr>
        <w:pStyle w:val="Compact"/>
      </w:pPr>
      <w:r>
        <w:t xml:space="preserve">Do not equate expansion of the electorate with universal democracy.</w:t>
      </w:r>
    </w:p>
    <w:p>
      <w:pPr>
        <w:pStyle w:val="FirstParagraph"/>
      </w:pPr>
      <w:r>
        <w:rPr>
          <w:bCs/>
          <w:b/>
        </w:rPr>
        <w:t xml:space="preserve">Easy Revision Points</w:t>
      </w:r>
    </w:p>
    <w:p>
      <w:pPr>
        <w:numPr>
          <w:ilvl w:val="0"/>
          <w:numId w:val="1046"/>
        </w:numPr>
        <w:pStyle w:val="Compact"/>
      </w:pPr>
      <w:r>
        <w:t xml:space="preserve">Queen Victoria reigned from 1837 to 1901.</w:t>
      </w:r>
    </w:p>
    <w:p>
      <w:pPr>
        <w:numPr>
          <w:ilvl w:val="0"/>
          <w:numId w:val="1046"/>
        </w:numPr>
        <w:pStyle w:val="Compact"/>
      </w:pPr>
      <w:r>
        <w:t xml:space="preserve">The Reform Acts of 1867 and 1884–85 substantially widened the male electorate, though universal adult suffrage came later.</w:t>
      </w:r>
    </w:p>
    <w:p>
      <w:pPr>
        <w:numPr>
          <w:ilvl w:val="0"/>
          <w:numId w:val="1046"/>
        </w:numPr>
        <w:pStyle w:val="Compact"/>
      </w:pPr>
      <w:r>
        <w:t xml:space="preserve">William Gladstone became associated with Liberal reform, retrenchment and later Irish Home Rule.</w:t>
      </w:r>
    </w:p>
    <w:p>
      <w:pPr>
        <w:numPr>
          <w:ilvl w:val="0"/>
          <w:numId w:val="1046"/>
        </w:numPr>
        <w:pStyle w:val="Compact"/>
      </w:pPr>
      <w:r>
        <w:t xml:space="preserve">Benjamin Disraeli combined Conservative social legislation with an assertive imperial and foreign-policy image.</w:t>
      </w:r>
    </w:p>
    <w:bookmarkEnd w:id="90"/>
    <w:bookmarkStart w:id="91" w:name="key-takeaways-8"/>
    <w:p>
      <w:pPr>
        <w:pStyle w:val="Heading2"/>
      </w:pPr>
      <w:r>
        <w:t xml:space="preserve">Key Takeaways</w:t>
      </w:r>
    </w:p>
    <w:p>
      <w:pPr>
        <w:numPr>
          <w:ilvl w:val="0"/>
          <w:numId w:val="1047"/>
        </w:numPr>
        <w:pStyle w:val="Compact"/>
      </w:pPr>
      <w:r>
        <w:t xml:space="preserve">Organise Victorian Britain around reform, party rivalry, Ireland, and empire — not a royal biography or an uncomplicated prosperity narrative.</w:t>
      </w:r>
    </w:p>
    <w:p>
      <w:pPr>
        <w:numPr>
          <w:ilvl w:val="0"/>
          <w:numId w:val="1047"/>
        </w:numPr>
        <w:pStyle w:val="Compact"/>
      </w:pPr>
      <w:r>
        <w:t xml:space="preserve">Gladstone’s Home Rule split within his own party shows the Irish question’s power to reshape mainstream British politics well beyond Ireland itself.</w:t>
      </w:r>
    </w:p>
    <w:bookmarkEnd w:id="91"/>
    <w:bookmarkEnd w:id="92"/>
    <w:bookmarkStart w:id="100" w:name="the-edwardian-era-and-rise-of-labour"/>
    <w:p>
      <w:pPr>
        <w:pStyle w:val="Heading1"/>
        <w:pageBreakBefore/>
      </w:pPr>
      <w:r>
        <w:t xml:space="preserve">10. The Edwardian Era and Rise of Labour</w:t>
      </w:r>
    </w:p>
    <w:bookmarkStart w:id="93" w:name="why-this-topic-matters-9"/>
    <w:p>
      <w:pPr>
        <w:pStyle w:val="Heading2"/>
      </w:pPr>
      <w:r>
        <w:t xml:space="preserve">Why This Topic Matters</w:t>
      </w:r>
    </w:p>
    <w:p>
      <w:pPr>
        <w:pStyle w:val="FirstParagraph"/>
      </w:pPr>
      <w:r>
        <w:t xml:space="preserve">This short period is the hinge between nineteenth-century liberal politics and twentieth-century mass democracy, welfare reform, and the modern party system — Labour’s emergence here permanently ends the old Liberal-Conservative two-party pattern.</w:t>
      </w:r>
    </w:p>
    <w:bookmarkEnd w:id="93"/>
    <w:bookmarkStart w:id="94" w:name="Xfda2010576c95501ca1b7fb0c84637438b47fdf"/>
    <w:p>
      <w:pPr>
        <w:pStyle w:val="Heading2"/>
      </w:pPr>
      <w:r>
        <w:t xml:space="preserve">Labour’s Emergence and Liberal Welfare Reform</w:t>
      </w:r>
    </w:p>
    <w:p>
      <w:pPr>
        <w:pStyle w:val="FirstParagraph"/>
      </w:pPr>
      <w:r>
        <w:t xml:space="preserve">Trade unions and socialist groups formed the</w:t>
      </w:r>
      <w:r>
        <w:t xml:space="preserve"> </w:t>
      </w:r>
      <w:r>
        <w:rPr>
          <w:bCs/>
          <w:b/>
        </w:rPr>
        <w:t xml:space="preserve">Labour Representation Committee in 1900</w:t>
      </w:r>
      <w:r>
        <w:t xml:space="preserve">, renamed the</w:t>
      </w:r>
      <w:r>
        <w:t xml:space="preserve"> </w:t>
      </w:r>
      <w:r>
        <w:rPr>
          <w:bCs/>
          <w:b/>
        </w:rPr>
        <w:t xml:space="preserve">Labour Party in 1906</w:t>
      </w:r>
      <w:r>
        <w:t xml:space="preserve">, gradually weakening the older two-party structure. The Liberal landslide of 1906 launched social reforms addressing poverty, old age and insecurity — including</w:t>
      </w:r>
      <w:r>
        <w:t xml:space="preserve"> </w:t>
      </w:r>
      <w:r>
        <w:rPr>
          <w:bCs/>
          <w:b/>
        </w:rPr>
        <w:t xml:space="preserve">old-age pensions (1908)</w:t>
      </w:r>
      <w:r>
        <w:t xml:space="preserve"> </w:t>
      </w:r>
      <w:r>
        <w:t xml:space="preserve">and the</w:t>
      </w:r>
      <w:r>
        <w:t xml:space="preserve"> </w:t>
      </w:r>
      <w:r>
        <w:rPr>
          <w:bCs/>
          <w:b/>
        </w:rPr>
        <w:t xml:space="preserve">National Insurance Act (1911)</w:t>
      </w:r>
      <w:r>
        <w:t xml:space="preserve"> </w:t>
      </w:r>
      <w:r>
        <w:t xml:space="preserve">— expanding, in limited but historically important form, the idea that the state bore responsibility for basic social security.</w:t>
      </w:r>
    </w:p>
    <w:bookmarkEnd w:id="94"/>
    <w:bookmarkStart w:id="95" w:name="X6a64cfb50ce766c07fcf8c72e38ac998a1b037a"/>
    <w:p>
      <w:pPr>
        <w:pStyle w:val="Heading2"/>
      </w:pPr>
      <w:r>
        <w:t xml:space="preserve">The People’s Budget and the Parliament Act 1911</w:t>
      </w:r>
    </w:p>
    <w:p>
      <w:pPr>
        <w:pStyle w:val="FirstParagraph"/>
      </w:pPr>
      <w:r>
        <w:t xml:space="preserve">Lloyd George’s</w:t>
      </w:r>
      <w:r>
        <w:t xml:space="preserve"> </w:t>
      </w:r>
      <w:r>
        <w:rPr>
          <w:bCs/>
          <w:b/>
        </w:rPr>
        <w:t xml:space="preserve">1909</w:t>
      </w:r>
      <w:r>
        <w:rPr>
          <w:bCs/>
          <w:b/>
        </w:rPr>
        <w:t xml:space="preserve"> </w:t>
      </w:r>
      <w:r>
        <w:rPr>
          <w:bCs/>
          <w:b/>
        </w:rPr>
        <w:t xml:space="preserve">“</w:t>
      </w:r>
      <w:r>
        <w:rPr>
          <w:bCs/>
          <w:b/>
        </w:rPr>
        <w:t xml:space="preserve">People’s Budget</w:t>
      </w:r>
      <w:r>
        <w:rPr>
          <w:bCs/>
          <w:b/>
        </w:rPr>
        <w:t xml:space="preserve">”</w:t>
      </w:r>
      <w:r>
        <w:t xml:space="preserve"> </w:t>
      </w:r>
      <w:r>
        <w:t xml:space="preserve">proposed new taxes on land and high incomes to finance social and naval spending; the House of Lords’ rejection of it triggered a major constitutional struggle. The resulting</w:t>
      </w:r>
      <w:r>
        <w:t xml:space="preserve"> </w:t>
      </w:r>
      <w:r>
        <w:rPr>
          <w:bCs/>
          <w:b/>
        </w:rPr>
        <w:t xml:space="preserve">Parliament Act 1911</w:t>
      </w:r>
      <w:r>
        <w:t xml:space="preserve"> </w:t>
      </w:r>
      <w:r>
        <w:t xml:space="preserve">ended the Lords’ permanent veto over most legislation and sharply reduced their delaying power — making the elected House of Commons even more dominant in lawmaking, a genuinely significant and often underweighted constitutional change.</w:t>
      </w:r>
    </w:p>
    <w:bookmarkEnd w:id="95"/>
    <w:bookmarkStart w:id="96" w:name="suffrage-and-pre-war-diplomacy"/>
    <w:p>
      <w:pPr>
        <w:pStyle w:val="Heading2"/>
      </w:pPr>
      <w:r>
        <w:t xml:space="preserve">Suffrage and Pre-War Diplomacy</w:t>
      </w:r>
    </w:p>
    <w:p>
      <w:pPr>
        <w:pStyle w:val="FirstParagraph"/>
      </w:pPr>
      <w:r>
        <w:t xml:space="preserve">Suffragists and suffragettes used different tactics to campaign for women’s votes, an issue not fully resolved before 1914 but central to the emerging mass-democratic politics of the century. Britain’s</w:t>
      </w:r>
      <w:r>
        <w:t xml:space="preserve"> </w:t>
      </w:r>
      <w:r>
        <w:rPr>
          <w:bCs/>
          <w:b/>
        </w:rPr>
        <w:t xml:space="preserve">Entente Cordiale</w:t>
      </w:r>
      <w:r>
        <w:t xml:space="preserve"> </w:t>
      </w:r>
      <w:r>
        <w:t xml:space="preserve">with France (1904) and the</w:t>
      </w:r>
      <w:r>
        <w:t xml:space="preserve"> </w:t>
      </w:r>
      <w:r>
        <w:rPr>
          <w:bCs/>
          <w:b/>
        </w:rPr>
        <w:t xml:space="preserve">Anglo-Russian Convention</w:t>
      </w:r>
      <w:r>
        <w:t xml:space="preserve"> </w:t>
      </w:r>
      <w:r>
        <w:t xml:space="preserve">(1907) reduced imperial disputes with these powers and contributed to the diplomatic alignments shaping Europe on the eve of the First World War (Topic 11).</w:t>
      </w:r>
    </w:p>
    <w:bookmarkEnd w:id="96"/>
    <w:bookmarkStart w:id="97" w:name="key-terms-and-concepts-9"/>
    <w:p>
      <w:pPr>
        <w:pStyle w:val="Heading2"/>
      </w:pPr>
      <w:r>
        <w:t xml:space="preserve">Key Terms and Concepts</w:t>
      </w:r>
    </w:p>
    <w:p>
      <w:pPr>
        <w:numPr>
          <w:ilvl w:val="0"/>
          <w:numId w:val="1048"/>
        </w:numPr>
        <w:pStyle w:val="Compact"/>
      </w:pPr>
      <w:r>
        <w:rPr>
          <w:bCs/>
          <w:b/>
        </w:rPr>
        <w:t xml:space="preserve">Parliament Act 1911:</w:t>
      </w:r>
      <w:r>
        <w:t xml:space="preserve"> </w:t>
      </w:r>
      <w:r>
        <w:t xml:space="preserve">The Act ending the House of Lords’ permanent veto power, following the People’s Budget crisis.</w:t>
      </w:r>
    </w:p>
    <w:p>
      <w:pPr>
        <w:numPr>
          <w:ilvl w:val="0"/>
          <w:numId w:val="1048"/>
        </w:numPr>
        <w:pStyle w:val="Compact"/>
      </w:pPr>
      <w:r>
        <w:rPr>
          <w:bCs/>
          <w:b/>
        </w:rPr>
        <w:t xml:space="preserve">Labour Party (1906):</w:t>
      </w:r>
      <w:r>
        <w:t xml:space="preserve"> </w:t>
      </w:r>
      <w:r>
        <w:t xml:space="preserve">The renamed Labour Representation Committee, marking organised labour’s arrival as an independent national political force.</w:t>
      </w:r>
    </w:p>
    <w:bookmarkEnd w:id="97"/>
    <w:bookmarkStart w:id="98" w:name="preparation-toolkit-9"/>
    <w:p>
      <w:pPr>
        <w:pStyle w:val="Heading2"/>
      </w:pPr>
      <w:r>
        <w:t xml:space="preserve">Preparation Toolkit</w:t>
      </w:r>
    </w:p>
    <w:p>
      <w:pPr>
        <w:pStyle w:val="FirstParagraph"/>
      </w:pPr>
      <w:r>
        <w:rPr>
          <w:bCs/>
          <w:b/>
        </w:rPr>
        <w:t xml:space="preserve">Preparation Checklist</w:t>
      </w:r>
    </w:p>
    <w:p>
      <w:pPr>
        <w:numPr>
          <w:ilvl w:val="0"/>
          <w:numId w:val="1049"/>
        </w:numPr>
        <w:pStyle w:val="Compact"/>
      </w:pPr>
      <w:r>
        <w:t xml:space="preserve">Prepare domestic reform first, then party realignment, then foreign policy; explain why organised labour’s growth weakened the old two-party pattern.</w:t>
      </w:r>
    </w:p>
    <w:p>
      <w:pPr>
        <w:numPr>
          <w:ilvl w:val="0"/>
          <w:numId w:val="1049"/>
        </w:numPr>
        <w:pStyle w:val="Compact"/>
      </w:pPr>
      <w:r>
        <w:t xml:space="preserve">Practise one analytical outline answering:</w:t>
      </w:r>
      <w:r>
        <w:t xml:space="preserve"> </w:t>
      </w:r>
      <w:r>
        <w:t xml:space="preserve">“</w:t>
      </w:r>
      <w:r>
        <w:t xml:space="preserve">How did the People’s Budget crisis lead to a permanent change in the constitutional power of the House of Lords?</w:t>
      </w:r>
      <w:r>
        <w:t xml:space="preserve">”</w:t>
      </w:r>
    </w:p>
    <w:p>
      <w:pPr>
        <w:pStyle w:val="FirstParagraph"/>
      </w:pPr>
      <w:r>
        <w:rPr>
          <w:bCs/>
          <w:b/>
        </w:rPr>
        <w:t xml:space="preserve">Common Confusions to Avoid</w:t>
      </w:r>
    </w:p>
    <w:p>
      <w:pPr>
        <w:numPr>
          <w:ilvl w:val="0"/>
          <w:numId w:val="1050"/>
        </w:numPr>
        <w:pStyle w:val="Compact"/>
      </w:pPr>
      <w:r>
        <w:t xml:space="preserve">Do not treat Edwardian politics as ending precisely in 1910 with Edward VII’s death; historians often use the term more broadly for the pre-1914 period.</w:t>
      </w:r>
    </w:p>
    <w:p>
      <w:pPr>
        <w:numPr>
          <w:ilvl w:val="0"/>
          <w:numId w:val="1050"/>
        </w:numPr>
        <w:pStyle w:val="Compact"/>
      </w:pPr>
      <w:r>
        <w:t xml:space="preserve">Do not say the Parliament Act abolished the House of Lords; it restricted its legislative veto.</w:t>
      </w:r>
    </w:p>
    <w:p>
      <w:pPr>
        <w:numPr>
          <w:ilvl w:val="0"/>
          <w:numId w:val="1050"/>
        </w:numPr>
        <w:pStyle w:val="Compact"/>
      </w:pPr>
      <w:r>
        <w:t xml:space="preserve">Do not assume early Labour immediately replaced the Liberals; that realignment took further decades.</w:t>
      </w:r>
    </w:p>
    <w:p>
      <w:pPr>
        <w:pStyle w:val="FirstParagraph"/>
      </w:pPr>
      <w:r>
        <w:rPr>
          <w:bCs/>
          <w:b/>
        </w:rPr>
        <w:t xml:space="preserve">Easy Revision Points</w:t>
      </w:r>
    </w:p>
    <w:p>
      <w:pPr>
        <w:numPr>
          <w:ilvl w:val="0"/>
          <w:numId w:val="1051"/>
        </w:numPr>
        <w:pStyle w:val="Compact"/>
      </w:pPr>
      <w:r>
        <w:t xml:space="preserve">The Labour Representation Committee was founded in 1900 and renamed the Labour Party in 1906.</w:t>
      </w:r>
    </w:p>
    <w:p>
      <w:pPr>
        <w:numPr>
          <w:ilvl w:val="0"/>
          <w:numId w:val="1051"/>
        </w:numPr>
        <w:pStyle w:val="Compact"/>
      </w:pPr>
      <w:r>
        <w:t xml:space="preserve">Liberal governments after 1906 introduced old-age pensions (1908) and National Insurance (1911).</w:t>
      </w:r>
    </w:p>
    <w:p>
      <w:pPr>
        <w:numPr>
          <w:ilvl w:val="0"/>
          <w:numId w:val="1051"/>
        </w:numPr>
        <w:pStyle w:val="Compact"/>
      </w:pPr>
      <w:r>
        <w:t xml:space="preserve">The People’s Budget of 1909 provoked a constitutional struggle with the House of Lords.</w:t>
      </w:r>
    </w:p>
    <w:p>
      <w:pPr>
        <w:numPr>
          <w:ilvl w:val="0"/>
          <w:numId w:val="1051"/>
        </w:numPr>
        <w:pStyle w:val="Compact"/>
      </w:pPr>
      <w:r>
        <w:t xml:space="preserve">The Parliament Act 1911 reduced the Lords’ power to block most legislation permanently.</w:t>
      </w:r>
    </w:p>
    <w:bookmarkEnd w:id="98"/>
    <w:bookmarkStart w:id="99" w:name="key-takeaways-9"/>
    <w:p>
      <w:pPr>
        <w:pStyle w:val="Heading2"/>
      </w:pPr>
      <w:r>
        <w:t xml:space="preserve">Key Takeaways</w:t>
      </w:r>
    </w:p>
    <w:p>
      <w:pPr>
        <w:numPr>
          <w:ilvl w:val="0"/>
          <w:numId w:val="1052"/>
        </w:numPr>
        <w:pStyle w:val="Compact"/>
      </w:pPr>
      <w:r>
        <w:t xml:space="preserve">This era is the bridge from Victorian liberal politics to mass democracy, welfare reform, and the twentieth-century party system — frame every answer accordingly.</w:t>
      </w:r>
    </w:p>
    <w:p>
      <w:pPr>
        <w:numPr>
          <w:ilvl w:val="0"/>
          <w:numId w:val="1052"/>
        </w:numPr>
        <w:pStyle w:val="Compact"/>
      </w:pPr>
      <w:r>
        <w:t xml:space="preserve">The Parliament Act 1911 is a genuinely major, if often underweighted, constitutional turning point directly comparable in significance to the 1832 and 1867 Reform Acts.</w:t>
      </w:r>
    </w:p>
    <w:bookmarkEnd w:id="99"/>
    <w:bookmarkEnd w:id="100"/>
    <w:bookmarkStart w:id="108" w:name="X6475cd4675289da37371a43e93ecc14f3b36588"/>
    <w:p>
      <w:pPr>
        <w:pStyle w:val="Heading1"/>
        <w:pageBreakBefore/>
      </w:pPr>
      <w:r>
        <w:t xml:space="preserve">11. Britain in the First World War and Its Aftermath</w:t>
      </w:r>
    </w:p>
    <w:bookmarkStart w:id="101" w:name="why-this-topic-matters-10"/>
    <w:p>
      <w:pPr>
        <w:pStyle w:val="Heading2"/>
      </w:pPr>
      <w:r>
        <w:t xml:space="preserve">Why This Topic Matters</w:t>
      </w:r>
    </w:p>
    <w:p>
      <w:pPr>
        <w:pStyle w:val="FirstParagraph"/>
      </w:pPr>
      <w:r>
        <w:t xml:space="preserve">This topic has two connected halves — fighting a total war (1914–18) and managing its economic and diplomatic aftermath (1919–39) — and appeasement specifically must be judged by the constraints contemporaries faced, not by hindsight alone.</w:t>
      </w:r>
    </w:p>
    <w:bookmarkEnd w:id="101"/>
    <w:bookmarkStart w:id="102" w:name="entry-total-war-and-political-change"/>
    <w:p>
      <w:pPr>
        <w:pStyle w:val="Heading2"/>
      </w:pPr>
      <w:r>
        <w:t xml:space="preserve">Entry, Total War, and Political Change</w:t>
      </w:r>
    </w:p>
    <w:p>
      <w:pPr>
        <w:pStyle w:val="FirstParagraph"/>
      </w:pPr>
      <w:r>
        <w:t xml:space="preserve">Britain was not bound by one simple treaty clause to fight Germany, but German invasion of neutral Belgium, concern for the European balance of power, and commitments to France together drove the decision to declare war in</w:t>
      </w:r>
      <w:r>
        <w:t xml:space="preserve"> </w:t>
      </w:r>
      <w:r>
        <w:rPr>
          <w:bCs/>
          <w:b/>
        </w:rPr>
        <w:t xml:space="preserve">August 1914</w:t>
      </w:r>
      <w:r>
        <w:t xml:space="preserve">. The state subsequently intervened heavily in industry, transport, food supply and labour; conscription was introduced, women entered new forms of wartime employment, and the empire supplied both troops and resources on an unprecedented scale. The Royal Navy maintained blockade pressure while British armies fought on the Western Front and other theatres, sustaining enormous casualties that transformed British society and politics. Domestically, the Lloyd George coalition reorganised war management, and the</w:t>
      </w:r>
      <w:r>
        <w:t xml:space="preserve"> </w:t>
      </w:r>
      <w:r>
        <w:rPr>
          <w:bCs/>
          <w:b/>
        </w:rPr>
        <w:t xml:space="preserve">Representation of the People Act 1918</w:t>
      </w:r>
      <w:r>
        <w:t xml:space="preserve"> </w:t>
      </w:r>
      <w:r>
        <w:t xml:space="preserve">dramatically widened the electorate — accelerating Britain’s shift toward mass democracy directly from wartime pressure.</w:t>
      </w:r>
    </w:p>
    <w:bookmarkEnd w:id="102"/>
    <w:bookmarkStart w:id="103" w:name="peace-settlement-and-interwar-difficulty"/>
    <w:p>
      <w:pPr>
        <w:pStyle w:val="Heading2"/>
      </w:pPr>
      <w:r>
        <w:t xml:space="preserve">Peace Settlement and Interwar Difficulty</w:t>
      </w:r>
    </w:p>
    <w:p>
      <w:pPr>
        <w:pStyle w:val="FirstParagraph"/>
      </w:pPr>
      <w:r>
        <w:t xml:space="preserve">Britain participated in the Paris Peace Conference and supported the</w:t>
      </w:r>
      <w:r>
        <w:t xml:space="preserve"> </w:t>
      </w:r>
      <w:r>
        <w:rPr>
          <w:bCs/>
          <w:b/>
        </w:rPr>
        <w:t xml:space="preserve">League of Nations</w:t>
      </w:r>
      <w:r>
        <w:t xml:space="preserve">, balancing the punishment of Germany against European stability, imperial interests and domestic public opinion. Heavy wartime debt, ageing industrial structures, chronic unemployment, and the</w:t>
      </w:r>
      <w:r>
        <w:t xml:space="preserve"> </w:t>
      </w:r>
      <w:r>
        <w:rPr>
          <w:bCs/>
          <w:b/>
        </w:rPr>
        <w:t xml:space="preserve">Great Depression</w:t>
      </w:r>
      <w:r>
        <w:t xml:space="preserve"> </w:t>
      </w:r>
      <w:r>
        <w:t xml:space="preserve">after 1929 created prolonged economic difficulty across many regions, strengthening the Labour Party and reshaping the political landscape.</w:t>
      </w:r>
    </w:p>
    <w:bookmarkEnd w:id="103"/>
    <w:bookmarkStart w:id="104" w:name="appeasement-and-rearmament"/>
    <w:p>
      <w:pPr>
        <w:pStyle w:val="Heading2"/>
      </w:pPr>
      <w:r>
        <w:t xml:space="preserve">Appeasement and Rearmament</w:t>
      </w:r>
    </w:p>
    <w:p>
      <w:pPr>
        <w:pStyle w:val="FirstParagraph"/>
      </w:pPr>
      <w:r>
        <w:t xml:space="preserve">British leaders in the 1930s sought to avoid another catastrophic war while facing real economic and military constraints;</w:t>
      </w:r>
      <w:r>
        <w:t xml:space="preserve"> </w:t>
      </w:r>
      <w:r>
        <w:rPr>
          <w:bCs/>
          <w:b/>
        </w:rPr>
        <w:t xml:space="preserve">appeasement</w:t>
      </w:r>
      <w:r>
        <w:t xml:space="preserve"> </w:t>
      </w:r>
      <w:r>
        <w:t xml:space="preserve">reflected genuine fear of war, uncertainty over reliable allies, and belief that some German grievances might be negotiated away — assumptions the</w:t>
      </w:r>
      <w:r>
        <w:t xml:space="preserve"> </w:t>
      </w:r>
      <w:r>
        <w:rPr>
          <w:bCs/>
          <w:b/>
        </w:rPr>
        <w:t xml:space="preserve">Munich Agreement (1938)</w:t>
      </w:r>
      <w:r>
        <w:t xml:space="preserve"> </w:t>
      </w:r>
      <w:r>
        <w:t xml:space="preserve">came to symbolise, before Hitler’s further expansion exposed the policy’s failure. Britain simultaneously accelerated rearmament through the later 1930s, showing appeasement and preparation for war proceeded together rather than as simple alternatives.</w:t>
      </w:r>
    </w:p>
    <w:bookmarkEnd w:id="104"/>
    <w:bookmarkStart w:id="105" w:name="key-terms-and-concepts-10"/>
    <w:p>
      <w:pPr>
        <w:pStyle w:val="Heading2"/>
      </w:pPr>
      <w:r>
        <w:t xml:space="preserve">Key Terms and Concepts</w:t>
      </w:r>
    </w:p>
    <w:p>
      <w:pPr>
        <w:numPr>
          <w:ilvl w:val="0"/>
          <w:numId w:val="1053"/>
        </w:numPr>
        <w:pStyle w:val="Compact"/>
      </w:pPr>
      <w:r>
        <w:rPr>
          <w:bCs/>
          <w:b/>
        </w:rPr>
        <w:t xml:space="preserve">Representation of the People Act 1918:</w:t>
      </w:r>
      <w:r>
        <w:t xml:space="preserve"> </w:t>
      </w:r>
      <w:r>
        <w:t xml:space="preserve">The Act massively expanding the electorate, including most adult men and many women over 30.</w:t>
      </w:r>
    </w:p>
    <w:p>
      <w:pPr>
        <w:numPr>
          <w:ilvl w:val="0"/>
          <w:numId w:val="1053"/>
        </w:numPr>
        <w:pStyle w:val="Compact"/>
      </w:pPr>
      <w:r>
        <w:rPr>
          <w:bCs/>
          <w:b/>
        </w:rPr>
        <w:t xml:space="preserve">Appeasement:</w:t>
      </w:r>
      <w:r>
        <w:t xml:space="preserve"> </w:t>
      </w:r>
      <w:r>
        <w:t xml:space="preserve">The 1930s policy of accommodating German demands to avoid war, symbolised by the 1938 Munich Agreement.</w:t>
      </w:r>
    </w:p>
    <w:bookmarkEnd w:id="105"/>
    <w:bookmarkStart w:id="106" w:name="preparation-toolkit-10"/>
    <w:p>
      <w:pPr>
        <w:pStyle w:val="Heading2"/>
      </w:pPr>
      <w:r>
        <w:t xml:space="preserve">Preparation Toolkit</w:t>
      </w:r>
    </w:p>
    <w:p>
      <w:pPr>
        <w:pStyle w:val="FirstParagraph"/>
      </w:pPr>
      <w:r>
        <w:rPr>
          <w:bCs/>
          <w:b/>
        </w:rPr>
        <w:t xml:space="preserve">Preparation Checklist</w:t>
      </w:r>
    </w:p>
    <w:p>
      <w:pPr>
        <w:numPr>
          <w:ilvl w:val="0"/>
          <w:numId w:val="1054"/>
        </w:numPr>
        <w:pStyle w:val="Compact"/>
      </w:pPr>
      <w:r>
        <w:t xml:space="preserve">Separate 1914–18 from 1919–39 clearly; for appeasement, explain economic, military, diplomatic and public-opinion constraints before evaluating the policy’s failure.</w:t>
      </w:r>
    </w:p>
    <w:p>
      <w:pPr>
        <w:numPr>
          <w:ilvl w:val="0"/>
          <w:numId w:val="1054"/>
        </w:numPr>
        <w:pStyle w:val="Compact"/>
      </w:pPr>
      <w:r>
        <w:t xml:space="preserve">Practise one analytical outline answering:</w:t>
      </w:r>
      <w:r>
        <w:t xml:space="preserve"> </w:t>
      </w:r>
      <w:r>
        <w:t xml:space="preserve">“</w:t>
      </w:r>
      <w:r>
        <w:t xml:space="preserve">Why did appeasement seem a reasonable policy to contemporaries in the 1930s, and why did it ultimately fail?</w:t>
      </w:r>
      <w:r>
        <w:t xml:space="preserve">”</w:t>
      </w:r>
    </w:p>
    <w:p>
      <w:pPr>
        <w:pStyle w:val="FirstParagraph"/>
      </w:pPr>
      <w:r>
        <w:rPr>
          <w:bCs/>
          <w:b/>
        </w:rPr>
        <w:t xml:space="preserve">Common Confusions to Avoid</w:t>
      </w:r>
    </w:p>
    <w:p>
      <w:pPr>
        <w:numPr>
          <w:ilvl w:val="0"/>
          <w:numId w:val="1055"/>
        </w:numPr>
        <w:pStyle w:val="Compact"/>
      </w:pPr>
      <w:r>
        <w:t xml:space="preserve">Do not reduce Britain’s WWI entry to one treaty obligation; several strategic and legal considerations mattered.</w:t>
      </w:r>
    </w:p>
    <w:p>
      <w:pPr>
        <w:numPr>
          <w:ilvl w:val="0"/>
          <w:numId w:val="1055"/>
        </w:numPr>
        <w:pStyle w:val="Compact"/>
      </w:pPr>
      <w:r>
        <w:t xml:space="preserve">Do not judge appeasement only with hindsight; explain its contemporary appeal before evaluating its weaknesses.</w:t>
      </w:r>
    </w:p>
    <w:p>
      <w:pPr>
        <w:numPr>
          <w:ilvl w:val="0"/>
          <w:numId w:val="1055"/>
        </w:numPr>
        <w:pStyle w:val="Compact"/>
      </w:pPr>
      <w:r>
        <w:t xml:space="preserve">Do not forget domestic consequences such as suffrage reform, labour change and economic dislocation.</w:t>
      </w:r>
    </w:p>
    <w:p>
      <w:pPr>
        <w:pStyle w:val="FirstParagraph"/>
      </w:pPr>
      <w:r>
        <w:rPr>
          <w:bCs/>
          <w:b/>
        </w:rPr>
        <w:t xml:space="preserve">Easy Revision Points</w:t>
      </w:r>
    </w:p>
    <w:p>
      <w:pPr>
        <w:numPr>
          <w:ilvl w:val="0"/>
          <w:numId w:val="1056"/>
        </w:numPr>
        <w:pStyle w:val="Compact"/>
      </w:pPr>
      <w:r>
        <w:t xml:space="preserve">Britain declared war on Germany on 4 August 1914 after Germany invaded Belgium.</w:t>
      </w:r>
    </w:p>
    <w:p>
      <w:pPr>
        <w:numPr>
          <w:ilvl w:val="0"/>
          <w:numId w:val="1056"/>
        </w:numPr>
        <w:pStyle w:val="Compact"/>
      </w:pPr>
      <w:r>
        <w:t xml:space="preserve">The Representation of the People Act 1918 greatly expanded the electorate.</w:t>
      </w:r>
    </w:p>
    <w:p>
      <w:pPr>
        <w:numPr>
          <w:ilvl w:val="0"/>
          <w:numId w:val="1056"/>
        </w:numPr>
        <w:pStyle w:val="Compact"/>
      </w:pPr>
      <w:r>
        <w:t xml:space="preserve">Britain was a founding member of the League of Nations following the Paris Peace Conference.</w:t>
      </w:r>
    </w:p>
    <w:p>
      <w:pPr>
        <w:numPr>
          <w:ilvl w:val="0"/>
          <w:numId w:val="1056"/>
        </w:numPr>
        <w:pStyle w:val="Compact"/>
      </w:pPr>
      <w:r>
        <w:t xml:space="preserve">The Great Depression after 1929 intensified unemployment and fiscal pressure in Britain.</w:t>
      </w:r>
    </w:p>
    <w:p>
      <w:pPr>
        <w:numPr>
          <w:ilvl w:val="0"/>
          <w:numId w:val="1056"/>
        </w:numPr>
        <w:pStyle w:val="Compact"/>
      </w:pPr>
      <w:r>
        <w:t xml:space="preserve">The Munich Agreement of 1938 became the symbol of appeasement; Britain simultaneously accelerated rearmament in the later 1930s.</w:t>
      </w:r>
    </w:p>
    <w:bookmarkEnd w:id="106"/>
    <w:bookmarkStart w:id="107" w:name="key-takeaways-10"/>
    <w:p>
      <w:pPr>
        <w:pStyle w:val="Heading2"/>
      </w:pPr>
      <w:r>
        <w:t xml:space="preserve">Key Takeaways</w:t>
      </w:r>
    </w:p>
    <w:p>
      <w:pPr>
        <w:numPr>
          <w:ilvl w:val="0"/>
          <w:numId w:val="1057"/>
        </w:numPr>
        <w:pStyle w:val="Compact"/>
      </w:pPr>
      <w:r>
        <w:t xml:space="preserve">Treat 1914–18 and 1919–39 as two connected but analytically distinct halves of this topic.</w:t>
      </w:r>
    </w:p>
    <w:p>
      <w:pPr>
        <w:numPr>
          <w:ilvl w:val="0"/>
          <w:numId w:val="1057"/>
        </w:numPr>
        <w:pStyle w:val="Compact"/>
      </w:pPr>
      <w:r>
        <w:t xml:space="preserve">Appeasement should be evaluated as a policy made under genuine constraint, with hindsight applied only after its contemporary logic is properly explained.</w:t>
      </w:r>
    </w:p>
    <w:bookmarkEnd w:id="107"/>
    <w:bookmarkEnd w:id="108"/>
    <w:bookmarkStart w:id="116" w:name="X0e10c5417cb9139f5fefc4be720f5f595d786b8"/>
    <w:p>
      <w:pPr>
        <w:pStyle w:val="Heading1"/>
        <w:pageBreakBefore/>
      </w:pPr>
      <w:r>
        <w:t xml:space="preserve">12. Britain in the Second World War and the Labour Settlement</w:t>
      </w:r>
    </w:p>
    <w:bookmarkStart w:id="109" w:name="why-this-topic-matters-11"/>
    <w:p>
      <w:pPr>
        <w:pStyle w:val="Heading2"/>
      </w:pPr>
      <w:r>
        <w:t xml:space="preserve">Why This Topic Matters</w:t>
      </w:r>
    </w:p>
    <w:p>
      <w:pPr>
        <w:pStyle w:val="FirstParagraph"/>
      </w:pPr>
      <w:r>
        <w:t xml:space="preserve">Wartime mobilisation and sacrifice directly produced the postwar demand for welfare and reconstruction that carried Labour to power in 1945 — this causal link, not Churchill’s biography, is the topic’s central analytical point.</w:t>
      </w:r>
    </w:p>
    <w:bookmarkEnd w:id="109"/>
    <w:bookmarkStart w:id="110" w:name="the-road-to-war-and-1940"/>
    <w:p>
      <w:pPr>
        <w:pStyle w:val="Heading2"/>
      </w:pPr>
      <w:r>
        <w:t xml:space="preserve">The Road to War and 1940</w:t>
      </w:r>
    </w:p>
    <w:p>
      <w:pPr>
        <w:pStyle w:val="FirstParagraph"/>
      </w:pPr>
      <w:r>
        <w:t xml:space="preserve">German expansion after Munich, the occupation of Czechoslovakia, and the invasion of Poland convinced Britain further concessions would not preserve peace; Britain declared war in</w:t>
      </w:r>
      <w:r>
        <w:t xml:space="preserve"> </w:t>
      </w:r>
      <w:r>
        <w:rPr>
          <w:bCs/>
          <w:b/>
        </w:rPr>
        <w:t xml:space="preserve">September 1939</w:t>
      </w:r>
      <w:r>
        <w:t xml:space="preserve">.</w:t>
      </w:r>
      <w:r>
        <w:t xml:space="preserve"> </w:t>
      </w:r>
      <w:r>
        <w:rPr>
          <w:bCs/>
          <w:b/>
        </w:rPr>
        <w:t xml:space="preserve">Churchill</w:t>
      </w:r>
      <w:r>
        <w:t xml:space="preserve"> </w:t>
      </w:r>
      <w:r>
        <w:t xml:space="preserve">became prime minister during Germany’s 1940 western offensive; after France fell, Britain evacuated troops from Dunkirk and resisted the Luftwaffe in the</w:t>
      </w:r>
      <w:r>
        <w:t xml:space="preserve"> </w:t>
      </w:r>
      <w:r>
        <w:rPr>
          <w:bCs/>
          <w:b/>
        </w:rPr>
        <w:t xml:space="preserve">Battle of Britain</w:t>
      </w:r>
      <w:r>
        <w:t xml:space="preserve">, preventing Germany from gaining the air superiority its invasion plans required.</w:t>
      </w:r>
    </w:p>
    <w:bookmarkEnd w:id="110"/>
    <w:bookmarkStart w:id="111" w:name="mobilisation-alliance-and-victory"/>
    <w:p>
      <w:pPr>
        <w:pStyle w:val="Heading2"/>
      </w:pPr>
      <w:r>
        <w:t xml:space="preserve">Mobilisation, Alliance, and Victory</w:t>
      </w:r>
    </w:p>
    <w:p>
      <w:pPr>
        <w:pStyle w:val="FirstParagraph"/>
      </w:pPr>
      <w:r>
        <w:t xml:space="preserve">Rationing, evacuation, civil defence, expanded women’s labour and comprehensive industrial planning made the war a genuinely national social experience, with state control of resources reaching far beyond normal peacetime government. Britain depended increasingly on the United States and Soviet Union after 1941, and victory came through coalition strategy across the Atlantic, Mediterranean, and air war, culminating in the Normandy landings. Britain participated in major Allied conferences (</w:t>
      </w:r>
      <w:r>
        <w:rPr>
          <w:bCs/>
          <w:b/>
        </w:rPr>
        <w:t xml:space="preserve">Tehran, 1943; Yalta, 1945</w:t>
      </w:r>
      <w:r>
        <w:t xml:space="preserve">), and the</w:t>
      </w:r>
      <w:r>
        <w:t xml:space="preserve"> </w:t>
      </w:r>
      <w:r>
        <w:rPr>
          <w:bCs/>
          <w:b/>
        </w:rPr>
        <w:t xml:space="preserve">Beveridge Report</w:t>
      </w:r>
      <w:r>
        <w:t xml:space="preserve"> </w:t>
      </w:r>
      <w:r>
        <w:t xml:space="preserve">together with wartime reconstruction planning encouraged strong public expectations of social security after victory.</w:t>
      </w:r>
    </w:p>
    <w:bookmarkEnd w:id="111"/>
    <w:bookmarkStart w:id="112" w:name="the-1945-labour-settlement"/>
    <w:p>
      <w:pPr>
        <w:pStyle w:val="Heading2"/>
      </w:pPr>
      <w:r>
        <w:t xml:space="preserve">The 1945 Labour Settlement</w:t>
      </w:r>
    </w:p>
    <w:p>
      <w:pPr>
        <w:pStyle w:val="FirstParagraph"/>
      </w:pPr>
      <w:r>
        <w:t xml:space="preserve">Voters respected Churchill’s wartime leadership but chose Labour’s domestic reform programme in</w:t>
      </w:r>
      <w:r>
        <w:t xml:space="preserve"> </w:t>
      </w:r>
      <w:r>
        <w:rPr>
          <w:bCs/>
          <w:b/>
        </w:rPr>
        <w:t xml:space="preserve">1945</w:t>
      </w:r>
      <w:r>
        <w:t xml:space="preserve">; Attlee’s government</w:t>
      </w:r>
      <w:r>
        <w:t xml:space="preserve"> </w:t>
      </w:r>
      <w:r>
        <w:rPr>
          <w:bCs/>
          <w:b/>
        </w:rPr>
        <w:t xml:space="preserve">nationalised major industries</w:t>
      </w:r>
      <w:r>
        <w:t xml:space="preserve">, expanded social insurance, and established the</w:t>
      </w:r>
      <w:r>
        <w:t xml:space="preserve"> </w:t>
      </w:r>
      <w:r>
        <w:rPr>
          <w:bCs/>
          <w:b/>
        </w:rPr>
        <w:t xml:space="preserve">National Health Service (1948)</w:t>
      </w:r>
      <w:r>
        <w:t xml:space="preserve">. Britain ended the war victorious but financially exhausted and increasingly dependent on the United States, with decolonisation accelerating — proof that military victory alone did not restore Britain’s prewar global position (Topic 13).</w:t>
      </w:r>
    </w:p>
    <w:bookmarkEnd w:id="112"/>
    <w:bookmarkStart w:id="113" w:name="key-terms-and-concepts-11"/>
    <w:p>
      <w:pPr>
        <w:pStyle w:val="Heading2"/>
      </w:pPr>
      <w:r>
        <w:t xml:space="preserve">Key Terms and Concepts</w:t>
      </w:r>
    </w:p>
    <w:p>
      <w:pPr>
        <w:numPr>
          <w:ilvl w:val="0"/>
          <w:numId w:val="1058"/>
        </w:numPr>
        <w:pStyle w:val="Compact"/>
      </w:pPr>
      <w:r>
        <w:rPr>
          <w:bCs/>
          <w:b/>
        </w:rPr>
        <w:t xml:space="preserve">Beveridge Report:</w:t>
      </w:r>
      <w:r>
        <w:t xml:space="preserve"> </w:t>
      </w:r>
      <w:r>
        <w:t xml:space="preserve">The wartime blueprint for postwar social security that shaped Labour’s welfare reforms.</w:t>
      </w:r>
    </w:p>
    <w:p>
      <w:pPr>
        <w:numPr>
          <w:ilvl w:val="0"/>
          <w:numId w:val="1058"/>
        </w:numPr>
        <w:pStyle w:val="Compact"/>
      </w:pPr>
      <w:r>
        <w:rPr>
          <w:bCs/>
          <w:b/>
        </w:rPr>
        <w:t xml:space="preserve">National Health Service (1948):</w:t>
      </w:r>
      <w:r>
        <w:t xml:space="preserve"> </w:t>
      </w:r>
      <w:r>
        <w:t xml:space="preserve">The flagship institution of Attlee’s postwar welfare settlement.</w:t>
      </w:r>
    </w:p>
    <w:bookmarkEnd w:id="113"/>
    <w:bookmarkStart w:id="114" w:name="preparation-toolkit-11"/>
    <w:p>
      <w:pPr>
        <w:pStyle w:val="Heading2"/>
      </w:pPr>
      <w:r>
        <w:t xml:space="preserve">Preparation Toolkit</w:t>
      </w:r>
    </w:p>
    <w:p>
      <w:pPr>
        <w:pStyle w:val="FirstParagraph"/>
      </w:pPr>
      <w:r>
        <w:rPr>
          <w:bCs/>
          <w:b/>
        </w:rPr>
        <w:t xml:space="preserve">Preparation Checklist</w:t>
      </w:r>
    </w:p>
    <w:p>
      <w:pPr>
        <w:numPr>
          <w:ilvl w:val="0"/>
          <w:numId w:val="1059"/>
        </w:numPr>
        <w:pStyle w:val="Compact"/>
      </w:pPr>
      <w:r>
        <w:t xml:space="preserve">Prepare war leadership and home-front mobilisation separately from postwar reform; evaluate Churchill through cabinet and allied cooperation, not heroic biography.</w:t>
      </w:r>
    </w:p>
    <w:p>
      <w:pPr>
        <w:numPr>
          <w:ilvl w:val="0"/>
          <w:numId w:val="1059"/>
        </w:numPr>
        <w:pStyle w:val="Compact"/>
      </w:pPr>
      <w:r>
        <w:t xml:space="preserve">Practise one analytical outline answering:</w:t>
      </w:r>
      <w:r>
        <w:t xml:space="preserve"> </w:t>
      </w:r>
      <w:r>
        <w:t xml:space="preserve">“</w:t>
      </w:r>
      <w:r>
        <w:t xml:space="preserve">How did wartime mobilisation and planning shape the Labour welfare reforms of 1945–48?</w:t>
      </w:r>
      <w:r>
        <w:t xml:space="preserve">”</w:t>
      </w:r>
    </w:p>
    <w:p>
      <w:pPr>
        <w:pStyle w:val="FirstParagraph"/>
      </w:pPr>
      <w:r>
        <w:rPr>
          <w:bCs/>
          <w:b/>
        </w:rPr>
        <w:t xml:space="preserve">Common Confusions to Avoid</w:t>
      </w:r>
    </w:p>
    <w:p>
      <w:pPr>
        <w:numPr>
          <w:ilvl w:val="0"/>
          <w:numId w:val="1060"/>
        </w:numPr>
        <w:pStyle w:val="Compact"/>
      </w:pPr>
      <w:r>
        <w:t xml:space="preserve">Do not treat Churchill as sole decision-maker; war leadership was cabinet- and alliance-based.</w:t>
      </w:r>
    </w:p>
    <w:p>
      <w:pPr>
        <w:numPr>
          <w:ilvl w:val="0"/>
          <w:numId w:val="1060"/>
        </w:numPr>
        <w:pStyle w:val="Compact"/>
      </w:pPr>
      <w:r>
        <w:t xml:space="preserve">Do not say the welfare state started from nothing in 1945; earlier reforms and wartime planning provided real foundations.</w:t>
      </w:r>
    </w:p>
    <w:p>
      <w:pPr>
        <w:numPr>
          <w:ilvl w:val="0"/>
          <w:numId w:val="1060"/>
        </w:numPr>
        <w:pStyle w:val="Compact"/>
      </w:pPr>
      <w:r>
        <w:t xml:space="preserve">Do not confuse military victory with economic strength; postwar Britain faced severe financial constraints.</w:t>
      </w:r>
    </w:p>
    <w:p>
      <w:pPr>
        <w:pStyle w:val="FirstParagraph"/>
      </w:pPr>
      <w:r>
        <w:rPr>
          <w:bCs/>
          <w:b/>
        </w:rPr>
        <w:t xml:space="preserve">Easy Revision Points</w:t>
      </w:r>
    </w:p>
    <w:p>
      <w:pPr>
        <w:numPr>
          <w:ilvl w:val="0"/>
          <w:numId w:val="1061"/>
        </w:numPr>
        <w:pStyle w:val="Compact"/>
      </w:pPr>
      <w:r>
        <w:t xml:space="preserve">Britain declared war on Germany in September 1939 after Germany invaded Poland.</w:t>
      </w:r>
    </w:p>
    <w:p>
      <w:pPr>
        <w:numPr>
          <w:ilvl w:val="0"/>
          <w:numId w:val="1061"/>
        </w:numPr>
        <w:pStyle w:val="Compact"/>
      </w:pPr>
      <w:r>
        <w:t xml:space="preserve">Winston Churchill became prime minister in May 1940 during the crisis created by Germany’s western offensive.</w:t>
      </w:r>
    </w:p>
    <w:p>
      <w:pPr>
        <w:numPr>
          <w:ilvl w:val="0"/>
          <w:numId w:val="1061"/>
        </w:numPr>
        <w:pStyle w:val="Compact"/>
      </w:pPr>
      <w:r>
        <w:t xml:space="preserve">Britain participated in major Allied conferences, including Tehran (1943) and Yalta (1945).</w:t>
      </w:r>
    </w:p>
    <w:p>
      <w:pPr>
        <w:numPr>
          <w:ilvl w:val="0"/>
          <w:numId w:val="1061"/>
        </w:numPr>
        <w:pStyle w:val="Compact"/>
      </w:pPr>
      <w:r>
        <w:t xml:space="preserve">The Labour government elected in 1945 created the National Health Service in 1948 and expanded social security and public ownership.</w:t>
      </w:r>
    </w:p>
    <w:bookmarkEnd w:id="114"/>
    <w:bookmarkStart w:id="115" w:name="key-takeaways-11"/>
    <w:p>
      <w:pPr>
        <w:pStyle w:val="Heading2"/>
      </w:pPr>
      <w:r>
        <w:t xml:space="preserve">Key Takeaways</w:t>
      </w:r>
    </w:p>
    <w:p>
      <w:pPr>
        <w:numPr>
          <w:ilvl w:val="0"/>
          <w:numId w:val="1062"/>
        </w:numPr>
        <w:pStyle w:val="Compact"/>
      </w:pPr>
      <w:r>
        <w:t xml:space="preserve">The direct causal link between wartime sacrifice/planning and the 1945 Labour welfare settlement is the topic’s central point, not a biographical account of Churchill.</w:t>
      </w:r>
    </w:p>
    <w:p>
      <w:pPr>
        <w:numPr>
          <w:ilvl w:val="0"/>
          <w:numId w:val="1062"/>
        </w:numPr>
        <w:pStyle w:val="Compact"/>
      </w:pPr>
      <w:r>
        <w:t xml:space="preserve">Postwar Britain was simultaneously victorious and financially exhausted — both facts are needed to understand the accelerating decolonisation covered in Topic 13.</w:t>
      </w:r>
    </w:p>
    <w:bookmarkEnd w:id="115"/>
    <w:bookmarkEnd w:id="116"/>
    <w:bookmarkStart w:id="124" w:name="X66c36a6abd9e72aa193bd3bb6b028ac9ee54f90"/>
    <w:p>
      <w:pPr>
        <w:pStyle w:val="Heading1"/>
        <w:pageBreakBefore/>
      </w:pPr>
      <w:r>
        <w:t xml:space="preserve">13. Britain and the Cold War: Commonwealth, NATO, Decolonization and Europe</w:t>
      </w:r>
    </w:p>
    <w:bookmarkStart w:id="117" w:name="why-this-topic-matters-12"/>
    <w:p>
      <w:pPr>
        <w:pStyle w:val="Heading2"/>
      </w:pPr>
      <w:r>
        <w:t xml:space="preserve">Why This Topic Matters</w:t>
      </w:r>
    </w:p>
    <w:p>
      <w:pPr>
        <w:pStyle w:val="FirstParagraph"/>
      </w:pPr>
      <w:r>
        <w:t xml:space="preserve">This topic asks one large organising question: how did Britain adjust from global imperial power to a middle-ranking nuclear-armed state embedded in Atlantic and European institutions?</w:t>
      </w:r>
    </w:p>
    <w:bookmarkEnd w:id="117"/>
    <w:bookmarkStart w:id="118" w:name="atlantic-alliance-and-nuclear-policy"/>
    <w:p>
      <w:pPr>
        <w:pStyle w:val="Heading2"/>
      </w:pPr>
      <w:r>
        <w:t xml:space="preserve">Atlantic Alliance and Nuclear Policy</w:t>
      </w:r>
    </w:p>
    <w:p>
      <w:pPr>
        <w:pStyle w:val="FirstParagraph"/>
      </w:pPr>
      <w:r>
        <w:t xml:space="preserve">Britain became a founding member of</w:t>
      </w:r>
      <w:r>
        <w:t xml:space="preserve"> </w:t>
      </w:r>
      <w:r>
        <w:rPr>
          <w:bCs/>
          <w:b/>
        </w:rPr>
        <w:t xml:space="preserve">NATO in 1949</w:t>
      </w:r>
      <w:r>
        <w:t xml:space="preserve">, tying its security closely to the United States; the</w:t>
      </w:r>
      <w:r>
        <w:t xml:space="preserve"> </w:t>
      </w:r>
      <w:r>
        <w:t xml:space="preserve">“</w:t>
      </w:r>
      <w:r>
        <w:t xml:space="preserve">special relationship</w:t>
      </w:r>
      <w:r>
        <w:t xml:space="preserve">”</w:t>
      </w:r>
      <w:r>
        <w:t xml:space="preserve"> </w:t>
      </w:r>
      <w:r>
        <w:t xml:space="preserve">involved intelligence, nuclear and diplomatic cooperation, though it did not imply equal power between the two states. Britain developed its own atomic and later thermonuclear weapons to maintain strategic great-power status, making nuclear deterrence an enduring, if controversial, part of defence policy.</w:t>
      </w:r>
    </w:p>
    <w:bookmarkEnd w:id="118"/>
    <w:bookmarkStart w:id="119" w:name="decolonisation-and-the-suez-crisis"/>
    <w:p>
      <w:pPr>
        <w:pStyle w:val="Heading2"/>
      </w:pPr>
      <w:r>
        <w:t xml:space="preserve">Decolonisation and the Suez Crisis</w:t>
      </w:r>
    </w:p>
    <w:p>
      <w:pPr>
        <w:pStyle w:val="FirstParagraph"/>
      </w:pPr>
      <w:r>
        <w:rPr>
          <w:bCs/>
          <w:b/>
        </w:rPr>
        <w:t xml:space="preserve">India and Pakistan became independent in 1947</w:t>
      </w:r>
      <w:r>
        <w:t xml:space="preserve">, followed by decolonisation across Africa, Asia, and the Caribbean, driven by nationalism, Britain’s economic limits, changing international norms, and differing local circumstances in each territory. The</w:t>
      </w:r>
      <w:r>
        <w:t xml:space="preserve"> </w:t>
      </w:r>
      <w:r>
        <w:rPr>
          <w:bCs/>
          <w:b/>
        </w:rPr>
        <w:t xml:space="preserve">Suez Crisis of 1956</w:t>
      </w:r>
      <w:r>
        <w:t xml:space="preserve"> </w:t>
      </w:r>
      <w:r>
        <w:t xml:space="preserve">— in which Britain, France and Israel acted against Egypt after Nasser nationalised the Suez Canal — ended in enforced withdrawal under American financial and diplomatic pressure, dramatically and publicly exposing the limits of independent British great-power action.</w:t>
      </w:r>
    </w:p>
    <w:bookmarkEnd w:id="119"/>
    <w:bookmarkStart w:id="120" w:name="commonwealth-and-europe"/>
    <w:p>
      <w:pPr>
        <w:pStyle w:val="Heading2"/>
      </w:pPr>
      <w:r>
        <w:t xml:space="preserve">Commonwealth and Europe</w:t>
      </w:r>
    </w:p>
    <w:p>
      <w:pPr>
        <w:pStyle w:val="FirstParagraph"/>
      </w:pPr>
      <w:r>
        <w:t xml:space="preserve">Many former colonies remained connected to Britain through the</w:t>
      </w:r>
      <w:r>
        <w:t xml:space="preserve"> </w:t>
      </w:r>
      <w:r>
        <w:rPr>
          <w:bCs/>
          <w:b/>
        </w:rPr>
        <w:t xml:space="preserve">Commonwealth</w:t>
      </w:r>
      <w:r>
        <w:t xml:space="preserve">, which developed as a voluntary association of sovereign states rather than a continuation of direct imperial rule under a different name. Britain initially stayed outside the early European communities, favouring global and Atlantic ties, before applying to join the European Economic Community and finally entering in</w:t>
      </w:r>
      <w:r>
        <w:t xml:space="preserve"> </w:t>
      </w:r>
      <w:r>
        <w:rPr>
          <w:bCs/>
          <w:b/>
        </w:rPr>
        <w:t xml:space="preserve">1973</w:t>
      </w:r>
      <w:r>
        <w:t xml:space="preserve">, after earlier applications had been vetoed by French President Charles de Gaulle.</w:t>
      </w:r>
    </w:p>
    <w:bookmarkEnd w:id="120"/>
    <w:bookmarkStart w:id="121" w:name="key-terms-and-concepts-12"/>
    <w:p>
      <w:pPr>
        <w:pStyle w:val="Heading2"/>
      </w:pPr>
      <w:r>
        <w:t xml:space="preserve">Key Terms and Concepts</w:t>
      </w:r>
    </w:p>
    <w:p>
      <w:pPr>
        <w:numPr>
          <w:ilvl w:val="0"/>
          <w:numId w:val="1063"/>
        </w:numPr>
        <w:pStyle w:val="Compact"/>
      </w:pPr>
      <w:r>
        <w:rPr>
          <w:bCs/>
          <w:b/>
        </w:rPr>
        <w:t xml:space="preserve">Special relationship:</w:t>
      </w:r>
      <w:r>
        <w:t xml:space="preserve"> </w:t>
      </w:r>
      <w:r>
        <w:t xml:space="preserve">The close but unequal US-UK security and diplomatic partnership formalised through NATO and intelligence cooperation.</w:t>
      </w:r>
    </w:p>
    <w:p>
      <w:pPr>
        <w:numPr>
          <w:ilvl w:val="0"/>
          <w:numId w:val="1063"/>
        </w:numPr>
        <w:pStyle w:val="Compact"/>
      </w:pPr>
      <w:r>
        <w:rPr>
          <w:bCs/>
          <w:b/>
        </w:rPr>
        <w:t xml:space="preserve">Suez Crisis (1956):</w:t>
      </w:r>
      <w:r>
        <w:t xml:space="preserve"> </w:t>
      </w:r>
      <w:r>
        <w:t xml:space="preserve">The episode exposing the limits of independent British power, forcing withdrawal under American pressure.</w:t>
      </w:r>
    </w:p>
    <w:bookmarkEnd w:id="121"/>
    <w:bookmarkStart w:id="122" w:name="preparation-toolkit-12"/>
    <w:p>
      <w:pPr>
        <w:pStyle w:val="Heading2"/>
      </w:pPr>
      <w:r>
        <w:t xml:space="preserve">Preparation Toolkit</w:t>
      </w:r>
    </w:p>
    <w:p>
      <w:pPr>
        <w:pStyle w:val="FirstParagraph"/>
      </w:pPr>
      <w:r>
        <w:rPr>
          <w:bCs/>
          <w:b/>
        </w:rPr>
        <w:t xml:space="preserve">Preparation Checklist</w:t>
      </w:r>
    </w:p>
    <w:p>
      <w:pPr>
        <w:numPr>
          <w:ilvl w:val="0"/>
          <w:numId w:val="1064"/>
        </w:numPr>
        <w:pStyle w:val="Compact"/>
      </w:pPr>
      <w:r>
        <w:t xml:space="preserve">Organise the whole topic around one question: how did Britain adjust from global empire to a middle-ranking nuclear power embedded in Atlantic and European institutions?</w:t>
      </w:r>
    </w:p>
    <w:p>
      <w:pPr>
        <w:numPr>
          <w:ilvl w:val="0"/>
          <w:numId w:val="1064"/>
        </w:numPr>
        <w:pStyle w:val="Compact"/>
      </w:pPr>
      <w:r>
        <w:t xml:space="preserve">Practise one analytical outline answering:</w:t>
      </w:r>
      <w:r>
        <w:t xml:space="preserve"> </w:t>
      </w:r>
      <w:r>
        <w:t xml:space="preserve">“</w:t>
      </w:r>
      <w:r>
        <w:t xml:space="preserve">How did the Suez Crisis of 1956 change Britain’s understanding of its own global power?</w:t>
      </w:r>
      <w:r>
        <w:t xml:space="preserve">”</w:t>
      </w:r>
    </w:p>
    <w:p>
      <w:pPr>
        <w:pStyle w:val="FirstParagraph"/>
      </w:pPr>
      <w:r>
        <w:rPr>
          <w:bCs/>
          <w:b/>
        </w:rPr>
        <w:t xml:space="preserve">Common Confusions to Avoid</w:t>
      </w:r>
    </w:p>
    <w:p>
      <w:pPr>
        <w:numPr>
          <w:ilvl w:val="0"/>
          <w:numId w:val="1065"/>
        </w:numPr>
        <w:pStyle w:val="Compact"/>
      </w:pPr>
      <w:r>
        <w:t xml:space="preserve">Do not describe the Commonwealth as the British Empire under another legal name; member states are fully sovereign.</w:t>
      </w:r>
    </w:p>
    <w:p>
      <w:pPr>
        <w:numPr>
          <w:ilvl w:val="0"/>
          <w:numId w:val="1065"/>
        </w:numPr>
        <w:pStyle w:val="Compact"/>
      </w:pPr>
      <w:r>
        <w:t xml:space="preserve">Do not say Suez ended all British global influence; it revealed limits and accelerated necessary adaptation.</w:t>
      </w:r>
    </w:p>
    <w:p>
      <w:pPr>
        <w:numPr>
          <w:ilvl w:val="0"/>
          <w:numId w:val="1065"/>
        </w:numPr>
        <w:pStyle w:val="Compact"/>
      </w:pPr>
      <w:r>
        <w:t xml:space="preserve">Do not treat Britain’s move toward Europe as immediate after 1945; it was gradual, contested, and twice vetoed before succeeding in 1973.</w:t>
      </w:r>
    </w:p>
    <w:p>
      <w:pPr>
        <w:pStyle w:val="FirstParagraph"/>
      </w:pPr>
      <w:r>
        <w:rPr>
          <w:bCs/>
          <w:b/>
        </w:rPr>
        <w:t xml:space="preserve">Easy Revision Points</w:t>
      </w:r>
    </w:p>
    <w:p>
      <w:pPr>
        <w:numPr>
          <w:ilvl w:val="0"/>
          <w:numId w:val="1066"/>
        </w:numPr>
        <w:pStyle w:val="Compact"/>
      </w:pPr>
      <w:r>
        <w:t xml:space="preserve">Britain was a founding member of NATO in 1949.</w:t>
      </w:r>
    </w:p>
    <w:p>
      <w:pPr>
        <w:numPr>
          <w:ilvl w:val="0"/>
          <w:numId w:val="1066"/>
        </w:numPr>
        <w:pStyle w:val="Compact"/>
      </w:pPr>
      <w:r>
        <w:t xml:space="preserve">India and Pakistan became independent in 1947, marking a decisive stage in imperial dissolution.</w:t>
      </w:r>
    </w:p>
    <w:p>
      <w:pPr>
        <w:numPr>
          <w:ilvl w:val="0"/>
          <w:numId w:val="1066"/>
        </w:numPr>
        <w:pStyle w:val="Compact"/>
      </w:pPr>
      <w:r>
        <w:t xml:space="preserve">The Suez Crisis of 1956 exposed limits on Britain’s ability to act independently of larger powers.</w:t>
      </w:r>
    </w:p>
    <w:p>
      <w:pPr>
        <w:numPr>
          <w:ilvl w:val="0"/>
          <w:numId w:val="1066"/>
        </w:numPr>
        <w:pStyle w:val="Compact"/>
      </w:pPr>
      <w:r>
        <w:t xml:space="preserve">Britain joined the European Economic Community in 1973 after earlier vetoed applications.</w:t>
      </w:r>
    </w:p>
    <w:bookmarkEnd w:id="122"/>
    <w:bookmarkStart w:id="123" w:name="key-takeaways-12"/>
    <w:p>
      <w:pPr>
        <w:pStyle w:val="Heading2"/>
      </w:pPr>
      <w:r>
        <w:t xml:space="preserve">Key Takeaways</w:t>
      </w:r>
    </w:p>
    <w:p>
      <w:pPr>
        <w:numPr>
          <w:ilvl w:val="0"/>
          <w:numId w:val="1067"/>
        </w:numPr>
        <w:pStyle w:val="Compact"/>
      </w:pPr>
      <w:r>
        <w:t xml:space="preserve">Frame postwar British foreign policy as adaptation — less empire, more alliance dependence, contested European integration, continuing global diplomatic ambition.</w:t>
      </w:r>
    </w:p>
    <w:p>
      <w:pPr>
        <w:numPr>
          <w:ilvl w:val="0"/>
          <w:numId w:val="1067"/>
        </w:numPr>
        <w:pStyle w:val="Compact"/>
      </w:pPr>
      <w:r>
        <w:t xml:space="preserve">Suez (1956) is the clearest single episode demonstrating the gap between Britain’s residual great-power self-image and its actual postwar capacity.</w:t>
      </w:r>
    </w:p>
    <w:bookmarkEnd w:id="123"/>
    <w:bookmarkEnd w:id="124"/>
    <w:bookmarkStart w:id="132" w:name="thatcherism-to-cameron-19792012"/>
    <w:p>
      <w:pPr>
        <w:pStyle w:val="Heading1"/>
        <w:pageBreakBefore/>
      </w:pPr>
      <w:r>
        <w:t xml:space="preserve">14. Thatcherism to Cameron (1979–2012)</w:t>
      </w:r>
    </w:p>
    <w:bookmarkStart w:id="125" w:name="why-this-topic-matters-13"/>
    <w:p>
      <w:pPr>
        <w:pStyle w:val="Heading2"/>
      </w:pPr>
      <w:r>
        <w:t xml:space="preserve">Why This Topic Matters</w:t>
      </w:r>
    </w:p>
    <w:p>
      <w:pPr>
        <w:pStyle w:val="FirstParagraph"/>
      </w:pPr>
      <w:r>
        <w:t xml:space="preserve">This topic traces Britain’s shift toward market-oriented policy under Thatcher, its modification (not reversal) under New Labour, and the new fiscal politics created by the 2008 crisis — a continuity-and-change structure that should organise the entire answer.</w:t>
      </w:r>
    </w:p>
    <w:bookmarkEnd w:id="125"/>
    <w:bookmarkStart w:id="126" w:name="X31c888a7ed3ba0fb85b093154f6fadde79ffc72"/>
    <w:p>
      <w:pPr>
        <w:pStyle w:val="Heading2"/>
      </w:pPr>
      <w:r>
        <w:t xml:space="preserve">Thatcher: Markets, Unions, and the Falklands</w:t>
      </w:r>
    </w:p>
    <w:p>
      <w:pPr>
        <w:pStyle w:val="FirstParagraph"/>
      </w:pPr>
      <w:r>
        <w:t xml:space="preserve">Thatcher’s governments (1979–90) prioritised inflation control,</w:t>
      </w:r>
      <w:r>
        <w:t xml:space="preserve"> </w:t>
      </w:r>
      <w:r>
        <w:rPr>
          <w:bCs/>
          <w:b/>
        </w:rPr>
        <w:t xml:space="preserve">privatisation</w:t>
      </w:r>
      <w:r>
        <w:t xml:space="preserve">, reduced direct state ownership, and a more market-oriented economy; early monetarist policy coincided with severe recession and unemployment before later recovery. Legislation restricted trade-union power, with the</w:t>
      </w:r>
      <w:r>
        <w:t xml:space="preserve"> </w:t>
      </w:r>
      <w:r>
        <w:rPr>
          <w:bCs/>
          <w:b/>
        </w:rPr>
        <w:t xml:space="preserve">1984–85 miners’ strike</w:t>
      </w:r>
      <w:r>
        <w:t xml:space="preserve"> </w:t>
      </w:r>
      <w:r>
        <w:t xml:space="preserve">becoming a symbolic confrontation over organised labour’s place in the changing economy; major state industries were privatised, council housing was transferred to tenants through</w:t>
      </w:r>
      <w:r>
        <w:t xml:space="preserve"> </w:t>
      </w:r>
      <w:r>
        <w:rPr>
          <w:bCs/>
          <w:b/>
        </w:rPr>
        <w:t xml:space="preserve">Right to Buy</w:t>
      </w:r>
      <w:r>
        <w:t xml:space="preserve">, and financial services were deregulated. The</w:t>
      </w:r>
      <w:r>
        <w:t xml:space="preserve"> </w:t>
      </w:r>
      <w:r>
        <w:rPr>
          <w:bCs/>
          <w:b/>
        </w:rPr>
        <w:t xml:space="preserve">1982 Falklands War</w:t>
      </w:r>
      <w:r>
        <w:t xml:space="preserve"> </w:t>
      </w:r>
      <w:r>
        <w:t xml:space="preserve">against Argentina reinforced Thatcher’s domestic political authority while relations with Europe remained deeply contested throughout her premiership.</w:t>
      </w:r>
    </w:p>
    <w:bookmarkEnd w:id="126"/>
    <w:bookmarkStart w:id="127" w:name="major-blair-and-new-labour"/>
    <w:p>
      <w:pPr>
        <w:pStyle w:val="Heading2"/>
      </w:pPr>
      <w:r>
        <w:t xml:space="preserve">Major, Blair, and New Labour</w:t>
      </w:r>
    </w:p>
    <w:p>
      <w:pPr>
        <w:pStyle w:val="FirstParagraph"/>
      </w:pPr>
      <w:r>
        <w:t xml:space="preserve">John Major continued much of the Thatcherite economic framework while facing recession, party division, and intense conflict over the</w:t>
      </w:r>
      <w:r>
        <w:t xml:space="preserve"> </w:t>
      </w:r>
      <w:r>
        <w:rPr>
          <w:bCs/>
          <w:b/>
        </w:rPr>
        <w:t xml:space="preserve">Maastricht Treaty</w:t>
      </w:r>
      <w:r>
        <w:t xml:space="preserve"> </w:t>
      </w:r>
      <w:r>
        <w:t xml:space="preserve">and European integration.</w:t>
      </w:r>
      <w:r>
        <w:t xml:space="preserve"> </w:t>
      </w:r>
      <w:r>
        <w:rPr>
          <w:bCs/>
          <w:b/>
        </w:rPr>
        <w:t xml:space="preserve">Tony Blair’s New Labour</w:t>
      </w:r>
      <w:r>
        <w:t xml:space="preserve"> </w:t>
      </w:r>
      <w:r>
        <w:t xml:space="preserve">(from 1997) accepted many market reforms while increasing public spending on health and education and introducing constitutional changes including</w:t>
      </w:r>
      <w:r>
        <w:t xml:space="preserve"> </w:t>
      </w:r>
      <w:r>
        <w:rPr>
          <w:bCs/>
          <w:b/>
        </w:rPr>
        <w:t xml:space="preserve">devolution</w:t>
      </w:r>
      <w:r>
        <w:t xml:space="preserve"> </w:t>
      </w:r>
      <w:r>
        <w:t xml:space="preserve">for Scotland and Wales and the Human Rights Act; foreign policy became defined by interventions in Kosovo, Afghanistan and Iraq.</w:t>
      </w:r>
    </w:p>
    <w:bookmarkEnd w:id="127"/>
    <w:bookmarkStart w:id="128" w:name="the-2008-crisis-and-cameron"/>
    <w:p>
      <w:pPr>
        <w:pStyle w:val="Heading2"/>
      </w:pPr>
      <w:r>
        <w:t xml:space="preserve">The 2008 Crisis and Cameron</w:t>
      </w:r>
    </w:p>
    <w:p>
      <w:pPr>
        <w:pStyle w:val="FirstParagraph"/>
      </w:pPr>
      <w:r>
        <w:t xml:space="preserve">The</w:t>
      </w:r>
      <w:r>
        <w:t xml:space="preserve"> </w:t>
      </w:r>
      <w:r>
        <w:rPr>
          <w:bCs/>
          <w:b/>
        </w:rPr>
        <w:t xml:space="preserve">2008 global financial crash</w:t>
      </w:r>
      <w:r>
        <w:t xml:space="preserve"> </w:t>
      </w:r>
      <w:r>
        <w:t xml:space="preserve">led to bank rescue measures and sharply higher public borrowing;</w:t>
      </w:r>
      <w:r>
        <w:t xml:space="preserve"> </w:t>
      </w:r>
      <w:r>
        <w:rPr>
          <w:bCs/>
          <w:b/>
        </w:rPr>
        <w:t xml:space="preserve">David Cameron’s</w:t>
      </w:r>
      <w:r>
        <w:t xml:space="preserve"> </w:t>
      </w:r>
      <w:r>
        <w:t xml:space="preserve">coalition government, formed in</w:t>
      </w:r>
      <w:r>
        <w:t xml:space="preserve"> </w:t>
      </w:r>
      <w:r>
        <w:rPr>
          <w:bCs/>
          <w:b/>
        </w:rPr>
        <w:t xml:space="preserve">2010</w:t>
      </w:r>
      <w:r>
        <w:t xml:space="preserve"> </w:t>
      </w:r>
      <w:r>
        <w:t xml:space="preserve">with the Liberal Democrats, pursued austerity, welfare reform, and public-sector restructuring in direct response to this fiscal crisis.</w:t>
      </w:r>
    </w:p>
    <w:bookmarkEnd w:id="128"/>
    <w:bookmarkStart w:id="129" w:name="key-terms-and-concepts-13"/>
    <w:p>
      <w:pPr>
        <w:pStyle w:val="Heading2"/>
      </w:pPr>
      <w:r>
        <w:t xml:space="preserve">Key Terms and Concepts</w:t>
      </w:r>
    </w:p>
    <w:p>
      <w:pPr>
        <w:numPr>
          <w:ilvl w:val="0"/>
          <w:numId w:val="1068"/>
        </w:numPr>
        <w:pStyle w:val="Compact"/>
      </w:pPr>
      <w:r>
        <w:rPr>
          <w:bCs/>
          <w:b/>
        </w:rPr>
        <w:t xml:space="preserve">Privatisation:</w:t>
      </w:r>
      <w:r>
        <w:t xml:space="preserve"> </w:t>
      </w:r>
      <w:r>
        <w:t xml:space="preserve">Thatcher-era transfer of state-owned industries and assets to private ownership.</w:t>
      </w:r>
    </w:p>
    <w:p>
      <w:pPr>
        <w:numPr>
          <w:ilvl w:val="0"/>
          <w:numId w:val="1068"/>
        </w:numPr>
        <w:pStyle w:val="Compact"/>
      </w:pPr>
      <w:r>
        <w:rPr>
          <w:bCs/>
          <w:b/>
        </w:rPr>
        <w:t xml:space="preserve">Devolution:</w:t>
      </w:r>
      <w:r>
        <w:t xml:space="preserve"> </w:t>
      </w:r>
      <w:r>
        <w:t xml:space="preserve">Blair-era constitutional reform creating separate legislative bodies for Scotland and Wales.</w:t>
      </w:r>
    </w:p>
    <w:bookmarkEnd w:id="129"/>
    <w:bookmarkStart w:id="130" w:name="preparation-toolkit-13"/>
    <w:p>
      <w:pPr>
        <w:pStyle w:val="Heading2"/>
      </w:pPr>
      <w:r>
        <w:t xml:space="preserve">Preparation Toolkit</w:t>
      </w:r>
    </w:p>
    <w:p>
      <w:pPr>
        <w:pStyle w:val="FirstParagraph"/>
      </w:pPr>
      <w:r>
        <w:rPr>
          <w:bCs/>
          <w:b/>
        </w:rPr>
        <w:t xml:space="preserve">Preparation Checklist</w:t>
      </w:r>
    </w:p>
    <w:p>
      <w:pPr>
        <w:numPr>
          <w:ilvl w:val="0"/>
          <w:numId w:val="1069"/>
        </w:numPr>
        <w:pStyle w:val="Compact"/>
      </w:pPr>
      <w:r>
        <w:t xml:space="preserve">Build a continuity-change table from Thatcher to Blair covering markets, welfare, unions, Europe, constitutional reform and foreign intervention; add the 2008 crisis as an economic-policy turning point.</w:t>
      </w:r>
    </w:p>
    <w:p>
      <w:pPr>
        <w:numPr>
          <w:ilvl w:val="0"/>
          <w:numId w:val="1069"/>
        </w:numPr>
        <w:pStyle w:val="Compact"/>
      </w:pPr>
      <w:r>
        <w:t xml:space="preserve">Practise one analytical outline answering:</w:t>
      </w:r>
      <w:r>
        <w:t xml:space="preserve"> </w:t>
      </w:r>
      <w:r>
        <w:t xml:space="preserve">“</w:t>
      </w:r>
      <w:r>
        <w:t xml:space="preserve">In what ways did New Labour modify, rather than reverse, the Thatcherite policy settlement?</w:t>
      </w:r>
      <w:r>
        <w:t xml:space="preserve">”</w:t>
      </w:r>
    </w:p>
    <w:p>
      <w:pPr>
        <w:pStyle w:val="FirstParagraph"/>
      </w:pPr>
      <w:r>
        <w:rPr>
          <w:bCs/>
          <w:b/>
        </w:rPr>
        <w:t xml:space="preserve">Common Confusions to Avoid</w:t>
      </w:r>
    </w:p>
    <w:p>
      <w:pPr>
        <w:numPr>
          <w:ilvl w:val="0"/>
          <w:numId w:val="1070"/>
        </w:numPr>
        <w:pStyle w:val="Compact"/>
      </w:pPr>
      <w:r>
        <w:t xml:space="preserve">Do not say New Labour simply reversed Thatcherism; it accepted many parts of the market-oriented settlement.</w:t>
      </w:r>
    </w:p>
    <w:p>
      <w:pPr>
        <w:numPr>
          <w:ilvl w:val="0"/>
          <w:numId w:val="1070"/>
        </w:numPr>
        <w:pStyle w:val="Compact"/>
      </w:pPr>
      <w:r>
        <w:t xml:space="preserve">Do not study the 2008 crisis only as a British event; it was a global financial shock with specific domestic consequences.</w:t>
      </w:r>
    </w:p>
    <w:p>
      <w:pPr>
        <w:numPr>
          <w:ilvl w:val="0"/>
          <w:numId w:val="1070"/>
        </w:numPr>
        <w:pStyle w:val="Compact"/>
      </w:pPr>
      <w:r>
        <w:t xml:space="preserve">Do not extend the syllabus beyond 2012 unless a question specifically invites later developments.</w:t>
      </w:r>
    </w:p>
    <w:p>
      <w:pPr>
        <w:pStyle w:val="FirstParagraph"/>
      </w:pPr>
      <w:r>
        <w:rPr>
          <w:bCs/>
          <w:b/>
        </w:rPr>
        <w:t xml:space="preserve">Easy Revision Points</w:t>
      </w:r>
    </w:p>
    <w:p>
      <w:pPr>
        <w:numPr>
          <w:ilvl w:val="0"/>
          <w:numId w:val="1071"/>
        </w:numPr>
        <w:pStyle w:val="Compact"/>
      </w:pPr>
      <w:r>
        <w:t xml:space="preserve">Margaret Thatcher served as prime minister from 1979 to 1990, associated with privatisation, deregulation and restrictions on trade-union power.</w:t>
      </w:r>
    </w:p>
    <w:p>
      <w:pPr>
        <w:numPr>
          <w:ilvl w:val="0"/>
          <w:numId w:val="1071"/>
        </w:numPr>
        <w:pStyle w:val="Compact"/>
      </w:pPr>
      <w:r>
        <w:t xml:space="preserve">Britain fought Argentina in the Falklands War in 1982.</w:t>
      </w:r>
    </w:p>
    <w:p>
      <w:pPr>
        <w:numPr>
          <w:ilvl w:val="0"/>
          <w:numId w:val="1071"/>
        </w:numPr>
        <w:pStyle w:val="Compact"/>
      </w:pPr>
      <w:r>
        <w:t xml:space="preserve">Tony Blair led Labour to victory in 1997; his government introduced devolution and played major roles in the Afghanistan and Iraq wars.</w:t>
      </w:r>
    </w:p>
    <w:p>
      <w:pPr>
        <w:numPr>
          <w:ilvl w:val="0"/>
          <w:numId w:val="1071"/>
        </w:numPr>
        <w:pStyle w:val="Compact"/>
      </w:pPr>
      <w:r>
        <w:t xml:space="preserve">The global financial crisis of 2008 badly affected British banks, output and public finances.</w:t>
      </w:r>
    </w:p>
    <w:p>
      <w:pPr>
        <w:numPr>
          <w:ilvl w:val="0"/>
          <w:numId w:val="1071"/>
        </w:numPr>
        <w:pStyle w:val="Compact"/>
      </w:pPr>
      <w:r>
        <w:t xml:space="preserve">David Cameron became prime minister in 2010 at the head of a Conservative-Liberal Democrat coalition and pursued fiscal austerity.</w:t>
      </w:r>
    </w:p>
    <w:bookmarkEnd w:id="130"/>
    <w:bookmarkStart w:id="131" w:name="key-takeaways-13"/>
    <w:p>
      <w:pPr>
        <w:pStyle w:val="Heading2"/>
      </w:pPr>
      <w:r>
        <w:t xml:space="preserve">Key Takeaways</w:t>
      </w:r>
    </w:p>
    <w:p>
      <w:pPr>
        <w:numPr>
          <w:ilvl w:val="0"/>
          <w:numId w:val="1072"/>
        </w:numPr>
        <w:pStyle w:val="Compact"/>
      </w:pPr>
      <w:r>
        <w:t xml:space="preserve">Compare policy eras rather than memorising administrations: Thatcher set a new policy baseline, New Labour modified rather than reversed it, and 2008 created an entirely new fiscal context.</w:t>
      </w:r>
    </w:p>
    <w:p>
      <w:pPr>
        <w:numPr>
          <w:ilvl w:val="0"/>
          <w:numId w:val="1072"/>
        </w:numPr>
        <w:pStyle w:val="Compact"/>
      </w:pPr>
      <w:r>
        <w:t xml:space="preserve">The Falklands War and Suez (Topic 13) make an instructive contrast — one an assertion of continuing British military capability, the other its most public postwar limitation.</w:t>
      </w:r>
    </w:p>
    <w:bookmarkEnd w:id="131"/>
    <w:bookmarkEnd w:id="132"/>
    <w:bookmarkStart w:id="133" w:name="final-revision-strategy-for-this-subject"/>
    <w:p>
      <w:pPr>
        <w:pStyle w:val="Heading1"/>
        <w:pageBreakBefore/>
      </w:pPr>
      <w:r>
        <w:t xml:space="preserve">Final Revision Strategy for This Subject</w:t>
      </w:r>
    </w:p>
    <w:p>
      <w:pPr>
        <w:pStyle w:val="FirstParagraph"/>
      </w:pPr>
      <w:r>
        <w:t xml:space="preserve">For every topic in this subject, build a short timeline, identify continuity and change explicitly (what changed in Crown-Parliament relations, party structure, franchise, empire or welfare), connect domestic and foreign policy wherever a war or imperial event is involved, and close with a comparison table wherever two leaders, parties, or periods are being contrasted (Gladstone–Disraeli, Thatcher–Blair, pre/post-war Britain).</w:t>
      </w:r>
    </w:p>
    <w:bookmarkEnd w:id="133"/>
    <w:bookmarkStart w:id="135" w:name="references-and-further-reading"/>
    <w:p>
      <w:pPr>
        <w:pStyle w:val="Heading1"/>
        <w:pageBreakBefore/>
      </w:pPr>
      <w:r>
        <w:t xml:space="preserve">References and Further Reading</w:t>
      </w:r>
    </w:p>
    <w:p>
      <w:pPr>
        <w:numPr>
          <w:ilvl w:val="0"/>
          <w:numId w:val="1073"/>
        </w:numPr>
        <w:pStyle w:val="Compact"/>
      </w:pPr>
      <w:r>
        <w:t xml:space="preserve">Norman Lowe,</w:t>
      </w:r>
      <w:r>
        <w:t xml:space="preserve"> </w:t>
      </w:r>
      <w:r>
        <w:rPr>
          <w:iCs/>
          <w:i/>
        </w:rPr>
        <w:t xml:space="preserve">Mastering Modern World History</w:t>
      </w:r>
      <w:r>
        <w:t xml:space="preserve"> </w:t>
      </w:r>
      <w:r>
        <w:t xml:space="preserve">— a widely used survey covering nineteenth- and twentieth-century British and world history.</w:t>
      </w:r>
    </w:p>
    <w:p>
      <w:pPr>
        <w:numPr>
          <w:ilvl w:val="0"/>
          <w:numId w:val="1073"/>
        </w:numPr>
        <w:pStyle w:val="Compact"/>
      </w:pPr>
      <w:r>
        <w:t xml:space="preserve">Standard British history surveys covering the Georgian, Victorian, and twentieth-century periods should be checked for edition and period coverage before use.</w:t>
      </w:r>
    </w:p>
    <w:p>
      <w:pPr>
        <w:numPr>
          <w:ilvl w:val="0"/>
          <w:numId w:val="1073"/>
        </w:numPr>
        <w:pStyle w:val="Compact"/>
      </w:pPr>
      <w:r>
        <w:t xml:space="preserve">Federal Public Service Commission — CSS Syllabi: https://www.fpsc.gov.pk/category/css-syllabi</w:t>
      </w:r>
    </w:p>
    <w:p>
      <w:pPr>
        <w:numPr>
          <w:ilvl w:val="0"/>
          <w:numId w:val="1073"/>
        </w:numPr>
        <w:pStyle w:val="Compact"/>
      </w:pPr>
      <w:r>
        <w:t xml:space="preserve">UK Parliament and The National Archives — constitutional development, parliamentary history and Acts of Union: https://www.parliament.uk/ and https://www.nationalarchives.gov.uk/</w:t>
      </w:r>
    </w:p>
    <w:bookmarkStart w:id="134" w:name="important-note-on-historical-accuracy"/>
    <w:p>
      <w:pPr>
        <w:pStyle w:val="Heading2"/>
      </w:pPr>
      <w:r>
        <w:t xml:space="preserve">Important Note on Historical Accuracy</w:t>
      </w:r>
    </w:p>
    <w:p>
      <w:pPr>
        <w:pStyle w:val="FirstParagraph"/>
      </w:pPr>
      <w:r>
        <w:t xml:space="preserve">Dates and institutional facts in this resource have been presented conservatively. Where historical interpretation is genuinely disputed (for instance, the precise weighting of causes behind British industrialisation, or the fairness of famine-era Irish policy), this resource aims to present the balance of evidence rather than a single simplified verdict.</w:t>
      </w:r>
    </w:p>
    <w:bookmarkEnd w:id="134"/>
    <w:bookmarkEnd w:id="135"/>
    <w:sectPr>
      <w:footerReference r:id="rId9" w:type="default"/>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pPr>
    <w:rPr>
      <w:rFonts w:ascii="Calibri" w:hAnsi="Calibri"/>
      <w:b w:val="0"/>
      <w:sz w:val="23"/>
    </w:rPr>
  </w:style>
  <w:style w:styleId="BodyText" w:type="paragraph">
    <w:name w:val="Body Text"/>
    <w:basedOn w:val="Normal"/>
    <w:link w:val="BodyTextChar"/>
    <w:pPr>
      <w:spacing w:after="160" w:before="180"/>
    </w:pPr>
    <w:qFormat/>
    <w:rPr>
      <w:rFonts w:ascii="Calibri" w:hAnsi="Calibri"/>
      <w:sz w:val="23"/>
    </w:rPr>
  </w:style>
  <w:style w:customStyle="1" w:styleId="FirstParagraph" w:type="paragraph">
    <w:name w:val="First Paragraph"/>
    <w:basedOn w:val="BodyText"/>
    <w:next w:val="BodyText"/>
    <w:qFormat/>
  </w:style>
  <w:style w:customStyle="1" w:styleId="Compact" w:type="paragraph">
    <w:name w:val="Compact"/>
    <w:basedOn w:val="BodyText"/>
    <w:qFormat/>
    <w:pPr>
      <w:spacing w:after="80" w:before="36"/>
    </w:pPr>
    <w:rPr>
      <w:rFonts w:ascii="Calibri" w:hAnsi="Calibri"/>
      <w:sz w:val="23"/>
    </w:rPr>
  </w:style>
  <w:style w:styleId="Title" w:type="paragraph">
    <w:name w:val="Title"/>
    <w:basedOn w:val="Normal"/>
    <w:next w:val="BodyText"/>
    <w:qFormat/>
    <w:pPr>
      <w:keepNext/>
      <w:keepLines/>
      <w:spacing w:after="120" w:before="480"/>
      <w:jc w:val="center"/>
    </w:pPr>
    <w:rPr>
      <w:rFonts w:ascii="Calibri" w:asciiTheme="majorHAnsi" w:cstheme="majorBidi" w:eastAsiaTheme="majorEastAsia" w:hAnsi="Calibri" w:hAnsiTheme="majorHAnsi"/>
      <w:b/>
      <w:bCs/>
      <w:color w:val="1B2A4A"/>
      <w:sz w:val="52"/>
      <w:szCs w:val="36"/>
    </w:rPr>
  </w:style>
  <w:style w:styleId="Subtitle" w:type="paragraph">
    <w:name w:val="Subtitle"/>
    <w:basedOn w:val="Title"/>
    <w:next w:val="BodyText"/>
    <w:qFormat/>
    <w:pPr>
      <w:keepNext/>
      <w:keepLines/>
      <w:spacing w:after="360" w:before="240"/>
      <w:jc w:val="center"/>
    </w:pPr>
    <w:rPr>
      <w:rFonts w:ascii="Calibri" w:hAnsi="Calibri"/>
      <w:b w:val="0"/>
      <w:color w:val="555555"/>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pPr>
    <w:rPr>
      <w:rFonts w:ascii="Calibri" w:hAnsi="Calibri"/>
      <w:sz w:val="22"/>
    </w:rPr>
  </w:style>
  <w:style w:styleId="Heading1" w:type="paragraph">
    <w:name w:val="Heading 1"/>
    <w:basedOn w:val="Normal"/>
    <w:next w:val="BodyText"/>
    <w:uiPriority w:val="9"/>
    <w:qFormat/>
    <w:pPr>
      <w:keepNext/>
      <w:keepLines/>
      <w:spacing w:after="200" w:before="480"/>
      <w:outlineLvl w:val="0"/>
    </w:pPr>
    <w:rPr>
      <w:rFonts w:ascii="Calibri" w:asciiTheme="majorHAnsi" w:cstheme="majorBidi" w:eastAsiaTheme="majorEastAsia" w:hAnsi="Calibri" w:hAnsiTheme="majorHAnsi"/>
      <w:b/>
      <w:bCs/>
      <w:color w:val="1B2A4A"/>
      <w:sz w:val="40"/>
      <w:szCs w:val="32"/>
    </w:rPr>
  </w:style>
  <w:style w:styleId="Heading2" w:type="paragraph">
    <w:name w:val="Heading 2"/>
    <w:basedOn w:val="Normal"/>
    <w:next w:val="BodyText"/>
    <w:uiPriority w:val="9"/>
    <w:unhideWhenUsed/>
    <w:qFormat/>
    <w:pPr>
      <w:keepNext/>
      <w:keepLines/>
      <w:spacing w:after="160" w:before="320"/>
      <w:outlineLvl w:val="1"/>
    </w:pPr>
    <w:rPr>
      <w:rFonts w:ascii="Calibri" w:asciiTheme="majorHAnsi" w:cstheme="majorBidi" w:eastAsiaTheme="majorEastAsia" w:hAnsi="Calibri" w:hAnsiTheme="majorHAnsi"/>
      <w:b/>
      <w:bCs/>
      <w:color w:val="2B446B"/>
      <w:sz w:val="30"/>
      <w:szCs w:val="28"/>
    </w:rPr>
  </w:style>
  <w:style w:styleId="Heading3" w:type="paragraph">
    <w:name w:val="Heading 3"/>
    <w:basedOn w:val="Normal"/>
    <w:next w:val="BodyText"/>
    <w:uiPriority w:val="9"/>
    <w:unhideWhenUsed/>
    <w:qFormat/>
    <w:pPr>
      <w:keepNext/>
      <w:keepLines/>
      <w:spacing w:after="120" w:before="240"/>
      <w:outlineLvl w:val="2"/>
    </w:pPr>
    <w:rPr>
      <w:rFonts w:ascii="Calibri" w:asciiTheme="majorHAnsi" w:cstheme="majorBidi" w:eastAsiaTheme="majorEastAsia" w:hAnsi="Calibri" w:hAnsiTheme="majorHAnsi"/>
      <w:b/>
      <w:bCs/>
      <w:color w:val="3D5A80"/>
      <w:sz w:val="25"/>
      <w:szCs w:val="24"/>
    </w:rPr>
  </w:style>
  <w:style w:styleId="Heading4" w:type="paragraph">
    <w:name w:val="Heading 4"/>
    <w:basedOn w:val="Normal"/>
    <w:next w:val="BodyText"/>
    <w:uiPriority w:val="9"/>
    <w:unhideWhenUsed/>
    <w:qFormat/>
    <w:pPr>
      <w:keepNext/>
      <w:keepLines/>
      <w:spacing w:after="80" w:before="200"/>
      <w:outlineLvl w:val="3"/>
    </w:pPr>
    <w:rPr>
      <w:rFonts w:ascii="Calibri" w:asciiTheme="majorHAnsi" w:cstheme="majorBidi" w:eastAsiaTheme="majorEastAsia" w:hAnsi="Calibri" w:hAnsiTheme="majorHAnsi"/>
      <w:i/>
      <w:b/>
      <w:bCs/>
      <w:color w:val="3D5A80"/>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Calibri" w:hAnsi="Calibri"/>
      <w:sz w:val="23"/>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British History</dc:title>
  <dc:creator/>
  <cp:keywords/>
  <dcterms:created xsi:type="dcterms:W3CDTF">2026-09-18T17:58:26Z</dcterms:created>
  <dcterms:modified xsi:type="dcterms:W3CDTF">2026-09-18T17:58:26Z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Expanded Master Study Resource — FPSC Group IV Optional Subject (Code 28, 100 Marks)</vt:lpwstr>
  </property>
</Properties>
</file>