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0" w:name="subject-6-english-literature"/>
    <w:p>
      <w:pPr>
        <w:pStyle w:val="Heading1"/>
      </w:pPr>
      <w:r>
        <w:t xml:space="preserve">Subject 6 — English Literature</w:t>
      </w:r>
    </w:p>
    <w:bookmarkStart w:id="25" w:name="i.-essays"/>
    <w:p>
      <w:pPr>
        <w:pStyle w:val="Heading2"/>
      </w:pPr>
      <w:r>
        <w:t xml:space="preserve">I. Essays</w:t>
      </w:r>
    </w:p>
    <w:bookmarkStart w:id="20" w:name="X18b617e12cef75ce781cd408ceb149ef9f0605f"/>
    <w:p>
      <w:pPr>
        <w:pStyle w:val="Heading3"/>
      </w:pPr>
      <w:r>
        <w:t xml:space="preserve">1. Bertrand Russell — The Conquest of Happiness</w:t>
      </w:r>
    </w:p>
    <w:p>
      <w:pPr>
        <w:pStyle w:val="FirstParagraph"/>
      </w:pPr>
      <w:r>
        <w:t xml:space="preserve">Bertrand Russell’s</w:t>
      </w:r>
      <w:r>
        <w:t xml:space="preserve"> </w:t>
      </w:r>
      <w:r>
        <w:rPr>
          <w:iCs/>
          <w:i/>
        </w:rPr>
        <w:t xml:space="preserve">The Conquest of Happiness</w:t>
      </w:r>
      <w:r>
        <w:t xml:space="preserve"> </w:t>
      </w:r>
      <w:r>
        <w:t xml:space="preserve">(1930) is a work of practical philosophy in which Russell, better known as a logician and philosopher of mathematics, turns his analytical clarity toward the everyday problem of unhappiness, diagnosing its common causes and prescribing practical remedies grounded in reason rather than religious doctrine or sentimental self-help.</w:t>
      </w:r>
    </w:p>
    <w:p>
      <w:pPr>
        <w:pStyle w:val="BodyText"/>
      </w:pPr>
      <w:r>
        <w:rPr>
          <w:bCs/>
          <w:b/>
        </w:rPr>
        <w:t xml:space="preserve">Structure and approach.</w:t>
      </w:r>
      <w:r>
        <w:t xml:space="preserve"> </w:t>
      </w:r>
      <w:r>
        <w:t xml:space="preserve">The book is organised in two broad movements: the first half catalogues the</w:t>
      </w:r>
      <w:r>
        <w:t xml:space="preserve"> </w:t>
      </w:r>
      <w:r>
        <w:t xml:space="preserve">“</w:t>
      </w:r>
      <w:r>
        <w:t xml:space="preserve">causes of unhappiness</w:t>
      </w:r>
      <w:r>
        <w:t xml:space="preserve">”</w:t>
      </w:r>
      <w:r>
        <w:t xml:space="preserve"> </w:t>
      </w:r>
      <w:r>
        <w:t xml:space="preserve">(including competitiveness, boredom and excitement, fatigue, envy, the sense of sin, persecution mania, and fear of public opinion), while the second half turns to the</w:t>
      </w:r>
      <w:r>
        <w:t xml:space="preserve"> </w:t>
      </w:r>
      <w:r>
        <w:t xml:space="preserve">“</w:t>
      </w:r>
      <w:r>
        <w:t xml:space="preserve">causes of happiness</w:t>
      </w:r>
      <w:r>
        <w:t xml:space="preserve">”</w:t>
      </w:r>
      <w:r>
        <w:t xml:space="preserve"> </w:t>
      </w:r>
      <w:r>
        <w:t xml:space="preserve">(zest, affection, family, work, impersonal interests, effort and resignation). Russell’s method throughout is essentially diagnostic and prescriptive: he treats unhappiness as a solvable problem amenable to rational analysis, much as one might treat a logical puzzle, rather than as an inevitable feature of the human condition or a matter for religious consolation.</w:t>
      </w:r>
    </w:p>
    <w:p>
      <w:pPr>
        <w:pStyle w:val="BodyText"/>
      </w:pPr>
      <w:r>
        <w:rPr>
          <w:bCs/>
          <w:b/>
        </w:rPr>
        <w:t xml:space="preserve">Key argument: self-absorption as the root of unhappiness.</w:t>
      </w:r>
      <w:r>
        <w:t xml:space="preserve"> </w:t>
      </w:r>
      <w:r>
        <w:t xml:space="preserve">A recurring thread across Russell’s diagnosis is that unhappiness typically stems from excessive self-preoccupation — a mind turned too far inward, anxiously monitoring its own state, comparing itself competitively to others, or nursing grievances — while happiness is cultivated by directing attention and genuine interest outward, toward people, activities, and the world itself. Russell’s remedy for boredom, envy, and fear of public opinion alike is essentially the same: the cultivation of</w:t>
      </w:r>
      <w:r>
        <w:t xml:space="preserve"> </w:t>
      </w:r>
      <w:r>
        <w:t xml:space="preserve">“</w:t>
      </w:r>
      <w:r>
        <w:t xml:space="preserve">zest,</w:t>
      </w:r>
      <w:r>
        <w:t xml:space="preserve">”</w:t>
      </w:r>
      <w:r>
        <w:t xml:space="preserve"> </w:t>
      </w:r>
      <w:r>
        <w:t xml:space="preserve">a genuine, outward-directed interest in life, cultivated through varied activity and impersonal interests unconnected to one’s ego or social standing.</w:t>
      </w:r>
    </w:p>
    <w:p>
      <w:pPr>
        <w:pStyle w:val="BodyText"/>
      </w:pPr>
      <w:r>
        <w:rPr>
          <w:bCs/>
          <w:b/>
        </w:rPr>
        <w:t xml:space="preserve">Style and tone.</w:t>
      </w:r>
      <w:r>
        <w:t xml:space="preserve"> </w:t>
      </w:r>
      <w:r>
        <w:t xml:space="preserve">Russell’s prose is notably plain, precise, and free of rhetorical ornament, reflecting his broader intellectual commitment (echoed in the Orwell essays discussed in Topics 2–3) to clarity as both a stylistic and an ethical value — the book’s persuasive force rests less on eloquence than on the same lucid, step-by-step reasoning Russell brought to his philosophical and mathematical work, applied here to the practical business of living well.</w:t>
      </w:r>
    </w:p>
    <w:p>
      <w:pPr>
        <w:pStyle w:val="BodyText"/>
      </w:pPr>
      <w:r>
        <w:rPr>
          <w:bCs/>
          <w:b/>
        </w:rPr>
        <w:t xml:space="preserve">Key Takeaways</w:t>
      </w:r>
    </w:p>
    <w:p>
      <w:pPr>
        <w:numPr>
          <w:ilvl w:val="0"/>
          <w:numId w:val="1001"/>
        </w:numPr>
        <w:pStyle w:val="Compact"/>
      </w:pPr>
      <w:r>
        <w:t xml:space="preserve">Russell diagnoses common causes of unhappiness (competitiveness, boredom, envy, fear of public opinion) and prescribes causes of happiness (zest, affection, work, impersonal interests) through rational, secular analysis.</w:t>
      </w:r>
    </w:p>
    <w:p>
      <w:pPr>
        <w:numPr>
          <w:ilvl w:val="0"/>
          <w:numId w:val="1001"/>
        </w:numPr>
        <w:pStyle w:val="Compact"/>
      </w:pPr>
      <w:r>
        <w:t xml:space="preserve">His central diagnostic thread holds that unhappiness stems from excessive self-absorption, while happiness comes from genuine, outward-directed interest in life.</w:t>
      </w:r>
    </w:p>
    <w:p>
      <w:pPr>
        <w:numPr>
          <w:ilvl w:val="0"/>
          <w:numId w:val="1001"/>
        </w:numPr>
        <w:pStyle w:val="Compact"/>
      </w:pPr>
      <w:r>
        <w:t xml:space="preserve">The work’s plain, precise prose style reflects Russell’s broader intellectual commitment to clarity, applying his characteristic analytical method to a practical rather than purely philosophical subject.</w:t>
      </w:r>
    </w:p>
    <w:bookmarkEnd w:id="20"/>
    <w:bookmarkStart w:id="21" w:name="Xf7ca5b1fbbd4dc20a3b384570a94dc637d86f32"/>
    <w:p>
      <w:pPr>
        <w:pStyle w:val="Heading3"/>
      </w:pPr>
      <w:r>
        <w:t xml:space="preserve">2. George Orwell — Politics and the English Language</w:t>
      </w:r>
    </w:p>
    <w:p>
      <w:pPr>
        <w:pStyle w:val="FirstParagraph"/>
      </w:pPr>
      <w:r>
        <w:t xml:space="preserve">George Orwell’s essay</w:t>
      </w:r>
      <w:r>
        <w:t xml:space="preserve"> </w:t>
      </w:r>
      <w:r>
        <w:t xml:space="preserve">“</w:t>
      </w:r>
      <w:r>
        <w:t xml:space="preserve">Politics and the English Language</w:t>
      </w:r>
      <w:r>
        <w:t xml:space="preserve">”</w:t>
      </w:r>
      <w:r>
        <w:t xml:space="preserve"> </w:t>
      </w:r>
      <w:r>
        <w:t xml:space="preserve">(1946) argues that the decline of the English language and the corruption of political thought are mutually reinforcing, and that clear, precise prose is not merely a stylistic virtue but an ethical and political necessity.</w:t>
      </w:r>
    </w:p>
    <w:p>
      <w:pPr>
        <w:pStyle w:val="BodyText"/>
      </w:pPr>
      <w:r>
        <w:rPr>
          <w:bCs/>
          <w:b/>
        </w:rPr>
        <w:t xml:space="preserve">Central argument.</w:t>
      </w:r>
      <w:r>
        <w:t xml:space="preserve"> </w:t>
      </w:r>
      <w:r>
        <w:t xml:space="preserve">Orwell contends that bad writing — vague, cliché-ridden, evasive prose — is both a symptom and a cause of confused, dishonest thinking, and that this relationship runs in both directions: sloppy language makes it easier to think and express foolish or dishonest ideas, while the political need to defend the indefensible (Orwell cites examples including colonial repression and totalitarian purges) drives writers toward euphemism, vagueness, and inflated abstraction specifically because plain language would make the underlying reality too starkly visible.</w:t>
      </w:r>
    </w:p>
    <w:p>
      <w:pPr>
        <w:pStyle w:val="BodyText"/>
      </w:pPr>
      <w:r>
        <w:rPr>
          <w:bCs/>
          <w:b/>
        </w:rPr>
        <w:t xml:space="preserve">Diagnosed stylistic vices.</w:t>
      </w:r>
      <w:r>
        <w:t xml:space="preserve"> </w:t>
      </w:r>
      <w:r>
        <w:t xml:space="preserve">Orwell catalogues specific bad habits he sees as symptomatic of this decline: dying metaphors used without any real feeling for their meaning; pretentious diction (Latinate or foreign words used to sound impressive rather than to communicate precisely); meaningless words (abstract political vocabulary — such as</w:t>
      </w:r>
      <w:r>
        <w:t xml:space="preserve"> </w:t>
      </w:r>
      <w:r>
        <w:t xml:space="preserve">“</w:t>
      </w:r>
      <w:r>
        <w:t xml:space="preserve">democracy</w:t>
      </w:r>
      <w:r>
        <w:t xml:space="preserve">”</w:t>
      </w:r>
      <w:r>
        <w:t xml:space="preserve"> </w:t>
      </w:r>
      <w:r>
        <w:t xml:space="preserve">or</w:t>
      </w:r>
      <w:r>
        <w:t xml:space="preserve"> </w:t>
      </w:r>
      <w:r>
        <w:t xml:space="preserve">“</w:t>
      </w:r>
      <w:r>
        <w:t xml:space="preserve">freedom</w:t>
      </w:r>
      <w:r>
        <w:t xml:space="preserve">”</w:t>
      </w:r>
      <w:r>
        <w:t xml:space="preserve"> </w:t>
      </w:r>
      <w:r>
        <w:t xml:space="preserve">— deployed so loosely across contradictory contexts that the words cease to have stable meaning); and, most significantly, euphemism as a tool of political evasion, in which brutal realities are described in bland, technical, or passive language specifically to prevent the reader from forming a clear mental picture of what is actually being described.</w:t>
      </w:r>
    </w:p>
    <w:p>
      <w:pPr>
        <w:pStyle w:val="BodyText"/>
      </w:pPr>
      <w:r>
        <w:rPr>
          <w:bCs/>
          <w:b/>
        </w:rPr>
        <w:t xml:space="preserve">Practical remedy: Orwell’s six rules.</w:t>
      </w:r>
      <w:r>
        <w:t xml:space="preserve"> </w:t>
      </w:r>
      <w:r>
        <w:t xml:space="preserve">The essay concludes with a set of practical writing rules — prefer concrete words to abstract ones, cut unnecessary words, prefer the active voice, avoid jargon and pretentious diction, and, as a final rule overriding the others where necessary, break any of these rules sooner than say anything outright barbarous — rules that collectively insist writing should aim first at clear communication and second at conventional correctness or stylistic impressiveness.</w:t>
      </w:r>
    </w:p>
    <w:p>
      <w:pPr>
        <w:pStyle w:val="BodyText"/>
      </w:pPr>
      <w:r>
        <w:rPr>
          <w:bCs/>
          <w:b/>
        </w:rPr>
        <w:t xml:space="preserve">Significance.</w:t>
      </w:r>
      <w:r>
        <w:t xml:space="preserve"> </w:t>
      </w:r>
      <w:r>
        <w:t xml:space="preserve">Orwell’s essay remains a foundational text in the study of political rhetoric and plain-style prose more broadly, and its central claim — that linguistic corruption and political corruption reinforce one another — anticipates the dystopian exploration of language as a tool of totalitarian control that Orwell develops fictionally in</w:t>
      </w:r>
      <w:r>
        <w:t xml:space="preserve"> </w:t>
      </w:r>
      <w:r>
        <w:rPr>
          <w:iCs/>
          <w:i/>
        </w:rPr>
        <w:t xml:space="preserve">Nineteen Eighty-Four</w:t>
      </w:r>
      <w:r>
        <w:t xml:space="preserve"> </w:t>
      </w:r>
      <w:r>
        <w:t xml:space="preserve">(Topic 39), where the invented language Newspeak is designed specifically to make certain kinds of thought impossible to formulate at all.</w:t>
      </w:r>
    </w:p>
    <w:p>
      <w:pPr>
        <w:pStyle w:val="BodyText"/>
      </w:pPr>
      <w:r>
        <w:rPr>
          <w:bCs/>
          <w:b/>
        </w:rPr>
        <w:t xml:space="preserve">Key Takeaways</w:t>
      </w:r>
    </w:p>
    <w:p>
      <w:pPr>
        <w:numPr>
          <w:ilvl w:val="0"/>
          <w:numId w:val="1002"/>
        </w:numPr>
        <w:pStyle w:val="Compact"/>
      </w:pPr>
      <w:r>
        <w:t xml:space="preserve">Orwell argues that vague, euphemistic language and dishonest or confused political thought reinforce one another, with bad writing both enabling and concealing bad thinking.</w:t>
      </w:r>
    </w:p>
    <w:p>
      <w:pPr>
        <w:numPr>
          <w:ilvl w:val="0"/>
          <w:numId w:val="1002"/>
        </w:numPr>
        <w:pStyle w:val="Compact"/>
      </w:pPr>
      <w:r>
        <w:t xml:space="preserve">He catalogues specific stylistic vices (dying metaphors, pretentious diction, meaningless abstract words, and especially euphemism used to obscure brutal political realities).</w:t>
      </w:r>
    </w:p>
    <w:p>
      <w:pPr>
        <w:numPr>
          <w:ilvl w:val="0"/>
          <w:numId w:val="1002"/>
        </w:numPr>
        <w:pStyle w:val="Compact"/>
      </w:pPr>
      <w:r>
        <w:t xml:space="preserve">His practical rules (prefer concrete, active, jargon-free language) insist that clarity is an ethical as well as stylistic obligation, a theme he later develops fictionally through Newspeak in</w:t>
      </w:r>
      <w:r>
        <w:t xml:space="preserve"> </w:t>
      </w:r>
      <w:r>
        <w:rPr>
          <w:iCs/>
          <w:i/>
        </w:rPr>
        <w:t xml:space="preserve">Nineteen Eighty-Four</w:t>
      </w:r>
      <w:r>
        <w:t xml:space="preserve">.</w:t>
      </w:r>
    </w:p>
    <w:bookmarkEnd w:id="21"/>
    <w:bookmarkStart w:id="22" w:name="X653db0b4e1310b6502b71aa8f3d36aa51960bf3"/>
    <w:p>
      <w:pPr>
        <w:pStyle w:val="Heading3"/>
      </w:pPr>
      <w:r>
        <w:t xml:space="preserve">3. George Orwell — The Prevention of Literature</w:t>
      </w:r>
    </w:p>
    <w:p>
      <w:pPr>
        <w:pStyle w:val="FirstParagraph"/>
      </w:pPr>
      <w:r>
        <w:t xml:space="preserve">Orwell’s essay</w:t>
      </w:r>
      <w:r>
        <w:t xml:space="preserve"> </w:t>
      </w:r>
      <w:r>
        <w:t xml:space="preserve">“</w:t>
      </w:r>
      <w:r>
        <w:t xml:space="preserve">The Prevention of Literature</w:t>
      </w:r>
      <w:r>
        <w:t xml:space="preserve">”</w:t>
      </w:r>
      <w:r>
        <w:t xml:space="preserve"> </w:t>
      </w:r>
      <w:r>
        <w:t xml:space="preserve">(1946) extends the concerns of</w:t>
      </w:r>
      <w:r>
        <w:t xml:space="preserve"> </w:t>
      </w:r>
      <w:r>
        <w:t xml:space="preserve">“</w:t>
      </w:r>
      <w:r>
        <w:t xml:space="preserve">Politics and the English Language</w:t>
      </w:r>
      <w:r>
        <w:t xml:space="preserve">”</w:t>
      </w:r>
      <w:r>
        <w:t xml:space="preserve"> </w:t>
      </w:r>
      <w:r>
        <w:t xml:space="preserve">(Topic 2) into a direct argument that totalitarianism, whether of the Right or the Left, is fundamentally incompatible with genuine literary creation, because imaginative prose writing requires a degree of intellectual honesty and independence that totalitarian orthodoxy cannot tolerate.</w:t>
      </w:r>
    </w:p>
    <w:p>
      <w:pPr>
        <w:pStyle w:val="BodyText"/>
      </w:pPr>
      <w:r>
        <w:rPr>
          <w:bCs/>
          <w:b/>
        </w:rPr>
        <w:t xml:space="preserve">Central argument.</w:t>
      </w:r>
      <w:r>
        <w:t xml:space="preserve"> </w:t>
      </w:r>
      <w:r>
        <w:t xml:space="preserve">Orwell distinguishes between different kinds of writing in terms of their vulnerability to political control: journalism and technical writing can, he argues, survive under significant political constraint, since they do not necessarily require the writer to report the world exactly as their own individual perception and conscience present it; but imaginative literature — the novel, the essay, genuinely honest reportage — depends on the writer’s freedom to follow their own observation and judgement wherever it leads, including to conclusions that may be politically inconvenient or heretical, meaning that any political system demanding orthodoxy on matters of fact and interpretation makes genuine literary prose effectively impossible, even where poetry (which Orwell suggests can sometimes survive through ambiguity and indirection) might find more room to manoeuvre.</w:t>
      </w:r>
    </w:p>
    <w:p>
      <w:pPr>
        <w:pStyle w:val="BodyText"/>
      </w:pPr>
      <w:r>
        <w:rPr>
          <w:bCs/>
          <w:b/>
        </w:rPr>
        <w:t xml:space="preserve">Orwell’s specific target.</w:t>
      </w:r>
      <w:r>
        <w:t xml:space="preserve"> </w:t>
      </w:r>
      <w:r>
        <w:t xml:space="preserve">While written with an awareness of fascism, Orwell’s more pointed and, at the time, more provocative target is the intellectual climate on the political Left, particularly the tendency of some Western intellectuals sympathetic to Soviet communism to excuse or rationalise the Soviet state’s demands for ideological conformity — Orwell argues that a writer who accepts the premise that truth is whatever serves the Party’s current interests has already abandoned the basic precondition for honest literary work, regardless of how sincerely that writer believes in the political cause being served.</w:t>
      </w:r>
    </w:p>
    <w:p>
      <w:pPr>
        <w:pStyle w:val="BodyText"/>
      </w:pPr>
      <w:r>
        <w:rPr>
          <w:bCs/>
          <w:b/>
        </w:rPr>
        <w:t xml:space="preserve">Connection to Orwell’s broader intellectual project.</w:t>
      </w:r>
      <w:r>
        <w:t xml:space="preserve"> </w:t>
      </w:r>
      <w:r>
        <w:t xml:space="preserve">This essay should be read alongside</w:t>
      </w:r>
      <w:r>
        <w:t xml:space="preserve"> </w:t>
      </w:r>
      <w:r>
        <w:t xml:space="preserve">“</w:t>
      </w:r>
      <w:r>
        <w:t xml:space="preserve">Politics and the English Language</w:t>
      </w:r>
      <w:r>
        <w:t xml:space="preserve">”</w:t>
      </w:r>
      <w:r>
        <w:t xml:space="preserve"> </w:t>
      </w:r>
      <w:r>
        <w:t xml:space="preserve">(Topic 2) and</w:t>
      </w:r>
      <w:r>
        <w:t xml:space="preserve"> </w:t>
      </w:r>
      <w:r>
        <w:rPr>
          <w:iCs/>
          <w:i/>
        </w:rPr>
        <w:t xml:space="preserve">Nineteen Eighty-Four</w:t>
      </w:r>
      <w:r>
        <w:t xml:space="preserve"> </w:t>
      </w:r>
      <w:r>
        <w:t xml:space="preserve">(Topic 39) as part of a single sustained argument running through Orwell’s later work: that totalitarian power depends on controlling not just action but thought and language itself, and that the writer’s obligation to report truthfully what they actually perceive is therefore not merely an aesthetic commitment but a last line of defence against this kind of total political control.</w:t>
      </w:r>
    </w:p>
    <w:p>
      <w:pPr>
        <w:pStyle w:val="BodyText"/>
      </w:pPr>
      <w:r>
        <w:rPr>
          <w:bCs/>
          <w:b/>
        </w:rPr>
        <w:t xml:space="preserve">Key Takeaways</w:t>
      </w:r>
    </w:p>
    <w:p>
      <w:pPr>
        <w:numPr>
          <w:ilvl w:val="0"/>
          <w:numId w:val="1003"/>
        </w:numPr>
        <w:pStyle w:val="Compact"/>
      </w:pPr>
      <w:r>
        <w:t xml:space="preserve">Orwell argues that genuine imaginative literature requires intellectual freedom and honesty incompatible with totalitarian demands for ideological orthodoxy, distinguishing it from journalism or technical writing, which he sees as more able to survive under political constraint.</w:t>
      </w:r>
    </w:p>
    <w:p>
      <w:pPr>
        <w:numPr>
          <w:ilvl w:val="0"/>
          <w:numId w:val="1003"/>
        </w:numPr>
        <w:pStyle w:val="Compact"/>
      </w:pPr>
      <w:r>
        <w:t xml:space="preserve">His more pointed target is Western left-wing intellectuals’ willingness to excuse Soviet-style ideological conformity, arguing this represents an abandonment of the basic precondition for honest literary work.</w:t>
      </w:r>
    </w:p>
    <w:p>
      <w:pPr>
        <w:numPr>
          <w:ilvl w:val="0"/>
          <w:numId w:val="1003"/>
        </w:numPr>
        <w:pStyle w:val="Compact"/>
      </w:pPr>
      <w:r>
        <w:t xml:space="preserve">The essay forms part of a sustained Orwellian argument, alongside</w:t>
      </w:r>
      <w:r>
        <w:t xml:space="preserve"> </w:t>
      </w:r>
      <w:r>
        <w:t xml:space="preserve">“</w:t>
      </w:r>
      <w:r>
        <w:t xml:space="preserve">Politics and the English Language</w:t>
      </w:r>
      <w:r>
        <w:t xml:space="preserve">”</w:t>
      </w:r>
      <w:r>
        <w:t xml:space="preserve"> </w:t>
      </w:r>
      <w:r>
        <w:t xml:space="preserve">and</w:t>
      </w:r>
      <w:r>
        <w:t xml:space="preserve"> </w:t>
      </w:r>
      <w:r>
        <w:rPr>
          <w:iCs/>
          <w:i/>
        </w:rPr>
        <w:t xml:space="preserve">Nineteen Eighty-Four</w:t>
      </w:r>
      <w:r>
        <w:t xml:space="preserve">, that totalitarianism depends on controlling thought and language, making the writer’s commitment to truthful perception a form of political resistance.</w:t>
      </w:r>
    </w:p>
    <w:bookmarkEnd w:id="22"/>
    <w:bookmarkStart w:id="23" w:name="X9e22de4ec6b6ef326d06373672fe74fb9782052"/>
    <w:p>
      <w:pPr>
        <w:pStyle w:val="Heading3"/>
      </w:pPr>
      <w:r>
        <w:t xml:space="preserve">4. Ralph Waldo Emerson — The Transcendentalist</w:t>
      </w:r>
    </w:p>
    <w:p>
      <w:pPr>
        <w:pStyle w:val="FirstParagraph"/>
      </w:pPr>
      <w:r>
        <w:t xml:space="preserve">Emerson’s lecture</w:t>
      </w:r>
      <w:r>
        <w:t xml:space="preserve"> </w:t>
      </w:r>
      <w:r>
        <w:t xml:space="preserve">“</w:t>
      </w:r>
      <w:r>
        <w:t xml:space="preserve">The Transcendentalist</w:t>
      </w:r>
      <w:r>
        <w:t xml:space="preserve">”</w:t>
      </w:r>
      <w:r>
        <w:t xml:space="preserve"> </w:t>
      </w:r>
      <w:r>
        <w:t xml:space="preserve">(1842) offers a defence and explanation of American Transcendentalism — the philosophical and literary movement Emerson helped found — addressed to an audience inclined to view the movement’s adherents as impractical dreamers, and framing Transcendentalism as a serious, principled response to a narrowly materialist view of reality.</w:t>
      </w:r>
    </w:p>
    <w:p>
      <w:pPr>
        <w:pStyle w:val="BodyText"/>
      </w:pPr>
      <w:r>
        <w:rPr>
          <w:bCs/>
          <w:b/>
        </w:rPr>
        <w:t xml:space="preserve">Core philosophical distinction.</w:t>
      </w:r>
      <w:r>
        <w:t xml:space="preserve"> </w:t>
      </w:r>
      <w:r>
        <w:t xml:space="preserve">Emerson frames Transcendentalism through a contrast with what he calls</w:t>
      </w:r>
      <w:r>
        <w:t xml:space="preserve"> </w:t>
      </w:r>
      <w:r>
        <w:t xml:space="preserve">“</w:t>
      </w:r>
      <w:r>
        <w:t xml:space="preserve">Materialism</w:t>
      </w:r>
      <w:r>
        <w:t xml:space="preserve">”</w:t>
      </w:r>
      <w:r>
        <w:t xml:space="preserve"> </w:t>
      </w:r>
      <w:r>
        <w:t xml:space="preserve">— where the materialist relies exclusively on the evidence of the senses and treats only externally verifiable facts as real, the Transcendentalist (drawing on Kantian philosophy, from which the movement’s name derives — the</w:t>
      </w:r>
      <w:r>
        <w:t xml:space="preserve"> </w:t>
      </w:r>
      <w:r>
        <w:t xml:space="preserve">“</w:t>
      </w:r>
      <w:r>
        <w:t xml:space="preserve">transcendental</w:t>
      </w:r>
      <w:r>
        <w:t xml:space="preserve">”</w:t>
      </w:r>
      <w:r>
        <w:t xml:space="preserve"> </w:t>
      </w:r>
      <w:r>
        <w:t xml:space="preserve">forms of perception Kant argued the mind brings to experience, prior to and independent of sense data) insists that intuition, conscience, and the mind’s own innate structuring principles are equally, or more, fundamental sources of truth than sensory observation alone — for the Transcendentalist, the material world is real but secondary, and spiritual or intuitive insight takes precedence as the higher form of knowledge.</w:t>
      </w:r>
    </w:p>
    <w:p>
      <w:pPr>
        <w:pStyle w:val="BodyText"/>
      </w:pPr>
      <w:r>
        <w:rPr>
          <w:bCs/>
          <w:b/>
        </w:rPr>
        <w:t xml:space="preserve">The transcendentalist as social critic.</w:t>
      </w:r>
      <w:r>
        <w:t xml:space="preserve"> </w:t>
      </w:r>
      <w:r>
        <w:t xml:space="preserve">Emerson defends the Transcendentalist’s characteristic withdrawal from conventional social and commercial life — behaviour often criticised as impractical idleness — as a principled refusal to participate in institutions and professions the Transcendentalist judges to be spiritually and morally compromised; rather than criticising society opportunistically while still participating fully in it, the genuine Transcendentalist, in Emerson’s account, withdraws in order to preserve the integrity of individual conscience against social pressure to conform.</w:t>
      </w:r>
    </w:p>
    <w:p>
      <w:pPr>
        <w:pStyle w:val="BodyText"/>
      </w:pPr>
      <w:r>
        <w:rPr>
          <w:bCs/>
          <w:b/>
        </w:rPr>
        <w:t xml:space="preserve">Connection to Emerson’s broader thought.</w:t>
      </w:r>
      <w:r>
        <w:t xml:space="preserve"> </w:t>
      </w:r>
      <w:r>
        <w:t xml:space="preserve">This essay should be read as a companion piece to</w:t>
      </w:r>
      <w:r>
        <w:t xml:space="preserve"> </w:t>
      </w:r>
      <w:r>
        <w:t xml:space="preserve">“</w:t>
      </w:r>
      <w:r>
        <w:t xml:space="preserve">Self-Reliance</w:t>
      </w:r>
      <w:r>
        <w:t xml:space="preserve">”</w:t>
      </w:r>
      <w:r>
        <w:t xml:space="preserve"> </w:t>
      </w:r>
      <w:r>
        <w:t xml:space="preserve">(Topic 5): where</w:t>
      </w:r>
      <w:r>
        <w:t xml:space="preserve"> </w:t>
      </w:r>
      <w:r>
        <w:t xml:space="preserve">“</w:t>
      </w:r>
      <w:r>
        <w:t xml:space="preserve">Self-Reliance</w:t>
      </w:r>
      <w:r>
        <w:t xml:space="preserve">”</w:t>
      </w:r>
      <w:r>
        <w:t xml:space="preserve"> </w:t>
      </w:r>
      <w:r>
        <w:t xml:space="preserve">makes the practical, ethical case for individual nonconformity and trust in one’s own intuition,</w:t>
      </w:r>
      <w:r>
        <w:t xml:space="preserve"> </w:t>
      </w:r>
      <w:r>
        <w:t xml:space="preserve">“</w:t>
      </w:r>
      <w:r>
        <w:t xml:space="preserve">The Transcendentalist</w:t>
      </w:r>
      <w:r>
        <w:t xml:space="preserve">”</w:t>
      </w:r>
      <w:r>
        <w:t xml:space="preserve"> </w:t>
      </w:r>
      <w:r>
        <w:t xml:space="preserve">supplies the underlying philosophical justification for why intuition deserves this trust in the first place, situating Emerson’s individualism within a broader idealist philosophical tradition rather than presenting it merely as a personal temperament or preference.</w:t>
      </w:r>
    </w:p>
    <w:p>
      <w:pPr>
        <w:pStyle w:val="BodyText"/>
      </w:pPr>
      <w:r>
        <w:rPr>
          <w:bCs/>
          <w:b/>
        </w:rPr>
        <w:t xml:space="preserve">Key Takeaways</w:t>
      </w:r>
    </w:p>
    <w:p>
      <w:pPr>
        <w:numPr>
          <w:ilvl w:val="0"/>
          <w:numId w:val="1004"/>
        </w:numPr>
        <w:pStyle w:val="Compact"/>
      </w:pPr>
      <w:r>
        <w:t xml:space="preserve">Emerson contrasts Transcendentalism with Materialism, arguing that intuition and conscience are sources of truth at least as fundamental as sensory observation, drawing on Kantian idealist philosophy.</w:t>
      </w:r>
    </w:p>
    <w:p>
      <w:pPr>
        <w:numPr>
          <w:ilvl w:val="0"/>
          <w:numId w:val="1004"/>
        </w:numPr>
        <w:pStyle w:val="Compact"/>
      </w:pPr>
      <w:r>
        <w:t xml:space="preserve">He defends Transcendentalists’ characteristic social withdrawal as principled resistance to spiritually compromised institutions, rather than mere impracticality.</w:t>
      </w:r>
    </w:p>
    <w:p>
      <w:pPr>
        <w:numPr>
          <w:ilvl w:val="0"/>
          <w:numId w:val="1004"/>
        </w:numPr>
        <w:pStyle w:val="Compact"/>
      </w:pPr>
      <w:r>
        <w:t xml:space="preserve">The essay provides the philosophical foundation underlying the individualism Emerson argues for more practically in</w:t>
      </w:r>
      <w:r>
        <w:t xml:space="preserve"> </w:t>
      </w:r>
      <w:r>
        <w:t xml:space="preserve">“</w:t>
      </w:r>
      <w:r>
        <w:t xml:space="preserve">Self-Reliance</w:t>
      </w:r>
      <w:r>
        <w:t xml:space="preserve">”</w:t>
      </w:r>
      <w:r>
        <w:t xml:space="preserve"> </w:t>
      </w:r>
      <w:r>
        <w:t xml:space="preserve">(Topic 5).</w:t>
      </w:r>
    </w:p>
    <w:bookmarkEnd w:id="23"/>
    <w:bookmarkStart w:id="24" w:name="ralph-waldo-emerson-self-reliance"/>
    <w:p>
      <w:pPr>
        <w:pStyle w:val="Heading3"/>
      </w:pPr>
      <w:r>
        <w:t xml:space="preserve">5. Ralph Waldo Emerson — Self-Reliance</w:t>
      </w:r>
    </w:p>
    <w:p>
      <w:pPr>
        <w:pStyle w:val="FirstParagraph"/>
      </w:pPr>
      <w:r>
        <w:t xml:space="preserve">Emerson’s essay</w:t>
      </w:r>
      <w:r>
        <w:t xml:space="preserve"> </w:t>
      </w:r>
      <w:r>
        <w:t xml:space="preserve">“</w:t>
      </w:r>
      <w:r>
        <w:t xml:space="preserve">Self-Reliance</w:t>
      </w:r>
      <w:r>
        <w:t xml:space="preserve">”</w:t>
      </w:r>
      <w:r>
        <w:t xml:space="preserve"> </w:t>
      </w:r>
      <w:r>
        <w:t xml:space="preserve">(1841) is perhaps the most influential single statement of American individualism in the nation’s literary tradition, arguing that trust in one’s own intuition and judgement, rather than conformity to social convention or even consistency with one’s own past positions, is the foundation of genuine moral and intellectual integrity.</w:t>
      </w:r>
    </w:p>
    <w:p>
      <w:pPr>
        <w:pStyle w:val="BodyText"/>
      </w:pPr>
      <w:r>
        <w:rPr>
          <w:bCs/>
          <w:b/>
        </w:rPr>
        <w:t xml:space="preserve">Central argument.</w:t>
      </w:r>
      <w:r>
        <w:t xml:space="preserve"> </w:t>
      </w:r>
      <w:r>
        <w:t xml:space="preserve">Emerson urges the reader to trust their own spontaneous perception and conviction over inherited tradition, social expectation, or the accumulated opinion of others — his famous formulation</w:t>
      </w:r>
      <w:r>
        <w:t xml:space="preserve"> </w:t>
      </w:r>
      <w:r>
        <w:t xml:space="preserve">“</w:t>
      </w:r>
      <w:r>
        <w:t xml:space="preserve">To believe your own thought, to believe that what is true for you in your private heart is true for all men — that is genius</w:t>
      </w:r>
      <w:r>
        <w:t xml:space="preserve">”</w:t>
      </w:r>
      <w:r>
        <w:t xml:space="preserve"> </w:t>
      </w:r>
      <w:r>
        <w:t xml:space="preserve">positions individual intuition not as mere personal preference but as potentially universal truth, accessible through the same inward channel Emerson describes philosophically in</w:t>
      </w:r>
      <w:r>
        <w:t xml:space="preserve"> </w:t>
      </w:r>
      <w:r>
        <w:t xml:space="preserve">“</w:t>
      </w:r>
      <w:r>
        <w:t xml:space="preserve">The Transcendentalist</w:t>
      </w:r>
      <w:r>
        <w:t xml:space="preserve">”</w:t>
      </w:r>
      <w:r>
        <w:t xml:space="preserve"> </w:t>
      </w:r>
      <w:r>
        <w:t xml:space="preserve">(Topic 4).</w:t>
      </w:r>
    </w:p>
    <w:p>
      <w:pPr>
        <w:pStyle w:val="BodyText"/>
      </w:pPr>
      <w:r>
        <w:rPr>
          <w:bCs/>
          <w:b/>
        </w:rPr>
        <w:t xml:space="preserve">“</w:t>
      </w:r>
      <w:r>
        <w:rPr>
          <w:bCs/>
          <w:b/>
        </w:rPr>
        <w:t xml:space="preserve">A foolish consistency is the hobgoblin of little minds.</w:t>
      </w:r>
      <w:r>
        <w:rPr>
          <w:bCs/>
          <w:b/>
        </w:rPr>
        <w:t xml:space="preserve">”</w:t>
      </w:r>
      <w:r>
        <w:t xml:space="preserve"> </w:t>
      </w:r>
      <w:r>
        <w:t xml:space="preserve">Among the essay’s most quoted lines, this argument holds that rigid consistency with one’s past statements or positions, pursued merely for its own sake, is a form of intellectual cowardice rather than integrity — Emerson argues that a person of genuine conviction should feel free to contradict their earlier self if their present, more considered judgement demands it, since truth as directly perceived in the present moment matters more than superficial coherence with the past.</w:t>
      </w:r>
    </w:p>
    <w:p>
      <w:pPr>
        <w:pStyle w:val="BodyText"/>
      </w:pPr>
      <w:r>
        <w:rPr>
          <w:bCs/>
          <w:b/>
        </w:rPr>
        <w:t xml:space="preserve">Nonconformity and social pressure.</w:t>
      </w:r>
      <w:r>
        <w:t xml:space="preserve"> </w:t>
      </w:r>
      <w:r>
        <w:t xml:space="preserve">Emerson repeatedly frames society as a force that pressures the individual toward conformity and mediocrity, and presents the self-reliant individual’s resistance to this pressure — including the willingness to be misunderstood or disapproved of — as essential to genuine achievement and moral seriousness, famously declaring that</w:t>
      </w:r>
      <w:r>
        <w:t xml:space="preserve"> </w:t>
      </w:r>
      <w:r>
        <w:t xml:space="preserve">“</w:t>
      </w:r>
      <w:r>
        <w:t xml:space="preserve">whoso would be a man must be a nonconformist.</w:t>
      </w:r>
      <w:r>
        <w:t xml:space="preserve">”</w:t>
      </w:r>
    </w:p>
    <w:p>
      <w:pPr>
        <w:pStyle w:val="BodyText"/>
      </w:pPr>
      <w:r>
        <w:rPr>
          <w:bCs/>
          <w:b/>
        </w:rPr>
        <w:t xml:space="preserve">Significance and influence.</w:t>
      </w:r>
      <w:r>
        <w:t xml:space="preserve"> </w:t>
      </w:r>
      <w:r>
        <w:t xml:space="preserve">“</w:t>
      </w:r>
      <w:r>
        <w:t xml:space="preserve">Self-Reliance</w:t>
      </w:r>
      <w:r>
        <w:t xml:space="preserve">”</w:t>
      </w:r>
      <w:r>
        <w:t xml:space="preserve"> </w:t>
      </w:r>
      <w:r>
        <w:t xml:space="preserve">is foundational to the broader American cultural emphasis on individualism, and its influence extends well beyond literature into American political and cultural rhetoric more broadly; within the literary tradition specifically, its insistence on trusting individual perception over inherited convention anticipates themes later explored by Walt Whitman (Topics 25–27), whose poetic voice similarly insists on the authority of individual, unmediated experience.</w:t>
      </w:r>
    </w:p>
    <w:p>
      <w:pPr>
        <w:pStyle w:val="BodyText"/>
      </w:pPr>
      <w:r>
        <w:rPr>
          <w:bCs/>
          <w:b/>
        </w:rPr>
        <w:t xml:space="preserve">Key Takeaways</w:t>
      </w:r>
    </w:p>
    <w:p>
      <w:pPr>
        <w:numPr>
          <w:ilvl w:val="0"/>
          <w:numId w:val="1005"/>
        </w:numPr>
        <w:pStyle w:val="Compact"/>
      </w:pPr>
      <w:r>
        <w:t xml:space="preserve">Emerson argues that trust in one’s own spontaneous intuition and conviction, rather than social convention, is the foundation of genuine moral and intellectual integrity.</w:t>
      </w:r>
    </w:p>
    <w:p>
      <w:pPr>
        <w:numPr>
          <w:ilvl w:val="0"/>
          <w:numId w:val="1005"/>
        </w:numPr>
        <w:pStyle w:val="Compact"/>
      </w:pPr>
      <w:r>
        <w:t xml:space="preserve">His claim that</w:t>
      </w:r>
      <w:r>
        <w:t xml:space="preserve"> </w:t>
      </w:r>
      <w:r>
        <w:t xml:space="preserve">“</w:t>
      </w:r>
      <w:r>
        <w:t xml:space="preserve">a foolish consistency is the hobgoblin of little minds</w:t>
      </w:r>
      <w:r>
        <w:t xml:space="preserve">”</w:t>
      </w:r>
      <w:r>
        <w:t xml:space="preserve"> </w:t>
      </w:r>
      <w:r>
        <w:t xml:space="preserve">holds that rigid consistency with one’s past positions is intellectual cowardice, not integrity.</w:t>
      </w:r>
    </w:p>
    <w:p>
      <w:pPr>
        <w:numPr>
          <w:ilvl w:val="0"/>
          <w:numId w:val="1005"/>
        </w:numPr>
        <w:pStyle w:val="Compact"/>
      </w:pPr>
      <w:r>
        <w:t xml:space="preserve">The essay’s insistence on nonconformity and individual authority over inherited convention profoundly shaped American cultural individualism and anticipates themes later developed poetically by Walt Whitman.</w:t>
      </w:r>
    </w:p>
    <w:bookmarkEnd w:id="24"/>
    <w:bookmarkEnd w:id="25"/>
    <w:bookmarkStart w:id="29" w:name="ii.-short-stories"/>
    <w:p>
      <w:pPr>
        <w:pStyle w:val="Heading2"/>
      </w:pPr>
      <w:r>
        <w:t xml:space="preserve">II. Short Stories</w:t>
      </w:r>
    </w:p>
    <w:bookmarkStart w:id="26" w:name="somerset-maugham-the-lotus-eater"/>
    <w:p>
      <w:pPr>
        <w:pStyle w:val="Heading3"/>
      </w:pPr>
      <w:r>
        <w:t xml:space="preserve">6. Somerset Maugham — The Lotus-Eater</w:t>
      </w:r>
    </w:p>
    <w:p>
      <w:pPr>
        <w:pStyle w:val="FirstParagraph"/>
      </w:pPr>
      <w:r>
        <w:t xml:space="preserve">Somerset Maugham’s short story</w:t>
      </w:r>
      <w:r>
        <w:t xml:space="preserve"> </w:t>
      </w:r>
      <w:r>
        <w:t xml:space="preserve">“</w:t>
      </w:r>
      <w:r>
        <w:t xml:space="preserve">The Lotus-Eater</w:t>
      </w:r>
      <w:r>
        <w:t xml:space="preserve">”</w:t>
      </w:r>
      <w:r>
        <w:t xml:space="preserve"> </w:t>
      </w:r>
      <w:r>
        <w:t xml:space="preserve">follows Thomas Wilson, an Englishman who abandons a conventional career to retire early to the Italian island of Capri, deliberately choosing a life of leisure and aesthetic pleasure over continued productive work, with the story tracing the eventual, devastating consequences of this choice.</w:t>
      </w:r>
    </w:p>
    <w:p>
      <w:pPr>
        <w:pStyle w:val="BodyText"/>
      </w:pPr>
      <w:r>
        <w:rPr>
          <w:bCs/>
          <w:b/>
        </w:rPr>
        <w:t xml:space="preserve">Plot and central premise.</w:t>
      </w:r>
      <w:r>
        <w:t xml:space="preserve"> </w:t>
      </w:r>
      <w:r>
        <w:t xml:space="preserve">Wilson, having calculated that his modest savings will sustain a simple but pleasant life on Capri for exactly twenty-five years, resolves to live entirely for present enjoyment during that period and then, when his money runs out, to take his own life rather than return to conventional work or dependency — the story’s central tension lies in whether this deliberately chosen, time-limited hedonism represents genuine wisdom (a rejection of the conventional, work-driven life in favour of consciously chosen pleasure) or a form of self-deceiving escapism that defers rather than confronts life’s fundamental demands.</w:t>
      </w:r>
    </w:p>
    <w:p>
      <w:pPr>
        <w:pStyle w:val="BodyText"/>
      </w:pPr>
      <w:r>
        <w:rPr>
          <w:bCs/>
          <w:b/>
        </w:rPr>
        <w:t xml:space="preserve">The title’s allusion.</w:t>
      </w:r>
      <w:r>
        <w:t xml:space="preserve"> </w:t>
      </w:r>
      <w:r>
        <w:t xml:space="preserve">The story’s title alludes to the</w:t>
      </w:r>
      <w:r>
        <w:t xml:space="preserve"> </w:t>
      </w:r>
      <w:r>
        <w:t xml:space="preserve">“</w:t>
      </w:r>
      <w:r>
        <w:t xml:space="preserve">lotus-eaters</w:t>
      </w:r>
      <w:r>
        <w:t xml:space="preserve">”</w:t>
      </w:r>
      <w:r>
        <w:t xml:space="preserve"> </w:t>
      </w:r>
      <w:r>
        <w:t xml:space="preserve">episode in Homer’s</w:t>
      </w:r>
      <w:r>
        <w:t xml:space="preserve"> </w:t>
      </w:r>
      <w:r>
        <w:rPr>
          <w:iCs/>
          <w:i/>
        </w:rPr>
        <w:t xml:space="preserve">Odyssey</w:t>
      </w:r>
      <w:r>
        <w:t xml:space="preserve">, in which sailors who eat the lotus fruit fall into blissful forgetfulness, losing all desire to continue their journey home — the allusion frames Wilson’s chosen life of aesthetic pleasure on Capri as a similarly seductive but ultimately dangerous forgetfulness, a deliberate turning-away from ordinary human obligation and forward-looking purpose in favour of an endless, self-contained present.</w:t>
      </w:r>
    </w:p>
    <w:p>
      <w:pPr>
        <w:pStyle w:val="BodyText"/>
      </w:pPr>
      <w:r>
        <w:rPr>
          <w:bCs/>
          <w:b/>
        </w:rPr>
        <w:t xml:space="preserve">Resolution and thematic significance.</w:t>
      </w:r>
      <w:r>
        <w:t xml:space="preserve"> </w:t>
      </w:r>
      <w:r>
        <w:t xml:space="preserve">Without revealing the story’s specific ending, Maugham’s narrative structure ultimately complicates any simple endorsement of Wilson’s chosen philosophy, suggesting that a life organised entirely around present pleasure, however initially appealing, fails to reckon adequately with human psychological need for purpose, security, and continuity — the story functions as a kind of cautionary meditation on hedonism and escapism, asking whether Wilson’s apparent wisdom in rejecting conventional ambition is genuine self-knowledge or merely a more elegant form of self-deception.</w:t>
      </w:r>
    </w:p>
    <w:p>
      <w:pPr>
        <w:pStyle w:val="BodyText"/>
      </w:pPr>
      <w:r>
        <w:rPr>
          <w:bCs/>
          <w:b/>
        </w:rPr>
        <w:t xml:space="preserve">Key Takeaways</w:t>
      </w:r>
    </w:p>
    <w:p>
      <w:pPr>
        <w:numPr>
          <w:ilvl w:val="0"/>
          <w:numId w:val="1006"/>
        </w:numPr>
        <w:pStyle w:val="Compact"/>
      </w:pPr>
      <w:r>
        <w:t xml:space="preserve">The story follows Thomas Wilson, who abandons conventional work for a deliberately time-limited life of pleasure on Capri, planning to end his life when his savings run out.</w:t>
      </w:r>
    </w:p>
    <w:p>
      <w:pPr>
        <w:numPr>
          <w:ilvl w:val="0"/>
          <w:numId w:val="1006"/>
        </w:numPr>
        <w:pStyle w:val="Compact"/>
      </w:pPr>
      <w:r>
        <w:t xml:space="preserve">Its title alludes to Homer’s lotus-eaters, framing Wilson’s chosen hedonism as a seductive but dangerous forgetfulness of ordinary human obligation and purpose.</w:t>
      </w:r>
    </w:p>
    <w:p>
      <w:pPr>
        <w:numPr>
          <w:ilvl w:val="0"/>
          <w:numId w:val="1006"/>
        </w:numPr>
        <w:pStyle w:val="Compact"/>
      </w:pPr>
      <w:r>
        <w:t xml:space="preserve">The story functions as a cautionary meditation on hedonism and escapism, questioning whether Wilson’s rejection of conventional life represents genuine wisdom or self-deception.</w:t>
      </w:r>
    </w:p>
    <w:bookmarkEnd w:id="26"/>
    <w:bookmarkStart w:id="27" w:name="Xc6e2439097a334d3724a83b2865d01c6632a6c1"/>
    <w:p>
      <w:pPr>
        <w:pStyle w:val="Heading3"/>
      </w:pPr>
      <w:r>
        <w:t xml:space="preserve">7. G. K. Chesterton — A Somewhat Improbable Story</w:t>
      </w:r>
    </w:p>
    <w:p>
      <w:pPr>
        <w:pStyle w:val="FirstParagraph"/>
      </w:pPr>
      <w:r>
        <w:t xml:space="preserve">G. K. Chesterton’s short fiction characteristically combines playful, even whimsical plotting with serious underlying moral or philosophical argument, and</w:t>
      </w:r>
      <w:r>
        <w:t xml:space="preserve"> </w:t>
      </w:r>
      <w:r>
        <w:t xml:space="preserve">“</w:t>
      </w:r>
      <w:r>
        <w:t xml:space="preserve">A Somewhat Improbable Story</w:t>
      </w:r>
      <w:r>
        <w:t xml:space="preserve">”</w:t>
      </w:r>
      <w:r>
        <w:t xml:space="preserve"> </w:t>
      </w:r>
      <w:r>
        <w:t xml:space="preserve">exemplifies this signature Chestertonian blend, using a deliberately far-fetched narrative premise as a vehicle for exploring a more serious idea.</w:t>
      </w:r>
    </w:p>
    <w:p>
      <w:pPr>
        <w:pStyle w:val="BodyText"/>
      </w:pPr>
      <w:r>
        <w:rPr>
          <w:bCs/>
          <w:b/>
        </w:rPr>
        <w:t xml:space="preserve">Chesterton’s characteristic method.</w:t>
      </w:r>
      <w:r>
        <w:t xml:space="preserve"> </w:t>
      </w:r>
      <w:r>
        <w:t xml:space="preserve">As throughout his fiction and essays, Chesterton favours paradox — apparent contradictions that, on closer examination, reveal a deeper truth — and delights in overturning the reader’s expectations, often using humour, fantastical or exaggerated plot devices, and unexpected reversals to make a philosophical or moral point land with more force than straightforward argumentative prose could achieve; the story’s self-consciously acknowledged</w:t>
      </w:r>
      <w:r>
        <w:t xml:space="preserve"> </w:t>
      </w:r>
      <w:r>
        <w:t xml:space="preserve">“</w:t>
      </w:r>
      <w:r>
        <w:t xml:space="preserve">improbability,</w:t>
      </w:r>
      <w:r>
        <w:t xml:space="preserve">”</w:t>
      </w:r>
      <w:r>
        <w:t xml:space="preserve"> </w:t>
      </w:r>
      <w:r>
        <w:t xml:space="preserve">signalled in its very title, is itself part of this method, since Chesterton frequently uses openly fantastical premises specifically to strip away the reader’s ordinary assumptions and force fresh consideration of an underlying question.</w:t>
      </w:r>
    </w:p>
    <w:p>
      <w:pPr>
        <w:pStyle w:val="BodyText"/>
      </w:pPr>
      <w:r>
        <w:rPr>
          <w:bCs/>
          <w:b/>
        </w:rPr>
        <w:t xml:space="preserve">Thematic concerns.</w:t>
      </w:r>
      <w:r>
        <w:t xml:space="preserve"> </w:t>
      </w:r>
      <w:r>
        <w:t xml:space="preserve">Consistent with Chesterton’s broader body of work (which frequently defends orthodox belief and common sense against what he saw as the fashionable cynicism or relativism of his intellectual contemporaries), the story typically uses its improbable events to defend some form of moral clarity or traditional value against a more sophisticated-seeming but, in Chesterton’s view, ultimately shallow modern alternative — the specific comic or fantastical situation serves as an argument by demonstration rather than direct assertion.</w:t>
      </w:r>
    </w:p>
    <w:p>
      <w:pPr>
        <w:pStyle w:val="BodyText"/>
      </w:pPr>
      <w:r>
        <w:rPr>
          <w:bCs/>
          <w:b/>
        </w:rPr>
        <w:t xml:space="preserve">Style.</w:t>
      </w:r>
      <w:r>
        <w:t xml:space="preserve"> </w:t>
      </w:r>
      <w:r>
        <w:t xml:space="preserve">Chesterton’s prose is characteristically epigrammatic, marked by short, quotable, paradox-laden sentences, and his narrative voice frequently intrudes with witty commentary, blurring the line between storytelling and essayistic argument — a stylistic signature that places him in a distinct tradition from the more restrained, observational realism of contemporaries like Maugham (Topic 6).</w:t>
      </w:r>
    </w:p>
    <w:p>
      <w:pPr>
        <w:pStyle w:val="BodyText"/>
      </w:pPr>
      <w:r>
        <w:rPr>
          <w:bCs/>
          <w:b/>
        </w:rPr>
        <w:t xml:space="preserve">Key Takeaways</w:t>
      </w:r>
    </w:p>
    <w:p>
      <w:pPr>
        <w:numPr>
          <w:ilvl w:val="0"/>
          <w:numId w:val="1007"/>
        </w:numPr>
        <w:pStyle w:val="Compact"/>
      </w:pPr>
      <w:r>
        <w:t xml:space="preserve">Chesterton’s fiction characteristically uses paradox and deliberately far-fetched plotting to deliver serious moral or philosophical arguments with unexpected force.</w:t>
      </w:r>
    </w:p>
    <w:p>
      <w:pPr>
        <w:numPr>
          <w:ilvl w:val="0"/>
          <w:numId w:val="1007"/>
        </w:numPr>
        <w:pStyle w:val="Compact"/>
      </w:pPr>
      <w:r>
        <w:t xml:space="preserve">The story’s self-conscious</w:t>
      </w:r>
      <w:r>
        <w:t xml:space="preserve"> </w:t>
      </w:r>
      <w:r>
        <w:t xml:space="preserve">“</w:t>
      </w:r>
      <w:r>
        <w:t xml:space="preserve">improbability</w:t>
      </w:r>
      <w:r>
        <w:t xml:space="preserve">”</w:t>
      </w:r>
      <w:r>
        <w:t xml:space="preserve"> </w:t>
      </w:r>
      <w:r>
        <w:t xml:space="preserve">is itself part of Chesterton’s method, stripping away ordinary assumptions to prompt fresh consideration of its underlying theme.</w:t>
      </w:r>
    </w:p>
    <w:p>
      <w:pPr>
        <w:numPr>
          <w:ilvl w:val="0"/>
          <w:numId w:val="1007"/>
        </w:numPr>
        <w:pStyle w:val="Compact"/>
      </w:pPr>
      <w:r>
        <w:t xml:space="preserve">Consistent with his broader work, the story likely defends moral clarity or traditional value against fashionable modern cynicism, delivered through his signature epigrammatic, paradox-laden prose style.</w:t>
      </w:r>
    </w:p>
    <w:bookmarkEnd w:id="27"/>
    <w:bookmarkStart w:id="28" w:name="o.-henry-the-gift-of-the-magi"/>
    <w:p>
      <w:pPr>
        <w:pStyle w:val="Heading3"/>
      </w:pPr>
      <w:r>
        <w:t xml:space="preserve">8. O. Henry — The Gift of the Magi</w:t>
      </w:r>
    </w:p>
    <w:p>
      <w:pPr>
        <w:pStyle w:val="FirstParagraph"/>
      </w:pPr>
      <w:r>
        <w:t xml:space="preserve">O. Henry’s</w:t>
      </w:r>
      <w:r>
        <w:t xml:space="preserve"> </w:t>
      </w:r>
      <w:r>
        <w:t xml:space="preserve">“</w:t>
      </w:r>
      <w:r>
        <w:t xml:space="preserve">The Gift of the Magi</w:t>
      </w:r>
      <w:r>
        <w:t xml:space="preserve">”</w:t>
      </w:r>
      <w:r>
        <w:t xml:space="preserve"> </w:t>
      </w:r>
      <w:r>
        <w:t xml:space="preserve">is among the most famous short stories in American literature, celebrated particularly for its tightly constructed ironic twist ending, and remains a defining example of O. Henry’s signature narrative technique.</w:t>
      </w:r>
    </w:p>
    <w:p>
      <w:pPr>
        <w:pStyle w:val="BodyText"/>
      </w:pPr>
      <w:r>
        <w:rPr>
          <w:bCs/>
          <w:b/>
        </w:rPr>
        <w:t xml:space="preserve">Plot summary.</w:t>
      </w:r>
      <w:r>
        <w:t xml:space="preserve"> </w:t>
      </w:r>
      <w:r>
        <w:t xml:space="preserve">A young, financially struggling married couple, Jim and Della, each wish to buy the other a meaningful Christmas gift despite having almost no money; Della sells her most prized possession — her long, beautiful hair — to buy a platinum chain for Jim’s treasured pocket watch, while Jim, unknown to Della, sells that very watch to buy a set of ornamental combs for Della’s hair — each spouse sacrifices their own most valuable possession specifically to buy a gift suited to the other’s most valuable possession, only to discover that the other has done the same, rendering both gifts, in a purely practical sense, useless.</w:t>
      </w:r>
    </w:p>
    <w:p>
      <w:pPr>
        <w:pStyle w:val="BodyText"/>
      </w:pPr>
      <w:r>
        <w:rPr>
          <w:bCs/>
          <w:b/>
        </w:rPr>
        <w:t xml:space="preserve">The ironic structure and its meaning.</w:t>
      </w:r>
      <w:r>
        <w:t xml:space="preserve"> </w:t>
      </w:r>
      <w:r>
        <w:t xml:space="preserve">The story’s central irony — that each gift becomes impractical precisely because of the sacrifice made to buy it — is not treated by the narrator as a simple joke or misfortune, but as the story’s central point: the narrator explicitly frames Jim and Della as wiser than the biblical Magi (the</w:t>
      </w:r>
      <w:r>
        <w:t xml:space="preserve"> </w:t>
      </w:r>
      <w:r>
        <w:t xml:space="preserve">“</w:t>
      </w:r>
      <w:r>
        <w:t xml:space="preserve">wise men</w:t>
      </w:r>
      <w:r>
        <w:t xml:space="preserve">”</w:t>
      </w:r>
      <w:r>
        <w:t xml:space="preserve"> </w:t>
      </w:r>
      <w:r>
        <w:t xml:space="preserve">who brought gifts to the infant Christ) precisely because their gifts, though rendered useless, represent a purer form of sacrificial love — Jim and Della gave up their most treasured possessions with no material gain to show for it, and the story argues that this very impracticality, this excess of love beyond practical calculation, is what makes their gifts genuinely wise and valuable.</w:t>
      </w:r>
    </w:p>
    <w:p>
      <w:pPr>
        <w:pStyle w:val="BodyText"/>
      </w:pPr>
      <w:r>
        <w:rPr>
          <w:bCs/>
          <w:b/>
        </w:rPr>
        <w:t xml:space="preserve">Style and significance.</w:t>
      </w:r>
      <w:r>
        <w:t xml:space="preserve"> </w:t>
      </w:r>
      <w:r>
        <w:t xml:space="preserve">O. Henry’s narrative voice is warm, gently comic, and directly address the reader at points, and the story’s tightly engineered plot — building with careful narrative misdirection toward its final revelation — exemplifies the</w:t>
      </w:r>
      <w:r>
        <w:t xml:space="preserve"> </w:t>
      </w:r>
      <w:r>
        <w:t xml:space="preserve">“</w:t>
      </w:r>
      <w:r>
        <w:t xml:space="preserve">twist ending</w:t>
      </w:r>
      <w:r>
        <w:t xml:space="preserve">”</w:t>
      </w:r>
      <w:r>
        <w:t xml:space="preserve"> </w:t>
      </w:r>
      <w:r>
        <w:t xml:space="preserve">technique closely associated with O. Henry’s name, in which the story’s full meaning and emotional impact depend on information withheld from the reader until the final lines; the story’s enduring popularity, particularly as a Christmas story, rests on this combination of technical narrative craft with a genuinely moving statement about the nature of selfless love.</w:t>
      </w:r>
    </w:p>
    <w:p>
      <w:pPr>
        <w:pStyle w:val="BodyText"/>
      </w:pPr>
      <w:r>
        <w:rPr>
          <w:bCs/>
          <w:b/>
        </w:rPr>
        <w:t xml:space="preserve">Key Takeaways</w:t>
      </w:r>
    </w:p>
    <w:p>
      <w:pPr>
        <w:numPr>
          <w:ilvl w:val="0"/>
          <w:numId w:val="1008"/>
        </w:numPr>
        <w:pStyle w:val="Compact"/>
      </w:pPr>
      <w:r>
        <w:t xml:space="preserve">The story follows Jim and Della, a poor young couple who each sell their most prized possession to buy the other a gift suited to that possession, only to find both gifts rendered impractical by the other’s parallel sacrifice.</w:t>
      </w:r>
    </w:p>
    <w:p>
      <w:pPr>
        <w:numPr>
          <w:ilvl w:val="0"/>
          <w:numId w:val="1008"/>
        </w:numPr>
        <w:pStyle w:val="Compact"/>
      </w:pPr>
      <w:r>
        <w:t xml:space="preserve">The narrator frames this ironic outcome not as misfortune but as evidence of a wisdom surpassing the biblical Magi’s, since the sacrifice itself, beyond any practical outcome, embodies pure selfless love.</w:t>
      </w:r>
    </w:p>
    <w:p>
      <w:pPr>
        <w:numPr>
          <w:ilvl w:val="0"/>
          <w:numId w:val="1008"/>
        </w:numPr>
        <w:pStyle w:val="Compact"/>
      </w:pPr>
      <w:r>
        <w:t xml:space="preserve">The story exemplifies O. Henry’s signature</w:t>
      </w:r>
      <w:r>
        <w:t xml:space="preserve"> </w:t>
      </w:r>
      <w:r>
        <w:t xml:space="preserve">“</w:t>
      </w:r>
      <w:r>
        <w:t xml:space="preserve">twist ending</w:t>
      </w:r>
      <w:r>
        <w:t xml:space="preserve">”</w:t>
      </w:r>
      <w:r>
        <w:t xml:space="preserve"> </w:t>
      </w:r>
      <w:r>
        <w:t xml:space="preserve">technique, in which careful narrative misdirection builds toward a final revelation that supplies the story’s full emotional and thematic meaning.</w:t>
      </w:r>
    </w:p>
    <w:bookmarkEnd w:id="28"/>
    <w:bookmarkEnd w:id="29"/>
    <w:bookmarkStart w:id="49" w:name="iii.-poetry"/>
    <w:p>
      <w:pPr>
        <w:pStyle w:val="Heading2"/>
      </w:pPr>
      <w:r>
        <w:t xml:space="preserve">III. Poetry</w:t>
      </w:r>
    </w:p>
    <w:bookmarkStart w:id="30" w:name="wordsworth-resolution-and-independence"/>
    <w:p>
      <w:pPr>
        <w:pStyle w:val="Heading3"/>
      </w:pPr>
      <w:r>
        <w:t xml:space="preserve">9. Wordsworth — Resolution and Independence</w:t>
      </w:r>
    </w:p>
    <w:p>
      <w:pPr>
        <w:pStyle w:val="FirstParagraph"/>
      </w:pPr>
      <w:r>
        <w:t xml:space="preserve">William Wordsworth’s</w:t>
      </w:r>
      <w:r>
        <w:t xml:space="preserve"> </w:t>
      </w:r>
      <w:r>
        <w:t xml:space="preserve">“</w:t>
      </w:r>
      <w:r>
        <w:t xml:space="preserve">Resolution and Independence</w:t>
      </w:r>
      <w:r>
        <w:t xml:space="preserve">”</w:t>
      </w:r>
      <w:r>
        <w:t xml:space="preserve"> </w:t>
      </w:r>
      <w:r>
        <w:t xml:space="preserve">(1802) stages an encounter between the poet-speaker, gripped by anxious brooding about the precariousness of a poet’s life, and an old leech-gatherer met on a lonely moor, whose quiet endurance offers the speaker an unexpected lesson in fortitude.</w:t>
      </w:r>
    </w:p>
    <w:p>
      <w:pPr>
        <w:pStyle w:val="BodyText"/>
      </w:pPr>
      <w:r>
        <w:rPr>
          <w:bCs/>
          <w:b/>
        </w:rPr>
        <w:t xml:space="preserve">Structure and movement.</w:t>
      </w:r>
      <w:r>
        <w:t xml:space="preserve"> </w:t>
      </w:r>
      <w:r>
        <w:t xml:space="preserve">The poem opens with the speaker in a state of transient joy at a beautiful natural morning, which abruptly gives way to anxious, self-generated dejection — thoughts of past poets (Chatterton and Burns are alluded to) who suffered poverty, madness, or early death remind the speaker of his own vulnerability, since a poet’s livelihood depends on inspiration and public favour rather than steady, reliable labour. The poem then turns, almost as if in providential answer to this anxiety, to the sudden appearance of an old man gathering leeches from moorland pools for his meagre living — a solitary, aged figure engaged in a bleak, uncertain trade, yet who speaks of his circumstances with a dignified, unruffled calm that the speaker finds difficult to fully comprehend or absorb in the moment, though its steadying effect persists after the encounter ends.</w:t>
      </w:r>
    </w:p>
    <w:p>
      <w:pPr>
        <w:pStyle w:val="BodyText"/>
      </w:pPr>
      <w:r>
        <w:rPr>
          <w:bCs/>
          <w:b/>
        </w:rPr>
        <w:t xml:space="preserve">Thematic significance.</w:t>
      </w:r>
      <w:r>
        <w:t xml:space="preserve"> </w:t>
      </w:r>
      <w:r>
        <w:t xml:space="preserve">The leech-gatherer functions less as a fully individualised character than as an emblem of resolute endurance in the face of hardship, offering an implicit rebuke to the speaker’s self-indulgent anxiety — the poem’s closing resolution (</w:t>
      </w:r>
      <w:r>
        <w:t xml:space="preserve">“</w:t>
      </w:r>
      <w:r>
        <w:t xml:space="preserve">I’ll think of the Leech-gatherer on the lonely moor</w:t>
      </w:r>
      <w:r>
        <w:t xml:space="preserve">”</w:t>
      </w:r>
      <w:r>
        <w:t xml:space="preserve">) suggests the old man’s example will serve as a talisman against future despondency, though critics have long debated whether the poem’s resolution feels fully earned or whether the old man remains too symbolically overdetermined to function as a genuinely persuasive answer to the speaker’s fears.</w:t>
      </w:r>
    </w:p>
    <w:p>
      <w:pPr>
        <w:pStyle w:val="BodyText"/>
      </w:pPr>
      <w:r>
        <w:rPr>
          <w:bCs/>
          <w:b/>
        </w:rPr>
        <w:t xml:space="preserve">Connection to Wordsworth’s broader poetics.</w:t>
      </w:r>
      <w:r>
        <w:t xml:space="preserve"> </w:t>
      </w:r>
      <w:r>
        <w:t xml:space="preserve">The poem exemplifies characteristic Wordsworthian concerns: the redemptive power of encounters with humble, rural figures; the value of solitude and nature as sources of moral instruction; and a self-reflexive anxiety about the poetic vocation itself, themes that recur throughout Wordsworth’s work, including in</w:t>
      </w:r>
      <w:r>
        <w:t xml:space="preserve"> </w:t>
      </w:r>
      <w:r>
        <w:t xml:space="preserve">“</w:t>
      </w:r>
      <w:r>
        <w:t xml:space="preserve">Tintern Abbey</w:t>
      </w:r>
      <w:r>
        <w:t xml:space="preserve">”</w:t>
      </w:r>
      <w:r>
        <w:t xml:space="preserve"> </w:t>
      </w:r>
      <w:r>
        <w:t xml:space="preserve">(Topic 10).</w:t>
      </w:r>
    </w:p>
    <w:p>
      <w:pPr>
        <w:pStyle w:val="BodyText"/>
      </w:pPr>
      <w:r>
        <w:rPr>
          <w:bCs/>
          <w:b/>
        </w:rPr>
        <w:t xml:space="preserve">Key Takeaways</w:t>
      </w:r>
    </w:p>
    <w:p>
      <w:pPr>
        <w:numPr>
          <w:ilvl w:val="0"/>
          <w:numId w:val="1009"/>
        </w:numPr>
        <w:pStyle w:val="Compact"/>
      </w:pPr>
      <w:r>
        <w:t xml:space="preserve">The poem traces the speaker’s movement from anxious brooding about the precariousness of a poet’s livelihood to an encounter with an old leech-gatherer whose quiet endurance offers an implicit lesson in fortitude.</w:t>
      </w:r>
    </w:p>
    <w:p>
      <w:pPr>
        <w:numPr>
          <w:ilvl w:val="0"/>
          <w:numId w:val="1009"/>
        </w:numPr>
        <w:pStyle w:val="Compact"/>
      </w:pPr>
      <w:r>
        <w:t xml:space="preserve">The leech-gatherer functions largely as an emblem of resolute endurance rather than a fully individualised character, prompting ongoing critical debate about whether the poem’s resolution feels fully earned.</w:t>
      </w:r>
    </w:p>
    <w:p>
      <w:pPr>
        <w:numPr>
          <w:ilvl w:val="0"/>
          <w:numId w:val="1009"/>
        </w:numPr>
        <w:pStyle w:val="Compact"/>
      </w:pPr>
      <w:r>
        <w:t xml:space="preserve">The poem exemplifies characteristic Wordsworthian themes: redemptive encounters with humble rural figures, and self-reflexive anxiety about the poetic vocation.</w:t>
      </w:r>
    </w:p>
    <w:bookmarkEnd w:id="30"/>
    <w:bookmarkStart w:id="31" w:name="Xca251eb66e5a67696ffcf26c29aa3c60ea420c4"/>
    <w:p>
      <w:pPr>
        <w:pStyle w:val="Heading3"/>
      </w:pPr>
      <w:r>
        <w:t xml:space="preserve">10. Wordsworth — Lines Composed a Few Miles above Tintern Abbey</w:t>
      </w:r>
    </w:p>
    <w:p>
      <w:pPr>
        <w:pStyle w:val="FirstParagraph"/>
      </w:pPr>
      <w:r>
        <w:t xml:space="preserve">“</w:t>
      </w:r>
      <w:r>
        <w:t xml:space="preserve">Tintern Abbey</w:t>
      </w:r>
      <w:r>
        <w:t xml:space="preserve">”</w:t>
      </w:r>
      <w:r>
        <w:t xml:space="preserve"> </w:t>
      </w:r>
      <w:r>
        <w:t xml:space="preserve">(1798), composed during a return visit to the Wye Valley five years after an earlier visit, is among the most influential meditative lyrics in English Romanticism, tracing the speaker’s evolving relationship with nature across the stages of his own life.</w:t>
      </w:r>
    </w:p>
    <w:p>
      <w:pPr>
        <w:pStyle w:val="BodyText"/>
      </w:pPr>
      <w:r>
        <w:rPr>
          <w:bCs/>
          <w:b/>
        </w:rPr>
        <w:t xml:space="preserve">Structure: memory and return.</w:t>
      </w:r>
      <w:r>
        <w:t xml:space="preserve"> </w:t>
      </w:r>
      <w:r>
        <w:t xml:space="preserve">The poem is built around the significance of return and repeated encounter — the speaker revisits a landscape he had experienced five years earlier, and the poem’s meditation unfolds through comparing his present perception of the scene with his memory of his earlier visit, and with his anticipated future memory of the present moment, creating a layered temporal structure in which past, present, and anticipated future all inform the poem’s reflection.</w:t>
      </w:r>
    </w:p>
    <w:p>
      <w:pPr>
        <w:pStyle w:val="BodyText"/>
      </w:pPr>
      <w:r>
        <w:rPr>
          <w:bCs/>
          <w:b/>
        </w:rPr>
        <w:t xml:space="preserve">The evolving relationship with nature.</w:t>
      </w:r>
      <w:r>
        <w:t xml:space="preserve"> </w:t>
      </w:r>
      <w:r>
        <w:t xml:space="preserve">Wordsworth traces three distinct stages in his relationship with the natural world: in childhood and youth, nature provided purely physical, almost animal delight, an</w:t>
      </w:r>
      <w:r>
        <w:t xml:space="preserve"> </w:t>
      </w:r>
      <w:r>
        <w:t xml:space="preserve">“</w:t>
      </w:r>
      <w:r>
        <w:t xml:space="preserve">aching joy</w:t>
      </w:r>
      <w:r>
        <w:t xml:space="preserve">”</w:t>
      </w:r>
      <w:r>
        <w:t xml:space="preserve"> </w:t>
      </w:r>
      <w:r>
        <w:t xml:space="preserve">experienced without conscious reflection; in the present moment of the poem (early adulthood), this unreflective physical joy has given way to a more contemplative, philosophically inflected relationship, in which nature is felt as</w:t>
      </w:r>
      <w:r>
        <w:t xml:space="preserve"> </w:t>
      </w:r>
      <w:r>
        <w:t xml:space="preserve">“</w:t>
      </w:r>
      <w:r>
        <w:t xml:space="preserve">a motion and a spirit</w:t>
      </w:r>
      <w:r>
        <w:t xml:space="preserve">”</w:t>
      </w:r>
      <w:r>
        <w:t xml:space="preserve"> </w:t>
      </w:r>
      <w:r>
        <w:t xml:space="preserve">pervading all things, and serves as a moral anchor and source of restorative calm amid the pressures of adult life in the world (Wordsworth explicitly credits memories of this landscape with sustaining him through difficult periods spent in cities); and the poem closes by looking forward, addressing the speaker’s sister Dorothy and expressing hope that nature will similarly sustain her through her own life’s future difficulties, extending the poem’s personal meditation into a kind of blessing.</w:t>
      </w:r>
    </w:p>
    <w:p>
      <w:pPr>
        <w:pStyle w:val="BodyText"/>
      </w:pPr>
      <w:r>
        <w:rPr>
          <w:bCs/>
          <w:b/>
        </w:rPr>
        <w:t xml:space="preserve">Thematic significance: nature as moral teacher.</w:t>
      </w:r>
      <w:r>
        <w:t xml:space="preserve"> </w:t>
      </w:r>
      <w:r>
        <w:t xml:space="preserve">The poem articulates what became a defining Romantic conviction — that sustained communion with nature cultivates moral sensibility and provides psychological sustenance against the alienating pressures of ordinary adult and urban life — a conviction that shapes Wordsworth’s poetics more broadly and that distinguishes his treatment of nature from the more visionary, symbolically loaded natural imagery found in Keats (Topics 11–12) or the more urban, historically self-conscious poetics of Eliot (Topics 17–18).</w:t>
      </w:r>
    </w:p>
    <w:p>
      <w:pPr>
        <w:pStyle w:val="BodyText"/>
      </w:pPr>
      <w:r>
        <w:rPr>
          <w:bCs/>
          <w:b/>
        </w:rPr>
        <w:t xml:space="preserve">Key Takeaways</w:t>
      </w:r>
    </w:p>
    <w:p>
      <w:pPr>
        <w:numPr>
          <w:ilvl w:val="0"/>
          <w:numId w:val="1010"/>
        </w:numPr>
        <w:pStyle w:val="Compact"/>
      </w:pPr>
      <w:r>
        <w:t xml:space="preserve">The poem is structured around the significance of return, layering the speaker’s present perception of the Wye Valley landscape with memory of an earlier visit and anticipation of future memory.</w:t>
      </w:r>
    </w:p>
    <w:p>
      <w:pPr>
        <w:numPr>
          <w:ilvl w:val="0"/>
          <w:numId w:val="1010"/>
        </w:numPr>
        <w:pStyle w:val="Compact"/>
      </w:pPr>
      <w:r>
        <w:t xml:space="preserve">Wordsworth traces an evolving relationship with nature across three life stages: unreflective childhood physical joy, a more contemplative adult relationship in which nature serves as moral anchor, and a forward-looking hope that nature will similarly sustain his sister Dorothy.</w:t>
      </w:r>
    </w:p>
    <w:p>
      <w:pPr>
        <w:numPr>
          <w:ilvl w:val="0"/>
          <w:numId w:val="1010"/>
        </w:numPr>
        <w:pStyle w:val="Compact"/>
      </w:pPr>
      <w:r>
        <w:t xml:space="preserve">The poem articulates a defining Romantic conviction that communion with nature cultivates moral sensibility and provides psychological sustenance against the pressures of ordinary adult life.</w:t>
      </w:r>
    </w:p>
    <w:bookmarkEnd w:id="31"/>
    <w:bookmarkStart w:id="32" w:name="keats-ode-to-a-nightingale"/>
    <w:p>
      <w:pPr>
        <w:pStyle w:val="Heading3"/>
      </w:pPr>
      <w:r>
        <w:t xml:space="preserve">11. Keats — Ode to a Nightingale</w:t>
      </w:r>
    </w:p>
    <w:p>
      <w:pPr>
        <w:pStyle w:val="FirstParagraph"/>
      </w:pPr>
      <w:r>
        <w:t xml:space="preserve">John Keats’s</w:t>
      </w:r>
      <w:r>
        <w:t xml:space="preserve"> </w:t>
      </w:r>
      <w:r>
        <w:t xml:space="preserve">“</w:t>
      </w:r>
      <w:r>
        <w:t xml:space="preserve">Ode to a Nightingale</w:t>
      </w:r>
      <w:r>
        <w:t xml:space="preserve">”</w:t>
      </w:r>
      <w:r>
        <w:t xml:space="preserve"> </w:t>
      </w:r>
      <w:r>
        <w:t xml:space="preserve">(1819) stages a meditation on mortality, suffering, and the desire for transcendence, provoked by the speaker’s encounter with a nightingale’s song, and represents one of the central achievements of Keats’s celebrated 1819 odes.</w:t>
      </w:r>
    </w:p>
    <w:p>
      <w:pPr>
        <w:pStyle w:val="BodyText"/>
      </w:pPr>
      <w:r>
        <w:rPr>
          <w:bCs/>
          <w:b/>
        </w:rPr>
        <w:t xml:space="preserve">Structure and movement.</w:t>
      </w:r>
      <w:r>
        <w:t xml:space="preserve"> </w:t>
      </w:r>
      <w:r>
        <w:t xml:space="preserve">The poem opens with the speaker in a state of numbed, aching sensation upon hearing the nightingale’s song, a response the speaker initially attributes ambiguously to either excessive happiness at the bird’s joy or to a kind of sympathetic pain; the poem then moves through the speaker’s successive attempts to escape from painful human consciousness — first through wine, then through poetry itself (</w:t>
      </w:r>
      <w:r>
        <w:t xml:space="preserve">“</w:t>
      </w:r>
      <w:r>
        <w:t xml:space="preserve">on the viewless wings of Poesy</w:t>
      </w:r>
      <w:r>
        <w:t xml:space="preserve">”</w:t>
      </w:r>
      <w:r>
        <w:t xml:space="preserve">) — imaginatively joining the bird in its seemingly untroubled, timeless existence, before the poem’s final stanzas bring the speaker back to full awareness of mortality and separateness from the bird’s immortal, unindividuated song, ending on a note of genuine ambiguity about whether the entire experience was</w:t>
      </w:r>
      <w:r>
        <w:t xml:space="preserve"> </w:t>
      </w:r>
      <w:r>
        <w:t xml:space="preserve">“</w:t>
      </w:r>
      <w:r>
        <w:t xml:space="preserve">a vision, or a waking dream.</w:t>
      </w:r>
      <w:r>
        <w:t xml:space="preserve">”</w:t>
      </w:r>
    </w:p>
    <w:p>
      <w:pPr>
        <w:pStyle w:val="BodyText"/>
      </w:pPr>
      <w:r>
        <w:rPr>
          <w:bCs/>
          <w:b/>
        </w:rPr>
        <w:t xml:space="preserve">Central thematic tension: mortality versus the nightingale’s seeming immortality.</w:t>
      </w:r>
      <w:r>
        <w:t xml:space="preserve"> </w:t>
      </w:r>
      <w:r>
        <w:t xml:space="preserve">The nightingale’s song is presented as, in an important sense, immortal — the same song, the speaker reflects, was heard by ancient emperors and biblical figures — because the bird as a species and its song transcend any single individual bird’s mortal lifespan, in stark contrast to human consciousness, which is inescapably bound to individual mortality, suffering, and the</w:t>
      </w:r>
      <w:r>
        <w:t xml:space="preserve"> </w:t>
      </w:r>
      <w:r>
        <w:t xml:space="preserve">“</w:t>
      </w:r>
      <w:r>
        <w:t xml:space="preserve">weariness, the fever, and the fret</w:t>
      </w:r>
      <w:r>
        <w:t xml:space="preserve">”</w:t>
      </w:r>
      <w:r>
        <w:t xml:space="preserve"> </w:t>
      </w:r>
      <w:r>
        <w:t xml:space="preserve">of human life; the poem’s central longing is for some form of escape from this specifically human burden of mortal self-awareness into the bird’s imagined, unreflective and therefore untroubled continuity.</w:t>
      </w:r>
    </w:p>
    <w:p>
      <w:pPr>
        <w:pStyle w:val="BodyText"/>
      </w:pPr>
      <w:r>
        <w:rPr>
          <w:bCs/>
          <w:b/>
        </w:rPr>
        <w:t xml:space="preserve">Negative capability and unresolved ambiguity.</w:t>
      </w:r>
      <w:r>
        <w:t xml:space="preserve"> </w:t>
      </w:r>
      <w:r>
        <w:t xml:space="preserve">The poem’s refusal to resolve cleanly — ending with the speaker uncertain whether he is</w:t>
      </w:r>
      <w:r>
        <w:t xml:space="preserve"> </w:t>
      </w:r>
      <w:r>
        <w:t xml:space="preserve">“</w:t>
      </w:r>
      <w:r>
        <w:t xml:space="preserve">awake</w:t>
      </w:r>
      <w:r>
        <w:t xml:space="preserve">”</w:t>
      </w:r>
      <w:r>
        <w:t xml:space="preserve"> </w:t>
      </w:r>
      <w:r>
        <w:t xml:space="preserve">or</w:t>
      </w:r>
      <w:r>
        <w:t xml:space="preserve"> </w:t>
      </w:r>
      <w:r>
        <w:t xml:space="preserve">“</w:t>
      </w:r>
      <w:r>
        <w:t xml:space="preserve">asleep,</w:t>
      </w:r>
      <w:r>
        <w:t xml:space="preserve">”</w:t>
      </w:r>
      <w:r>
        <w:t xml:space="preserve"> </w:t>
      </w:r>
      <w:r>
        <w:t xml:space="preserve">and whether the preceding vision was genuine insight or mere fancy — exemplifies Keats’s celebrated concept of</w:t>
      </w:r>
      <w:r>
        <w:t xml:space="preserve"> </w:t>
      </w:r>
      <w:r>
        <w:t xml:space="preserve">“</w:t>
      </w:r>
      <w:r>
        <w:t xml:space="preserve">negative capability,</w:t>
      </w:r>
      <w:r>
        <w:t xml:space="preserve">”</w:t>
      </w:r>
      <w:r>
        <w:t xml:space="preserve"> </w:t>
      </w:r>
      <w:r>
        <w:t xml:space="preserve">his articulated ideal of remaining comfortably within uncertainty and unresolved contradiction rather than reaching prematurely for a tidy intellectual resolution, a quality that distinguishes Keats’s poetics from the more didactically resolved conclusions found in much earlier Romantic verse.</w:t>
      </w:r>
    </w:p>
    <w:p>
      <w:pPr>
        <w:pStyle w:val="BodyText"/>
      </w:pPr>
      <w:r>
        <w:rPr>
          <w:bCs/>
          <w:b/>
        </w:rPr>
        <w:t xml:space="preserve">Key Takeaways</w:t>
      </w:r>
    </w:p>
    <w:p>
      <w:pPr>
        <w:numPr>
          <w:ilvl w:val="0"/>
          <w:numId w:val="1011"/>
        </w:numPr>
        <w:pStyle w:val="Compact"/>
      </w:pPr>
      <w:r>
        <w:t xml:space="preserve">The poem traces the speaker’s imaginative attempt to escape mortal human consciousness and join the nightingale’s seemingly timeless, immortal song, before returning to full awareness of mortality and separateness.</w:t>
      </w:r>
    </w:p>
    <w:p>
      <w:pPr>
        <w:numPr>
          <w:ilvl w:val="0"/>
          <w:numId w:val="1011"/>
        </w:numPr>
        <w:pStyle w:val="Compact"/>
      </w:pPr>
      <w:r>
        <w:t xml:space="preserve">Its central tension contrasts the bird’s song, understood as transcending any single bird’s mortal lifespan, with the inescapable, individually-bound suffering of human consciousness.</w:t>
      </w:r>
    </w:p>
    <w:p>
      <w:pPr>
        <w:numPr>
          <w:ilvl w:val="0"/>
          <w:numId w:val="1011"/>
        </w:numPr>
        <w:pStyle w:val="Compact"/>
      </w:pPr>
      <w:r>
        <w:t xml:space="preserve">The poem’s unresolved, ambiguous ending exemplifies Keats’s concept of</w:t>
      </w:r>
      <w:r>
        <w:t xml:space="preserve"> </w:t>
      </w:r>
      <w:r>
        <w:t xml:space="preserve">“</w:t>
      </w:r>
      <w:r>
        <w:t xml:space="preserve">negative capability</w:t>
      </w:r>
      <w:r>
        <w:t xml:space="preserve">”</w:t>
      </w:r>
      <w:r>
        <w:t xml:space="preserve"> </w:t>
      </w:r>
      <w:r>
        <w:t xml:space="preserve">— remaining within uncertainty rather than reaching for premature resolution.</w:t>
      </w:r>
    </w:p>
    <w:bookmarkEnd w:id="32"/>
    <w:bookmarkStart w:id="33" w:name="keats-to-autumn"/>
    <w:p>
      <w:pPr>
        <w:pStyle w:val="Heading3"/>
      </w:pPr>
      <w:r>
        <w:t xml:space="preserve">12. Keats — To Autumn</w:t>
      </w:r>
    </w:p>
    <w:p>
      <w:pPr>
        <w:pStyle w:val="FirstParagraph"/>
      </w:pPr>
      <w:r>
        <w:t xml:space="preserve">“</w:t>
      </w:r>
      <w:r>
        <w:t xml:space="preserve">To Autumn</w:t>
      </w:r>
      <w:r>
        <w:t xml:space="preserve">”</w:t>
      </w:r>
      <w:r>
        <w:t xml:space="preserve"> </w:t>
      </w:r>
      <w:r>
        <w:t xml:space="preserve">(1819), often regarded as the most formally perfect of Keats’s odes, offers a sustained, richly sensuous celebration of the autumn season, notable for its almost complete absence of the personal anguish and longing for transcendence that dominates</w:t>
      </w:r>
      <w:r>
        <w:t xml:space="preserve"> </w:t>
      </w:r>
      <w:r>
        <w:t xml:space="preserve">“</w:t>
      </w:r>
      <w:r>
        <w:t xml:space="preserve">Ode to a Nightingale</w:t>
      </w:r>
      <w:r>
        <w:t xml:space="preserve">”</w:t>
      </w:r>
      <w:r>
        <w:t xml:space="preserve"> </w:t>
      </w:r>
      <w:r>
        <w:t xml:space="preserve">(Topic 11).</w:t>
      </w:r>
    </w:p>
    <w:p>
      <w:pPr>
        <w:pStyle w:val="BodyText"/>
      </w:pPr>
      <w:r>
        <w:rPr>
          <w:bCs/>
          <w:b/>
        </w:rPr>
        <w:t xml:space="preserve">Structure: the three stages of autumn.</w:t>
      </w:r>
      <w:r>
        <w:t xml:space="preserve"> </w:t>
      </w:r>
      <w:r>
        <w:t xml:space="preserve">The poem’s three stanzas trace autumn’s progression: the first stanza presents autumn at its ripest, a season of fruitful abundance (</w:t>
      </w:r>
      <w:r>
        <w:t xml:space="preserve">“</w:t>
      </w:r>
      <w:r>
        <w:t xml:space="preserve">season of mists and mellow fruitfulness</w:t>
      </w:r>
      <w:r>
        <w:t xml:space="preserve">”</w:t>
      </w:r>
      <w:r>
        <w:t xml:space="preserve">) depicted through richly concrete, sensuous imagery of swelling fruit and ripening grain; the second stanza personifies autumn as a figure variously resting amid the harvest, watching the last oozings of a cider-press, or sitting drowsily among winnowed grain, extending the season’s fullness into a kind of contented, unhurried human activity; and the third stanza turns to autumn’s characteristic sounds at day’s end, as the season moves toward its own conclusion and the approach of winter, evoked through the mournful song of gnats, bleating lambs, and the twitter of gathering swallows preparing to migrate.</w:t>
      </w:r>
    </w:p>
    <w:p>
      <w:pPr>
        <w:pStyle w:val="BodyText"/>
      </w:pPr>
      <w:r>
        <w:rPr>
          <w:bCs/>
          <w:b/>
        </w:rPr>
        <w:t xml:space="preserve">Thematic significance: acceptance rather than resistance.</w:t>
      </w:r>
      <w:r>
        <w:t xml:space="preserve"> </w:t>
      </w:r>
      <w:r>
        <w:t xml:space="preserve">Unlike</w:t>
      </w:r>
      <w:r>
        <w:t xml:space="preserve"> </w:t>
      </w:r>
      <w:r>
        <w:t xml:space="preserve">“</w:t>
      </w:r>
      <w:r>
        <w:t xml:space="preserve">Ode to a Nightingale,</w:t>
      </w:r>
      <w:r>
        <w:t xml:space="preserve">”</w:t>
      </w:r>
      <w:r>
        <w:t xml:space="preserve"> </w:t>
      </w:r>
      <w:r>
        <w:t xml:space="preserve">which struggles against mortality and seeks escape from human consciousness,</w:t>
      </w:r>
      <w:r>
        <w:t xml:space="preserve"> </w:t>
      </w:r>
      <w:r>
        <w:t xml:space="preserve">“</w:t>
      </w:r>
      <w:r>
        <w:t xml:space="preserve">To Autumn</w:t>
      </w:r>
      <w:r>
        <w:t xml:space="preserve">”</w:t>
      </w:r>
      <w:r>
        <w:t xml:space="preserve"> </w:t>
      </w:r>
      <w:r>
        <w:t xml:space="preserve">achieves a remarkable equanimity in the face of transience and approaching decline — the poem does not resist or lament autumn’s status as the year’s penultimate, declining season, moving inevitably toward winter’s death, but instead finds autumn’s own specific beauty and fullness worthy of celebration precisely as it is, without need for escape into a different, timeless realm; the swallows gathering to migrate at the poem’s close gesture toward departure and ending without any accompanying note of anguish.</w:t>
      </w:r>
    </w:p>
    <w:p>
      <w:pPr>
        <w:pStyle w:val="BodyText"/>
      </w:pPr>
      <w:r>
        <w:rPr>
          <w:bCs/>
          <w:b/>
        </w:rPr>
        <w:t xml:space="preserve">Formal achievement.</w:t>
      </w:r>
      <w:r>
        <w:t xml:space="preserve"> </w:t>
      </w:r>
      <w:r>
        <w:t xml:space="preserve">Critics frequently praise the poem’s unusually dense, concrete sensory imagery (deployed with remarkably little abstract commentary or explicit statement of theme) and its formal control, qualities that have led many to regard it as representing the culmination of Keats’s poetic development — a movement toward embodying meaning directly in sensuous particulars rather than through the more explicit philosophical argumentation found in</w:t>
      </w:r>
      <w:r>
        <w:t xml:space="preserve"> </w:t>
      </w:r>
      <w:r>
        <w:t xml:space="preserve">“</w:t>
      </w:r>
      <w:r>
        <w:t xml:space="preserve">Ode to a Nightingale.</w:t>
      </w:r>
      <w:r>
        <w:t xml:space="preserve">”</w:t>
      </w:r>
    </w:p>
    <w:p>
      <w:pPr>
        <w:pStyle w:val="BodyText"/>
      </w:pPr>
      <w:r>
        <w:rPr>
          <w:bCs/>
          <w:b/>
        </w:rPr>
        <w:t xml:space="preserve">Key Takeaways</w:t>
      </w:r>
    </w:p>
    <w:p>
      <w:pPr>
        <w:numPr>
          <w:ilvl w:val="0"/>
          <w:numId w:val="1012"/>
        </w:numPr>
        <w:pStyle w:val="Compact"/>
      </w:pPr>
      <w:r>
        <w:t xml:space="preserve">The poem’s three stanzas trace autumn’s progression from ripe fruitfulness, through personified autumn resting amid the harvest, to the season’s characteristic sounds as it moves toward winter’s approach.</w:t>
      </w:r>
    </w:p>
    <w:p>
      <w:pPr>
        <w:numPr>
          <w:ilvl w:val="0"/>
          <w:numId w:val="1012"/>
        </w:numPr>
        <w:pStyle w:val="Compact"/>
      </w:pPr>
      <w:r>
        <w:t xml:space="preserve">Unlike</w:t>
      </w:r>
      <w:r>
        <w:t xml:space="preserve"> </w:t>
      </w:r>
      <w:r>
        <w:t xml:space="preserve">“</w:t>
      </w:r>
      <w:r>
        <w:t xml:space="preserve">Ode to a Nightingale,</w:t>
      </w:r>
      <w:r>
        <w:t xml:space="preserve">”</w:t>
      </w:r>
      <w:r>
        <w:t xml:space="preserve"> </w:t>
      </w:r>
      <w:r>
        <w:t xml:space="preserve">the poem achieves equanimity rather than anguished resistance in the face of transience, celebrating autumn’s specific beauty without seeking escape into timelessness.</w:t>
      </w:r>
    </w:p>
    <w:p>
      <w:pPr>
        <w:numPr>
          <w:ilvl w:val="0"/>
          <w:numId w:val="1012"/>
        </w:numPr>
        <w:pStyle w:val="Compact"/>
      </w:pPr>
      <w:r>
        <w:t xml:space="preserve">The poem’s unusually dense, concrete sensory imagery with minimal abstract commentary is often regarded as representing the culmination of Keats’s poetic development.</w:t>
      </w:r>
    </w:p>
    <w:bookmarkEnd w:id="33"/>
    <w:bookmarkStart w:id="34" w:name="tennyson-ulysses"/>
    <w:p>
      <w:pPr>
        <w:pStyle w:val="Heading3"/>
      </w:pPr>
      <w:r>
        <w:t xml:space="preserve">13. Tennyson — Ulysses</w:t>
      </w:r>
    </w:p>
    <w:p>
      <w:pPr>
        <w:pStyle w:val="FirstParagraph"/>
      </w:pPr>
      <w:r>
        <w:t xml:space="preserve">Alfred, Lord Tennyson’s dramatic monologue</w:t>
      </w:r>
      <w:r>
        <w:t xml:space="preserve"> </w:t>
      </w:r>
      <w:r>
        <w:t xml:space="preserve">“</w:t>
      </w:r>
      <w:r>
        <w:t xml:space="preserve">Ulysses</w:t>
      </w:r>
      <w:r>
        <w:t xml:space="preserve">”</w:t>
      </w:r>
      <w:r>
        <w:t xml:space="preserve"> </w:t>
      </w:r>
      <w:r>
        <w:t xml:space="preserve">(1842) gives voice to the aged Greek hero of Homer’s</w:t>
      </w:r>
      <w:r>
        <w:t xml:space="preserve"> </w:t>
      </w:r>
      <w:r>
        <w:rPr>
          <w:iCs/>
          <w:i/>
        </w:rPr>
        <w:t xml:space="preserve">Odyssey</w:t>
      </w:r>
      <w:r>
        <w:t xml:space="preserve">, now restlessly restless in peaceful old age at home in Ithaca, resolving to set out on one final voyage rather than accept a quiet, settled retirement.</w:t>
      </w:r>
    </w:p>
    <w:p>
      <w:pPr>
        <w:pStyle w:val="BodyText"/>
      </w:pPr>
      <w:r>
        <w:rPr>
          <w:bCs/>
          <w:b/>
        </w:rPr>
        <w:t xml:space="preserve">Dramatic monologue form.</w:t>
      </w:r>
      <w:r>
        <w:t xml:space="preserve"> </w:t>
      </w:r>
      <w:r>
        <w:t xml:space="preserve">As a dramatic monologue, the poem presents Ulysses’ voice directly, without authorial commentary, requiring the reader to infer the speaker’s psychology and the poem’s implicit judgement (if any) on his choices from the speaker’s own words alone — Tennyson’s Ulysses restlessly contrasts his own continued hunger for experience and achievement against what he characterises dismissively as the dull, static domesticity of ruling Ithaca and against his son Telemachus’s more suitable, careful temperament for exactly this kind of settled governance, which Ulysses is content to leave to him.</w:t>
      </w:r>
    </w:p>
    <w:p>
      <w:pPr>
        <w:pStyle w:val="BodyText"/>
      </w:pPr>
      <w:r>
        <w:rPr>
          <w:bCs/>
          <w:b/>
        </w:rPr>
        <w:t xml:space="preserve">Central themes: restless striving versus settled contentment.</w:t>
      </w:r>
      <w:r>
        <w:t xml:space="preserve"> </w:t>
      </w:r>
      <w:r>
        <w:t xml:space="preserve">The poem’s most famous line —</w:t>
      </w:r>
      <w:r>
        <w:t xml:space="preserve"> </w:t>
      </w:r>
      <w:r>
        <w:t xml:space="preserve">“</w:t>
      </w:r>
      <w:r>
        <w:t xml:space="preserve">To strive, to seek, to find, and not to yield</w:t>
      </w:r>
      <w:r>
        <w:t xml:space="preserve">”</w:t>
      </w:r>
      <w:r>
        <w:t xml:space="preserve"> </w:t>
      </w:r>
      <w:r>
        <w:t xml:space="preserve">— crystallises Ulysses’ governing philosophy: that meaning is found not in rest or accumulated achievement but in continued striving itself, and that growing old is no justification for abandoning this striving, since, as Ulysses puts it,</w:t>
      </w:r>
      <w:r>
        <w:t xml:space="preserve"> </w:t>
      </w:r>
      <w:r>
        <w:t xml:space="preserve">“</w:t>
      </w:r>
      <w:r>
        <w:t xml:space="preserve">Old age hath yet his honour and his toil.</w:t>
      </w:r>
      <w:r>
        <w:t xml:space="preserve">”</w:t>
      </w:r>
      <w:r>
        <w:t xml:space="preserve"> </w:t>
      </w:r>
      <w:r>
        <w:t xml:space="preserve">The poem can be read as a celebration of heroic, unyielding aspiration in the face of mortality and diminishing physical capacity, and this reading has made the poem a frequently quoted statement of resolute perseverance.</w:t>
      </w:r>
    </w:p>
    <w:p>
      <w:pPr>
        <w:pStyle w:val="BodyText"/>
      </w:pPr>
      <w:r>
        <w:rPr>
          <w:bCs/>
          <w:b/>
        </w:rPr>
        <w:t xml:space="preserve">Biographical and thematic context.</w:t>
      </w:r>
      <w:r>
        <w:t xml:space="preserve"> </w:t>
      </w:r>
      <w:r>
        <w:t xml:space="preserve">Tennyson wrote the poem shortly after the death of his close friend Arthur Hallam, and the poem’s insistence on continued purposeful striving despite mortality and loss is often read as Tennyson’s own psychological response to grief — a refusal to be paralysed by loss, channelled through the mask of the ageing Homeric hero, a theme Tennyson explores at much greater length in his elegy sequence</w:t>
      </w:r>
      <w:r>
        <w:t xml:space="preserve"> </w:t>
      </w:r>
      <w:r>
        <w:rPr>
          <w:iCs/>
          <w:i/>
        </w:rPr>
        <w:t xml:space="preserve">In Memoriam</w:t>
      </w:r>
      <w:r>
        <w:t xml:space="preserve">.</w:t>
      </w:r>
    </w:p>
    <w:p>
      <w:pPr>
        <w:pStyle w:val="BodyText"/>
      </w:pPr>
      <w:r>
        <w:rPr>
          <w:bCs/>
          <w:b/>
        </w:rPr>
        <w:t xml:space="preserve">Ambivalence and critical debate.</w:t>
      </w:r>
      <w:r>
        <w:t xml:space="preserve"> </w:t>
      </w:r>
      <w:r>
        <w:t xml:space="preserve">Despite the poem’s rousing, affirmative rhetoric, some critics note a more troubling undercurrent — Ulysses’ dismissal of Telemachus and of domestic responsibility, and his willingness to abandon his kingdom and his ageing companions to further risk on one final voyage, can be read as a form of restless egotism or even irresponsibility rather than purely admirable heroism, leaving the poem’s ultimate attitude toward its speaker genuinely open to differing interpretation.</w:t>
      </w:r>
    </w:p>
    <w:p>
      <w:pPr>
        <w:pStyle w:val="BodyText"/>
      </w:pPr>
      <w:r>
        <w:rPr>
          <w:bCs/>
          <w:b/>
        </w:rPr>
        <w:t xml:space="preserve">Key Takeaways</w:t>
      </w:r>
    </w:p>
    <w:p>
      <w:pPr>
        <w:numPr>
          <w:ilvl w:val="0"/>
          <w:numId w:val="1013"/>
        </w:numPr>
        <w:pStyle w:val="Compact"/>
      </w:pPr>
      <w:r>
        <w:t xml:space="preserve">The dramatic monologue gives voice to the aged Ulysses, restless in peaceful retirement at Ithaca, resolving to set out on one final voyage rather than accept settled domesticity.</w:t>
      </w:r>
    </w:p>
    <w:p>
      <w:pPr>
        <w:numPr>
          <w:ilvl w:val="0"/>
          <w:numId w:val="1013"/>
        </w:numPr>
        <w:pStyle w:val="Compact"/>
      </w:pPr>
      <w:r>
        <w:t xml:space="preserve">Its famous closing line,</w:t>
      </w:r>
      <w:r>
        <w:t xml:space="preserve"> </w:t>
      </w:r>
      <w:r>
        <w:t xml:space="preserve">“</w:t>
      </w:r>
      <w:r>
        <w:t xml:space="preserve">To strive, to seek, to find, and not to yield,</w:t>
      </w:r>
      <w:r>
        <w:t xml:space="preserve">”</w:t>
      </w:r>
      <w:r>
        <w:t xml:space="preserve"> </w:t>
      </w:r>
      <w:r>
        <w:t xml:space="preserve">crystallises a philosophy of continued purposeful striving despite old age and mortality, often read as Tennyson’s response to grief following Arthur Hallam’s death.</w:t>
      </w:r>
    </w:p>
    <w:p>
      <w:pPr>
        <w:numPr>
          <w:ilvl w:val="0"/>
          <w:numId w:val="1013"/>
        </w:numPr>
        <w:pStyle w:val="Compact"/>
      </w:pPr>
      <w:r>
        <w:t xml:space="preserve">Despite its rousing rhetoric, critics debate whether Ulysses’ dismissal of domestic responsibility represents admirable heroism or a more troubling restless egotism, leaving the poem’s attitude toward its speaker genuinely ambiguous.</w:t>
      </w:r>
    </w:p>
    <w:bookmarkEnd w:id="34"/>
    <w:bookmarkStart w:id="35" w:name="tennyson-the-lady-of-shalott"/>
    <w:p>
      <w:pPr>
        <w:pStyle w:val="Heading3"/>
      </w:pPr>
      <w:r>
        <w:t xml:space="preserve">14. Tennyson — The Lady of Shalott</w:t>
      </w:r>
    </w:p>
    <w:p>
      <w:pPr>
        <w:pStyle w:val="FirstParagraph"/>
      </w:pPr>
      <w:r>
        <w:t xml:space="preserve">Tennyson’s narrative poem</w:t>
      </w:r>
      <w:r>
        <w:t xml:space="preserve"> </w:t>
      </w:r>
      <w:r>
        <w:t xml:space="preserve">“</w:t>
      </w:r>
      <w:r>
        <w:t xml:space="preserve">The Lady of Shalott</w:t>
      </w:r>
      <w:r>
        <w:t xml:space="preserve">”</w:t>
      </w:r>
      <w:r>
        <w:t xml:space="preserve"> </w:t>
      </w:r>
      <w:r>
        <w:t xml:space="preserve">(1832, revised 1842) tells of a mysterious woman confined to a tower on an island near Camelot, cursed to view the world only indirectly, through a mirror, and to weave what she sees into a tapestry — a curse whose consequences unfold when she finally looks directly at the world outside.</w:t>
      </w:r>
    </w:p>
    <w:p>
      <w:pPr>
        <w:pStyle w:val="BodyText"/>
      </w:pPr>
      <w:r>
        <w:rPr>
          <w:bCs/>
          <w:b/>
        </w:rPr>
        <w:t xml:space="preserve">Plot summary.</w:t>
      </w:r>
      <w:r>
        <w:t xml:space="preserve"> </w:t>
      </w:r>
      <w:r>
        <w:t xml:space="preserve">The Lady lives isolated in her tower, under a curse (whose precise nature and origin remain unexplained) forbidding her to look directly out of her window at the world or at Camelot; she instead observes the world’s reflection in a mirror and weaves what she sees into a tapestry, an existence of mediated, indirect perception and artistic representation rather than direct experience. When the knight Sir Lancelot rides past and appears in her mirror, his vivid, vital presence prompts her to break the curse’s condition and look directly out at him and at the world — an act that immediately triggers the tapestry’s destruction, the mirror’s cracking, and, ultimately, the Lady’s own death as she floats down the river toward Camelot in a boat bearing her name, dying before reaching the city.</w:t>
      </w:r>
    </w:p>
    <w:p>
      <w:pPr>
        <w:pStyle w:val="BodyText"/>
      </w:pPr>
      <w:r>
        <w:rPr>
          <w:bCs/>
          <w:b/>
        </w:rPr>
        <w:t xml:space="preserve">Thematic interpretations: art versus life, and the woman artist.</w:t>
      </w:r>
      <w:r>
        <w:t xml:space="preserve"> </w:t>
      </w:r>
      <w:r>
        <w:t xml:space="preserve">The poem has attracted extensive critical interpretation, particularly around its central opposition between mediated artistic representation (the Lady’s tapestry-weaving, safe but indirect and isolated) and direct lived experience (looking directly at Lancelot and the world, vital but fatal) — one influential reading treats the poem as an allegory of the artist’s dilemma, in which engagement with life directly, rather than through the safer distance of artistic representation, proves fatal to the act of creation itself, even as it satisfies a genuine human longing for direct experience; feminist critics have additionally read the poem’s isolated female figure, confined and ultimately destroyed by desire for a world she is forbidden to engage with directly, as reflecting anxieties about the constrained position of women, and particularly women artists, within Victorian society.</w:t>
      </w:r>
    </w:p>
    <w:p>
      <w:pPr>
        <w:pStyle w:val="BodyText"/>
      </w:pPr>
      <w:r>
        <w:rPr>
          <w:bCs/>
          <w:b/>
        </w:rPr>
        <w:t xml:space="preserve">Style and significance.</w:t>
      </w:r>
      <w:r>
        <w:t xml:space="preserve"> </w:t>
      </w:r>
      <w:r>
        <w:t xml:space="preserve">The poem’s incantatory, refrain-heavy stanzas (built around repeated end-words like</w:t>
      </w:r>
      <w:r>
        <w:t xml:space="preserve"> </w:t>
      </w:r>
      <w:r>
        <w:t xml:space="preserve">“</w:t>
      </w:r>
      <w:r>
        <w:t xml:space="preserve">Camelot</w:t>
      </w:r>
      <w:r>
        <w:t xml:space="preserve">”</w:t>
      </w:r>
      <w:r>
        <w:t xml:space="preserve"> </w:t>
      </w:r>
      <w:r>
        <w:t xml:space="preserve">and</w:t>
      </w:r>
      <w:r>
        <w:t xml:space="preserve"> </w:t>
      </w:r>
      <w:r>
        <w:t xml:space="preserve">“</w:t>
      </w:r>
      <w:r>
        <w:t xml:space="preserve">Shalott</w:t>
      </w:r>
      <w:r>
        <w:t xml:space="preserve">”</w:t>
      </w:r>
      <w:r>
        <w:t xml:space="preserve">) and its richly medievalist, Arthurian setting exemplify Tennyson’s characteristic blend of musical formal control and Romantic medieval revivalism, and the poem became a favourite subject for Pre-Raphaelite painters, whose visual reimaginings have significantly shaped the poem’s enduring cultural presence.</w:t>
      </w:r>
    </w:p>
    <w:p>
      <w:pPr>
        <w:pStyle w:val="BodyText"/>
      </w:pPr>
      <w:r>
        <w:rPr>
          <w:bCs/>
          <w:b/>
        </w:rPr>
        <w:t xml:space="preserve">Key Takeaways</w:t>
      </w:r>
    </w:p>
    <w:p>
      <w:pPr>
        <w:numPr>
          <w:ilvl w:val="0"/>
          <w:numId w:val="1014"/>
        </w:numPr>
        <w:pStyle w:val="Compact"/>
      </w:pPr>
      <w:r>
        <w:t xml:space="preserve">The Lady of Shalott, cursed to perceive the world only indirectly through a mirror and weave it into a tapestry, breaks the curse by looking directly at Lancelot, triggering her own death as she floats toward Camelot.</w:t>
      </w:r>
    </w:p>
    <w:p>
      <w:pPr>
        <w:numPr>
          <w:ilvl w:val="0"/>
          <w:numId w:val="1014"/>
        </w:numPr>
        <w:pStyle w:val="Compact"/>
      </w:pPr>
      <w:r>
        <w:t xml:space="preserve">The poem is frequently read as an allegory of the artist’s dilemma (mediated representation versus fatal direct engagement with life) and, by feminist critics, as reflecting anxieties about women’s constrained position in Victorian society.</w:t>
      </w:r>
    </w:p>
    <w:p>
      <w:pPr>
        <w:numPr>
          <w:ilvl w:val="0"/>
          <w:numId w:val="1014"/>
        </w:numPr>
        <w:pStyle w:val="Compact"/>
      </w:pPr>
      <w:r>
        <w:t xml:space="preserve">Its incantatory, refrain-heavy musical form and Arthurian medievalism exemplify Tennyson’s characteristic style, and the poem strongly influenced Pre-Raphaelite visual art.</w:t>
      </w:r>
    </w:p>
    <w:bookmarkEnd w:id="35"/>
    <w:bookmarkStart w:id="36" w:name="yeats-a-dialogue-of-self-and-soul"/>
    <w:p>
      <w:pPr>
        <w:pStyle w:val="Heading3"/>
      </w:pPr>
      <w:r>
        <w:t xml:space="preserve">15. Yeats — A Dialogue of Self and Soul</w:t>
      </w:r>
    </w:p>
    <w:p>
      <w:pPr>
        <w:pStyle w:val="FirstParagraph"/>
      </w:pPr>
      <w:r>
        <w:t xml:space="preserve">W. B. Yeats’s</w:t>
      </w:r>
      <w:r>
        <w:t xml:space="preserve"> </w:t>
      </w:r>
      <w:r>
        <w:t xml:space="preserve">“</w:t>
      </w:r>
      <w:r>
        <w:t xml:space="preserve">A Dialogue of Self and Soul</w:t>
      </w:r>
      <w:r>
        <w:t xml:space="preserve">”</w:t>
      </w:r>
      <w:r>
        <w:t xml:space="preserve"> </w:t>
      </w:r>
      <w:r>
        <w:t xml:space="preserve">(1929) stages an explicit debate between two opposed voices — the Soul, urging renunciation of earthly life in favour of spiritual transcendence, and the Self, ultimately affirming embrace of earthly life with all its imperfection and suffering — dramatising a central tension running throughout Yeats’s later poetry.</w:t>
      </w:r>
    </w:p>
    <w:p>
      <w:pPr>
        <w:pStyle w:val="BodyText"/>
      </w:pPr>
      <w:r>
        <w:rPr>
          <w:bCs/>
          <w:b/>
        </w:rPr>
        <w:t xml:space="preserve">Structure: dialogue form.</w:t>
      </w:r>
      <w:r>
        <w:t xml:space="preserve"> </w:t>
      </w:r>
      <w:r>
        <w:t xml:space="preserve">The poem is divided into two parts, with the first staging an actual alternating dialogue between My Soul (urging ascent toward spiritual liberation, imaged through the ancient symbol of a winding stair leading upward and away from the</w:t>
      </w:r>
      <w:r>
        <w:t xml:space="preserve"> </w:t>
      </w:r>
      <w:r>
        <w:t xml:space="preserve">“</w:t>
      </w:r>
      <w:r>
        <w:t xml:space="preserve">crime of death and birth</w:t>
      </w:r>
      <w:r>
        <w:t xml:space="preserve">”</w:t>
      </w:r>
      <w:r>
        <w:t xml:space="preserve">) and My Self (represented through the image of an ancestral sword, a symbol of worldly, embodied heritage and action) — the Soul’s voice urges escape from the cycle of earthly existence into a state beyond thought and sensory experience, while the Self insists on remaining rooted in life; the dialogue breaks off before the Soul can fully complete its argument, and the poem’s second part consists entirely of the Self’s uninterrupted, extended affirmation.</w:t>
      </w:r>
    </w:p>
    <w:p>
      <w:pPr>
        <w:pStyle w:val="BodyText"/>
      </w:pPr>
      <w:r>
        <w:rPr>
          <w:bCs/>
          <w:b/>
        </w:rPr>
        <w:t xml:space="preserve">The Self’s climactic affirmation.</w:t>
      </w:r>
      <w:r>
        <w:t xml:space="preserve"> </w:t>
      </w:r>
      <w:r>
        <w:t xml:space="preserve">In the poem’s justly celebrated conclusion, the Self declares its willingness to embrace the entire cycle of life again, including its most painful and humiliating episodes, famously proclaiming</w:t>
      </w:r>
      <w:r>
        <w:t xml:space="preserve"> </w:t>
      </w:r>
      <w:r>
        <w:t xml:space="preserve">“</w:t>
      </w:r>
      <w:r>
        <w:t xml:space="preserve">I am content to live it all again</w:t>
      </w:r>
      <w:r>
        <w:t xml:space="preserve">”</w:t>
      </w:r>
      <w:r>
        <w:t xml:space="preserve"> </w:t>
      </w:r>
      <w:r>
        <w:t xml:space="preserve">and rejecting the possibility of remorse, since to feel remorse for the past would be to distort and falsify the genuine, lived reality of one’s own life; the poem closes with the Self’s affirmation that such full acceptance of life, including its suffering, produces a sweetness that</w:t>
      </w:r>
      <w:r>
        <w:t xml:space="preserve"> </w:t>
      </w:r>
      <w:r>
        <w:t xml:space="preserve">“</w:t>
      </w:r>
      <w:r>
        <w:t xml:space="preserve">blesses everything,</w:t>
      </w:r>
      <w:r>
        <w:t xml:space="preserve">”</w:t>
      </w:r>
      <w:r>
        <w:t xml:space="preserve"> </w:t>
      </w:r>
      <w:r>
        <w:t xml:space="preserve">including even the eye that beholds it — a hard-won affirmation achieved not by denying suffering but by fully accepting and owning it.</w:t>
      </w:r>
    </w:p>
    <w:p>
      <w:pPr>
        <w:pStyle w:val="BodyText"/>
      </w:pPr>
      <w:r>
        <w:rPr>
          <w:bCs/>
          <w:b/>
        </w:rPr>
        <w:t xml:space="preserve">Thematic significance within Yeats’s later work.</w:t>
      </w:r>
      <w:r>
        <w:t xml:space="preserve"> </w:t>
      </w:r>
      <w:r>
        <w:t xml:space="preserve">This choice of the Self over the Soul — embodied life over spiritual transcendence — exemplifies a characteristic turn in Yeats’s later poetry away from earlier mystical and occult preoccupations toward a more full-throated affirmation of embodied, passionate, even flawed earthly existence, a philosophical stance closely related to the apocalyptic historical vision of</w:t>
      </w:r>
      <w:r>
        <w:t xml:space="preserve"> </w:t>
      </w:r>
      <w:r>
        <w:t xml:space="preserve">“</w:t>
      </w:r>
      <w:r>
        <w:t xml:space="preserve">The Second Coming</w:t>
      </w:r>
      <w:r>
        <w:t xml:space="preserve">”</w:t>
      </w:r>
      <w:r>
        <w:t xml:space="preserve"> </w:t>
      </w:r>
      <w:r>
        <w:t xml:space="preserve">(Topic 16) in its shared refusal of easy consolation or otherworldly escape.</w:t>
      </w:r>
    </w:p>
    <w:p>
      <w:pPr>
        <w:pStyle w:val="BodyText"/>
      </w:pPr>
      <w:r>
        <w:rPr>
          <w:bCs/>
          <w:b/>
        </w:rPr>
        <w:t xml:space="preserve">Key Takeaways</w:t>
      </w:r>
    </w:p>
    <w:p>
      <w:pPr>
        <w:numPr>
          <w:ilvl w:val="0"/>
          <w:numId w:val="1015"/>
        </w:numPr>
        <w:pStyle w:val="Compact"/>
      </w:pPr>
      <w:r>
        <w:t xml:space="preserve">The poem stages a dialogue between the Soul (urging spiritual transcendence and escape from earthly cycles) and the Self (affirming embodied, worldly life), with the Self’s uninterrupted affirmation dominating the poem’s second half.</w:t>
      </w:r>
    </w:p>
    <w:p>
      <w:pPr>
        <w:numPr>
          <w:ilvl w:val="0"/>
          <w:numId w:val="1015"/>
        </w:numPr>
        <w:pStyle w:val="Compact"/>
      </w:pPr>
      <w:r>
        <w:t xml:space="preserve">The Self’s climactic declaration of willingness to</w:t>
      </w:r>
      <w:r>
        <w:t xml:space="preserve"> </w:t>
      </w:r>
      <w:r>
        <w:t xml:space="preserve">“</w:t>
      </w:r>
      <w:r>
        <w:t xml:space="preserve">live it all again,</w:t>
      </w:r>
      <w:r>
        <w:t xml:space="preserve">”</w:t>
      </w:r>
      <w:r>
        <w:t xml:space="preserve"> </w:t>
      </w:r>
      <w:r>
        <w:t xml:space="preserve">rejecting remorse, achieves a hard-won affirmation of life through full acceptance of suffering rather than its denial.</w:t>
      </w:r>
    </w:p>
    <w:p>
      <w:pPr>
        <w:numPr>
          <w:ilvl w:val="0"/>
          <w:numId w:val="1015"/>
        </w:numPr>
        <w:pStyle w:val="Compact"/>
      </w:pPr>
      <w:r>
        <w:t xml:space="preserve">This choice of embodied life over spiritual transcendence exemplifies Yeats’s later turn toward full-throated affirmation of earthly existence, complementing the unflinching historical vision of</w:t>
      </w:r>
      <w:r>
        <w:t xml:space="preserve"> </w:t>
      </w:r>
      <w:r>
        <w:t xml:space="preserve">“</w:t>
      </w:r>
      <w:r>
        <w:t xml:space="preserve">The Second Coming.</w:t>
      </w:r>
      <w:r>
        <w:t xml:space="preserve">”</w:t>
      </w:r>
    </w:p>
    <w:bookmarkEnd w:id="36"/>
    <w:bookmarkStart w:id="37" w:name="yeats-the-second-coming"/>
    <w:p>
      <w:pPr>
        <w:pStyle w:val="Heading3"/>
      </w:pPr>
      <w:r>
        <w:t xml:space="preserve">16. Yeats — The Second Coming</w:t>
      </w:r>
    </w:p>
    <w:p>
      <w:pPr>
        <w:pStyle w:val="FirstParagraph"/>
      </w:pPr>
      <w:r>
        <w:t xml:space="preserve">“</w:t>
      </w:r>
      <w:r>
        <w:t xml:space="preserve">The Second Coming</w:t>
      </w:r>
      <w:r>
        <w:t xml:space="preserve">”</w:t>
      </w:r>
      <w:r>
        <w:t xml:space="preserve"> </w:t>
      </w:r>
      <w:r>
        <w:t xml:space="preserve">(1919), written in the aftermath of the First World War and amid the Irish War of Independence, is among the most frequently quoted poems in the English language, offering an apocalyptic vision of civilisational collapse and the emergence of a menacing, ambiguous new historical order.</w:t>
      </w:r>
    </w:p>
    <w:p>
      <w:pPr>
        <w:pStyle w:val="BodyText"/>
      </w:pPr>
      <w:r>
        <w:rPr>
          <w:bCs/>
          <w:b/>
        </w:rPr>
        <w:t xml:space="preserve">Central imagery and argument.</w:t>
      </w:r>
      <w:r>
        <w:t xml:space="preserve"> </w:t>
      </w:r>
      <w:r>
        <w:t xml:space="preserve">The poem opens with the widely quoted image of a falcon spiralling outward beyond the falconer’s control (</w:t>
      </w:r>
      <w:r>
        <w:t xml:space="preserve">“</w:t>
      </w:r>
      <w:r>
        <w:t xml:space="preserve">Turning and turning in the widening gyre / The falcon cannot hear the falconer</w:t>
      </w:r>
      <w:r>
        <w:t xml:space="preserve">”</w:t>
      </w:r>
      <w:r>
        <w:t xml:space="preserve">), an image of a civilisational order losing its coherent centre and unravelling into chaos, followed by the equally famous diagnosis</w:t>
      </w:r>
      <w:r>
        <w:t xml:space="preserve"> </w:t>
      </w:r>
      <w:r>
        <w:t xml:space="preserve">“</w:t>
      </w:r>
      <w:r>
        <w:t xml:space="preserve">Things fall apart; the centre cannot hold,</w:t>
      </w:r>
      <w:r>
        <w:t xml:space="preserve">”</w:t>
      </w:r>
      <w:r>
        <w:t xml:space="preserve"> </w:t>
      </w:r>
      <w:r>
        <w:t xml:space="preserve">and the poem’s most quoted line regarding the crisis of conviction underlying this collapse:</w:t>
      </w:r>
      <w:r>
        <w:t xml:space="preserve"> </w:t>
      </w:r>
      <w:r>
        <w:t xml:space="preserve">“</w:t>
      </w:r>
      <w:r>
        <w:t xml:space="preserve">The best lack all conviction, while the worst / Are full of passionate intensity</w:t>
      </w:r>
      <w:r>
        <w:t xml:space="preserve">”</w:t>
      </w:r>
      <w:r>
        <w:t xml:space="preserve"> </w:t>
      </w:r>
      <w:r>
        <w:t xml:space="preserve">— a line frequently invoked well beyond its original context to describe periods of political and moral crisis in which weak, hesitant moderation faces confident, dangerous extremism.</w:t>
      </w:r>
    </w:p>
    <w:p>
      <w:pPr>
        <w:pStyle w:val="BodyText"/>
      </w:pPr>
      <w:r>
        <w:rPr>
          <w:bCs/>
          <w:b/>
        </w:rPr>
        <w:t xml:space="preserve">The vision of the</w:t>
      </w:r>
      <w:r>
        <w:rPr>
          <w:bCs/>
          <w:b/>
        </w:rPr>
        <w:t xml:space="preserve"> </w:t>
      </w:r>
      <w:r>
        <w:rPr>
          <w:bCs/>
          <w:b/>
        </w:rPr>
        <w:t xml:space="preserve">“</w:t>
      </w:r>
      <w:r>
        <w:rPr>
          <w:bCs/>
          <w:b/>
        </w:rPr>
        <w:t xml:space="preserve">rough beast.</w:t>
      </w:r>
      <w:r>
        <w:rPr>
          <w:bCs/>
          <w:b/>
        </w:rPr>
        <w:t xml:space="preserve">”</w:t>
      </w:r>
      <w:r>
        <w:t xml:space="preserve"> </w:t>
      </w:r>
      <w:r>
        <w:t xml:space="preserve">The poem’s second half shifts to a visionary mode, invoking Yeats’s private mystical system (developed at length in his prose work</w:t>
      </w:r>
      <w:r>
        <w:t xml:space="preserve"> </w:t>
      </w:r>
      <w:r>
        <w:rPr>
          <w:iCs/>
          <w:i/>
        </w:rPr>
        <w:t xml:space="preserve">A Vision</w:t>
      </w:r>
      <w:r>
        <w:t xml:space="preserve">) to suggest that the Christian era, itself understood as a historical cycle now reaching its end, is giving way to a new and troubling historical dispensation — symbolised by a monstrous, sphinx-like creature (</w:t>
      </w:r>
      <w:r>
        <w:t xml:space="preserve">“</w:t>
      </w:r>
      <w:r>
        <w:t xml:space="preserve">a shape with lion body and the head of a man</w:t>
      </w:r>
      <w:r>
        <w:t xml:space="preserve">”</w:t>
      </w:r>
      <w:r>
        <w:t xml:space="preserve">) stirring in the desert and moving, with menacing inevitability, toward Bethlehem to be born, in a deliberately unsettling inversion of the Christian nativity story that gives the poem its ironic title.</w:t>
      </w:r>
    </w:p>
    <w:p>
      <w:pPr>
        <w:pStyle w:val="BodyText"/>
      </w:pPr>
      <w:r>
        <w:rPr>
          <w:bCs/>
          <w:b/>
        </w:rPr>
        <w:t xml:space="preserve">Interpretive significance and enduring resonance.</w:t>
      </w:r>
      <w:r>
        <w:t xml:space="preserve"> </w:t>
      </w:r>
      <w:r>
        <w:t xml:space="preserve">While rooted in Yeats’s own idiosyncratic historical-mystical theories, the poem’s imagery and diction have proven remarkably adaptable to later readers’ own moments of political anxiety and civilisational crisis, and the poem is regularly cited (its title and phrases having become common cultural touchstones) in discussions of political extremism, social breakdown, and historical uncertainty far removed from its original early 20th-century Irish and European context — a testament to the poem’s success in finding imagery and language capacious enough to register profound historical anxiety without being permanently tied to the specific historical crisis that originally provoked it.</w:t>
      </w:r>
    </w:p>
    <w:p>
      <w:pPr>
        <w:pStyle w:val="BodyText"/>
      </w:pPr>
      <w:r>
        <w:rPr>
          <w:bCs/>
          <w:b/>
        </w:rPr>
        <w:t xml:space="preserve">Key Takeaways</w:t>
      </w:r>
    </w:p>
    <w:p>
      <w:pPr>
        <w:numPr>
          <w:ilvl w:val="0"/>
          <w:numId w:val="1016"/>
        </w:numPr>
        <w:pStyle w:val="Compact"/>
      </w:pPr>
      <w:r>
        <w:t xml:space="preserve">The poem opens with the image of a falcon spiralling beyond control, diagnosing civilisational collapse (</w:t>
      </w:r>
      <w:r>
        <w:t xml:space="preserve">“</w:t>
      </w:r>
      <w:r>
        <w:t xml:space="preserve">Things fall apart; the centre cannot hold</w:t>
      </w:r>
      <w:r>
        <w:t xml:space="preserve">”</w:t>
      </w:r>
      <w:r>
        <w:t xml:space="preserve">) and a crisis of conviction in which</w:t>
      </w:r>
      <w:r>
        <w:t xml:space="preserve"> </w:t>
      </w:r>
      <w:r>
        <w:t xml:space="preserve">“</w:t>
      </w:r>
      <w:r>
        <w:t xml:space="preserve">the best lack all conviction, while the worst are full of passionate intensity.</w:t>
      </w:r>
      <w:r>
        <w:t xml:space="preserve">”</w:t>
      </w:r>
    </w:p>
    <w:p>
      <w:pPr>
        <w:numPr>
          <w:ilvl w:val="0"/>
          <w:numId w:val="1016"/>
        </w:numPr>
        <w:pStyle w:val="Compact"/>
      </w:pPr>
      <w:r>
        <w:t xml:space="preserve">Its second half invokes Yeats’s private mystical system to envision the Christian historical era ending and giving way to a menacing new order, symbolised by a monstrous</w:t>
      </w:r>
      <w:r>
        <w:t xml:space="preserve"> </w:t>
      </w:r>
      <w:r>
        <w:t xml:space="preserve">“</w:t>
      </w:r>
      <w:r>
        <w:t xml:space="preserve">rough beast</w:t>
      </w:r>
      <w:r>
        <w:t xml:space="preserve">”</w:t>
      </w:r>
      <w:r>
        <w:t xml:space="preserve"> </w:t>
      </w:r>
      <w:r>
        <w:t xml:space="preserve">moving toward Bethlehem.</w:t>
      </w:r>
    </w:p>
    <w:p>
      <w:pPr>
        <w:numPr>
          <w:ilvl w:val="0"/>
          <w:numId w:val="1016"/>
        </w:numPr>
        <w:pStyle w:val="Compact"/>
      </w:pPr>
      <w:r>
        <w:t xml:space="preserve">Despite its roots in Yeats’s idiosyncratic historical theories, the poem’s imagery has become a widely invoked touchstone for describing political extremism and civilisational anxiety across very different historical contexts.</w:t>
      </w:r>
    </w:p>
    <w:bookmarkEnd w:id="37"/>
    <w:bookmarkStart w:id="38" w:name="t.-s.-eliot-the-waste-land"/>
    <w:p>
      <w:pPr>
        <w:pStyle w:val="Heading3"/>
      </w:pPr>
      <w:r>
        <w:t xml:space="preserve">17. T. S. Eliot — The Waste Land</w:t>
      </w:r>
    </w:p>
    <w:p>
      <w:pPr>
        <w:pStyle w:val="FirstParagraph"/>
      </w:pPr>
      <w:r>
        <w:t xml:space="preserve">T. S. Eliot’s</w:t>
      </w:r>
      <w:r>
        <w:t xml:space="preserve"> </w:t>
      </w:r>
      <w:r>
        <w:t xml:space="preserve">“</w:t>
      </w:r>
      <w:r>
        <w:t xml:space="preserve">The Waste Land</w:t>
      </w:r>
      <w:r>
        <w:t xml:space="preserve">”</w:t>
      </w:r>
      <w:r>
        <w:t xml:space="preserve"> </w:t>
      </w:r>
      <w:r>
        <w:t xml:space="preserve">(1922) is among the most influential and formally revolutionary poems of literary Modernism, offering a fragmented, allusion-dense vision of spiritual and cultural barrenness in the aftermath of the First World War.</w:t>
      </w:r>
    </w:p>
    <w:p>
      <w:pPr>
        <w:pStyle w:val="BodyText"/>
      </w:pPr>
      <w:r>
        <w:rPr>
          <w:bCs/>
          <w:b/>
        </w:rPr>
        <w:t xml:space="preserve">Formal innovation: fragmentation and allusion.</w:t>
      </w:r>
      <w:r>
        <w:t xml:space="preserve"> </w:t>
      </w:r>
      <w:r>
        <w:t xml:space="preserve">The poem is structured not as a continuous narrative but as a montage of fragmented voices, scenes, and allusions, drawing on an extraordinarily wide range of source material — classical mythology (particularly the Fisher King legend and fertility myth, via anthropological sources Eliot cites in his own footnotes), Dante, Shakespeare, Buddhist and Hindu scripture, popular song, and contemporary urban speech — juxtaposed without conventional transitional connective tissue, requiring the reader to actively construct meaning and connection across these fragments rather than following a single continuous voice or narrative, a technique that became profoundly influential for subsequent Modernist and later poetry.</w:t>
      </w:r>
    </w:p>
    <w:p>
      <w:pPr>
        <w:pStyle w:val="BodyText"/>
      </w:pPr>
      <w:r>
        <w:rPr>
          <w:bCs/>
          <w:b/>
        </w:rPr>
        <w:t xml:space="preserve">The five sections and central themes.</w:t>
      </w:r>
      <w:r>
        <w:t xml:space="preserve"> </w:t>
      </w:r>
      <w:r>
        <w:t xml:space="preserve">The poem’s five sections (</w:t>
      </w:r>
      <w:r>
        <w:t xml:space="preserve">“</w:t>
      </w:r>
      <w:r>
        <w:t xml:space="preserve">The Burial of the Dead,</w:t>
      </w:r>
      <w:r>
        <w:t xml:space="preserve">”</w:t>
      </w:r>
      <w:r>
        <w:t xml:space="preserve"> </w:t>
      </w:r>
      <w:r>
        <w:t xml:space="preserve">“</w:t>
      </w:r>
      <w:r>
        <w:t xml:space="preserve">A Game of Chess,</w:t>
      </w:r>
      <w:r>
        <w:t xml:space="preserve">”</w:t>
      </w:r>
      <w:r>
        <w:t xml:space="preserve"> </w:t>
      </w:r>
      <w:r>
        <w:t xml:space="preserve">“</w:t>
      </w:r>
      <w:r>
        <w:t xml:space="preserve">The Fire Sermon,</w:t>
      </w:r>
      <w:r>
        <w:t xml:space="preserve">”</w:t>
      </w:r>
      <w:r>
        <w:t xml:space="preserve"> </w:t>
      </w:r>
      <w:r>
        <w:t xml:space="preserve">“</w:t>
      </w:r>
      <w:r>
        <w:t xml:space="preserve">Death by Water,</w:t>
      </w:r>
      <w:r>
        <w:t xml:space="preserve">”</w:t>
      </w:r>
      <w:r>
        <w:t xml:space="preserve"> </w:t>
      </w:r>
      <w:r>
        <w:t xml:space="preserve">and</w:t>
      </w:r>
      <w:r>
        <w:t xml:space="preserve"> </w:t>
      </w:r>
      <w:r>
        <w:t xml:space="preserve">“</w:t>
      </w:r>
      <w:r>
        <w:t xml:space="preserve">What the Thunder Said</w:t>
      </w:r>
      <w:r>
        <w:t xml:space="preserve">”</w:t>
      </w:r>
      <w:r>
        <w:t xml:space="preserve">) move through varied scenes of sterility, failed communication, and spiritual emptiness in modern urban life — including desiccated landscapes, sterile or exploitative sexual encounters, and crowds of the spiritually dead moving through London — building toward the final section’s gestures, drawn from Hindu Upanishadic teaching, toward possible (though notably uncertain and unresolved) spiritual renewal.</w:t>
      </w:r>
    </w:p>
    <w:p>
      <w:pPr>
        <w:pStyle w:val="BodyText"/>
      </w:pPr>
      <w:r>
        <w:rPr>
          <w:bCs/>
          <w:b/>
        </w:rPr>
        <w:t xml:space="preserve">The mythic method and fertility symbolism.</w:t>
      </w:r>
      <w:r>
        <w:t xml:space="preserve"> </w:t>
      </w:r>
      <w:r>
        <w:t xml:space="preserve">Central to the poem’s structure is what critics, following Eliot’s own comments, call the</w:t>
      </w:r>
      <w:r>
        <w:t xml:space="preserve"> </w:t>
      </w:r>
      <w:r>
        <w:t xml:space="preserve">“</w:t>
      </w:r>
      <w:r>
        <w:t xml:space="preserve">mythic method</w:t>
      </w:r>
      <w:r>
        <w:t xml:space="preserve">”</w:t>
      </w:r>
      <w:r>
        <w:t xml:space="preserve"> </w:t>
      </w:r>
      <w:r>
        <w:t xml:space="preserve">— using the ancient Fisher King myth (in which a wounded, impotent king’s infertility blights his entire land, which can only be healed through a quest and ritual renewal) as a submerged structural parallel for the poem’s vision of modern spiritual barrenness, implying that contemporary civilisation, like the wasted land of the myth, suffers from a kind of spiritual sterility requiring, but not straightforwardly receiving, renewal.</w:t>
      </w:r>
    </w:p>
    <w:p>
      <w:pPr>
        <w:pStyle w:val="BodyText"/>
      </w:pPr>
      <w:r>
        <w:rPr>
          <w:bCs/>
          <w:b/>
        </w:rPr>
        <w:t xml:space="preserve">Significance for Modernism.</w:t>
      </w:r>
      <w:r>
        <w:t xml:space="preserve"> </w:t>
      </w:r>
      <w:r>
        <w:t xml:space="preserve">The poem’s technique of allusive fragmentation, its demand for an unusually active, informed reader, and its bleak diagnosis of modern spiritual and cultural condition together established it as a defining text of literary Modernism, and its influence on subsequent 20th-century poetry (in its willingness to abandon linear narrative and conventional unified voice in favour of fragmented, allusive juxtaposition) has proven exceptionally far-reaching.</w:t>
      </w:r>
    </w:p>
    <w:p>
      <w:pPr>
        <w:pStyle w:val="BodyText"/>
      </w:pPr>
      <w:r>
        <w:rPr>
          <w:bCs/>
          <w:b/>
        </w:rPr>
        <w:t xml:space="preserve">Key Takeaways</w:t>
      </w:r>
    </w:p>
    <w:p>
      <w:pPr>
        <w:numPr>
          <w:ilvl w:val="0"/>
          <w:numId w:val="1017"/>
        </w:numPr>
        <w:pStyle w:val="Compact"/>
      </w:pPr>
      <w:r>
        <w:t xml:space="preserve">The poem is structured as a fragmented montage of voices and allusions drawn from an extraordinarily wide range of sources, requiring active reader construction of meaning rather than following a continuous narrative.</w:t>
      </w:r>
    </w:p>
    <w:p>
      <w:pPr>
        <w:numPr>
          <w:ilvl w:val="0"/>
          <w:numId w:val="1017"/>
        </w:numPr>
        <w:pStyle w:val="Compact"/>
      </w:pPr>
      <w:r>
        <w:t xml:space="preserve">Its five sections move through varied scenes of modern spiritual and cultural sterility, building toward uncertain gestures of possible renewal drawn from Hindu scripture.</w:t>
      </w:r>
    </w:p>
    <w:p>
      <w:pPr>
        <w:numPr>
          <w:ilvl w:val="0"/>
          <w:numId w:val="1017"/>
        </w:numPr>
        <w:pStyle w:val="Compact"/>
      </w:pPr>
      <w:r>
        <w:t xml:space="preserve">The poem’s</w:t>
      </w:r>
      <w:r>
        <w:t xml:space="preserve"> </w:t>
      </w:r>
      <w:r>
        <w:t xml:space="preserve">“</w:t>
      </w:r>
      <w:r>
        <w:t xml:space="preserve">mythic method,</w:t>
      </w:r>
      <w:r>
        <w:t xml:space="preserve">”</w:t>
      </w:r>
      <w:r>
        <w:t xml:space="preserve"> </w:t>
      </w:r>
      <w:r>
        <w:t xml:space="preserve">using the Fisher King fertility myth as a submerged structural parallel for modern spiritual barrenness, and its innovative fragmented technique, established it as a defining, exceptionally influential text of literary Modernism.</w:t>
      </w:r>
    </w:p>
    <w:bookmarkEnd w:id="38"/>
    <w:bookmarkStart w:id="39" w:name="X6d7075e3cb1ddab25c5e503f64a1a82a6df0c0c"/>
    <w:p>
      <w:pPr>
        <w:pStyle w:val="Heading3"/>
      </w:pPr>
      <w:r>
        <w:t xml:space="preserve">18. T. S. Eliot — The Love Song of J. Alfred Prufrock</w:t>
      </w:r>
    </w:p>
    <w:p>
      <w:pPr>
        <w:pStyle w:val="FirstParagraph"/>
      </w:pPr>
      <w:r>
        <w:t xml:space="preserve">Eliot’s</w:t>
      </w:r>
      <w:r>
        <w:t xml:space="preserve"> </w:t>
      </w:r>
      <w:r>
        <w:t xml:space="preserve">“</w:t>
      </w:r>
      <w:r>
        <w:t xml:space="preserve">The Love Song of J. Alfred Prufrock</w:t>
      </w:r>
      <w:r>
        <w:t xml:space="preserve">”</w:t>
      </w:r>
      <w:r>
        <w:t xml:space="preserve"> </w:t>
      </w:r>
      <w:r>
        <w:t xml:space="preserve">(1915) is a dramatic monologue voicing the anxious, self-doubting interior consciousness of a middle-aged man paralysed by indecision and social anxiety, and represents one of the founding texts of Modernist poetry in English.</w:t>
      </w:r>
    </w:p>
    <w:p>
      <w:pPr>
        <w:pStyle w:val="BodyText"/>
      </w:pPr>
      <w:r>
        <w:rPr>
          <w:bCs/>
          <w:b/>
        </w:rPr>
        <w:t xml:space="preserve">The dramatic monologue and its ironic title.</w:t>
      </w:r>
      <w:r>
        <w:t xml:space="preserve"> </w:t>
      </w:r>
      <w:r>
        <w:t xml:space="preserve">The poem’s title promises a</w:t>
      </w:r>
      <w:r>
        <w:t xml:space="preserve"> </w:t>
      </w:r>
      <w:r>
        <w:t xml:space="preserve">“</w:t>
      </w:r>
      <w:r>
        <w:t xml:space="preserve">love song,</w:t>
      </w:r>
      <w:r>
        <w:t xml:space="preserve">”</w:t>
      </w:r>
      <w:r>
        <w:t xml:space="preserve"> </w:t>
      </w:r>
      <w:r>
        <w:t xml:space="preserve">but the poem delivers instead an extended portrait of Prufrock’s inability to act, to speak, or to connect meaningfully with others — particularly his repeated failure to summon the courage to pose some unspecified, presumably romantic</w:t>
      </w:r>
      <w:r>
        <w:t xml:space="preserve"> </w:t>
      </w:r>
      <w:r>
        <w:t xml:space="preserve">“</w:t>
      </w:r>
      <w:r>
        <w:t xml:space="preserve">overwhelming question</w:t>
      </w:r>
      <w:r>
        <w:t xml:space="preserve">”</w:t>
      </w:r>
      <w:r>
        <w:t xml:space="preserve"> </w:t>
      </w:r>
      <w:r>
        <w:t xml:space="preserve">to a woman or women at a social gathering — the ironic gap between the romantic promise of the title and the poem’s actual content of paralysis and anticlimax is central to the poem’s meaning and tone.</w:t>
      </w:r>
    </w:p>
    <w:p>
      <w:pPr>
        <w:pStyle w:val="BodyText"/>
      </w:pPr>
      <w:r>
        <w:rPr>
          <w:bCs/>
          <w:b/>
        </w:rPr>
        <w:t xml:space="preserve">Central imagery and Prufrock’s self-consciousness.</w:t>
      </w:r>
      <w:r>
        <w:t xml:space="preserve"> </w:t>
      </w:r>
      <w:r>
        <w:t xml:space="preserve">The poem is saturated with images of hesitation, smallness, and social anxiety — Prufrock repeatedly measures out his life</w:t>
      </w:r>
      <w:r>
        <w:t xml:space="preserve"> </w:t>
      </w:r>
      <w:r>
        <w:t xml:space="preserve">“</w:t>
      </w:r>
      <w:r>
        <w:t xml:space="preserve">with coffee spoons,</w:t>
      </w:r>
      <w:r>
        <w:t xml:space="preserve">”</w:t>
      </w:r>
      <w:r>
        <w:t xml:space="preserve"> </w:t>
      </w:r>
      <w:r>
        <w:t xml:space="preserve">worries obsessively about how others perceive his physical appearance and social performance (</w:t>
      </w:r>
      <w:r>
        <w:t xml:space="preserve">“</w:t>
      </w:r>
      <w:r>
        <w:t xml:space="preserve">Do I dare to eat a peach?</w:t>
      </w:r>
      <w:r>
        <w:t xml:space="preserve">”</w:t>
      </w:r>
      <w:r>
        <w:t xml:space="preserve"> </w:t>
      </w:r>
      <w:r>
        <w:t xml:space="preserve">and anxious attention to his thinning hair), and compares himself unfavourably to grander literary and historical figures (explicitly denying he is Prince Hamlet, instead comparing himself to a minor supporting character) — this relentless self-scrutiny and sense of his own inadequacy prevents him from ever actually posing the question the poem’s action seems to be building toward.</w:t>
      </w:r>
    </w:p>
    <w:p>
      <w:pPr>
        <w:pStyle w:val="BodyText"/>
      </w:pPr>
      <w:r>
        <w:rPr>
          <w:bCs/>
          <w:b/>
        </w:rPr>
        <w:t xml:space="preserve">Formal technique.</w:t>
      </w:r>
      <w:r>
        <w:t xml:space="preserve"> </w:t>
      </w:r>
      <w:r>
        <w:t xml:space="preserve">The poem combines free verse with intermittent rhyme and refrain (including the repeated, hauntingly indeterminate lines about women</w:t>
      </w:r>
      <w:r>
        <w:t xml:space="preserve"> </w:t>
      </w:r>
      <w:r>
        <w:t xml:space="preserve">“</w:t>
      </w:r>
      <w:r>
        <w:t xml:space="preserve">talking of Michelangelo</w:t>
      </w:r>
      <w:r>
        <w:t xml:space="preserve">”</w:t>
      </w:r>
      <w:r>
        <w:t xml:space="preserve">), fragmented, associative imagery (the famous opening comparison of the evening sky to</w:t>
      </w:r>
      <w:r>
        <w:t xml:space="preserve"> </w:t>
      </w:r>
      <w:r>
        <w:t xml:space="preserve">“</w:t>
      </w:r>
      <w:r>
        <w:t xml:space="preserve">a patient etherised upon a table</w:t>
      </w:r>
      <w:r>
        <w:t xml:space="preserve">”</w:t>
      </w:r>
      <w:r>
        <w:t xml:space="preserve"> </w:t>
      </w:r>
      <w:r>
        <w:t xml:space="preserve">signals from the poem’s very start its departure from conventional Romantic or Victorian lyric imagery), and a stream-of-consciousness-like movement through Prufrock’s anxious, circling thoughts, techniques that anticipate the more extensive formal experimentation of</w:t>
      </w:r>
      <w:r>
        <w:t xml:space="preserve"> </w:t>
      </w:r>
      <w:r>
        <w:t xml:space="preserve">“</w:t>
      </w:r>
      <w:r>
        <w:t xml:space="preserve">The Waste Land</w:t>
      </w:r>
      <w:r>
        <w:t xml:space="preserve">”</w:t>
      </w:r>
      <w:r>
        <w:t xml:space="preserve"> </w:t>
      </w:r>
      <w:r>
        <w:t xml:space="preserve">(Topic 17).</w:t>
      </w:r>
    </w:p>
    <w:p>
      <w:pPr>
        <w:pStyle w:val="BodyText"/>
      </w:pPr>
      <w:r>
        <w:rPr>
          <w:bCs/>
          <w:b/>
        </w:rPr>
        <w:t xml:space="preserve">Thematic significance.</w:t>
      </w:r>
      <w:r>
        <w:t xml:space="preserve"> </w:t>
      </w:r>
      <w:r>
        <w:t xml:space="preserve">The poem is widely read as a defining Modernist portrait of alienated, self-conscious modern urban consciousness — Prufrock’s paralysis, his inability to translate inner feeling into meaningful outward action or communication, and his acute, almost pathological self-awareness of his own social performance, crystallise a distinctly modern form of psychological alienation that became a recurring concern across much subsequent Modernist literature.</w:t>
      </w:r>
    </w:p>
    <w:p>
      <w:pPr>
        <w:pStyle w:val="BodyText"/>
      </w:pPr>
      <w:r>
        <w:rPr>
          <w:bCs/>
          <w:b/>
        </w:rPr>
        <w:t xml:space="preserve">Key Takeaways</w:t>
      </w:r>
    </w:p>
    <w:p>
      <w:pPr>
        <w:numPr>
          <w:ilvl w:val="0"/>
          <w:numId w:val="1018"/>
        </w:numPr>
        <w:pStyle w:val="Compact"/>
      </w:pPr>
      <w:r>
        <w:t xml:space="preserve">The poem’s ironic title promises a</w:t>
      </w:r>
      <w:r>
        <w:t xml:space="preserve"> </w:t>
      </w:r>
      <w:r>
        <w:t xml:space="preserve">“</w:t>
      </w:r>
      <w:r>
        <w:t xml:space="preserve">love song</w:t>
      </w:r>
      <w:r>
        <w:t xml:space="preserve">”</w:t>
      </w:r>
      <w:r>
        <w:t xml:space="preserve"> </w:t>
      </w:r>
      <w:r>
        <w:t xml:space="preserve">but delivers instead a portrait of Prufrock’s paralysing indecision and inability to pose an</w:t>
      </w:r>
      <w:r>
        <w:t xml:space="preserve"> </w:t>
      </w:r>
      <w:r>
        <w:t xml:space="preserve">“</w:t>
      </w:r>
      <w:r>
        <w:t xml:space="preserve">overwhelming question,</w:t>
      </w:r>
      <w:r>
        <w:t xml:space="preserve">”</w:t>
      </w:r>
      <w:r>
        <w:t xml:space="preserve"> </w:t>
      </w:r>
      <w:r>
        <w:t xml:space="preserve">likely romantic, to a woman at a social gathering.</w:t>
      </w:r>
    </w:p>
    <w:p>
      <w:pPr>
        <w:numPr>
          <w:ilvl w:val="0"/>
          <w:numId w:val="1018"/>
        </w:numPr>
        <w:pStyle w:val="Compact"/>
      </w:pPr>
      <w:r>
        <w:t xml:space="preserve">Prufrock’s relentless self-scrutiny and anxious comparison of himself to grander literary figures (explicitly not Hamlet) crystallises his sense of social and existential inadequacy.</w:t>
      </w:r>
    </w:p>
    <w:p>
      <w:pPr>
        <w:numPr>
          <w:ilvl w:val="0"/>
          <w:numId w:val="1018"/>
        </w:numPr>
        <w:pStyle w:val="Compact"/>
      </w:pPr>
      <w:r>
        <w:t xml:space="preserve">The poem’s fragmented, associative imagery and stream-of-consciousness technique anticipate Eliot’s later formal experimentation in</w:t>
      </w:r>
      <w:r>
        <w:t xml:space="preserve"> </w:t>
      </w:r>
      <w:r>
        <w:t xml:space="preserve">“</w:t>
      </w:r>
      <w:r>
        <w:t xml:space="preserve">The Waste Land,</w:t>
      </w:r>
      <w:r>
        <w:t xml:space="preserve">”</w:t>
      </w:r>
      <w:r>
        <w:t xml:space="preserve"> </w:t>
      </w:r>
      <w:r>
        <w:t xml:space="preserve">and the poem is widely read as a defining Modernist portrait of alienated modern consciousness.</w:t>
      </w:r>
    </w:p>
    <w:bookmarkEnd w:id="39"/>
    <w:bookmarkStart w:id="40" w:name="philip-larkin-maturity"/>
    <w:p>
      <w:pPr>
        <w:pStyle w:val="Heading3"/>
      </w:pPr>
      <w:r>
        <w:t xml:space="preserve">19. Philip Larkin — Maturity</w:t>
      </w:r>
    </w:p>
    <w:p>
      <w:pPr>
        <w:pStyle w:val="FirstParagraph"/>
      </w:pPr>
      <w:r>
        <w:t xml:space="preserve">Philip Larkin’s</w:t>
      </w:r>
      <w:r>
        <w:t xml:space="preserve"> </w:t>
      </w:r>
      <w:r>
        <w:t xml:space="preserve">“</w:t>
      </w:r>
      <w:r>
        <w:t xml:space="preserve">Maturity</w:t>
      </w:r>
      <w:r>
        <w:t xml:space="preserve">”</w:t>
      </w:r>
      <w:r>
        <w:t xml:space="preserve"> </w:t>
      </w:r>
      <w:r>
        <w:t xml:space="preserve">reflects the poet’s characteristically wry, unsentimental scepticism toward the concept of adult maturity itself, questioning whether the qualities conventionally praised as signs of having</w:t>
      </w:r>
      <w:r>
        <w:t xml:space="preserve"> </w:t>
      </w:r>
      <w:r>
        <w:t xml:space="preserve">“</w:t>
      </w:r>
      <w:r>
        <w:t xml:space="preserve">grown up</w:t>
      </w:r>
      <w:r>
        <w:t xml:space="preserve">”</w:t>
      </w:r>
      <w:r>
        <w:t xml:space="preserve"> </w:t>
      </w:r>
      <w:r>
        <w:t xml:space="preserve">represent genuine achievement or merely a diminished, resigned adaptation to disappointment.</w:t>
      </w:r>
    </w:p>
    <w:p>
      <w:pPr>
        <w:pStyle w:val="BodyText"/>
      </w:pPr>
      <w:r>
        <w:rPr>
          <w:bCs/>
          <w:b/>
        </w:rPr>
        <w:t xml:space="preserve">Central argument.</w:t>
      </w:r>
      <w:r>
        <w:t xml:space="preserve"> </w:t>
      </w:r>
      <w:r>
        <w:t xml:space="preserve">Larkin’s poem interrogates the conventional assumption that maturity represents unambiguous positive development — characteristically for Larkin, the poem suggests that what passes for</w:t>
      </w:r>
      <w:r>
        <w:t xml:space="preserve"> </w:t>
      </w:r>
      <w:r>
        <w:t xml:space="preserve">“</w:t>
      </w:r>
      <w:r>
        <w:t xml:space="preserve">maturity</w:t>
      </w:r>
      <w:r>
        <w:t xml:space="preserve">”</w:t>
      </w:r>
      <w:r>
        <w:t xml:space="preserve"> </w:t>
      </w:r>
      <w:r>
        <w:t xml:space="preserve">may in fact be indistinguishable from a kind of settled disillusionment, a gradual scaling-back of earlier hopes and expectations to match the more limited possibilities actually available in adult life, rather than any genuine growth in wisdom or capability.</w:t>
      </w:r>
    </w:p>
    <w:p>
      <w:pPr>
        <w:pStyle w:val="BodyText"/>
      </w:pPr>
      <w:r>
        <w:rPr>
          <w:bCs/>
          <w:b/>
        </w:rPr>
        <w:t xml:space="preserve">Larkin’s characteristic tone.</w:t>
      </w:r>
      <w:r>
        <w:t xml:space="preserve"> </w:t>
      </w:r>
      <w:r>
        <w:t xml:space="preserve">As throughout Larkin’s work, the poem is marked by a dry, deflationary irony directed at received wisdom and comforting social platitudes — Larkin’s characteristic poetic persona views conventional pieties (here, the assumption that growing up is straightforwardly good) with a sceptical, unsentimental clarity that refuses easy consolation, a tonal signature shared across his other poems addressed here, including</w:t>
      </w:r>
      <w:r>
        <w:t xml:space="preserve"> </w:t>
      </w:r>
      <w:r>
        <w:t xml:space="preserve">“</w:t>
      </w:r>
      <w:r>
        <w:t xml:space="preserve">Continuing to Live</w:t>
      </w:r>
      <w:r>
        <w:t xml:space="preserve">”</w:t>
      </w:r>
      <w:r>
        <w:t xml:space="preserve"> </w:t>
      </w:r>
      <w:r>
        <w:t xml:space="preserve">(Topic 20) and</w:t>
      </w:r>
      <w:r>
        <w:t xml:space="preserve"> </w:t>
      </w:r>
      <w:r>
        <w:t xml:space="preserve">“</w:t>
      </w:r>
      <w:r>
        <w:t xml:space="preserve">The Trees</w:t>
      </w:r>
      <w:r>
        <w:t xml:space="preserve">”</w:t>
      </w:r>
      <w:r>
        <w:t xml:space="preserve"> </w:t>
      </w:r>
      <w:r>
        <w:t xml:space="preserve">(Topic 21).</w:t>
      </w:r>
    </w:p>
    <w:p>
      <w:pPr>
        <w:pStyle w:val="BodyText"/>
      </w:pPr>
      <w:r>
        <w:rPr>
          <w:bCs/>
          <w:b/>
        </w:rPr>
        <w:t xml:space="preserve">Thematic connections within Larkin’s work.</w:t>
      </w:r>
      <w:r>
        <w:t xml:space="preserve"> </w:t>
      </w:r>
      <w:r>
        <w:t xml:space="preserve">The poem’s scepticism toward conventional narratives of positive personal development connects to a recurring Larkin preoccupation with disappointment, diminished expectation, and the gap between youthful hope and adult reality — themes explored with somewhat different emphasis but similar underlying disillusioned clarity in</w:t>
      </w:r>
      <w:r>
        <w:t xml:space="preserve"> </w:t>
      </w:r>
      <w:r>
        <w:t xml:space="preserve">“</w:t>
      </w:r>
      <w:r>
        <w:t xml:space="preserve">Continuing to Live.</w:t>
      </w:r>
      <w:r>
        <w:t xml:space="preserve">”</w:t>
      </w:r>
    </w:p>
    <w:p>
      <w:pPr>
        <w:pStyle w:val="BodyText"/>
      </w:pPr>
      <w:r>
        <w:rPr>
          <w:bCs/>
          <w:b/>
        </w:rPr>
        <w:t xml:space="preserve">Key Takeaways</w:t>
      </w:r>
    </w:p>
    <w:p>
      <w:pPr>
        <w:numPr>
          <w:ilvl w:val="0"/>
          <w:numId w:val="1019"/>
        </w:numPr>
        <w:pStyle w:val="Compact"/>
      </w:pPr>
      <w:r>
        <w:t xml:space="preserve">The poem questions whether conventional</w:t>
      </w:r>
      <w:r>
        <w:t xml:space="preserve"> </w:t>
      </w:r>
      <w:r>
        <w:t xml:space="preserve">“</w:t>
      </w:r>
      <w:r>
        <w:t xml:space="preserve">maturity</w:t>
      </w:r>
      <w:r>
        <w:t xml:space="preserve">”</w:t>
      </w:r>
      <w:r>
        <w:t xml:space="preserve"> </w:t>
      </w:r>
      <w:r>
        <w:t xml:space="preserve">represents genuine positive growth or merely a resigned adaptation to disappointment and diminished expectation.</w:t>
      </w:r>
    </w:p>
    <w:p>
      <w:pPr>
        <w:numPr>
          <w:ilvl w:val="0"/>
          <w:numId w:val="1019"/>
        </w:numPr>
        <w:pStyle w:val="Compact"/>
      </w:pPr>
      <w:r>
        <w:t xml:space="preserve">It exemplifies Larkin’s characteristic dry, deflationary irony toward comforting social platitudes and received wisdom.</w:t>
      </w:r>
    </w:p>
    <w:p>
      <w:pPr>
        <w:numPr>
          <w:ilvl w:val="0"/>
          <w:numId w:val="1019"/>
        </w:numPr>
        <w:pStyle w:val="Compact"/>
      </w:pPr>
      <w:r>
        <w:t xml:space="preserve">The poem’s scepticism connects to a recurring Larkin preoccupation with the gap between youthful hope and adult disappointment, explored further in</w:t>
      </w:r>
      <w:r>
        <w:t xml:space="preserve"> </w:t>
      </w:r>
      <w:r>
        <w:t xml:space="preserve">“</w:t>
      </w:r>
      <w:r>
        <w:t xml:space="preserve">Continuing to Live.</w:t>
      </w:r>
      <w:r>
        <w:t xml:space="preserve">”</w:t>
      </w:r>
    </w:p>
    <w:bookmarkEnd w:id="40"/>
    <w:bookmarkStart w:id="41" w:name="philip-larkin-continuing-to-live"/>
    <w:p>
      <w:pPr>
        <w:pStyle w:val="Heading3"/>
      </w:pPr>
      <w:r>
        <w:t xml:space="preserve">20. Philip Larkin — Continuing to Live</w:t>
      </w:r>
    </w:p>
    <w:p>
      <w:pPr>
        <w:pStyle w:val="FirstParagraph"/>
      </w:pPr>
      <w:r>
        <w:t xml:space="preserve">“</w:t>
      </w:r>
      <w:r>
        <w:t xml:space="preserve">Continuing to Live</w:t>
      </w:r>
      <w:r>
        <w:t xml:space="preserve">”</w:t>
      </w:r>
      <w:r>
        <w:t xml:space="preserve"> </w:t>
      </w:r>
      <w:r>
        <w:t xml:space="preserve">extends Larkin’s characteristic meditation on disappointment and diminished expectation (introduced in relation to</w:t>
      </w:r>
      <w:r>
        <w:t xml:space="preserve"> </w:t>
      </w:r>
      <w:r>
        <w:t xml:space="preserve">“</w:t>
      </w:r>
      <w:r>
        <w:t xml:space="preserve">Maturity,</w:t>
      </w:r>
      <w:r>
        <w:t xml:space="preserve">”</w:t>
      </w:r>
      <w:r>
        <w:t xml:space="preserve"> </w:t>
      </w:r>
      <w:r>
        <w:t xml:space="preserve">Topic 19) into a more direct confrontation with the passage of time and the gradual narrowing of life’s possibilities as one simply continues living.</w:t>
      </w:r>
    </w:p>
    <w:p>
      <w:pPr>
        <w:pStyle w:val="BodyText"/>
      </w:pPr>
      <w:r>
        <w:rPr>
          <w:bCs/>
          <w:b/>
        </w:rPr>
        <w:t xml:space="preserve">Central argument.</w:t>
      </w:r>
      <w:r>
        <w:t xml:space="preserve"> </w:t>
      </w:r>
      <w:r>
        <w:t xml:space="preserve">The poem meditates on what it actually means, experientially, to continue living through time — not as a dramatic, purposeful journey toward some meaningful goal, but as a gradual, often undramatic process of accumulating loss, narrowing possibility, and diminishing expectation, in which the simple continuation of existence itself becomes less an achievement than a kind of quiet attrition.</w:t>
      </w:r>
    </w:p>
    <w:p>
      <w:pPr>
        <w:pStyle w:val="BodyText"/>
      </w:pPr>
      <w:r>
        <w:rPr>
          <w:bCs/>
          <w:b/>
        </w:rPr>
        <w:t xml:space="preserve">Larkin’s characteristic unsentimentality.</w:t>
      </w:r>
      <w:r>
        <w:t xml:space="preserve"> </w:t>
      </w:r>
      <w:r>
        <w:t xml:space="preserve">As with</w:t>
      </w:r>
      <w:r>
        <w:t xml:space="preserve"> </w:t>
      </w:r>
      <w:r>
        <w:t xml:space="preserve">“</w:t>
      </w:r>
      <w:r>
        <w:t xml:space="preserve">Maturity,</w:t>
      </w:r>
      <w:r>
        <w:t xml:space="preserve">”</w:t>
      </w:r>
      <w:r>
        <w:t xml:space="preserve"> </w:t>
      </w:r>
      <w:r>
        <w:t xml:space="preserve">the poem refuses sentimental or falsely consoling framings of the ageing process, instead offering an unflinching, plainly stated assessment of what continued living actually involves — a characteristic Larkin move that distinguishes his treatment of time and mortality from the more elaborately mythologised or symbolically freighted treatments found in poets like Yeats (Topics 15–16) or Eliot (Topics 17–18).</w:t>
      </w:r>
    </w:p>
    <w:p>
      <w:pPr>
        <w:pStyle w:val="BodyText"/>
      </w:pPr>
      <w:r>
        <w:rPr>
          <w:bCs/>
          <w:b/>
        </w:rPr>
        <w:t xml:space="preserve">Style.</w:t>
      </w:r>
      <w:r>
        <w:t xml:space="preserve"> </w:t>
      </w:r>
      <w:r>
        <w:t xml:space="preserve">Larkin’s characteristic plain diction, conversational rhythm, and avoidance of ornate or elevated poetic language are central to the poem’s effect — the poem’s bleak observations gain force precisely from being delivered in an understated, almost conversational register rather than heightened rhetorical language, a stylistic choice consistent with Larkin’s broader association with</w:t>
      </w:r>
      <w:r>
        <w:t xml:space="preserve"> </w:t>
      </w:r>
      <w:r>
        <w:t xml:space="preserve">“</w:t>
      </w:r>
      <w:r>
        <w:t xml:space="preserve">The Movement,</w:t>
      </w:r>
      <w:r>
        <w:t xml:space="preserve">”</w:t>
      </w:r>
      <w:r>
        <w:t xml:space="preserve"> </w:t>
      </w:r>
      <w:r>
        <w:t xml:space="preserve">a mid-20th-century British poetic tendency favouring restraint, clarity, and scepticism toward Modernist and Romantic excess alike.</w:t>
      </w:r>
    </w:p>
    <w:p>
      <w:pPr>
        <w:pStyle w:val="BodyText"/>
      </w:pPr>
      <w:r>
        <w:rPr>
          <w:bCs/>
          <w:b/>
        </w:rPr>
        <w:t xml:space="preserve">Key Takeaways</w:t>
      </w:r>
    </w:p>
    <w:p>
      <w:pPr>
        <w:numPr>
          <w:ilvl w:val="0"/>
          <w:numId w:val="1020"/>
        </w:numPr>
        <w:pStyle w:val="Compact"/>
      </w:pPr>
      <w:r>
        <w:t xml:space="preserve">The poem meditates on continued living as a gradual, often undramatic process of accumulating loss and diminishing expectation rather than purposeful progress toward meaningful achievement.</w:t>
      </w:r>
    </w:p>
    <w:p>
      <w:pPr>
        <w:numPr>
          <w:ilvl w:val="0"/>
          <w:numId w:val="1020"/>
        </w:numPr>
        <w:pStyle w:val="Compact"/>
      </w:pPr>
      <w:r>
        <w:t xml:space="preserve">It refuses sentimental or mythologised framings of ageing and time, offering instead an unflinching, plainly stated assessment.</w:t>
      </w:r>
    </w:p>
    <w:p>
      <w:pPr>
        <w:numPr>
          <w:ilvl w:val="0"/>
          <w:numId w:val="1020"/>
        </w:numPr>
        <w:pStyle w:val="Compact"/>
      </w:pPr>
      <w:r>
        <w:t xml:space="preserve">Larkin’s characteristic plain diction and conversational register, associated with the mid-20th-century</w:t>
      </w:r>
      <w:r>
        <w:t xml:space="preserve"> </w:t>
      </w:r>
      <w:r>
        <w:t xml:space="preserve">“</w:t>
      </w:r>
      <w:r>
        <w:t xml:space="preserve">Movement</w:t>
      </w:r>
      <w:r>
        <w:t xml:space="preserve">”</w:t>
      </w:r>
      <w:r>
        <w:t xml:space="preserve"> </w:t>
      </w:r>
      <w:r>
        <w:t xml:space="preserve">poets, give the poem’s bleak observations their distinctive understated force.</w:t>
      </w:r>
    </w:p>
    <w:bookmarkEnd w:id="41"/>
    <w:bookmarkStart w:id="42" w:name="larkin-the-trees"/>
    <w:p>
      <w:pPr>
        <w:pStyle w:val="Heading3"/>
      </w:pPr>
      <w:r>
        <w:t xml:space="preserve">21. Larkin — The Trees</w:t>
      </w:r>
    </w:p>
    <w:p>
      <w:pPr>
        <w:pStyle w:val="FirstParagraph"/>
      </w:pPr>
      <w:r>
        <w:t xml:space="preserve">“</w:t>
      </w:r>
      <w:r>
        <w:t xml:space="preserve">The Trees</w:t>
      </w:r>
      <w:r>
        <w:t xml:space="preserve">”</w:t>
      </w:r>
      <w:r>
        <w:t xml:space="preserve"> </w:t>
      </w:r>
      <w:r>
        <w:t xml:space="preserve">offers a more tentatively hopeful counterpoint within Larkin’s characteristically disillusioned body of work, using the annual renewal of trees in spring as an occasion to consider, with characteristic Larkin ambivalence, whether such natural renewal offers any genuine consolation or model for human life.</w:t>
      </w:r>
    </w:p>
    <w:p>
      <w:pPr>
        <w:pStyle w:val="BodyText"/>
      </w:pPr>
      <w:r>
        <w:rPr>
          <w:bCs/>
          <w:b/>
        </w:rPr>
        <w:t xml:space="preserve">Central imagery and argument.</w:t>
      </w:r>
      <w:r>
        <w:t xml:space="preserve"> </w:t>
      </w:r>
      <w:r>
        <w:t xml:space="preserve">The poem observes trees coming into leaf each spring, and considers whether this cyclical natural renewal — the trees seeming to be</w:t>
      </w:r>
      <w:r>
        <w:t xml:space="preserve"> </w:t>
      </w:r>
      <w:r>
        <w:t xml:space="preserve">“</w:t>
      </w:r>
      <w:r>
        <w:t xml:space="preserve">born again</w:t>
      </w:r>
      <w:r>
        <w:t xml:space="preserve">”</w:t>
      </w:r>
      <w:r>
        <w:t xml:space="preserve"> </w:t>
      </w:r>
      <w:r>
        <w:t xml:space="preserve">each year — offers a genuine, meaningful contrast to human experience, in which no such straightforward yearly renewal is available; the poem’s most quoted lines capture this ambivalence directly, acknowledging the appeal of reading the trees’ renewal as instructive (</w:t>
      </w:r>
      <w:r>
        <w:t xml:space="preserve">“</w:t>
      </w:r>
      <w:r>
        <w:t xml:space="preserve">begin afresh, afresh, afresh</w:t>
      </w:r>
      <w:r>
        <w:t xml:space="preserve">”</w:t>
      </w:r>
      <w:r>
        <w:t xml:space="preserve">) while remaining characteristically uncertain whether this reading is itself simply a comforting illusion rather than a genuine insight applicable to human life.</w:t>
      </w:r>
    </w:p>
    <w:p>
      <w:pPr>
        <w:pStyle w:val="BodyText"/>
      </w:pPr>
      <w:r>
        <w:rPr>
          <w:bCs/>
          <w:b/>
        </w:rPr>
        <w:t xml:space="preserve">Larkin’s characteristic ambivalence.</w:t>
      </w:r>
      <w:r>
        <w:t xml:space="preserve"> </w:t>
      </w:r>
      <w:r>
        <w:t xml:space="preserve">Unlike the poet’s more purely deflationary poems (</w:t>
      </w:r>
      <w:r>
        <w:t xml:space="preserve">“</w:t>
      </w:r>
      <w:r>
        <w:t xml:space="preserve">Maturity,</w:t>
      </w:r>
      <w:r>
        <w:t xml:space="preserve">”</w:t>
      </w:r>
      <w:r>
        <w:t xml:space="preserve"> </w:t>
      </w:r>
      <w:r>
        <w:t xml:space="preserve">“</w:t>
      </w:r>
      <w:r>
        <w:t xml:space="preserve">Continuing to Live,</w:t>
      </w:r>
      <w:r>
        <w:t xml:space="preserve">”</w:t>
      </w:r>
      <w:r>
        <w:t xml:space="preserve"> </w:t>
      </w:r>
      <w:r>
        <w:t xml:space="preserve">Topics 19–20),</w:t>
      </w:r>
      <w:r>
        <w:t xml:space="preserve"> </w:t>
      </w:r>
      <w:r>
        <w:t xml:space="preserve">“</w:t>
      </w:r>
      <w:r>
        <w:t xml:space="preserve">The Trees</w:t>
      </w:r>
      <w:r>
        <w:t xml:space="preserve">”</w:t>
      </w:r>
      <w:r>
        <w:t xml:space="preserve"> </w:t>
      </w:r>
      <w:r>
        <w:t xml:space="preserve">holds open, without fully resolving, the possibility of genuine hopefulness — this careful, unresolved balance between scepticism and yearning for consolation is itself characteristic of Larkin’s mature style, which typically refuses both naive optimism and total nihilistic despair in favour of a harder-won, more ambivalent middle position.</w:t>
      </w:r>
    </w:p>
    <w:p>
      <w:pPr>
        <w:pStyle w:val="BodyText"/>
      </w:pPr>
      <w:r>
        <w:rPr>
          <w:bCs/>
          <w:b/>
        </w:rPr>
        <w:t xml:space="preserve">Thematic significance.</w:t>
      </w:r>
      <w:r>
        <w:t xml:space="preserve"> </w:t>
      </w:r>
      <w:r>
        <w:t xml:space="preserve">The poem’s treatment of natural cyclical renewal as a source of tentative, uncertain consolation places it in a long tradition of nature poetry using seasonal imagery to meditate on mortality and renewal (compare Keats’s</w:t>
      </w:r>
      <w:r>
        <w:t xml:space="preserve"> </w:t>
      </w:r>
      <w:r>
        <w:t xml:space="preserve">“</w:t>
      </w:r>
      <w:r>
        <w:t xml:space="preserve">To Autumn,</w:t>
      </w:r>
      <w:r>
        <w:t xml:space="preserve">”</w:t>
      </w:r>
      <w:r>
        <w:t xml:space="preserve"> </w:t>
      </w:r>
      <w:r>
        <w:t xml:space="preserve">Topic 12, though Larkin’s characteristically wary, unsentimental tone marks a significant departure from Keats’s more fully achieved equanimity), while Larkin’s specific refusal to resolve the poem’s central ambivalence cleanly is itself a distinctly modern, sceptical inflection of this older tradition.</w:t>
      </w:r>
    </w:p>
    <w:p>
      <w:pPr>
        <w:pStyle w:val="BodyText"/>
      </w:pPr>
      <w:r>
        <w:rPr>
          <w:bCs/>
          <w:b/>
        </w:rPr>
        <w:t xml:space="preserve">Key Takeaways</w:t>
      </w:r>
    </w:p>
    <w:p>
      <w:pPr>
        <w:numPr>
          <w:ilvl w:val="0"/>
          <w:numId w:val="1021"/>
        </w:numPr>
        <w:pStyle w:val="Compact"/>
      </w:pPr>
      <w:r>
        <w:t xml:space="preserve">The poem considers whether trees’ annual spring renewal offers genuine consolation or instruction for human life, which lacks any comparable straightforward yearly renewal.</w:t>
      </w:r>
    </w:p>
    <w:p>
      <w:pPr>
        <w:numPr>
          <w:ilvl w:val="0"/>
          <w:numId w:val="1021"/>
        </w:numPr>
        <w:pStyle w:val="Compact"/>
      </w:pPr>
      <w:r>
        <w:t xml:space="preserve">Unlike Larkin’s more purely deflationary poems,</w:t>
      </w:r>
      <w:r>
        <w:t xml:space="preserve"> </w:t>
      </w:r>
      <w:r>
        <w:t xml:space="preserve">“</w:t>
      </w:r>
      <w:r>
        <w:t xml:space="preserve">The Trees</w:t>
      </w:r>
      <w:r>
        <w:t xml:space="preserve">”</w:t>
      </w:r>
      <w:r>
        <w:t xml:space="preserve"> </w:t>
      </w:r>
      <w:r>
        <w:t xml:space="preserve">holds open, without fully resolving, the possibility of genuine hopefulness, characteristic of his mature ambivalent style.</w:t>
      </w:r>
    </w:p>
    <w:p>
      <w:pPr>
        <w:numPr>
          <w:ilvl w:val="0"/>
          <w:numId w:val="1021"/>
        </w:numPr>
        <w:pStyle w:val="Compact"/>
      </w:pPr>
      <w:r>
        <w:t xml:space="preserve">The poem’s use of seasonal renewal imagery places it within a long nature-poetry tradition (compare Keats’s</w:t>
      </w:r>
      <w:r>
        <w:t xml:space="preserve"> </w:t>
      </w:r>
      <w:r>
        <w:t xml:space="preserve">“</w:t>
      </w:r>
      <w:r>
        <w:t xml:space="preserve">To Autumn</w:t>
      </w:r>
      <w:r>
        <w:t xml:space="preserve">”</w:t>
      </w:r>
      <w:r>
        <w:t xml:space="preserve">), while its unresolved ambivalence marks a distinctly modern, sceptical departure from more fully achieved equanimity.</w:t>
      </w:r>
    </w:p>
    <w:bookmarkEnd w:id="42"/>
    <w:bookmarkStart w:id="43" w:name="Xb24e34157013f513ba8a6f3d83a5dd173fa2e6c"/>
    <w:p>
      <w:pPr>
        <w:pStyle w:val="Heading3"/>
      </w:pPr>
      <w:r>
        <w:t xml:space="preserve">22. Wallace Stevens — A Postcard from the Volcano</w:t>
      </w:r>
    </w:p>
    <w:p>
      <w:pPr>
        <w:pStyle w:val="FirstParagraph"/>
      </w:pPr>
      <w:r>
        <w:t xml:space="preserve">Wallace Stevens’s</w:t>
      </w:r>
      <w:r>
        <w:t xml:space="preserve"> </w:t>
      </w:r>
      <w:r>
        <w:t xml:space="preserve">“</w:t>
      </w:r>
      <w:r>
        <w:t xml:space="preserve">A Postcard from the Volcano</w:t>
      </w:r>
      <w:r>
        <w:t xml:space="preserve">”</w:t>
      </w:r>
      <w:r>
        <w:t xml:space="preserve"> </w:t>
      </w:r>
      <w:r>
        <w:t xml:space="preserve">meditates on mortality, inheritance, and the relationship between successive generations, imagining how future generations will perceive the physical and cultural remnants left behind by the present generation after its death.</w:t>
      </w:r>
    </w:p>
    <w:p>
      <w:pPr>
        <w:pStyle w:val="BodyText"/>
      </w:pPr>
      <w:r>
        <w:rPr>
          <w:bCs/>
          <w:b/>
        </w:rPr>
        <w:t xml:space="preserve">Central conceit.</w:t>
      </w:r>
      <w:r>
        <w:t xml:space="preserve"> </w:t>
      </w:r>
      <w:r>
        <w:t xml:space="preserve">The poem imagines</w:t>
      </w:r>
      <w:r>
        <w:t xml:space="preserve"> </w:t>
      </w:r>
      <w:r>
        <w:t xml:space="preserve">“</w:t>
      </w:r>
      <w:r>
        <w:t xml:space="preserve">children</w:t>
      </w:r>
      <w:r>
        <w:t xml:space="preserve">”</w:t>
      </w:r>
      <w:r>
        <w:t xml:space="preserve"> </w:t>
      </w:r>
      <w:r>
        <w:t xml:space="preserve">of a future generation encountering the physical remains and former possessions of</w:t>
      </w:r>
      <w:r>
        <w:t xml:space="preserve"> </w:t>
      </w:r>
      <w:r>
        <w:t xml:space="preserve">“</w:t>
      </w:r>
      <w:r>
        <w:t xml:space="preserve">we</w:t>
      </w:r>
      <w:r>
        <w:t xml:space="preserve">”</w:t>
      </w:r>
      <w:r>
        <w:t xml:space="preserve"> </w:t>
      </w:r>
      <w:r>
        <w:t xml:space="preserve">— the poem’s speaking generation, already imagined as dead — and considers how those future perceivers will interpret these remnants, mistaking the meanings and feelings the present generation attached to their world for simply given, natural facts about the world itself, without recognising these meanings as a specific generation’s now-vanished way of perceiving and inhabiting their moment in time.</w:t>
      </w:r>
    </w:p>
    <w:p>
      <w:pPr>
        <w:pStyle w:val="BodyText"/>
      </w:pPr>
      <w:r>
        <w:rPr>
          <w:bCs/>
          <w:b/>
        </w:rPr>
        <w:t xml:space="preserve">Central theme: perception, language, and mortality.</w:t>
      </w:r>
      <w:r>
        <w:t xml:space="preserve"> </w:t>
      </w:r>
      <w:r>
        <w:t xml:space="preserve">Central to Stevens’s characteristic poetic concerns (evident across his other work discussed in Topics 23–24), the poem meditates on how human perception and language actively construct the meaning of the physical world, rather than simply discovering meaning already inherent within it — the poem suggests that the very words and phrases the present generation uses will themselves be inherited by future generations, who will absorb this inherited language and its embedded ways of seeing without recognising its historical, generationally specific origin, mistaking a particular, mortal generation’s constructed vision of the world for the world’s own inherent, timeless character.</w:t>
      </w:r>
    </w:p>
    <w:p>
      <w:pPr>
        <w:pStyle w:val="BodyText"/>
      </w:pPr>
      <w:r>
        <w:rPr>
          <w:bCs/>
          <w:b/>
        </w:rPr>
        <w:t xml:space="preserve">Significance within Stevens’s broader poetics.</w:t>
      </w:r>
      <w:r>
        <w:t xml:space="preserve"> </w:t>
      </w:r>
      <w:r>
        <w:t xml:space="preserve">This preoccupation with the relationship between the mind’s constructive perceiving activity and the</w:t>
      </w:r>
      <w:r>
        <w:t xml:space="preserve"> </w:t>
      </w:r>
      <w:r>
        <w:t xml:space="preserve">“</w:t>
      </w:r>
      <w:r>
        <w:t xml:space="preserve">reality</w:t>
      </w:r>
      <w:r>
        <w:t xml:space="preserve">”</w:t>
      </w:r>
      <w:r>
        <w:t xml:space="preserve"> </w:t>
      </w:r>
      <w:r>
        <w:t xml:space="preserve">that perception seems to disclose is central to Stevens’s entire poetic project, and the poem’s specific application of this concern to the question of generational succession and inheritance — what we leave behind, and how it will be misread or reinterpreted by those who come after — gives this characteristically abstract Stevensian preoccupation an unusually direct engagement with mortality and historical time.</w:t>
      </w:r>
    </w:p>
    <w:p>
      <w:pPr>
        <w:pStyle w:val="BodyText"/>
      </w:pPr>
      <w:r>
        <w:rPr>
          <w:bCs/>
          <w:b/>
        </w:rPr>
        <w:t xml:space="preserve">Key Takeaways</w:t>
      </w:r>
    </w:p>
    <w:p>
      <w:pPr>
        <w:numPr>
          <w:ilvl w:val="0"/>
          <w:numId w:val="1022"/>
        </w:numPr>
        <w:pStyle w:val="Compact"/>
      </w:pPr>
      <w:r>
        <w:t xml:space="preserve">The poem imagines a future generation encountering the physical remains of the present, dead generation, and mistaking that generation’s specific, constructed way of perceiving the world for the world’s own natural, given character.</w:t>
      </w:r>
    </w:p>
    <w:p>
      <w:pPr>
        <w:numPr>
          <w:ilvl w:val="0"/>
          <w:numId w:val="1022"/>
        </w:numPr>
        <w:pStyle w:val="Compact"/>
      </w:pPr>
      <w:r>
        <w:t xml:space="preserve">It develops Stevens’s central poetic preoccupation with how human perception and language actively construct meaning rather than simply discovering meaning inherent in the world.</w:t>
      </w:r>
    </w:p>
    <w:p>
      <w:pPr>
        <w:numPr>
          <w:ilvl w:val="0"/>
          <w:numId w:val="1022"/>
        </w:numPr>
        <w:pStyle w:val="Compact"/>
      </w:pPr>
      <w:r>
        <w:t xml:space="preserve">The poem gives this abstract Stevensian concern an unusually direct engagement with mortality and generational succession, considering how inherited language obscures its own historically specific origin.</w:t>
      </w:r>
    </w:p>
    <w:bookmarkEnd w:id="43"/>
    <w:bookmarkStart w:id="44" w:name="Xc3b3bc53314f7cf8ef049e521765e3af3408330"/>
    <w:p>
      <w:pPr>
        <w:pStyle w:val="Heading3"/>
      </w:pPr>
      <w:r>
        <w:t xml:space="preserve">23. Wallace Stevens — Continual Conversation with a Silent Man</w:t>
      </w:r>
    </w:p>
    <w:p>
      <w:pPr>
        <w:pStyle w:val="FirstParagraph"/>
      </w:pPr>
      <w:r>
        <w:t xml:space="preserve">“</w:t>
      </w:r>
      <w:r>
        <w:t xml:space="preserve">Continual Conversation with a Silent Man</w:t>
      </w:r>
      <w:r>
        <w:t xml:space="preserve">”</w:t>
      </w:r>
      <w:r>
        <w:t xml:space="preserve"> </w:t>
      </w:r>
      <w:r>
        <w:t xml:space="preserve">explores, through Stevens’s characteristically abstract and philosophically inflected mode, the relationship between the mind’s endlessly ongoing interpretive activity and an unchanging, silent, or resistant reality that seems to persist beneath or beyond that activity.</w:t>
      </w:r>
    </w:p>
    <w:p>
      <w:pPr>
        <w:pStyle w:val="BodyText"/>
      </w:pPr>
      <w:r>
        <w:rPr>
          <w:bCs/>
          <w:b/>
        </w:rPr>
        <w:t xml:space="preserve">Central conceit.</w:t>
      </w:r>
      <w:r>
        <w:t xml:space="preserve"> </w:t>
      </w:r>
      <w:r>
        <w:t xml:space="preserve">The poem’s title conceit — an ongoing</w:t>
      </w:r>
      <w:r>
        <w:t xml:space="preserve"> </w:t>
      </w:r>
      <w:r>
        <w:t xml:space="preserve">“</w:t>
      </w:r>
      <w:r>
        <w:t xml:space="preserve">conversation</w:t>
      </w:r>
      <w:r>
        <w:t xml:space="preserve">”</w:t>
      </w:r>
      <w:r>
        <w:t xml:space="preserve"> </w:t>
      </w:r>
      <w:r>
        <w:t xml:space="preserve">with a figure who remains silent — captures a central Stevensian paradox: the human mind is perpetually engaged in an active, ongoing process of interpretation, questioning, and meaning-making (the</w:t>
      </w:r>
      <w:r>
        <w:t xml:space="preserve"> </w:t>
      </w:r>
      <w:r>
        <w:t xml:space="preserve">“</w:t>
      </w:r>
      <w:r>
        <w:t xml:space="preserve">continual conversation</w:t>
      </w:r>
      <w:r>
        <w:t xml:space="preserve">”</w:t>
      </w:r>
      <w:r>
        <w:t xml:space="preserve">), directed toward a reality that itself offers no direct verbal response, remaining fundamentally silent and resistant to any final, settled interpretation — the poem stages this asymmetry between the mind’s restless interpretive activity and reality’s persistent, unresolved silence.</w:t>
      </w:r>
    </w:p>
    <w:p>
      <w:pPr>
        <w:pStyle w:val="BodyText"/>
      </w:pPr>
      <w:r>
        <w:rPr>
          <w:bCs/>
          <w:b/>
        </w:rPr>
        <w:t xml:space="preserve">Thematic connection to Stevens’s broader concerns.</w:t>
      </w:r>
      <w:r>
        <w:t xml:space="preserve"> </w:t>
      </w:r>
      <w:r>
        <w:t xml:space="preserve">As in</w:t>
      </w:r>
      <w:r>
        <w:t xml:space="preserve"> </w:t>
      </w:r>
      <w:r>
        <w:t xml:space="preserve">“</w:t>
      </w:r>
      <w:r>
        <w:t xml:space="preserve">A Postcard from the Volcano</w:t>
      </w:r>
      <w:r>
        <w:t xml:space="preserve">”</w:t>
      </w:r>
      <w:r>
        <w:t xml:space="preserve"> </w:t>
      </w:r>
      <w:r>
        <w:t xml:space="preserve">(Topic 22) and</w:t>
      </w:r>
      <w:r>
        <w:t xml:space="preserve"> </w:t>
      </w:r>
      <w:r>
        <w:t xml:space="preserve">“</w:t>
      </w:r>
      <w:r>
        <w:t xml:space="preserve">Dry Loaf</w:t>
      </w:r>
      <w:r>
        <w:t xml:space="preserve">”</w:t>
      </w:r>
      <w:r>
        <w:t xml:space="preserve"> </w:t>
      </w:r>
      <w:r>
        <w:t xml:space="preserve">(Topic 24), the poem engages Stevens’s recurring preoccupation with the relationship between imaginative, interpretive consciousness and a reality that consciousness can never fully capture, possess, or finally resolve into settled meaning — for Stevens, this is not treated as a failure of the mind’s interpretive project but as a permanent, generative condition, since the mind’s ongoing, never-completed activity of interpretation is, in Stevens’s characteristic view, itself the source of poetic and imaginative value, rather than a problem to be solved by finally arriving at some fixed, final truth.</w:t>
      </w:r>
    </w:p>
    <w:p>
      <w:pPr>
        <w:pStyle w:val="BodyText"/>
      </w:pPr>
      <w:r>
        <w:rPr>
          <w:bCs/>
          <w:b/>
        </w:rPr>
        <w:t xml:space="preserve">Style.</w:t>
      </w:r>
      <w:r>
        <w:t xml:space="preserve"> </w:t>
      </w:r>
      <w:r>
        <w:t xml:space="preserve">As characteristic of Stevens generally, the poem favours abstract, philosophically weighted diction and a meditative, often difficult syntax over the more concrete, image-driven style found in poets like Keats (Topics 11–12) — this abstraction is not incidental to Stevens’s project but directly enacts, at the level of style, the poem’s thematic concern with the mind’s abstract, ongoing interpretive labour rather than any simple, settled description of concrete particulars.</w:t>
      </w:r>
    </w:p>
    <w:p>
      <w:pPr>
        <w:pStyle w:val="BodyText"/>
      </w:pPr>
      <w:r>
        <w:rPr>
          <w:bCs/>
          <w:b/>
        </w:rPr>
        <w:t xml:space="preserve">Key Takeaways</w:t>
      </w:r>
    </w:p>
    <w:p>
      <w:pPr>
        <w:numPr>
          <w:ilvl w:val="0"/>
          <w:numId w:val="1023"/>
        </w:numPr>
        <w:pStyle w:val="Compact"/>
      </w:pPr>
      <w:r>
        <w:t xml:space="preserve">The poem’s title conceit — a</w:t>
      </w:r>
      <w:r>
        <w:t xml:space="preserve"> </w:t>
      </w:r>
      <w:r>
        <w:t xml:space="preserve">“</w:t>
      </w:r>
      <w:r>
        <w:t xml:space="preserve">continual conversation</w:t>
      </w:r>
      <w:r>
        <w:t xml:space="preserve">”</w:t>
      </w:r>
      <w:r>
        <w:t xml:space="preserve"> </w:t>
      </w:r>
      <w:r>
        <w:t xml:space="preserve">with a</w:t>
      </w:r>
      <w:r>
        <w:t xml:space="preserve"> </w:t>
      </w:r>
      <w:r>
        <w:t xml:space="preserve">“</w:t>
      </w:r>
      <w:r>
        <w:t xml:space="preserve">silent man</w:t>
      </w:r>
      <w:r>
        <w:t xml:space="preserve">”</w:t>
      </w:r>
      <w:r>
        <w:t xml:space="preserve"> </w:t>
      </w:r>
      <w:r>
        <w:t xml:space="preserve">— captures the asymmetry between the mind’s ongoing interpretive activity and a reality that remains fundamentally silent and resistant to final interpretation.</w:t>
      </w:r>
    </w:p>
    <w:p>
      <w:pPr>
        <w:numPr>
          <w:ilvl w:val="0"/>
          <w:numId w:val="1023"/>
        </w:numPr>
        <w:pStyle w:val="Compact"/>
      </w:pPr>
      <w:r>
        <w:t xml:space="preserve">This engages Stevens’s recurring concern with the relationship between imaginative consciousness and an ultimately unresolvable reality, treated not as failure but as the permanent, generative source of poetic value.</w:t>
      </w:r>
    </w:p>
    <w:p>
      <w:pPr>
        <w:numPr>
          <w:ilvl w:val="0"/>
          <w:numId w:val="1023"/>
        </w:numPr>
        <w:pStyle w:val="Compact"/>
      </w:pPr>
      <w:r>
        <w:t xml:space="preserve">The poem’s characteristically abstract, philosophically weighted diction directly enacts, at the stylistic level, its thematic concern with ongoing interpretive labour rather than settled description.</w:t>
      </w:r>
    </w:p>
    <w:bookmarkEnd w:id="44"/>
    <w:bookmarkStart w:id="45" w:name="wallace-stevens-dry-loaf"/>
    <w:p>
      <w:pPr>
        <w:pStyle w:val="Heading3"/>
      </w:pPr>
      <w:r>
        <w:t xml:space="preserve">24. Wallace Stevens — Dry Loaf</w:t>
      </w:r>
    </w:p>
    <w:p>
      <w:pPr>
        <w:pStyle w:val="FirstParagraph"/>
      </w:pPr>
      <w:r>
        <w:t xml:space="preserve">“</w:t>
      </w:r>
      <w:r>
        <w:t xml:space="preserve">Dry Loaf</w:t>
      </w:r>
      <w:r>
        <w:t xml:space="preserve">”</w:t>
      </w:r>
      <w:r>
        <w:t xml:space="preserve"> </w:t>
      </w:r>
      <w:r>
        <w:t xml:space="preserve">uses the image of plain, unadorned bread as an occasion to meditate on the relationship between art, suffering, and the harsh material realities (including, in this poem, the suffering caused by war) that art and imagination must somehow confront or accommodate rather than simply ignore or aestheticise away.</w:t>
      </w:r>
    </w:p>
    <w:p>
      <w:pPr>
        <w:pStyle w:val="BodyText"/>
      </w:pPr>
      <w:r>
        <w:rPr>
          <w:bCs/>
          <w:b/>
        </w:rPr>
        <w:t xml:space="preserve">Central imagery.</w:t>
      </w:r>
      <w:r>
        <w:t xml:space="preserve"> </w:t>
      </w:r>
      <w:r>
        <w:t xml:space="preserve">The</w:t>
      </w:r>
      <w:r>
        <w:t xml:space="preserve"> </w:t>
      </w:r>
      <w:r>
        <w:t xml:space="preserve">“</w:t>
      </w:r>
      <w:r>
        <w:t xml:space="preserve">dry loaf</w:t>
      </w:r>
      <w:r>
        <w:t xml:space="preserve">”</w:t>
      </w:r>
      <w:r>
        <w:t xml:space="preserve"> </w:t>
      </w:r>
      <w:r>
        <w:t xml:space="preserve">of the title — plain, unadorned, functional bread, devoid of any decorative or aesthetic elaboration — serves as a deliberately unglamorous, materially basic image against which Stevens sets his meditation on suffering and historical violence, using this humble image to ground an otherwise abstract meditation in something concretely, bodily basic and necessary.</w:t>
      </w:r>
    </w:p>
    <w:p>
      <w:pPr>
        <w:pStyle w:val="BodyText"/>
      </w:pPr>
      <w:r>
        <w:rPr>
          <w:bCs/>
          <w:b/>
        </w:rPr>
        <w:t xml:space="preserve">Thematic concerns: art confronting suffering.</w:t>
      </w:r>
      <w:r>
        <w:t xml:space="preserve"> </w:t>
      </w:r>
      <w:r>
        <w:t xml:space="preserve">The poem grapples with a question of considerable importance to Stevens’s broader poetic project and to modern poetry more generally (compare Eliot’s post-war vision in</w:t>
      </w:r>
      <w:r>
        <w:t xml:space="preserve"> </w:t>
      </w:r>
      <w:r>
        <w:t xml:space="preserve">“</w:t>
      </w:r>
      <w:r>
        <w:t xml:space="preserve">The Waste Land,</w:t>
      </w:r>
      <w:r>
        <w:t xml:space="preserve">”</w:t>
      </w:r>
      <w:r>
        <w:t xml:space="preserve"> </w:t>
      </w:r>
      <w:r>
        <w:t xml:space="preserve">Topic 17): how can imaginative, aesthetic activity meaningfully respond to real historical suffering and violence without either falsely aestheticising that suffering into mere decorative material, or, alternatively, abandoning imaginative and aesthetic response altogether as somehow inadequate or inappropriate to genuine human suffering — the poem’s grounding in a plain, unadorned material image (the dry loaf itself) suggests Stevens’s attempt to find a mode of imaginative response that remains honestly rooted in material, bodily necessity rather than escaping into either false aesthetic consolation or empty abstraction.</w:t>
      </w:r>
    </w:p>
    <w:p>
      <w:pPr>
        <w:pStyle w:val="BodyText"/>
      </w:pPr>
      <w:r>
        <w:rPr>
          <w:bCs/>
          <w:b/>
        </w:rPr>
        <w:t xml:space="preserve">Connection to Stevens’s broader poetics.</w:t>
      </w:r>
      <w:r>
        <w:t xml:space="preserve"> </w:t>
      </w:r>
      <w:r>
        <w:t xml:space="preserve">As with</w:t>
      </w:r>
      <w:r>
        <w:t xml:space="preserve"> </w:t>
      </w:r>
      <w:r>
        <w:t xml:space="preserve">“</w:t>
      </w:r>
      <w:r>
        <w:t xml:space="preserve">A Postcard from the Volcano</w:t>
      </w:r>
      <w:r>
        <w:t xml:space="preserve">”</w:t>
      </w:r>
      <w:r>
        <w:t xml:space="preserve"> </w:t>
      </w:r>
      <w:r>
        <w:t xml:space="preserve">(Topic 22) and</w:t>
      </w:r>
      <w:r>
        <w:t xml:space="preserve"> </w:t>
      </w:r>
      <w:r>
        <w:t xml:space="preserve">“</w:t>
      </w:r>
      <w:r>
        <w:t xml:space="preserve">Continual Conversation with a Silent Man</w:t>
      </w:r>
      <w:r>
        <w:t xml:space="preserve">”</w:t>
      </w:r>
      <w:r>
        <w:t xml:space="preserve"> </w:t>
      </w:r>
      <w:r>
        <w:t xml:space="preserve">(Topic 23), the poem reflects Stevens’s ongoing preoccupation with the relationship between imaginative construction and a resistant, sometimes harsh material and historical reality — here specifically inflected through the question of art’s proper relationship to suffering and violence, a question of particular urgency in the specific historical context (mid-20th-century war) in which Stevens was writing.</w:t>
      </w:r>
    </w:p>
    <w:p>
      <w:pPr>
        <w:pStyle w:val="BodyText"/>
      </w:pPr>
      <w:r>
        <w:rPr>
          <w:bCs/>
          <w:b/>
        </w:rPr>
        <w:t xml:space="preserve">Key Takeaways</w:t>
      </w:r>
    </w:p>
    <w:p>
      <w:pPr>
        <w:numPr>
          <w:ilvl w:val="0"/>
          <w:numId w:val="1024"/>
        </w:numPr>
        <w:pStyle w:val="Compact"/>
      </w:pPr>
      <w:r>
        <w:t xml:space="preserve">The poem uses the image of plain, unadorned bread as a deliberately unglamorous, materially grounded image for meditating on suffering and historical violence.</w:t>
      </w:r>
    </w:p>
    <w:p>
      <w:pPr>
        <w:numPr>
          <w:ilvl w:val="0"/>
          <w:numId w:val="1024"/>
        </w:numPr>
        <w:pStyle w:val="Compact"/>
      </w:pPr>
      <w:r>
        <w:t xml:space="preserve">It grapples with how imaginative, aesthetic activity can meaningfully respond to real suffering without either falsely aestheticising it or abandoning imaginative response altogether.</w:t>
      </w:r>
    </w:p>
    <w:p>
      <w:pPr>
        <w:numPr>
          <w:ilvl w:val="0"/>
          <w:numId w:val="1024"/>
        </w:numPr>
        <w:pStyle w:val="Compact"/>
      </w:pPr>
      <w:r>
        <w:t xml:space="preserve">The poem extends Stevens’s recurring concern with the relationship between imaginative construction and resistant material reality, here specifically applied to art’s relationship with suffering and violence in a mid-20th-century wartime context.</w:t>
      </w:r>
    </w:p>
    <w:bookmarkEnd w:id="45"/>
    <w:bookmarkStart w:id="46" w:name="walt-whitman-as-i-ponderd-in-silence"/>
    <w:p>
      <w:pPr>
        <w:pStyle w:val="Heading3"/>
      </w:pPr>
      <w:r>
        <w:t xml:space="preserve">25. Walt Whitman — As I Ponder’d in Silence</w:t>
      </w:r>
    </w:p>
    <w:p>
      <w:pPr>
        <w:pStyle w:val="FirstParagraph"/>
      </w:pPr>
      <w:r>
        <w:t xml:space="preserve">Walt Whitman’s</w:t>
      </w:r>
      <w:r>
        <w:t xml:space="preserve"> </w:t>
      </w:r>
      <w:r>
        <w:t xml:space="preserve">“</w:t>
      </w:r>
      <w:r>
        <w:t xml:space="preserve">As I Ponder’d in Silence</w:t>
      </w:r>
      <w:r>
        <w:t xml:space="preserve">”</w:t>
      </w:r>
      <w:r>
        <w:t xml:space="preserve"> </w:t>
      </w:r>
      <w:r>
        <w:t xml:space="preserve">functions as a kind of poetic manifesto, staging an encounter between the poet and a personified</w:t>
      </w:r>
      <w:r>
        <w:t xml:space="preserve"> </w:t>
      </w:r>
      <w:r>
        <w:t xml:space="preserve">“</w:t>
      </w:r>
      <w:r>
        <w:t xml:space="preserve">Phantom</w:t>
      </w:r>
      <w:r>
        <w:t xml:space="preserve">”</w:t>
      </w:r>
      <w:r>
        <w:t xml:space="preserve"> </w:t>
      </w:r>
      <w:r>
        <w:t xml:space="preserve">representing the Muse of epic poetry, who challenges Whitman’s chosen subject matter and prompts him to defend and clarify his poetic project.</w:t>
      </w:r>
    </w:p>
    <w:p>
      <w:pPr>
        <w:pStyle w:val="BodyText"/>
      </w:pPr>
      <w:r>
        <w:rPr>
          <w:bCs/>
          <w:b/>
        </w:rPr>
        <w:t xml:space="preserve">Central conceit.</w:t>
      </w:r>
      <w:r>
        <w:t xml:space="preserve"> </w:t>
      </w:r>
      <w:r>
        <w:t xml:space="preserve">The poem imagines the poet reviewing his own life’s poetic work (implicitly,</w:t>
      </w:r>
      <w:r>
        <w:t xml:space="preserve"> </w:t>
      </w:r>
      <w:r>
        <w:rPr>
          <w:iCs/>
          <w:i/>
        </w:rPr>
        <w:t xml:space="preserve">Leaves of Grass</w:t>
      </w:r>
      <w:r>
        <w:t xml:space="preserve"> </w:t>
      </w:r>
      <w:r>
        <w:t xml:space="preserve">as a whole) when he is confronted by a warlike phantom figure, embodying the ancient epic tradition’s characteristic subject matter — martial conflict and heroic warfare, the traditional substance of epic poetry from Homer onward — who challenges Whitman’s poems for seemingly lacking this conventional epic subject.</w:t>
      </w:r>
    </w:p>
    <w:p>
      <w:pPr>
        <w:pStyle w:val="BodyText"/>
      </w:pPr>
      <w:r>
        <w:rPr>
          <w:bCs/>
          <w:b/>
        </w:rPr>
        <w:t xml:space="preserve">Whitman’s defence: a new definition of epic subject matter.</w:t>
      </w:r>
      <w:r>
        <w:t xml:space="preserve"> </w:t>
      </w:r>
      <w:r>
        <w:t xml:space="preserve">In response, the poem has Whitman assert that his own poetry does, in fact, sing of war, but of a different and, he implies, greater kind — the</w:t>
      </w:r>
      <w:r>
        <w:t xml:space="preserve"> </w:t>
      </w:r>
      <w:r>
        <w:t xml:space="preserve">“</w:t>
      </w:r>
      <w:r>
        <w:t xml:space="preserve">war</w:t>
      </w:r>
      <w:r>
        <w:t xml:space="preserve">”</w:t>
      </w:r>
      <w:r>
        <w:t xml:space="preserve"> </w:t>
      </w:r>
      <w:r>
        <w:t xml:space="preserve">of life itself, understood as a perpetual, universal struggle (</w:t>
      </w:r>
      <w:r>
        <w:t xml:space="preserve">“</w:t>
      </w:r>
      <w:r>
        <w:t xml:space="preserve">the field the world, / For life and death, for the Body and for the eternal Soul</w:t>
      </w:r>
      <w:r>
        <w:t xml:space="preserve">”</w:t>
      </w:r>
      <w:r>
        <w:t xml:space="preserve">) — reframing epic subject matter away from specific historical battles and martial heroism toward the universal human struggle for existence, meaning, and spiritual life, a struggle Whitman claims as the true and more encompassing subject of his own poetic project.</w:t>
      </w:r>
    </w:p>
    <w:p>
      <w:pPr>
        <w:pStyle w:val="BodyText"/>
      </w:pPr>
      <w:r>
        <w:rPr>
          <w:bCs/>
          <w:b/>
        </w:rPr>
        <w:t xml:space="preserve">Significance within Whitman’s broader poetics.</w:t>
      </w:r>
      <w:r>
        <w:t xml:space="preserve"> </w:t>
      </w:r>
      <w:r>
        <w:t xml:space="preserve">This poem functions as a direct statement of poetic purpose consistent with Whitman’s broader democratic, expansive poetic ambition — his insistence throughout</w:t>
      </w:r>
      <w:r>
        <w:t xml:space="preserve"> </w:t>
      </w:r>
      <w:r>
        <w:rPr>
          <w:iCs/>
          <w:i/>
        </w:rPr>
        <w:t xml:space="preserve">Leaves of Grass</w:t>
      </w:r>
      <w:r>
        <w:t xml:space="preserve"> </w:t>
      </w:r>
      <w:r>
        <w:t xml:space="preserve">on finding epic, cosmic significance not in traditional heroic subject matter but in the ordinary, universal experience of living, a democratising move that runs throughout his other poems discussed here (Topics 26–27) and that distinguishes Whitman’s poetic project from more traditionally elevated or narrowly heroic conceptions of epic poetry.</w:t>
      </w:r>
    </w:p>
    <w:p>
      <w:pPr>
        <w:pStyle w:val="BodyText"/>
      </w:pPr>
      <w:r>
        <w:rPr>
          <w:bCs/>
          <w:b/>
        </w:rPr>
        <w:t xml:space="preserve">Key Takeaways</w:t>
      </w:r>
    </w:p>
    <w:p>
      <w:pPr>
        <w:numPr>
          <w:ilvl w:val="0"/>
          <w:numId w:val="1025"/>
        </w:numPr>
        <w:pStyle w:val="Compact"/>
      </w:pPr>
      <w:r>
        <w:t xml:space="preserve">The poem stages an encounter between the poet and a personified Phantom representing the traditional epic Muse of martial warfare, who challenges Whitman’s poetry for lacking conventional heroic subject matter.</w:t>
      </w:r>
    </w:p>
    <w:p>
      <w:pPr>
        <w:numPr>
          <w:ilvl w:val="0"/>
          <w:numId w:val="1025"/>
        </w:numPr>
        <w:pStyle w:val="Compact"/>
      </w:pPr>
      <w:r>
        <w:t xml:space="preserve">Whitman defends his poetry as addressing a greater</w:t>
      </w:r>
      <w:r>
        <w:t xml:space="preserve"> </w:t>
      </w:r>
      <w:r>
        <w:t xml:space="preserve">“</w:t>
      </w:r>
      <w:r>
        <w:t xml:space="preserve">war</w:t>
      </w:r>
      <w:r>
        <w:t xml:space="preserve">”</w:t>
      </w:r>
      <w:r>
        <w:t xml:space="preserve"> </w:t>
      </w:r>
      <w:r>
        <w:t xml:space="preserve">— the universal human struggle for life, death, and spiritual existence — reframing epic subject matter toward universal rather than specifically martial heroic experience.</w:t>
      </w:r>
    </w:p>
    <w:p>
      <w:pPr>
        <w:numPr>
          <w:ilvl w:val="0"/>
          <w:numId w:val="1025"/>
        </w:numPr>
        <w:pStyle w:val="Compact"/>
      </w:pPr>
      <w:r>
        <w:t xml:space="preserve">The poem functions as a direct statement of poetic purpose consistent with Whitman’s broader democratic ambition to find cosmic, epic significance in ordinary universal human experience.</w:t>
      </w:r>
    </w:p>
    <w:bookmarkEnd w:id="46"/>
    <w:bookmarkStart w:id="47" w:name="X373fac58c979b51faf4c545daf23303585e5b70"/>
    <w:p>
      <w:pPr>
        <w:pStyle w:val="Heading3"/>
      </w:pPr>
      <w:r>
        <w:t xml:space="preserve">26. Walt Whitman — Are You the New Person Drawn Toward Me?</w:t>
      </w:r>
    </w:p>
    <w:p>
      <w:pPr>
        <w:pStyle w:val="FirstParagraph"/>
      </w:pPr>
      <w:r>
        <w:t xml:space="preserve">This short poem from Whitman’s</w:t>
      </w:r>
      <w:r>
        <w:t xml:space="preserve"> </w:t>
      </w:r>
      <w:r>
        <w:t xml:space="preserve">“</w:t>
      </w:r>
      <w:r>
        <w:t xml:space="preserve">Calamus</w:t>
      </w:r>
      <w:r>
        <w:t xml:space="preserve">”</w:t>
      </w:r>
      <w:r>
        <w:t xml:space="preserve"> </w:t>
      </w:r>
      <w:r>
        <w:t xml:space="preserve">cluster addresses a hypothetical future reader directly, warning them against forming premature or superficial assumptions about the speaker based simply on an initial attraction to his poetry, and insisting instead on the difficulty and seriousness of genuine intimate connection.</w:t>
      </w:r>
    </w:p>
    <w:p>
      <w:pPr>
        <w:pStyle w:val="BodyText"/>
      </w:pPr>
      <w:r>
        <w:rPr>
          <w:bCs/>
          <w:b/>
        </w:rPr>
        <w:t xml:space="preserve">Central address and argument.</w:t>
      </w:r>
      <w:r>
        <w:t xml:space="preserve"> </w:t>
      </w:r>
      <w:r>
        <w:t xml:space="preserve">Speaking directly to an imagined reader who feels drawn toward the poet through his poetry, Whitman warns this reader that such initial attraction does not yet constitute genuine knowledge or connection — the poem catalogues various reasons the reader might mistakenly believe they already know or are suited to the poet (through superficial impression, romantic idealisation, or simple curiosity), before insisting that real intimacy and understanding require something considerably more demanding and serious than this initial, easily formed attraction.</w:t>
      </w:r>
    </w:p>
    <w:p>
      <w:pPr>
        <w:pStyle w:val="BodyText"/>
      </w:pPr>
      <w:r>
        <w:rPr>
          <w:bCs/>
          <w:b/>
        </w:rPr>
        <w:t xml:space="preserve">Thematic significance: the difficulty of genuine intimacy.</w:t>
      </w:r>
      <w:r>
        <w:t xml:space="preserve"> </w:t>
      </w:r>
      <w:r>
        <w:t xml:space="preserve">The poem is characteristic of Whitman’s broader</w:t>
      </w:r>
      <w:r>
        <w:t xml:space="preserve"> </w:t>
      </w:r>
      <w:r>
        <w:t xml:space="preserve">“</w:t>
      </w:r>
      <w:r>
        <w:t xml:space="preserve">Calamus</w:t>
      </w:r>
      <w:r>
        <w:t xml:space="preserve">”</w:t>
      </w:r>
      <w:r>
        <w:t xml:space="preserve"> </w:t>
      </w:r>
      <w:r>
        <w:t xml:space="preserve">cluster, which explores intense male friendship, intimacy, and (as widely recognised by critics, both contemporary and modern) homoerotic desire, and reflects Whitman’s insistence throughout this cluster that genuine emotional and physical intimacy between people (here, specifically framed as a direct address from poet to reader, collapsing the distance between the poem’s speaker and its audience) demands honesty, risk, and a seriousness considerably beyond superficial attraction or romantic idealisation.</w:t>
      </w:r>
    </w:p>
    <w:p>
      <w:pPr>
        <w:pStyle w:val="BodyText"/>
      </w:pPr>
      <w:r>
        <w:rPr>
          <w:bCs/>
          <w:b/>
        </w:rPr>
        <w:t xml:space="preserve">The poet-reader relationship.</w:t>
      </w:r>
      <w:r>
        <w:t xml:space="preserve"> </w:t>
      </w:r>
      <w:r>
        <w:t xml:space="preserve">A distinctive feature of Whitman’s poetics generally, exemplified here, is his direct, intimate address to the reader, treating the act of reading itself as a form of relationship or even physical encounter between poet and reader across time — a technique that collapses conventional distance between poetic speaker and audience, and that reflects Whitman’s broader democratic poetic ambition to establish a direct, unmediated bond with each individual reader, an ambition also evident in</w:t>
      </w:r>
      <w:r>
        <w:t xml:space="preserve"> </w:t>
      </w:r>
      <w:r>
        <w:t xml:space="preserve">“</w:t>
      </w:r>
      <w:r>
        <w:t xml:space="preserve">As I Ponder’d in Silence</w:t>
      </w:r>
      <w:r>
        <w:t xml:space="preserve">”</w:t>
      </w:r>
      <w:r>
        <w:t xml:space="preserve"> </w:t>
      </w:r>
      <w:r>
        <w:t xml:space="preserve">(Topic 25).</w:t>
      </w:r>
    </w:p>
    <w:p>
      <w:pPr>
        <w:pStyle w:val="BodyText"/>
      </w:pPr>
      <w:r>
        <w:rPr>
          <w:bCs/>
          <w:b/>
        </w:rPr>
        <w:t xml:space="preserve">Key Takeaways</w:t>
      </w:r>
    </w:p>
    <w:p>
      <w:pPr>
        <w:numPr>
          <w:ilvl w:val="0"/>
          <w:numId w:val="1026"/>
        </w:numPr>
        <w:pStyle w:val="Compact"/>
      </w:pPr>
      <w:r>
        <w:t xml:space="preserve">The poem directly addresses an imagined reader drawn toward the poet through his poetry, warning against mistaking this initial attraction for genuine knowledge or intimacy.</w:t>
      </w:r>
    </w:p>
    <w:p>
      <w:pPr>
        <w:numPr>
          <w:ilvl w:val="0"/>
          <w:numId w:val="1026"/>
        </w:numPr>
        <w:pStyle w:val="Compact"/>
      </w:pPr>
      <w:r>
        <w:t xml:space="preserve">As part of Whitman’s</w:t>
      </w:r>
      <w:r>
        <w:t xml:space="preserve"> </w:t>
      </w:r>
      <w:r>
        <w:t xml:space="preserve">“</w:t>
      </w:r>
      <w:r>
        <w:t xml:space="preserve">Calamus</w:t>
      </w:r>
      <w:r>
        <w:t xml:space="preserve">”</w:t>
      </w:r>
      <w:r>
        <w:t xml:space="preserve"> </w:t>
      </w:r>
      <w:r>
        <w:t xml:space="preserve">cluster, it explores intense, often homoerotically inflected male intimacy, insisting genuine connection requires honesty and seriousness beyond superficial attraction.</w:t>
      </w:r>
    </w:p>
    <w:p>
      <w:pPr>
        <w:numPr>
          <w:ilvl w:val="0"/>
          <w:numId w:val="1026"/>
        </w:numPr>
        <w:pStyle w:val="Compact"/>
      </w:pPr>
      <w:r>
        <w:t xml:space="preserve">The poem exemplifies Whitman’s characteristic direct address to the reader, collapsing the distance between poetic speaker and audience as part of his broader democratic poetic ambition.</w:t>
      </w:r>
    </w:p>
    <w:bookmarkEnd w:id="47"/>
    <w:bookmarkStart w:id="48" w:name="X76791d1f6be1a399f68a44399bf47f215a411c1"/>
    <w:p>
      <w:pPr>
        <w:pStyle w:val="Heading3"/>
      </w:pPr>
      <w:r>
        <w:t xml:space="preserve">27. Walt Whitman — This Moment Yearning and Thoughtful</w:t>
      </w:r>
    </w:p>
    <w:p>
      <w:pPr>
        <w:pStyle w:val="FirstParagraph"/>
      </w:pPr>
      <w:r>
        <w:t xml:space="preserve">“</w:t>
      </w:r>
      <w:r>
        <w:t xml:space="preserve">This Moment Yearning and Thoughtful,</w:t>
      </w:r>
      <w:r>
        <w:t xml:space="preserve">”</w:t>
      </w:r>
      <w:r>
        <w:t xml:space="preserve"> </w:t>
      </w:r>
      <w:r>
        <w:t xml:space="preserve">another poem from Whitman’s</w:t>
      </w:r>
      <w:r>
        <w:t xml:space="preserve"> </w:t>
      </w:r>
      <w:r>
        <w:t xml:space="preserve">“</w:t>
      </w:r>
      <w:r>
        <w:t xml:space="preserve">Calamus</w:t>
      </w:r>
      <w:r>
        <w:t xml:space="preserve">”</w:t>
      </w:r>
      <w:r>
        <w:t xml:space="preserve"> </w:t>
      </w:r>
      <w:r>
        <w:t xml:space="preserve">cluster, meditates on the poet’s sense of connection across time and distance to unknown future readers or kindred spirits, imagining a mutual, reciprocal yearning that transcends the physical and temporal separation between them.</w:t>
      </w:r>
    </w:p>
    <w:p>
      <w:pPr>
        <w:pStyle w:val="BodyText"/>
      </w:pPr>
      <w:r>
        <w:rPr>
          <w:bCs/>
          <w:b/>
        </w:rPr>
        <w:t xml:space="preserve">Central theme: connection across distance and time.</w:t>
      </w:r>
      <w:r>
        <w:t xml:space="preserve"> </w:t>
      </w:r>
      <w:r>
        <w:t xml:space="preserve">The poem expresses the speaker’s sense that, even in solitude, he is connected through a kind of mutual yearning to others he has never met and may never meet — imagining that in other lands, this same feeling of yearning and thoughtful longing is being experienced reciprocally by unknown others, creating an imagined bond of shared feeling that transcends physical presence, geographic distance, and even the boundary of the poet’s own lifetime, extending forward to future readers not yet born.</w:t>
      </w:r>
    </w:p>
    <w:p>
      <w:pPr>
        <w:pStyle w:val="BodyText"/>
      </w:pPr>
      <w:r>
        <w:rPr>
          <w:bCs/>
          <w:b/>
        </w:rPr>
        <w:t xml:space="preserve">Connection to Whitman’s broader poetics of connection.</w:t>
      </w:r>
      <w:r>
        <w:t xml:space="preserve"> </w:t>
      </w:r>
      <w:r>
        <w:t xml:space="preserve">This theme of imagined, transtemporal and transgeographic human connection is central to Whitman’s larger poetic project across</w:t>
      </w:r>
      <w:r>
        <w:t xml:space="preserve"> </w:t>
      </w:r>
      <w:r>
        <w:rPr>
          <w:iCs/>
          <w:i/>
        </w:rPr>
        <w:t xml:space="preserve">Leaves of Grass</w:t>
      </w:r>
      <w:r>
        <w:t xml:space="preserve"> </w:t>
      </w:r>
      <w:r>
        <w:t xml:space="preserve">— his insistence, articulated with particular directness in poems like</w:t>
      </w:r>
      <w:r>
        <w:t xml:space="preserve"> </w:t>
      </w:r>
      <w:r>
        <w:t xml:space="preserve">“</w:t>
      </w:r>
      <w:r>
        <w:t xml:space="preserve">Are You the New Person Drawn Toward Me?</w:t>
      </w:r>
      <w:r>
        <w:t xml:space="preserve">”</w:t>
      </w:r>
      <w:r>
        <w:t xml:space="preserve"> </w:t>
      </w:r>
      <w:r>
        <w:t xml:space="preserve">(Topic 26), that poetry itself can function as a medium of genuine intimate connection between the poet and readers separated from him by time and distance, a democratic and expansive vision of human community achieved through the act of reading and imaginative sympathy itself.</w:t>
      </w:r>
    </w:p>
    <w:p>
      <w:pPr>
        <w:pStyle w:val="BodyText"/>
      </w:pPr>
      <w:r>
        <w:rPr>
          <w:bCs/>
          <w:b/>
        </w:rPr>
        <w:t xml:space="preserve">Style.</w:t>
      </w:r>
      <w:r>
        <w:t xml:space="preserve"> </w:t>
      </w:r>
      <w:r>
        <w:t xml:space="preserve">As characteristic of Whitman generally, the poem employs free verse, long cataloguing and cumulative rhetorical lines, and a direct, unadorned expression of emotional and spiritual yearning, formal choices that break decisively from the more regular metrical and stanzaic conventions of earlier 19th-century poetry (including, notably, the formal regularity still largely retained by contemporaries like Tennyson, Topics 13–14) in favour of a looser, more expansive, and more explicitly democratic poetic form intended to match Whitman’s expansive democratic vision of human connection and shared feeling.</w:t>
      </w:r>
    </w:p>
    <w:p>
      <w:pPr>
        <w:pStyle w:val="BodyText"/>
      </w:pPr>
      <w:r>
        <w:rPr>
          <w:bCs/>
          <w:b/>
        </w:rPr>
        <w:t xml:space="preserve">Key Takeaways</w:t>
      </w:r>
    </w:p>
    <w:p>
      <w:pPr>
        <w:numPr>
          <w:ilvl w:val="0"/>
          <w:numId w:val="1027"/>
        </w:numPr>
        <w:pStyle w:val="Compact"/>
      </w:pPr>
      <w:r>
        <w:t xml:space="preserve">The poem imagines the speaker’s yearning as reciprocated by unknown others across geographic distance and, extending forward, by future readers not yet born, creating a bond of shared feeling transcending physical presence.</w:t>
      </w:r>
    </w:p>
    <w:p>
      <w:pPr>
        <w:numPr>
          <w:ilvl w:val="0"/>
          <w:numId w:val="1027"/>
        </w:numPr>
        <w:pStyle w:val="Compact"/>
      </w:pPr>
      <w:r>
        <w:t xml:space="preserve">This theme of imagined transtemporal connection through poetry itself is central to Whitman’s broader democratic poetic project across</w:t>
      </w:r>
      <w:r>
        <w:t xml:space="preserve"> </w:t>
      </w:r>
      <w:r>
        <w:rPr>
          <w:iCs/>
          <w:i/>
        </w:rPr>
        <w:t xml:space="preserve">Leaves of Grass</w:t>
      </w:r>
      <w:r>
        <w:t xml:space="preserve">.</w:t>
      </w:r>
    </w:p>
    <w:p>
      <w:pPr>
        <w:numPr>
          <w:ilvl w:val="0"/>
          <w:numId w:val="1027"/>
        </w:numPr>
        <w:pStyle w:val="Compact"/>
      </w:pPr>
      <w:r>
        <w:t xml:space="preserve">The poem’s characteristic free verse and cumulative, unadorned lines break decisively from the more regular formal conventions of contemporaries like Tennyson, matching Whitman’s expansive democratic poetic vision.</w:t>
      </w:r>
    </w:p>
    <w:bookmarkEnd w:id="48"/>
    <w:bookmarkEnd w:id="49"/>
    <w:bookmarkStart w:id="59" w:name="iv.-drama"/>
    <w:p>
      <w:pPr>
        <w:pStyle w:val="Heading2"/>
      </w:pPr>
      <w:r>
        <w:t xml:space="preserve">IV. Drama</w:t>
      </w:r>
    </w:p>
    <w:bookmarkStart w:id="50" w:name="shakespeare-hamlet"/>
    <w:p>
      <w:pPr>
        <w:pStyle w:val="Heading3"/>
      </w:pPr>
      <w:r>
        <w:t xml:space="preserve">28. Shakespeare — Hamlet</w:t>
      </w:r>
    </w:p>
    <w:p>
      <w:pPr>
        <w:pStyle w:val="FirstParagraph"/>
      </w:pPr>
      <w:r>
        <w:rPr>
          <w:iCs/>
          <w:i/>
        </w:rPr>
        <w:t xml:space="preserve">Hamlet</w:t>
      </w:r>
      <w:r>
        <w:t xml:space="preserve"> </w:t>
      </w:r>
      <w:r>
        <w:t xml:space="preserve">(c. 1600) is Shakespeare’s most extensively studied and debated tragedy, centring on Prince Hamlet’s prolonged, psychologically fraught delay in avenging his father’s murder, and raising enduring questions about action, doubt, and consciousness itself.</w:t>
      </w:r>
    </w:p>
    <w:p>
      <w:pPr>
        <w:pStyle w:val="BodyText"/>
      </w:pPr>
      <w:r>
        <w:rPr>
          <w:bCs/>
          <w:b/>
        </w:rPr>
        <w:t xml:space="preserve">Plot and central situation.</w:t>
      </w:r>
      <w:r>
        <w:t xml:space="preserve"> </w:t>
      </w:r>
      <w:r>
        <w:t xml:space="preserve">The Ghost of Hamlet’s father reveals that he was murdered by his brother Claudius, who has since married Hamlet’s mother Gertrude and taken the throne; Hamlet, charged with revenge, instead spends much of the play in apparent indecision and feigned or genuine madness, testing the Ghost’s claims (through the staged</w:t>
      </w:r>
      <w:r>
        <w:t xml:space="preserve"> </w:t>
      </w:r>
      <w:r>
        <w:t xml:space="preserve">“</w:t>
      </w:r>
      <w:r>
        <w:t xml:space="preserve">play within the play,</w:t>
      </w:r>
      <w:r>
        <w:t xml:space="preserve">”</w:t>
      </w:r>
      <w:r>
        <w:t xml:space="preserve"> </w:t>
      </w:r>
      <w:r>
        <w:t xml:space="preserve">the Mousetrap, designed to provoke a guilty reaction from Claudius), reflecting obsessively on action, death, and moral certainty, and ultimately achieving revenge only in the play’s final scene, at the cost of his own life and those of nearly every other major character.</w:t>
      </w:r>
    </w:p>
    <w:p>
      <w:pPr>
        <w:pStyle w:val="BodyText"/>
      </w:pPr>
      <w:r>
        <w:rPr>
          <w:bCs/>
          <w:b/>
        </w:rPr>
        <w:t xml:space="preserve">Central themes: delay, doubt, and consciousness.</w:t>
      </w:r>
      <w:r>
        <w:t xml:space="preserve"> </w:t>
      </w:r>
      <w:r>
        <w:t xml:space="preserve">Hamlet’s famous delay has generated centuries of critical debate — whether it reflects a specifically modern form of self-conscious, paralysing over-thinking (a reading that made Hamlet a touchstone for later explorations of psychological interiority, including the alienated self-consciousness of Prufrock, Topic 18), genuine epistemological uncertainty about the Ghost’s reliability and the moral legitimacy of revenge, or a deliberate dramatic strategy on Shakespeare’s part to sustain tragic tension; the</w:t>
      </w:r>
      <w:r>
        <w:t xml:space="preserve"> </w:t>
      </w:r>
      <w:r>
        <w:t xml:space="preserve">“</w:t>
      </w:r>
      <w:r>
        <w:t xml:space="preserve">To be, or not to be</w:t>
      </w:r>
      <w:r>
        <w:t xml:space="preserve">”</w:t>
      </w:r>
      <w:r>
        <w:t xml:space="preserve"> </w:t>
      </w:r>
      <w:r>
        <w:t xml:space="preserve">soliloquy, meditating on suicide, suffering, and the fear of the unknown after death, exemplifies the play’s sustained philosophical self-interrogation, extending well beyond the immediate revenge plot into fundamental questions about existence and action itself.</w:t>
      </w:r>
    </w:p>
    <w:p>
      <w:pPr>
        <w:pStyle w:val="BodyText"/>
      </w:pPr>
      <w:r>
        <w:rPr>
          <w:bCs/>
          <w:b/>
        </w:rPr>
        <w:t xml:space="preserve">Key Takeaways</w:t>
      </w:r>
    </w:p>
    <w:p>
      <w:pPr>
        <w:numPr>
          <w:ilvl w:val="0"/>
          <w:numId w:val="1028"/>
        </w:numPr>
        <w:pStyle w:val="Compact"/>
      </w:pPr>
      <w:r>
        <w:t xml:space="preserve">The play centres on Hamlet’s prolonged, psychologically fraught delay in avenging his father’s murder by Claudius, achieving revenge only at the cost of his own life and those of nearly every other major character.</w:t>
      </w:r>
    </w:p>
    <w:p>
      <w:pPr>
        <w:numPr>
          <w:ilvl w:val="0"/>
          <w:numId w:val="1028"/>
        </w:numPr>
        <w:pStyle w:val="Compact"/>
      </w:pPr>
      <w:r>
        <w:t xml:space="preserve">Hamlet’s famous delay has generated extensive critical debate over whether it reflects self-conscious over-thinking, genuine moral/epistemological doubt, or deliberate dramatic strategy.</w:t>
      </w:r>
    </w:p>
    <w:p>
      <w:pPr>
        <w:numPr>
          <w:ilvl w:val="0"/>
          <w:numId w:val="1028"/>
        </w:numPr>
        <w:pStyle w:val="Compact"/>
      </w:pPr>
      <w:r>
        <w:t xml:space="preserve">The play’s sustained philosophical self-interrogation, exemplified by the</w:t>
      </w:r>
      <w:r>
        <w:t xml:space="preserve"> </w:t>
      </w:r>
      <w:r>
        <w:t xml:space="preserve">“</w:t>
      </w:r>
      <w:r>
        <w:t xml:space="preserve">To be, or not to be</w:t>
      </w:r>
      <w:r>
        <w:t xml:space="preserve">”</w:t>
      </w:r>
      <w:r>
        <w:t xml:space="preserve"> </w:t>
      </w:r>
      <w:r>
        <w:t xml:space="preserve">soliloquy, extends well beyond the revenge plot into fundamental questions about existence, action, and consciousness.</w:t>
      </w:r>
    </w:p>
    <w:bookmarkEnd w:id="50"/>
    <w:bookmarkStart w:id="51" w:name="shakespeare-king-lear"/>
    <w:p>
      <w:pPr>
        <w:pStyle w:val="Heading3"/>
      </w:pPr>
      <w:r>
        <w:t xml:space="preserve">29. Shakespeare — King Lear</w:t>
      </w:r>
    </w:p>
    <w:p>
      <w:pPr>
        <w:pStyle w:val="FirstParagraph"/>
      </w:pPr>
      <w:r>
        <w:rPr>
          <w:iCs/>
          <w:i/>
        </w:rPr>
        <w:t xml:space="preserve">King Lear</w:t>
      </w:r>
      <w:r>
        <w:t xml:space="preserve"> </w:t>
      </w:r>
      <w:r>
        <w:t xml:space="preserve">(c. 1605) is widely regarded as among Shakespeare’s bleakest tragedies, dramatising an aging king’s catastrophic misjudgement of his daughters’ love, his descent into madness and suffering, and a vision of a world offering little consolation or clear moral order.</w:t>
      </w:r>
    </w:p>
    <w:p>
      <w:pPr>
        <w:pStyle w:val="BodyText"/>
      </w:pPr>
      <w:r>
        <w:rPr>
          <w:bCs/>
          <w:b/>
        </w:rPr>
        <w:t xml:space="preserve">Plot and central situation.</w:t>
      </w:r>
      <w:r>
        <w:t xml:space="preserve"> </w:t>
      </w:r>
      <w:r>
        <w:t xml:space="preserve">Lear divides his kingdom among his three daughters based on their public declarations of love, rewarding the flattering falsehoods of Goneril and Regan while banishing Cordelia for her honest but comparatively modest profession of love; stripped of power and betrayed by his elder daughters, Lear descends into madness on the heath during a violent storm, accompanied by his Fool and the disguised loyal Kent, in a parallel subplot involving Gloucester’s similarly catastrophic misjudgement of his own sons; the play moves toward a resolution offering minimal consolation, with Cordelia’s reconciliation with her father followed by her death and Lear’s own death shortly after.</w:t>
      </w:r>
    </w:p>
    <w:p>
      <w:pPr>
        <w:pStyle w:val="BodyText"/>
      </w:pPr>
      <w:r>
        <w:rPr>
          <w:bCs/>
          <w:b/>
        </w:rPr>
        <w:t xml:space="preserve">Central themes: appearance versus reality, and suffering without clear moral order.</w:t>
      </w:r>
      <w:r>
        <w:t xml:space="preserve"> </w:t>
      </w:r>
      <w:r>
        <w:t xml:space="preserve">The play repeatedly stages the gap between flattering appearance and honest reality (Lear’s initial preference for Goneril and Regan’s eloquent flattery over Cordelia’s honest reticence), and Lear’s suffering on the heath — accompanied by his growing recognition of his own past blindness to genuine human suffering among his subjects — is often read as staging a form of painful moral education purchased at devastating cost; critics have long debated whether the play ultimately offers any redemptive or consoling moral order, given the bleakness of its ending, or whether it presents a fundamentally nihilistic vision of a universe indifferent to human suffering and moral desert.</w:t>
      </w:r>
    </w:p>
    <w:p>
      <w:pPr>
        <w:pStyle w:val="BodyText"/>
      </w:pPr>
      <w:r>
        <w:rPr>
          <w:bCs/>
          <w:b/>
        </w:rPr>
        <w:t xml:space="preserve">Key Takeaways</w:t>
      </w:r>
    </w:p>
    <w:p>
      <w:pPr>
        <w:numPr>
          <w:ilvl w:val="0"/>
          <w:numId w:val="1029"/>
        </w:numPr>
        <w:pStyle w:val="Compact"/>
      </w:pPr>
      <w:r>
        <w:t xml:space="preserve">Lear’s catastrophic misjudgement of his daughters’ love, rewarding flattery over honesty, sets in motion his descent into madness and suffering, culminating in Cordelia’s death and his own.</w:t>
      </w:r>
    </w:p>
    <w:p>
      <w:pPr>
        <w:numPr>
          <w:ilvl w:val="0"/>
          <w:numId w:val="1029"/>
        </w:numPr>
        <w:pStyle w:val="Compact"/>
      </w:pPr>
      <w:r>
        <w:t xml:space="preserve">The play repeatedly stages the gap between flattering appearance and honest reality, with Lear’s suffering functioning as a painful, costly form of moral education and recognition.</w:t>
      </w:r>
    </w:p>
    <w:p>
      <w:pPr>
        <w:numPr>
          <w:ilvl w:val="0"/>
          <w:numId w:val="1029"/>
        </w:numPr>
        <w:pStyle w:val="Compact"/>
      </w:pPr>
      <w:r>
        <w:t xml:space="preserve">Critics debate whether the play’s bleak ending offers any redemptive moral order or presents a fundamentally nihilistic vision of indifferent suffering.</w:t>
      </w:r>
    </w:p>
    <w:bookmarkEnd w:id="51"/>
    <w:bookmarkStart w:id="52" w:name="shakespeare-twelfth-night"/>
    <w:p>
      <w:pPr>
        <w:pStyle w:val="Heading3"/>
      </w:pPr>
      <w:r>
        <w:t xml:space="preserve">30. Shakespeare — Twelfth Night</w:t>
      </w:r>
    </w:p>
    <w:p>
      <w:pPr>
        <w:pStyle w:val="FirstParagraph"/>
      </w:pPr>
      <w:r>
        <w:rPr>
          <w:iCs/>
          <w:i/>
        </w:rPr>
        <w:t xml:space="preserve">Twelfth Night</w:t>
      </w:r>
      <w:r>
        <w:t xml:space="preserve"> </w:t>
      </w:r>
      <w:r>
        <w:t xml:space="preserve">(c. 1601-02) is among Shakespeare’s most accomplished comedies, using mistaken identity, cross-dressing, and romantic confusion to explore questions of gender, desire, and the often arbitrary, disorienting nature of romantic love.</w:t>
      </w:r>
    </w:p>
    <w:p>
      <w:pPr>
        <w:pStyle w:val="BodyText"/>
      </w:pPr>
      <w:r>
        <w:rPr>
          <w:bCs/>
          <w:b/>
        </w:rPr>
        <w:t xml:space="preserve">Plot and central situation.</w:t>
      </w:r>
      <w:r>
        <w:t xml:space="preserve"> </w:t>
      </w:r>
      <w:r>
        <w:t xml:space="preserve">Viola, shipwrecked and separated from her twin brother Sebastian, disguises herself as a young man (</w:t>
      </w:r>
      <w:r>
        <w:t xml:space="preserve">“</w:t>
      </w:r>
      <w:r>
        <w:t xml:space="preserve">Cesario</w:t>
      </w:r>
      <w:r>
        <w:t xml:space="preserve">”</w:t>
      </w:r>
      <w:r>
        <w:t xml:space="preserve">) and enters the service of Duke Orsino, who is infatuated with the Countess Olivia; Orsino sends Viola/Cesario to woo Olivia on his behalf, but Olivia instead falls in love with the disguised Viola, while Viola herself has fallen in love with Orsino — creating a web of romantic confusion resolved only by the fortunate arrival of Viola’s identical twin brother Sebastian, whom Olivia subsequently marries, allowing Viola to reveal her true identity and marry Orsino.</w:t>
      </w:r>
    </w:p>
    <w:p>
      <w:pPr>
        <w:pStyle w:val="BodyText"/>
      </w:pPr>
      <w:r>
        <w:rPr>
          <w:bCs/>
          <w:b/>
        </w:rPr>
        <w:t xml:space="preserve">Central themes: gender fluidity and the arbitrariness of desire.</w:t>
      </w:r>
      <w:r>
        <w:t xml:space="preserve"> </w:t>
      </w:r>
      <w:r>
        <w:t xml:space="preserve">The play’s cross-dressing plot (further complicated by the theatrical convention of Shakespeare’s era, in which female roles including Viola were originally played by boy actors, adding an additional layer of gender play to the disguise plot) has attracted extensive modern critical attention for its destabilisation of fixed gender categories and its suggestion that romantic desire often responds to qualities — wit, presence, manner — that exceed or complicate straightforward binary gender identification; the play’s comic subplot, involving the pompous steward Malvolio’s humiliation through a forged love letter, provides a satirical counterpoint concerning self-love and social pretension.</w:t>
      </w:r>
    </w:p>
    <w:p>
      <w:pPr>
        <w:pStyle w:val="BodyText"/>
      </w:pPr>
      <w:r>
        <w:rPr>
          <w:bCs/>
          <w:b/>
        </w:rPr>
        <w:t xml:space="preserve">Key Takeaways</w:t>
      </w:r>
    </w:p>
    <w:p>
      <w:pPr>
        <w:numPr>
          <w:ilvl w:val="0"/>
          <w:numId w:val="1030"/>
        </w:numPr>
        <w:pStyle w:val="Compact"/>
      </w:pPr>
      <w:r>
        <w:t xml:space="preserve">Viola’s disguise as</w:t>
      </w:r>
      <w:r>
        <w:t xml:space="preserve"> </w:t>
      </w:r>
      <w:r>
        <w:t xml:space="preserve">“</w:t>
      </w:r>
      <w:r>
        <w:t xml:space="preserve">Cesario</w:t>
      </w:r>
      <w:r>
        <w:t xml:space="preserve">”</w:t>
      </w:r>
      <w:r>
        <w:t xml:space="preserve"> </w:t>
      </w:r>
      <w:r>
        <w:t xml:space="preserve">creates a web of romantic confusion — Orsino loves Olivia, Olivia falls for the disguised Viola, and Viola loves Orsino — resolved only through the fortunate arrival of Viola’s twin brother Sebastian.</w:t>
      </w:r>
    </w:p>
    <w:p>
      <w:pPr>
        <w:numPr>
          <w:ilvl w:val="0"/>
          <w:numId w:val="1030"/>
        </w:numPr>
        <w:pStyle w:val="Compact"/>
      </w:pPr>
      <w:r>
        <w:t xml:space="preserve">The play’s cross-dressing plot has attracted extensive critical attention for destabilising fixed gender categories and highlighting the often arbitrary qualities that provoke romantic desire.</w:t>
      </w:r>
    </w:p>
    <w:p>
      <w:pPr>
        <w:numPr>
          <w:ilvl w:val="0"/>
          <w:numId w:val="1030"/>
        </w:numPr>
        <w:pStyle w:val="Compact"/>
      </w:pPr>
      <w:r>
        <w:t xml:space="preserve">The comic Malvolio subplot, involving his humiliation through a forged love letter, provides satirical counterpoint on self-love and social pretension.</w:t>
      </w:r>
    </w:p>
    <w:bookmarkEnd w:id="52"/>
    <w:bookmarkStart w:id="53" w:name="congreve-the-way-of-the-world"/>
    <w:p>
      <w:pPr>
        <w:pStyle w:val="Heading3"/>
      </w:pPr>
      <w:r>
        <w:t xml:space="preserve">31. Congreve — The Way of the World</w:t>
      </w:r>
    </w:p>
    <w:p>
      <w:pPr>
        <w:pStyle w:val="FirstParagraph"/>
      </w:pPr>
      <w:r>
        <w:t xml:space="preserve">William Congreve’s</w:t>
      </w:r>
      <w:r>
        <w:t xml:space="preserve"> </w:t>
      </w:r>
      <w:r>
        <w:rPr>
          <w:iCs/>
          <w:i/>
        </w:rPr>
        <w:t xml:space="preserve">The Way of the World</w:t>
      </w:r>
      <w:r>
        <w:t xml:space="preserve"> </w:t>
      </w:r>
      <w:r>
        <w:t xml:space="preserve">(1700) represents the culmination of Restoration comedy of manners, offering a sophisticated, verbally brilliant satire of upper-class courtship, marriage, and social pretension in late 17th-century English society.</w:t>
      </w:r>
    </w:p>
    <w:p>
      <w:pPr>
        <w:pStyle w:val="BodyText"/>
      </w:pPr>
      <w:r>
        <w:rPr>
          <w:bCs/>
          <w:b/>
        </w:rPr>
        <w:t xml:space="preserve">Plot and central situation.</w:t>
      </w:r>
      <w:r>
        <w:t xml:space="preserve"> </w:t>
      </w:r>
      <w:r>
        <w:t xml:space="preserve">The play centres on the courtship between Mirabell and Millamant, two witty, socially sophisticated figures navigating a complex web of intrigue, rival suitors, and financial scheming involving Millamant’s aunt Lady Wishfort, whose consent (and control over Millamant’s inheritance) Mirabell must secure through an elaborate plot; the play’s most celebrated scene, the</w:t>
      </w:r>
      <w:r>
        <w:t xml:space="preserve"> </w:t>
      </w:r>
      <w:r>
        <w:t xml:space="preserve">“</w:t>
      </w:r>
      <w:r>
        <w:t xml:space="preserve">proviso scene,</w:t>
      </w:r>
      <w:r>
        <w:t xml:space="preserve">”</w:t>
      </w:r>
      <w:r>
        <w:t xml:space="preserve"> </w:t>
      </w:r>
      <w:r>
        <w:t xml:space="preserve">stages Mirabell and Millamant negotiating the specific terms of their prospective marriage with remarkable frankness about mutual independence and the practical realities of married life, rather than through conventional romantic declaration alone.</w:t>
      </w:r>
    </w:p>
    <w:p>
      <w:pPr>
        <w:pStyle w:val="BodyText"/>
      </w:pPr>
      <w:r>
        <w:rPr>
          <w:bCs/>
          <w:b/>
        </w:rPr>
        <w:t xml:space="preserve">Central themes: wit, artifice, and marriage as negotiated contract.</w:t>
      </w:r>
      <w:r>
        <w:t xml:space="preserve"> </w:t>
      </w:r>
      <w:r>
        <w:t xml:space="preserve">Consistent with Restoration comedy of manners more broadly, the play values verbal wit and social sophistication as markers of genuine character worth, distinguishing its admirable characters (Mirabell, Millamant) from more foolish or hypocritical figures through their command of clever, elegant language; the proviso scene’s unusually frank negotiation of marriage’s practical terms — each party insisting on specific conditions of mutual respect and independence — offers a notably unsentimental, contractual view of marriage distinct from more idealised romantic conventions, reflecting the play’s broader satirical interest in the social</w:t>
      </w:r>
      <w:r>
        <w:t xml:space="preserve"> </w:t>
      </w:r>
      <w:r>
        <w:t xml:space="preserve">“</w:t>
      </w:r>
      <w:r>
        <w:t xml:space="preserve">way of the world</w:t>
      </w:r>
      <w:r>
        <w:t xml:space="preserve">”</w:t>
      </w:r>
      <w:r>
        <w:t xml:space="preserve"> </w:t>
      </w:r>
      <w:r>
        <w:t xml:space="preserve">as a system of negotiated self-interest operating beneath a surface of polished manners.</w:t>
      </w:r>
    </w:p>
    <w:p>
      <w:pPr>
        <w:pStyle w:val="BodyText"/>
      </w:pPr>
      <w:r>
        <w:rPr>
          <w:bCs/>
          <w:b/>
        </w:rPr>
        <w:t xml:space="preserve">Key Takeaways</w:t>
      </w:r>
    </w:p>
    <w:p>
      <w:pPr>
        <w:numPr>
          <w:ilvl w:val="0"/>
          <w:numId w:val="1031"/>
        </w:numPr>
        <w:pStyle w:val="Compact"/>
      </w:pPr>
      <w:r>
        <w:t xml:space="preserve">The play centres on Mirabell and Millamant’s courtship, complicated by financial scheming and the need to secure Lady Wishfort’s consent to their marriage.</w:t>
      </w:r>
    </w:p>
    <w:p>
      <w:pPr>
        <w:numPr>
          <w:ilvl w:val="0"/>
          <w:numId w:val="1031"/>
        </w:numPr>
        <w:pStyle w:val="Compact"/>
      </w:pPr>
      <w:r>
        <w:t xml:space="preserve">The celebrated</w:t>
      </w:r>
      <w:r>
        <w:t xml:space="preserve"> </w:t>
      </w:r>
      <w:r>
        <w:t xml:space="preserve">“</w:t>
      </w:r>
      <w:r>
        <w:t xml:space="preserve">proviso scene</w:t>
      </w:r>
      <w:r>
        <w:t xml:space="preserve">”</w:t>
      </w:r>
      <w:r>
        <w:t xml:space="preserve"> </w:t>
      </w:r>
      <w:r>
        <w:t xml:space="preserve">stages the couple negotiating explicit marriage terms with striking frankness, rather than relying on conventional romantic declaration.</w:t>
      </w:r>
    </w:p>
    <w:p>
      <w:pPr>
        <w:numPr>
          <w:ilvl w:val="0"/>
          <w:numId w:val="1031"/>
        </w:numPr>
        <w:pStyle w:val="Compact"/>
      </w:pPr>
      <w:r>
        <w:t xml:space="preserve">Consistent with Restoration comedy of manners, the play values wit and social sophistication as markers of character, offering an unsentimental, contractual view of marriage beneath its polished satirical surface.</w:t>
      </w:r>
    </w:p>
    <w:bookmarkEnd w:id="53"/>
    <w:bookmarkStart w:id="54" w:name="george-bernard-shaw-pygmalion"/>
    <w:p>
      <w:pPr>
        <w:pStyle w:val="Heading3"/>
      </w:pPr>
      <w:r>
        <w:t xml:space="preserve">32. George Bernard Shaw — Pygmalion</w:t>
      </w:r>
    </w:p>
    <w:p>
      <w:pPr>
        <w:pStyle w:val="FirstParagraph"/>
      </w:pPr>
      <w:r>
        <w:t xml:space="preserve">Shaw’s</w:t>
      </w:r>
      <w:r>
        <w:t xml:space="preserve"> </w:t>
      </w:r>
      <w:r>
        <w:rPr>
          <w:iCs/>
          <w:i/>
        </w:rPr>
        <w:t xml:space="preserve">Pygmalion</w:t>
      </w:r>
      <w:r>
        <w:t xml:space="preserve"> </w:t>
      </w:r>
      <w:r>
        <w:t xml:space="preserve">(1913) uses the myth of the sculptor who falls in love with his own creation as a framework for a sharp social comedy examining class, language, and the constructed, performative nature of social identity in Edwardian England.</w:t>
      </w:r>
    </w:p>
    <w:p>
      <w:pPr>
        <w:pStyle w:val="BodyText"/>
      </w:pPr>
      <w:r>
        <w:rPr>
          <w:bCs/>
          <w:b/>
        </w:rPr>
        <w:t xml:space="preserve">Plot and central situation.</w:t>
      </w:r>
      <w:r>
        <w:t xml:space="preserve"> </w:t>
      </w:r>
      <w:r>
        <w:t xml:space="preserve">Professor Henry Higgins, a phonetics expert, wagers that he can transform Eliza Doolittle, a Cockney flower girl, into someone capable of passing as a duchess simply by teaching her to speak</w:t>
      </w:r>
      <w:r>
        <w:t xml:space="preserve"> </w:t>
      </w:r>
      <w:r>
        <w:t xml:space="preserve">“</w:t>
      </w:r>
      <w:r>
        <w:t xml:space="preserve">proper</w:t>
      </w:r>
      <w:r>
        <w:t xml:space="preserve">”</w:t>
      </w:r>
      <w:r>
        <w:t xml:space="preserve"> </w:t>
      </w:r>
      <w:r>
        <w:t xml:space="preserve">English — Eliza’s successful transformation exposes the arbitrariness of class distinctions supposedly rooted in innate quality, since her social advancement depends entirely on a learnable, superficial skill (accent and manner) rather than any genuine change in her underlying character or worth; the play’s conclusion, notably, refuses the conventional romantic resolution audiences might expect between Higgins and Eliza, with Shaw explicitly resisting a sentimental pairing in favour of Eliza’s assertion of independent dignity.</w:t>
      </w:r>
    </w:p>
    <w:p>
      <w:pPr>
        <w:pStyle w:val="BodyText"/>
      </w:pPr>
      <w:r>
        <w:rPr>
          <w:bCs/>
          <w:b/>
        </w:rPr>
        <w:t xml:space="preserve">Central themes: class as performance and the limits of transformation.</w:t>
      </w:r>
      <w:r>
        <w:t xml:space="preserve"> </w:t>
      </w:r>
      <w:r>
        <w:t xml:space="preserve">The play’s central irony — that Eliza’s entire social transformation rests on nothing more substantial than accent and manner — offers Shaw’s characteristically pointed social critique of class hierarchy as a constructed, performative system rather than a natural or deserved order; simultaneously, the play examines the genuine psychological cost of Eliza’s transformation, since her new</w:t>
      </w:r>
      <w:r>
        <w:t xml:space="preserve"> </w:t>
      </w:r>
      <w:r>
        <w:t xml:space="preserve">“</w:t>
      </w:r>
      <w:r>
        <w:t xml:space="preserve">duchess</w:t>
      </w:r>
      <w:r>
        <w:t xml:space="preserve">”</w:t>
      </w:r>
      <w:r>
        <w:t xml:space="preserve"> </w:t>
      </w:r>
      <w:r>
        <w:t xml:space="preserve">identity leaves her caught between her original working-class world (which now rejects her as having outgrown it) and the upper-class world she can now perform but never fully, comfortably belong to, without Higgins’s own attitude toward her substantially evolving to match.</w:t>
      </w:r>
    </w:p>
    <w:p>
      <w:pPr>
        <w:pStyle w:val="BodyText"/>
      </w:pPr>
      <w:r>
        <w:rPr>
          <w:bCs/>
          <w:b/>
        </w:rPr>
        <w:t xml:space="preserve">Key Takeaways</w:t>
      </w:r>
    </w:p>
    <w:p>
      <w:pPr>
        <w:numPr>
          <w:ilvl w:val="0"/>
          <w:numId w:val="1032"/>
        </w:numPr>
        <w:pStyle w:val="Compact"/>
      </w:pPr>
      <w:r>
        <w:t xml:space="preserve">Higgins wagers he can transform Cockney flower girl Eliza Doolittle into a passable duchess through phonetic and manner training alone, exposing class distinctions as constructed and performative rather than innate.</w:t>
      </w:r>
    </w:p>
    <w:p>
      <w:pPr>
        <w:numPr>
          <w:ilvl w:val="0"/>
          <w:numId w:val="1032"/>
        </w:numPr>
        <w:pStyle w:val="Compact"/>
      </w:pPr>
      <w:r>
        <w:t xml:space="preserve">The play refuses conventional romantic resolution between Higgins and Eliza, with Shaw insisting instead on Eliza’s assertion of independent dignity.</w:t>
      </w:r>
    </w:p>
    <w:p>
      <w:pPr>
        <w:numPr>
          <w:ilvl w:val="0"/>
          <w:numId w:val="1032"/>
        </w:numPr>
        <w:pStyle w:val="Compact"/>
      </w:pPr>
      <w:r>
        <w:t xml:space="preserve">The play examines the genuine psychological cost of Eliza’s transformation, leaving her caught between a rejecting former world and an upper-class world she can perform but not fully belong to.</w:t>
      </w:r>
    </w:p>
    <w:bookmarkEnd w:id="54"/>
    <w:bookmarkStart w:id="55" w:name="george-bernard-shaw-heartbreak-house"/>
    <w:p>
      <w:pPr>
        <w:pStyle w:val="Heading3"/>
      </w:pPr>
      <w:r>
        <w:t xml:space="preserve">33. George Bernard Shaw — Heartbreak House</w:t>
      </w:r>
    </w:p>
    <w:p>
      <w:pPr>
        <w:pStyle w:val="FirstParagraph"/>
      </w:pPr>
      <w:r>
        <w:t xml:space="preserve">Shaw’s</w:t>
      </w:r>
      <w:r>
        <w:t xml:space="preserve"> </w:t>
      </w:r>
      <w:r>
        <w:rPr>
          <w:iCs/>
          <w:i/>
        </w:rPr>
        <w:t xml:space="preserve">Heartbreak House</w:t>
      </w:r>
      <w:r>
        <w:t xml:space="preserve"> </w:t>
      </w:r>
      <w:r>
        <w:t xml:space="preserve">(written 1916-17, first performed 1920), subtitled</w:t>
      </w:r>
      <w:r>
        <w:t xml:space="preserve"> </w:t>
      </w:r>
      <w:r>
        <w:t xml:space="preserve">“</w:t>
      </w:r>
      <w:r>
        <w:t xml:space="preserve">A Fantasia in the Russian Manner on English Themes</w:t>
      </w:r>
      <w:r>
        <w:t xml:space="preserve">”</w:t>
      </w:r>
      <w:r>
        <w:t xml:space="preserve"> </w:t>
      </w:r>
      <w:r>
        <w:t xml:space="preserve">in acknowledged homage to Chekhov, offers a bleak satirical portrait of English upper-class cultural drift and irresponsibility on the eve of the First World War’s devastation.</w:t>
      </w:r>
    </w:p>
    <w:p>
      <w:pPr>
        <w:pStyle w:val="BodyText"/>
      </w:pPr>
      <w:r>
        <w:rPr>
          <w:bCs/>
          <w:b/>
        </w:rPr>
        <w:t xml:space="preserve">Plot and central situation.</w:t>
      </w:r>
      <w:r>
        <w:t xml:space="preserve"> </w:t>
      </w:r>
      <w:r>
        <w:t xml:space="preserve">Set in the eccentric household of the retired sea captain Shotover, the play gathers a group of characters representing different facets of English upper-class and intellectual society — idle, self-absorbed, emotionally and morally adrift — whose conversations and relationships expose a pervasive cultural failure of purpose and responsibility; the play builds toward an air raid in its final act, an intrusion of real historical violence and danger that shatters the household’s previously insulated, self-indulgent atmosphere, forcing (or at least offering the opportunity for) a reckoning the characters have otherwise avoided throughout.</w:t>
      </w:r>
    </w:p>
    <w:p>
      <w:pPr>
        <w:pStyle w:val="BodyText"/>
      </w:pPr>
      <w:r>
        <w:rPr>
          <w:bCs/>
          <w:b/>
        </w:rPr>
        <w:t xml:space="preserve">Central themes: cultural drift and impending catastrophe.</w:t>
      </w:r>
      <w:r>
        <w:t xml:space="preserve"> </w:t>
      </w:r>
      <w:r>
        <w:t xml:space="preserve">Shaw’s play diagnoses a form of civilisational irresponsibility among England’s cultured, privileged classes — figures who possess intelligence, sensitivity, and social position but who have collectively failed to direct these resources toward any serious moral or practical purpose, leaving them dangerously unprepared for the historical catastrophe (the First World War, looming as the play was written) that the concluding air raid symbolically represents; the play’s Chekhovian influence is evident in its ensemble structure, its melancholic comic tone, and its portrait of a leisured class whose way of life is passing without their full recognition of the fact.</w:t>
      </w:r>
    </w:p>
    <w:p>
      <w:pPr>
        <w:pStyle w:val="BodyText"/>
      </w:pPr>
      <w:r>
        <w:rPr>
          <w:bCs/>
          <w:b/>
        </w:rPr>
        <w:t xml:space="preserve">Key Takeaways</w:t>
      </w:r>
    </w:p>
    <w:p>
      <w:pPr>
        <w:numPr>
          <w:ilvl w:val="0"/>
          <w:numId w:val="1033"/>
        </w:numPr>
        <w:pStyle w:val="Compact"/>
      </w:pPr>
      <w:r>
        <w:t xml:space="preserve">The play gathers characters representing English upper-class cultural drift in Captain Shotover’s household, exposing a pervasive failure of moral purpose and responsibility.</w:t>
      </w:r>
    </w:p>
    <w:p>
      <w:pPr>
        <w:numPr>
          <w:ilvl w:val="0"/>
          <w:numId w:val="1033"/>
        </w:numPr>
        <w:pStyle w:val="Compact"/>
      </w:pPr>
      <w:r>
        <w:t xml:space="preserve">The concluding air raid shatters the household’s previously insulated atmosphere, symbolically representing the First World War’s intrusion into a civilisation unprepared for its consequences.</w:t>
      </w:r>
    </w:p>
    <w:p>
      <w:pPr>
        <w:numPr>
          <w:ilvl w:val="0"/>
          <w:numId w:val="1033"/>
        </w:numPr>
        <w:pStyle w:val="Compact"/>
      </w:pPr>
      <w:r>
        <w:t xml:space="preserve">The play’s explicit Chekhovian influence is evident in its ensemble structure and melancholic portrait of a leisured class whose way of life is passing largely unrecognised.</w:t>
      </w:r>
    </w:p>
    <w:bookmarkEnd w:id="55"/>
    <w:bookmarkStart w:id="56" w:name="harold-pinter-the-caretaker"/>
    <w:p>
      <w:pPr>
        <w:pStyle w:val="Heading3"/>
      </w:pPr>
      <w:r>
        <w:t xml:space="preserve">34. Harold Pinter — The Caretaker</w:t>
      </w:r>
    </w:p>
    <w:p>
      <w:pPr>
        <w:pStyle w:val="FirstParagraph"/>
      </w:pPr>
      <w:r>
        <w:t xml:space="preserve">Harold Pinter’s</w:t>
      </w:r>
      <w:r>
        <w:t xml:space="preserve"> </w:t>
      </w:r>
      <w:r>
        <w:rPr>
          <w:iCs/>
          <w:i/>
        </w:rPr>
        <w:t xml:space="preserve">The Caretaker</w:t>
      </w:r>
      <w:r>
        <w:t xml:space="preserve"> </w:t>
      </w:r>
      <w:r>
        <w:t xml:space="preserve">(1960) is a central text of what critics term</w:t>
      </w:r>
      <w:r>
        <w:t xml:space="preserve"> </w:t>
      </w:r>
      <w:r>
        <w:t xml:space="preserve">“</w:t>
      </w:r>
      <w:r>
        <w:t xml:space="preserve">comedy of menace,</w:t>
      </w:r>
      <w:r>
        <w:t xml:space="preserve">”</w:t>
      </w:r>
      <w:r>
        <w:t xml:space="preserve"> </w:t>
      </w:r>
      <w:r>
        <w:t xml:space="preserve">using ambiguous, fractured dialogue and an unsettling atmosphere of implicit threat to dramatise power, dependency, and communication breakdown among three isolated men.</w:t>
      </w:r>
    </w:p>
    <w:p>
      <w:pPr>
        <w:pStyle w:val="BodyText"/>
      </w:pPr>
      <w:r>
        <w:rPr>
          <w:bCs/>
          <w:b/>
        </w:rPr>
        <w:t xml:space="preserve">Plot and central situation.</w:t>
      </w:r>
      <w:r>
        <w:t xml:space="preserve"> </w:t>
      </w:r>
      <w:r>
        <w:t xml:space="preserve">The play centres on Davies, a homeless, querulous old tramp taken in by Aston, a socially withdrawn man living in a cluttered room in his brother Mick’s house; as Davies attempts to manoeuvre for advantage and security between the two brothers — each of whom, in different ways, seems psychologically damaged or isolated — the play’s shifting alliances and ambiguous power dynamics never resolve into clear narrative certainty, with Davies ultimately failing to secure the stable position (as the house’s</w:t>
      </w:r>
      <w:r>
        <w:t xml:space="preserve"> </w:t>
      </w:r>
      <w:r>
        <w:t xml:space="preserve">“</w:t>
      </w:r>
      <w:r>
        <w:t xml:space="preserve">caretaker</w:t>
      </w:r>
      <w:r>
        <w:t xml:space="preserve">”</w:t>
      </w:r>
      <w:r>
        <w:t xml:space="preserve">) he has been angling for throughout.</w:t>
      </w:r>
    </w:p>
    <w:p>
      <w:pPr>
        <w:pStyle w:val="BodyText"/>
      </w:pPr>
      <w:r>
        <w:rPr>
          <w:bCs/>
          <w:b/>
        </w:rPr>
        <w:t xml:space="preserve">Pinter’s characteristic style: the</w:t>
      </w:r>
      <w:r>
        <w:rPr>
          <w:bCs/>
          <w:b/>
        </w:rPr>
        <w:t xml:space="preserve"> </w:t>
      </w:r>
      <w:r>
        <w:rPr>
          <w:bCs/>
          <w:b/>
        </w:rPr>
        <w:t xml:space="preserve">“</w:t>
      </w:r>
      <w:r>
        <w:rPr>
          <w:bCs/>
          <w:b/>
        </w:rPr>
        <w:t xml:space="preserve">Pinter pause</w:t>
      </w:r>
      <w:r>
        <w:rPr>
          <w:bCs/>
          <w:b/>
        </w:rPr>
        <w:t xml:space="preserve">”</w:t>
      </w:r>
      <w:r>
        <w:rPr>
          <w:bCs/>
          <w:b/>
        </w:rPr>
        <w:t xml:space="preserve"> </w:t>
      </w:r>
      <w:r>
        <w:rPr>
          <w:bCs/>
          <w:b/>
        </w:rPr>
        <w:t xml:space="preserve">and menace beneath banality.</w:t>
      </w:r>
      <w:r>
        <w:t xml:space="preserve"> </w:t>
      </w:r>
      <w:r>
        <w:t xml:space="preserve">The play exemplifies Pinter’s signature dramatic technique — dialogue that appears superficially mundane or trivial but is charged with unstated threat, power struggle, and psychological aggression beneath its surface, punctuated by the celebrated</w:t>
      </w:r>
      <w:r>
        <w:t xml:space="preserve"> </w:t>
      </w:r>
      <w:r>
        <w:t xml:space="preserve">“</w:t>
      </w:r>
      <w:r>
        <w:t xml:space="preserve">Pinter pause,</w:t>
      </w:r>
      <w:r>
        <w:t xml:space="preserve">”</w:t>
      </w:r>
      <w:r>
        <w:t xml:space="preserve"> </w:t>
      </w:r>
      <w:r>
        <w:t xml:space="preserve">in which silence itself becomes dramatically loaded with implication and unstated meaning; characters frequently speak evasively, contradict themselves, or withhold crucial information, generating a pervasive sense of menace and uncertainty that never resolves into full explanatory clarity, a technique that places Pinter within the broader tradition of the Theatre of the Absurd (compare Beckett, Topic 35) while retaining a distinctly Pinteresque focus on domestic space and territorial power struggle specifically.</w:t>
      </w:r>
    </w:p>
    <w:p>
      <w:pPr>
        <w:pStyle w:val="BodyText"/>
      </w:pPr>
      <w:r>
        <w:rPr>
          <w:bCs/>
          <w:b/>
        </w:rPr>
        <w:t xml:space="preserve">Key Takeaways</w:t>
      </w:r>
    </w:p>
    <w:p>
      <w:pPr>
        <w:numPr>
          <w:ilvl w:val="0"/>
          <w:numId w:val="1034"/>
        </w:numPr>
        <w:pStyle w:val="Compact"/>
      </w:pPr>
      <w:r>
        <w:t xml:space="preserve">The play follows Davies, a homeless tramp, attempting to manoeuvre for security and advantage between two psychologically isolated brothers, Aston and Mick, without ever securing the stable position he seeks.</w:t>
      </w:r>
    </w:p>
    <w:p>
      <w:pPr>
        <w:numPr>
          <w:ilvl w:val="0"/>
          <w:numId w:val="1034"/>
        </w:numPr>
        <w:pStyle w:val="Compact"/>
      </w:pPr>
      <w:r>
        <w:t xml:space="preserve">It exemplifies Pinter’s signature style — superficially mundane dialogue charged with unstated menace and power struggle, punctuated by the dramatically loaded</w:t>
      </w:r>
      <w:r>
        <w:t xml:space="preserve"> </w:t>
      </w:r>
      <w:r>
        <w:t xml:space="preserve">“</w:t>
      </w:r>
      <w:r>
        <w:t xml:space="preserve">Pinter pause.</w:t>
      </w:r>
      <w:r>
        <w:t xml:space="preserve">”</w:t>
      </w:r>
    </w:p>
    <w:p>
      <w:pPr>
        <w:numPr>
          <w:ilvl w:val="0"/>
          <w:numId w:val="1034"/>
        </w:numPr>
        <w:pStyle w:val="Compact"/>
      </w:pPr>
      <w:r>
        <w:t xml:space="preserve">The play’s evasive, uncertain characters and unresolved ambiguity place it within the Theatre of the Absurd tradition, while its focus on domestic space and territorial struggle marks it as distinctly Pinteresque.</w:t>
      </w:r>
    </w:p>
    <w:bookmarkEnd w:id="56"/>
    <w:bookmarkStart w:id="57" w:name="samuel-beckett-waiting-for-godot"/>
    <w:p>
      <w:pPr>
        <w:pStyle w:val="Heading3"/>
      </w:pPr>
      <w:r>
        <w:t xml:space="preserve">35. Samuel Beckett — Waiting for Godot</w:t>
      </w:r>
    </w:p>
    <w:p>
      <w:pPr>
        <w:pStyle w:val="FirstParagraph"/>
      </w:pPr>
      <w:r>
        <w:t xml:space="preserve">Samuel Beckett’s</w:t>
      </w:r>
      <w:r>
        <w:t xml:space="preserve"> </w:t>
      </w:r>
      <w:r>
        <w:rPr>
          <w:iCs/>
          <w:i/>
        </w:rPr>
        <w:t xml:space="preserve">Waiting for Godot</w:t>
      </w:r>
      <w:r>
        <w:t xml:space="preserve"> </w:t>
      </w:r>
      <w:r>
        <w:t xml:space="preserve">(1953) is the defining text of the Theatre of the Absurd, staging two tramps’ endless, futile wait for a figure who never arrives, and offering a stark meditation on meaninglessness, repetition, and the human compulsion to persist despite the absence of clear purpose.</w:t>
      </w:r>
    </w:p>
    <w:p>
      <w:pPr>
        <w:pStyle w:val="BodyText"/>
      </w:pPr>
      <w:r>
        <w:rPr>
          <w:bCs/>
          <w:b/>
        </w:rPr>
        <w:t xml:space="preserve">Plot and central situation.</w:t>
      </w:r>
      <w:r>
        <w:t xml:space="preserve"> </w:t>
      </w:r>
      <w:r>
        <w:t xml:space="preserve">Vladimir and Estragon wait beside a barren tree for the arrival of a mysterious figure named Godot, whose identity and significance are never clarified; across the play’s two nearly identical acts, they engage in circular, often comic conversation, encounter the master-slave pair Pozzo and Lucky, and are twice informed by a boy messenger that Godot will not come today but will come tomorrow — the play ends, as it begins, with the two tramps still waiting, having accomplished nothing and resolved nothing, yet unable or unwilling to simply leave.</w:t>
      </w:r>
    </w:p>
    <w:p>
      <w:pPr>
        <w:pStyle w:val="BodyText"/>
      </w:pPr>
      <w:r>
        <w:rPr>
          <w:bCs/>
          <w:b/>
        </w:rPr>
        <w:t xml:space="preserve">Central themes: meaninglessness, repetition, and endurance.</w:t>
      </w:r>
      <w:r>
        <w:t xml:space="preserve"> </w:t>
      </w:r>
      <w:r>
        <w:t xml:space="preserve">The play’s deliberately circular, static structure (the near-identical repetition between Act One and Act Two) enacts, at the level of dramatic form itself, its central thematic concern with meaningless repetition and the absence of teleological progress or resolution; critics have offered numerous interpretive frameworks for Godot’s significance (religious, existentialist, purely formal), though Beckett himself notably resisted definitive interpretation, and the play’s enduring power arguably rests precisely on this irreducible ambiguity — the tramps’ persistent waiting, despite having no evidence Godot will ever actually arrive, has been read as either a bleak commentary on human self-deception or, alternatively, as a genuinely admirable, if absurd, testament to human endurance and the refusal to simply give up.</w:t>
      </w:r>
    </w:p>
    <w:p>
      <w:pPr>
        <w:pStyle w:val="BodyText"/>
      </w:pPr>
      <w:r>
        <w:rPr>
          <w:bCs/>
          <w:b/>
        </w:rPr>
        <w:t xml:space="preserve">Key Takeaways</w:t>
      </w:r>
    </w:p>
    <w:p>
      <w:pPr>
        <w:numPr>
          <w:ilvl w:val="0"/>
          <w:numId w:val="1035"/>
        </w:numPr>
        <w:pStyle w:val="Compact"/>
      </w:pPr>
      <w:r>
        <w:t xml:space="preserve">Vladimir and Estragon wait endlessly beside a barren tree for the never-arriving Godot, across two nearly identical acts that end exactly as they begin, with nothing resolved.</w:t>
      </w:r>
    </w:p>
    <w:p>
      <w:pPr>
        <w:numPr>
          <w:ilvl w:val="0"/>
          <w:numId w:val="1035"/>
        </w:numPr>
        <w:pStyle w:val="Compact"/>
      </w:pPr>
      <w:r>
        <w:t xml:space="preserve">The play’s circular, static structure enacts at the formal level its central concern with meaningless repetition and absent teleological progress.</w:t>
      </w:r>
    </w:p>
    <w:p>
      <w:pPr>
        <w:numPr>
          <w:ilvl w:val="0"/>
          <w:numId w:val="1035"/>
        </w:numPr>
        <w:pStyle w:val="Compact"/>
      </w:pPr>
      <w:r>
        <w:t xml:space="preserve">Godot’s significance remains deliberately, irreducibly ambiguous, with the tramps’ persistent waiting read variously as bleak self-deception or admirable testament to human endurance.</w:t>
      </w:r>
    </w:p>
    <w:bookmarkEnd w:id="57"/>
    <w:bookmarkStart w:id="58" w:name="Xa3a8c6a46aa6638d974eacb3c518e0de438c0a0"/>
    <w:p>
      <w:pPr>
        <w:pStyle w:val="Heading3"/>
      </w:pPr>
      <w:r>
        <w:t xml:space="preserve">36. Eugene O’Neill — Long Day’s Journey into Night</w:t>
      </w:r>
    </w:p>
    <w:p>
      <w:pPr>
        <w:pStyle w:val="FirstParagraph"/>
      </w:pPr>
      <w:r>
        <w:t xml:space="preserve">Eugene O’Neill’s</w:t>
      </w:r>
      <w:r>
        <w:t xml:space="preserve"> </w:t>
      </w:r>
      <w:r>
        <w:rPr>
          <w:iCs/>
          <w:i/>
        </w:rPr>
        <w:t xml:space="preserve">Long Day’s Journey into Night</w:t>
      </w:r>
      <w:r>
        <w:t xml:space="preserve"> </w:t>
      </w:r>
      <w:r>
        <w:t xml:space="preserve">(written 1941-42, published and first performed posthumously in 1956) is a deeply autobiographical family tragedy, tracing a single day in the disintegrating Tyrone family as long-buried resentments, addictions, and mutual recriminations surface with devastating force.</w:t>
      </w:r>
    </w:p>
    <w:p>
      <w:pPr>
        <w:pStyle w:val="BodyText"/>
      </w:pPr>
      <w:r>
        <w:rPr>
          <w:bCs/>
          <w:b/>
        </w:rPr>
        <w:t xml:space="preserve">Plot and central situation.</w:t>
      </w:r>
      <w:r>
        <w:t xml:space="preserve"> </w:t>
      </w:r>
      <w:r>
        <w:t xml:space="preserve">Set across a single day in the family’s summer home, the play follows the Tyrone family — the miserly, failed-actor father James, his morphine-addicted mother Mary (whose addiction the family has long concealed and enabled through mutual denial), and their two adult sons, the cynical, alcoholic Jamie and the consumptive younger son Edmund (a thinly veiled self-portrait of O’Neill) — as Mary’s relapse into morphine addiction over the course of the day triggers a cascading series of confrontations in which each family member’s grievances, guilt, and mutual blame are laid painfully bare.</w:t>
      </w:r>
    </w:p>
    <w:p>
      <w:pPr>
        <w:pStyle w:val="BodyText"/>
      </w:pPr>
      <w:r>
        <w:rPr>
          <w:bCs/>
          <w:b/>
        </w:rPr>
        <w:t xml:space="preserve">Central themes: addiction, denial, and inescapable family history.</w:t>
      </w:r>
      <w:r>
        <w:t xml:space="preserve"> </w:t>
      </w:r>
      <w:r>
        <w:t xml:space="preserve">The play offers an unflinching study of how family dysfunction perpetuates itself across generations through cycles of denial, blame, and mutual enabling — each family member is shown to be simultaneously a victim of past circumstance (James’s poverty-scarred frugality, Mary’s medically-induced addiction following Edmund’s difficult birth, the sons’ resentment of their parents’ failures) and a perpetrator of ongoing harm to the others, with the play’s structure (moving from morning’s fragile hope to night’s devastating clarity) formally enacting its central image of the family’s inability to escape the past, a past that returns with increasing, inescapable force as the day’s light fades.</w:t>
      </w:r>
    </w:p>
    <w:p>
      <w:pPr>
        <w:pStyle w:val="BodyText"/>
      </w:pPr>
      <w:r>
        <w:rPr>
          <w:bCs/>
          <w:b/>
        </w:rPr>
        <w:t xml:space="preserve">Key Takeaways</w:t>
      </w:r>
    </w:p>
    <w:p>
      <w:pPr>
        <w:numPr>
          <w:ilvl w:val="0"/>
          <w:numId w:val="1036"/>
        </w:numPr>
        <w:pStyle w:val="Compact"/>
      </w:pPr>
      <w:r>
        <w:t xml:space="preserve">The play traces a single devastating day in the Tyrone family, as mother Mary’s relapse into morphine addiction triggers a cascade of long-suppressed mutual recrimination among father James and sons Jamie and Edmund.</w:t>
      </w:r>
    </w:p>
    <w:p>
      <w:pPr>
        <w:numPr>
          <w:ilvl w:val="0"/>
          <w:numId w:val="1036"/>
        </w:numPr>
        <w:pStyle w:val="Compact"/>
      </w:pPr>
      <w:r>
        <w:t xml:space="preserve">Deeply autobiographical, the play offers an unflinching study of how family dysfunction perpetuates itself through cycles of denial, blame, and mutual enabling across generations.</w:t>
      </w:r>
    </w:p>
    <w:p>
      <w:pPr>
        <w:numPr>
          <w:ilvl w:val="0"/>
          <w:numId w:val="1036"/>
        </w:numPr>
        <w:pStyle w:val="Compact"/>
      </w:pPr>
      <w:r>
        <w:t xml:space="preserve">The play’s structure, moving from morning’s fragile hope to night’s devastating clarity, formally enacts its central theme of the family’s inescapable entrapment by its own past.</w:t>
      </w:r>
    </w:p>
    <w:bookmarkEnd w:id="58"/>
    <w:bookmarkEnd w:id="59"/>
    <w:bookmarkStart w:id="67" w:name="v.-novels"/>
    <w:p>
      <w:pPr>
        <w:pStyle w:val="Heading2"/>
      </w:pPr>
      <w:r>
        <w:t xml:space="preserve">V. Novels</w:t>
      </w:r>
    </w:p>
    <w:bookmarkStart w:id="60" w:name="thomas-hardy-far-from-the-madding-crowd"/>
    <w:p>
      <w:pPr>
        <w:pStyle w:val="Heading3"/>
      </w:pPr>
      <w:r>
        <w:t xml:space="preserve">37. Thomas Hardy — Far from the Madding Crowd</w:t>
      </w:r>
    </w:p>
    <w:p>
      <w:pPr>
        <w:pStyle w:val="FirstParagraph"/>
      </w:pPr>
      <w:r>
        <w:t xml:space="preserve">Thomas Hardy’s</w:t>
      </w:r>
      <w:r>
        <w:t xml:space="preserve"> </w:t>
      </w:r>
      <w:r>
        <w:rPr>
          <w:iCs/>
          <w:i/>
        </w:rPr>
        <w:t xml:space="preserve">Far from the Madding Crowd</w:t>
      </w:r>
      <w:r>
        <w:t xml:space="preserve"> </w:t>
      </w:r>
      <w:r>
        <w:t xml:space="preserve">(1874) established the pastoral setting of</w:t>
      </w:r>
      <w:r>
        <w:t xml:space="preserve"> </w:t>
      </w:r>
      <w:r>
        <w:t xml:space="preserve">“</w:t>
      </w:r>
      <w:r>
        <w:t xml:space="preserve">Wessex</w:t>
      </w:r>
      <w:r>
        <w:t xml:space="preserve">”</w:t>
      </w:r>
      <w:r>
        <w:t xml:space="preserve"> </w:t>
      </w:r>
      <w:r>
        <w:t xml:space="preserve">(Hardy’s fictionalised rural southwest England) that would define his subsequent major fiction, following the independent-minded Bathsheba Everdene through a romantic entanglement with three very different suitors against a backdrop of rural agricultural life.</w:t>
      </w:r>
    </w:p>
    <w:p>
      <w:pPr>
        <w:pStyle w:val="BodyText"/>
      </w:pPr>
      <w:r>
        <w:rPr>
          <w:bCs/>
          <w:b/>
        </w:rPr>
        <w:t xml:space="preserve">Plot and central situation.</w:t>
      </w:r>
      <w:r>
        <w:t xml:space="preserve"> </w:t>
      </w:r>
      <w:r>
        <w:t xml:space="preserve">Bathsheba Everdene, having unexpectedly inherited a farm, navigates courtship from three contrasting men — the steady, devoted shepherd Gabriel Oak, the wealthy but emotionally repressed farmer William Boldwood, and the charming but reckless soldier Sergeant Troy — with Bathsheba’s own impulsive early choices (marrying Troy) leading to tragedy and hardship before the novel’s resolution ultimately unites her with the patient, loyal Oak, whose steady worth becomes fully apparent only after the novel’s more dramatic romantic and tragic complications have played out.</w:t>
      </w:r>
    </w:p>
    <w:p>
      <w:pPr>
        <w:pStyle w:val="BodyText"/>
      </w:pPr>
      <w:r>
        <w:rPr>
          <w:bCs/>
          <w:b/>
        </w:rPr>
        <w:t xml:space="preserve">Central themes: character, judgement, and rural continuity.</w:t>
      </w:r>
      <w:r>
        <w:t xml:space="preserve"> </w:t>
      </w:r>
      <w:r>
        <w:t xml:space="preserve">Hardy uses Bathsheba’s romantic choices to explore questions of character and judgement — contrasting Oak’s unglamorous but genuine reliability against Troy’s superficially attractive but ultimately destructive charm and Boldwood’s obsessive, repressed passion — while the novel’s detailed depiction of agricultural labour and the rhythms of rural life (sheep-shearing, harvest, the practical work of farm management) grounds this romantic plot within a richly evoked working rural world, establishing the close relationship between human character, moral worth, and connection to the land that becomes a defining preoccupation across Hardy’s Wessex fiction.</w:t>
      </w:r>
    </w:p>
    <w:p>
      <w:pPr>
        <w:pStyle w:val="BodyText"/>
      </w:pPr>
      <w:r>
        <w:rPr>
          <w:bCs/>
          <w:b/>
        </w:rPr>
        <w:t xml:space="preserve">Key Takeaways</w:t>
      </w:r>
    </w:p>
    <w:p>
      <w:pPr>
        <w:numPr>
          <w:ilvl w:val="0"/>
          <w:numId w:val="1037"/>
        </w:numPr>
        <w:pStyle w:val="Compact"/>
      </w:pPr>
      <w:r>
        <w:t xml:space="preserve">Bathsheba Everdene navigates courtship from three contrasting suitors — steady Gabriel Oak, repressed Boldwood, and charming but destructive Sergeant Troy — with her impulsive early choices leading to tragedy before eventual union with Oak.</w:t>
      </w:r>
    </w:p>
    <w:p>
      <w:pPr>
        <w:numPr>
          <w:ilvl w:val="0"/>
          <w:numId w:val="1037"/>
        </w:numPr>
        <w:pStyle w:val="Compact"/>
      </w:pPr>
      <w:r>
        <w:t xml:space="preserve">The novel explores questions of character and judgement through this romantic triangle, contrasting genuine reliability against superficial charm and obsessive repression.</w:t>
      </w:r>
    </w:p>
    <w:p>
      <w:pPr>
        <w:numPr>
          <w:ilvl w:val="0"/>
          <w:numId w:val="1037"/>
        </w:numPr>
        <w:pStyle w:val="Compact"/>
      </w:pPr>
      <w:r>
        <w:t xml:space="preserve">Hardy’s detailed depiction of agricultural labour and rural rhythms establishes the close relationship between character, moral worth, and connection to the land that defines his subsequent Wessex fiction.</w:t>
      </w:r>
    </w:p>
    <w:bookmarkEnd w:id="60"/>
    <w:bookmarkStart w:id="61" w:name="d.-h.-lawrence-sons-and-lovers"/>
    <w:p>
      <w:pPr>
        <w:pStyle w:val="Heading3"/>
      </w:pPr>
      <w:r>
        <w:t xml:space="preserve">38. D. H. Lawrence — Sons and Lovers</w:t>
      </w:r>
    </w:p>
    <w:p>
      <w:pPr>
        <w:pStyle w:val="FirstParagraph"/>
      </w:pPr>
      <w:r>
        <w:t xml:space="preserve">D. H. Lawrence’s</w:t>
      </w:r>
      <w:r>
        <w:t xml:space="preserve"> </w:t>
      </w:r>
      <w:r>
        <w:rPr>
          <w:iCs/>
          <w:i/>
        </w:rPr>
        <w:t xml:space="preserve">Sons and Lovers</w:t>
      </w:r>
      <w:r>
        <w:t xml:space="preserve"> </w:t>
      </w:r>
      <w:r>
        <w:t xml:space="preserve">(1913), substantially autobiographical, traces the psychological development of Paul Morel, a young man from a working-class mining family, focusing particularly on his intensely close, ultimately constraining relationship with his mother and its damaging effect on his subsequent romantic relationships.</w:t>
      </w:r>
    </w:p>
    <w:p>
      <w:pPr>
        <w:pStyle w:val="BodyText"/>
      </w:pPr>
      <w:r>
        <w:rPr>
          <w:bCs/>
          <w:b/>
        </w:rPr>
        <w:t xml:space="preserve">Plot and central situation.</w:t>
      </w:r>
      <w:r>
        <w:t xml:space="preserve"> </w:t>
      </w:r>
      <w:r>
        <w:t xml:space="preserve">Paul grows up in a household marked by his mother Gertrude’s unhappy marriage to his coarse, hard-drinking miner father, with Gertrude investing her frustrated emotional needs and ambitions increasingly in Paul (following the death of her elder son William), creating an intense, psychologically fraught mother-son bond that Paul struggles, across the novel’s second half, to separate himself from sufficiently to pursue genuine independent romantic relationships, first with the spiritually intense Miriam and then with the more sensually direct, married Clara — Paul’s inability to fully commit to either woman is directly traced to his mother’s continuing psychological hold over him, a hold broken only, and ambiguously, by her eventual death.</w:t>
      </w:r>
    </w:p>
    <w:p>
      <w:pPr>
        <w:pStyle w:val="BodyText"/>
      </w:pPr>
      <w:r>
        <w:rPr>
          <w:bCs/>
          <w:b/>
        </w:rPr>
        <w:t xml:space="preserve">Central themes: the Oedipal dynamic and industrial working-class life.</w:t>
      </w:r>
      <w:r>
        <w:t xml:space="preserve"> </w:t>
      </w:r>
      <w:r>
        <w:t xml:space="preserve">The novel is frequently discussed through a broadly Freudian/Oedipal lens (Topic 47), given its explicit dramatisation of a son’s psychologically damaging over-attachment to his mother interfering with his capacity for mature adult romantic love; simultaneously, Lawrence grounds this psychological drama within a richly detailed depiction of English industrial working-class mining life, exploring how economic hardship, gender roles, and class constraint shape the Morel family’s dynamics, making the novel significant both as an early, psychologically probing exploration of family dynamics and as a document of early 20th-century English working-class experience.</w:t>
      </w:r>
    </w:p>
    <w:p>
      <w:pPr>
        <w:pStyle w:val="BodyText"/>
      </w:pPr>
      <w:r>
        <w:rPr>
          <w:bCs/>
          <w:b/>
        </w:rPr>
        <w:t xml:space="preserve">Key Takeaways</w:t>
      </w:r>
    </w:p>
    <w:p>
      <w:pPr>
        <w:numPr>
          <w:ilvl w:val="0"/>
          <w:numId w:val="1038"/>
        </w:numPr>
        <w:pStyle w:val="Compact"/>
      </w:pPr>
      <w:r>
        <w:t xml:space="preserve">Paul Morel’s intensely close relationship with his emotionally frustrated mother, invested with her thwarted ambitions following his brother’s death, comes to constrain his capacity for independent adult romantic relationships.</w:t>
      </w:r>
    </w:p>
    <w:p>
      <w:pPr>
        <w:numPr>
          <w:ilvl w:val="0"/>
          <w:numId w:val="1038"/>
        </w:numPr>
        <w:pStyle w:val="Compact"/>
      </w:pPr>
      <w:r>
        <w:t xml:space="preserve">His inability to fully commit to either Miriam or Clara is directly traced to his mother’s continuing psychological hold, broken only ambiguously by her death.</w:t>
      </w:r>
    </w:p>
    <w:p>
      <w:pPr>
        <w:numPr>
          <w:ilvl w:val="0"/>
          <w:numId w:val="1038"/>
        </w:numPr>
        <w:pStyle w:val="Compact"/>
      </w:pPr>
      <w:r>
        <w:t xml:space="preserve">The novel is frequently read through a Freudian/Oedipal lens while also serving as a richly detailed document of English industrial working-class mining life and its constraints.</w:t>
      </w:r>
    </w:p>
    <w:bookmarkEnd w:id="61"/>
    <w:bookmarkStart w:id="62" w:name="george-orwell-nineteen-eighty-four"/>
    <w:p>
      <w:pPr>
        <w:pStyle w:val="Heading3"/>
      </w:pPr>
      <w:r>
        <w:t xml:space="preserve">39. George Orwell — Nineteen Eighty-Four</w:t>
      </w:r>
    </w:p>
    <w:p>
      <w:pPr>
        <w:pStyle w:val="FirstParagraph"/>
      </w:pPr>
      <w:r>
        <w:t xml:space="preserve">George Orwell’s</w:t>
      </w:r>
      <w:r>
        <w:t xml:space="preserve"> </w:t>
      </w:r>
      <w:r>
        <w:rPr>
          <w:iCs/>
          <w:i/>
        </w:rPr>
        <w:t xml:space="preserve">Nineteen Eighty-Four</w:t>
      </w:r>
      <w:r>
        <w:t xml:space="preserve"> </w:t>
      </w:r>
      <w:r>
        <w:t xml:space="preserve">(1949) is among the most influential dystopian novels in world literature, depicting a totalitarian superstate’s total control over thought, language, and historical memory, and extending the concerns about language and political honesty Orwell developed in his essays (Topics 2–3) into a fully realised fictional world.</w:t>
      </w:r>
    </w:p>
    <w:p>
      <w:pPr>
        <w:pStyle w:val="BodyText"/>
      </w:pPr>
      <w:r>
        <w:rPr>
          <w:bCs/>
          <w:b/>
        </w:rPr>
        <w:t xml:space="preserve">Plot and central situation.</w:t>
      </w:r>
      <w:r>
        <w:t xml:space="preserve"> </w:t>
      </w:r>
      <w:r>
        <w:t xml:space="preserve">Winston Smith, a low-level functionary in the totalitarian state of Oceania who works at the Ministry of Truth altering historical records to match the Party’s current version of events, secretly rebels against the omnipresent surveillance and ideological control of Big Brother, engaging in a forbidden love affair with Julia and seeking out what he believes to be an underground resistance movement — the novel traces his eventual capture, imprisonment, and brutal psychological torture at the Ministry of Love, culminating in his complete ideological capitulation and, in the novel’s bleak final image, his professed love for Big Brother.</w:t>
      </w:r>
    </w:p>
    <w:p>
      <w:pPr>
        <w:pStyle w:val="BodyText"/>
      </w:pPr>
      <w:r>
        <w:rPr>
          <w:bCs/>
          <w:b/>
        </w:rPr>
        <w:t xml:space="preserve">Central themes: language, memory, and total control.</w:t>
      </w:r>
      <w:r>
        <w:t xml:space="preserve"> </w:t>
      </w:r>
      <w:r>
        <w:t xml:space="preserve">The novel’s invented language Newspeak, designed to progressively eliminate vocabulary capable of expressing dissenting or rebellious thought (directly extending the argument of</w:t>
      </w:r>
      <w:r>
        <w:t xml:space="preserve"> </w:t>
      </w:r>
      <w:r>
        <w:t xml:space="preserve">“</w:t>
      </w:r>
      <w:r>
        <w:t xml:space="preserve">Politics and the English Language,</w:t>
      </w:r>
      <w:r>
        <w:t xml:space="preserve">”</w:t>
      </w:r>
      <w:r>
        <w:t xml:space="preserve"> </w:t>
      </w:r>
      <w:r>
        <w:t xml:space="preserve">Topic 2, that controlling language controls thought itself), and the Party’s practice of continuously rewriting historical records to eliminate any record contradicting current orthodoxy (embodied in the slogan</w:t>
      </w:r>
      <w:r>
        <w:t xml:space="preserve"> </w:t>
      </w:r>
      <w:r>
        <w:t xml:space="preserve">“</w:t>
      </w:r>
      <w:r>
        <w:t xml:space="preserve">Who controls the past controls the future: who controls the present controls the past</w:t>
      </w:r>
      <w:r>
        <w:t xml:space="preserve">”</w:t>
      </w:r>
      <w:r>
        <w:t xml:space="preserve">) together dramatise Orwell’s central thesis that totalitarian power depends fundamentally on controlling not merely behaviour but the very capacity for independent thought and memory; the novel’s bleak ending, in which even Winston’s innermost private love and rebellion are ultimately broken and redirected toward loving the very power that destroyed them, represents one of the most despairing conclusions in modern literature regarding the possibility of resisting total state power.</w:t>
      </w:r>
    </w:p>
    <w:p>
      <w:pPr>
        <w:pStyle w:val="BodyText"/>
      </w:pPr>
      <w:r>
        <w:rPr>
          <w:bCs/>
          <w:b/>
        </w:rPr>
        <w:t xml:space="preserve">Key Takeaways</w:t>
      </w:r>
    </w:p>
    <w:p>
      <w:pPr>
        <w:numPr>
          <w:ilvl w:val="0"/>
          <w:numId w:val="1039"/>
        </w:numPr>
        <w:pStyle w:val="Compact"/>
      </w:pPr>
      <w:r>
        <w:t xml:space="preserve">Winston Smith’s secret rebellion against the totalitarian Party — his love affair with Julia and search for resistance — ends in capture, torture, and complete ideological capitulation.</w:t>
      </w:r>
    </w:p>
    <w:p>
      <w:pPr>
        <w:numPr>
          <w:ilvl w:val="0"/>
          <w:numId w:val="1039"/>
        </w:numPr>
        <w:pStyle w:val="Compact"/>
      </w:pPr>
      <w:r>
        <w:t xml:space="preserve">Newspeak, designed to eliminate vocabulary for dissenting thought, and the Party’s continuous rewriting of history extend Orwell’s essay argument that controlling language controls thought itself.</w:t>
      </w:r>
    </w:p>
    <w:p>
      <w:pPr>
        <w:numPr>
          <w:ilvl w:val="0"/>
          <w:numId w:val="1039"/>
        </w:numPr>
        <w:pStyle w:val="Compact"/>
      </w:pPr>
      <w:r>
        <w:t xml:space="preserve">The novel’s bleak ending, in which even Winston’s innermost rebellion is broken and redirected into love for Big Brother, offers one of modern literature’s most despairing statements on resisting total state power.</w:t>
      </w:r>
    </w:p>
    <w:bookmarkEnd w:id="62"/>
    <w:bookmarkStart w:id="63" w:name="X84d9241b1ae25f74e34dec7fe49c87fbecc9a30"/>
    <w:p>
      <w:pPr>
        <w:pStyle w:val="Heading3"/>
      </w:pPr>
      <w:r>
        <w:t xml:space="preserve">40. James Joyce — A Portrait of the Artist as a Young Man</w:t>
      </w:r>
    </w:p>
    <w:p>
      <w:pPr>
        <w:pStyle w:val="FirstParagraph"/>
      </w:pPr>
      <w:r>
        <w:t xml:space="preserve">James Joyce’s</w:t>
      </w:r>
      <w:r>
        <w:t xml:space="preserve"> </w:t>
      </w:r>
      <w:r>
        <w:rPr>
          <w:iCs/>
          <w:i/>
        </w:rPr>
        <w:t xml:space="preserve">A Portrait of the Artist as a Young Man</w:t>
      </w:r>
      <w:r>
        <w:t xml:space="preserve"> </w:t>
      </w:r>
      <w:r>
        <w:t xml:space="preserve">(1916) traces the intellectual, artistic, and spiritual development of Stephen Dedalus from childhood through his eventual decision, at the novel’s close, to leave Ireland and dedicate himself entirely to artistic creation, pioneering techniques of psychological interiority that would prove enormously influential for subsequent Modernist fiction.</w:t>
      </w:r>
    </w:p>
    <w:p>
      <w:pPr>
        <w:pStyle w:val="BodyText"/>
      </w:pPr>
      <w:r>
        <w:rPr>
          <w:bCs/>
          <w:b/>
        </w:rPr>
        <w:t xml:space="preserve">Plot and structure.</w:t>
      </w:r>
      <w:r>
        <w:t xml:space="preserve"> </w:t>
      </w:r>
      <w:r>
        <w:t xml:space="preserve">The novel follows Stephen’s development across distinct stages — early childhood sensory impressions, a period of intense religious devotion and subsequent guilt-ridden rebellion against Catholic orthodoxy, and his eventual articulation of an aesthetic philosophy that leads him to reject the competing claims of family, nation, and church in favour of artistic vocation — with the novel’s prose style itself evolving across these stages to match Stephen’s developing consciousness, moving from simple, childlike sentence structures in the opening pages toward increasingly sophisticated, intellectually complex prose as Stephen matures.</w:t>
      </w:r>
    </w:p>
    <w:p>
      <w:pPr>
        <w:pStyle w:val="BodyText"/>
      </w:pPr>
      <w:r>
        <w:rPr>
          <w:bCs/>
          <w:b/>
        </w:rPr>
        <w:t xml:space="preserve">Central themes: artistic vocation versus inherited constraint.</w:t>
      </w:r>
      <w:r>
        <w:t xml:space="preserve"> </w:t>
      </w:r>
      <w:r>
        <w:t xml:space="preserve">The novel’s climactic articulation of Stephen’s resolve — to forge, in his own words,</w:t>
      </w:r>
      <w:r>
        <w:t xml:space="preserve"> </w:t>
      </w:r>
      <w:r>
        <w:t xml:space="preserve">“</w:t>
      </w:r>
      <w:r>
        <w:t xml:space="preserve">the uncreated conscience of my race</w:t>
      </w:r>
      <w:r>
        <w:t xml:space="preserve">”</w:t>
      </w:r>
      <w:r>
        <w:t xml:space="preserve"> </w:t>
      </w:r>
      <w:r>
        <w:t xml:space="preserve">in the</w:t>
      </w:r>
      <w:r>
        <w:t xml:space="preserve"> </w:t>
      </w:r>
      <w:r>
        <w:t xml:space="preserve">“</w:t>
      </w:r>
      <w:r>
        <w:t xml:space="preserve">smithy of my soul,</w:t>
      </w:r>
      <w:r>
        <w:t xml:space="preserve">”</w:t>
      </w:r>
      <w:r>
        <w:t xml:space="preserve"> </w:t>
      </w:r>
      <w:r>
        <w:t xml:space="preserve">having refused to serve what he calls</w:t>
      </w:r>
      <w:r>
        <w:t xml:space="preserve"> </w:t>
      </w:r>
      <w:r>
        <w:t xml:space="preserve">“</w:t>
      </w:r>
      <w:r>
        <w:t xml:space="preserve">home, fatherland, or church</w:t>
      </w:r>
      <w:r>
        <w:t xml:space="preserve">”</w:t>
      </w:r>
      <w:r>
        <w:t xml:space="preserve"> </w:t>
      </w:r>
      <w:r>
        <w:t xml:space="preserve">— crystallises the novel’s central argument that authentic artistic creation requires a decisive break from inherited social, religious, and national constraint, a theme continuous with Joyce’s own biography and one he develops further in his subsequent, more radically experimental fiction (including</w:t>
      </w:r>
      <w:r>
        <w:t xml:space="preserve"> </w:t>
      </w:r>
      <w:r>
        <w:rPr>
          <w:iCs/>
          <w:i/>
        </w:rPr>
        <w:t xml:space="preserve">Ulysses</w:t>
      </w:r>
      <w:r>
        <w:t xml:space="preserve">, which continues Stephen Dedalus’s story); the novel’s pioneering use of free indirect discourse (rendering Stephen’s thoughts and perceptions directly, without conventional narratorial mediation) represents a significant technical innovation influential across subsequent Modernist fiction.</w:t>
      </w:r>
    </w:p>
    <w:p>
      <w:pPr>
        <w:pStyle w:val="BodyText"/>
      </w:pPr>
      <w:r>
        <w:rPr>
          <w:bCs/>
          <w:b/>
        </w:rPr>
        <w:t xml:space="preserve">Key Takeaways</w:t>
      </w:r>
    </w:p>
    <w:p>
      <w:pPr>
        <w:numPr>
          <w:ilvl w:val="0"/>
          <w:numId w:val="1040"/>
        </w:numPr>
        <w:pStyle w:val="Compact"/>
      </w:pPr>
      <w:r>
        <w:t xml:space="preserve">The novel traces Stephen Dedalus’s development from childhood through religious devotion and rebellion to his eventual decision to leave Ireland and dedicate himself to artistic creation.</w:t>
      </w:r>
    </w:p>
    <w:p>
      <w:pPr>
        <w:numPr>
          <w:ilvl w:val="0"/>
          <w:numId w:val="1040"/>
        </w:numPr>
        <w:pStyle w:val="Compact"/>
      </w:pPr>
      <w:r>
        <w:t xml:space="preserve">Its prose style evolves across the novel to match Stephen’s developing consciousness, from simple childlike sentences to increasingly sophisticated, intellectually complex prose.</w:t>
      </w:r>
    </w:p>
    <w:p>
      <w:pPr>
        <w:numPr>
          <w:ilvl w:val="0"/>
          <w:numId w:val="1040"/>
        </w:numPr>
        <w:pStyle w:val="Compact"/>
      </w:pPr>
      <w:r>
        <w:t xml:space="preserve">Stephen’s climactic resolve to forge</w:t>
      </w:r>
      <w:r>
        <w:t xml:space="preserve"> </w:t>
      </w:r>
      <w:r>
        <w:t xml:space="preserve">“</w:t>
      </w:r>
      <w:r>
        <w:t xml:space="preserve">the uncreated conscience of my race</w:t>
      </w:r>
      <w:r>
        <w:t xml:space="preserve">”</w:t>
      </w:r>
      <w:r>
        <w:t xml:space="preserve"> </w:t>
      </w:r>
      <w:r>
        <w:t xml:space="preserve">while rejecting</w:t>
      </w:r>
      <w:r>
        <w:t xml:space="preserve"> </w:t>
      </w:r>
      <w:r>
        <w:t xml:space="preserve">“</w:t>
      </w:r>
      <w:r>
        <w:t xml:space="preserve">home, fatherland, or church</w:t>
      </w:r>
      <w:r>
        <w:t xml:space="preserve">”</w:t>
      </w:r>
      <w:r>
        <w:t xml:space="preserve"> </w:t>
      </w:r>
      <w:r>
        <w:t xml:space="preserve">crystallises the novel’s argument that authentic art requires breaking from inherited constraint, delivered through pioneering, influential use of free indirect discourse.</w:t>
      </w:r>
    </w:p>
    <w:bookmarkEnd w:id="63"/>
    <w:bookmarkStart w:id="64" w:name="iris-murdoch-under-the-net"/>
    <w:p>
      <w:pPr>
        <w:pStyle w:val="Heading3"/>
      </w:pPr>
      <w:r>
        <w:t xml:space="preserve">41. Iris Murdoch — Under the Net</w:t>
      </w:r>
    </w:p>
    <w:p>
      <w:pPr>
        <w:pStyle w:val="FirstParagraph"/>
      </w:pPr>
      <w:r>
        <w:t xml:space="preserve">Iris Murdoch’s debut novel</w:t>
      </w:r>
      <w:r>
        <w:t xml:space="preserve"> </w:t>
      </w:r>
      <w:r>
        <w:rPr>
          <w:iCs/>
          <w:i/>
        </w:rPr>
        <w:t xml:space="preserve">Under the Net</w:t>
      </w:r>
      <w:r>
        <w:t xml:space="preserve"> </w:t>
      </w:r>
      <w:r>
        <w:t xml:space="preserve">(1954) follows the aimless, philosophically self-deceiving writer Jake Donaghue through a picaresque series of adventures in London and Paris, using comic plotting to explore Murdoch’s characteristic philosophical concerns about the limits of language and the difficulty of perceiving other people, and reality itself, clearly and honestly.</w:t>
      </w:r>
    </w:p>
    <w:p>
      <w:pPr>
        <w:pStyle w:val="BodyText"/>
      </w:pPr>
      <w:r>
        <w:rPr>
          <w:bCs/>
          <w:b/>
        </w:rPr>
        <w:t xml:space="preserve">Plot and central situation.</w:t>
      </w:r>
      <w:r>
        <w:t xml:space="preserve"> </w:t>
      </w:r>
      <w:r>
        <w:t xml:space="preserve">Jake, a translator and occasional writer prone to elaborate self-justifying theorising, is evicted from his lodgings and embarks on a loosely connected series of comic escapades — involving a stolen dog, a film-industry scheme, and entanglements with a circle of friends and former lovers whose actual motivations and circumstances Jake persistently misreads through the lens of his own self-serving theories — before arriving, by the novel’s close, at a more chastened, clear-sighted understanding of himself and others.</w:t>
      </w:r>
    </w:p>
    <w:p>
      <w:pPr>
        <w:pStyle w:val="BodyText"/>
      </w:pPr>
      <w:r>
        <w:rPr>
          <w:bCs/>
          <w:b/>
        </w:rPr>
        <w:t xml:space="preserve">Central themes: the</w:t>
      </w:r>
      <w:r>
        <w:rPr>
          <w:bCs/>
          <w:b/>
        </w:rPr>
        <w:t xml:space="preserve"> </w:t>
      </w:r>
      <w:r>
        <w:rPr>
          <w:bCs/>
          <w:b/>
        </w:rPr>
        <w:t xml:space="preserve">“</w:t>
      </w:r>
      <w:r>
        <w:rPr>
          <w:bCs/>
          <w:b/>
        </w:rPr>
        <w:t xml:space="preserve">net</w:t>
      </w:r>
      <w:r>
        <w:rPr>
          <w:bCs/>
          <w:b/>
        </w:rPr>
        <w:t xml:space="preserve">”</w:t>
      </w:r>
      <w:r>
        <w:rPr>
          <w:bCs/>
          <w:b/>
        </w:rPr>
        <w:t xml:space="preserve"> </w:t>
      </w:r>
      <w:r>
        <w:rPr>
          <w:bCs/>
          <w:b/>
        </w:rPr>
        <w:t xml:space="preserve">of language and theory versus direct perception.</w:t>
      </w:r>
      <w:r>
        <w:t xml:space="preserve"> </w:t>
      </w:r>
      <w:r>
        <w:t xml:space="preserve">The novel’s title alludes to the central philosophical concern running through the book — the danger that abstract theorising and linguistic categorisation (the</w:t>
      </w:r>
      <w:r>
        <w:t xml:space="preserve"> </w:t>
      </w:r>
      <w:r>
        <w:t xml:space="preserve">“</w:t>
      </w:r>
      <w:r>
        <w:t xml:space="preserve">net</w:t>
      </w:r>
      <w:r>
        <w:t xml:space="preserve">”</w:t>
      </w:r>
      <w:r>
        <w:t xml:space="preserve"> </w:t>
      </w:r>
      <w:r>
        <w:t xml:space="preserve">of concepts we impose on experience) can obscure rather than reveal the genuine, particular reality of other people and situations, a concern reflecting Murdoch’s own background as a professional philosopher; Jake’s comic misadventures repeatedly demonstrate how his elaborate theoretical frameworks for understanding his friends and his own situation blind him to what is actually happening, and the novel’s resolution involves Jake’s gradual, hard-won movement toward a more direct, theory-resistant attentiveness to the genuine particularity of other people, a theme central to Murdoch’s mature ethical philosophy and later fiction alike.</w:t>
      </w:r>
    </w:p>
    <w:p>
      <w:pPr>
        <w:pStyle w:val="BodyText"/>
      </w:pPr>
      <w:r>
        <w:rPr>
          <w:bCs/>
          <w:b/>
        </w:rPr>
        <w:t xml:space="preserve">Key Takeaways</w:t>
      </w:r>
    </w:p>
    <w:p>
      <w:pPr>
        <w:numPr>
          <w:ilvl w:val="0"/>
          <w:numId w:val="1041"/>
        </w:numPr>
        <w:pStyle w:val="Compact"/>
      </w:pPr>
      <w:r>
        <w:t xml:space="preserve">Jake Donaghue, a self-justifying writer prone to elaborate theorising, moves through a comic series of London and Paris misadventures, persistently misreading his friends through self-serving theoretical frameworks.</w:t>
      </w:r>
    </w:p>
    <w:p>
      <w:pPr>
        <w:numPr>
          <w:ilvl w:val="0"/>
          <w:numId w:val="1041"/>
        </w:numPr>
        <w:pStyle w:val="Compact"/>
      </w:pPr>
      <w:r>
        <w:t xml:space="preserve">The novel’s title alludes to its central philosophical concern: that abstract theorising and language (the</w:t>
      </w:r>
      <w:r>
        <w:t xml:space="preserve"> </w:t>
      </w:r>
      <w:r>
        <w:t xml:space="preserve">“</w:t>
      </w:r>
      <w:r>
        <w:t xml:space="preserve">net</w:t>
      </w:r>
      <w:r>
        <w:t xml:space="preserve">”</w:t>
      </w:r>
      <w:r>
        <w:t xml:space="preserve"> </w:t>
      </w:r>
      <w:r>
        <w:t xml:space="preserve">of concepts) can obscure rather than reveal genuine reality and other people.</w:t>
      </w:r>
    </w:p>
    <w:p>
      <w:pPr>
        <w:numPr>
          <w:ilvl w:val="0"/>
          <w:numId w:val="1041"/>
        </w:numPr>
        <w:pStyle w:val="Compact"/>
      </w:pPr>
      <w:r>
        <w:t xml:space="preserve">Jake’s gradual movement toward more direct, theory-resistant attentiveness to others reflects Murdoch’s own philosophical background and anticipates central concerns of her mature ethical thought.</w:t>
      </w:r>
    </w:p>
    <w:bookmarkEnd w:id="64"/>
    <w:bookmarkStart w:id="65" w:name="nathaniel-hawthorne-the-scarlet-letter"/>
    <w:p>
      <w:pPr>
        <w:pStyle w:val="Heading3"/>
      </w:pPr>
      <w:r>
        <w:t xml:space="preserve">42. Nathaniel Hawthorne — The Scarlet Letter</w:t>
      </w:r>
    </w:p>
    <w:p>
      <w:pPr>
        <w:pStyle w:val="FirstParagraph"/>
      </w:pPr>
      <w:r>
        <w:t xml:space="preserve">Nathaniel Hawthorne’s</w:t>
      </w:r>
      <w:r>
        <w:t xml:space="preserve"> </w:t>
      </w:r>
      <w:r>
        <w:rPr>
          <w:iCs/>
          <w:i/>
        </w:rPr>
        <w:t xml:space="preserve">The Scarlet Letter</w:t>
      </w:r>
      <w:r>
        <w:t xml:space="preserve"> </w:t>
      </w:r>
      <w:r>
        <w:t xml:space="preserve">(1850), set in 17th-century Puritan Boston, follows Hester Prynne’s public punishment and prolonged social ostracism for adultery, using her story to interrogate Puritan moral rigidity, hidden guilt, and the complex relationship between public sin and private conscience.</w:t>
      </w:r>
    </w:p>
    <w:p>
      <w:pPr>
        <w:pStyle w:val="BodyText"/>
      </w:pPr>
      <w:r>
        <w:rPr>
          <w:bCs/>
          <w:b/>
        </w:rPr>
        <w:t xml:space="preserve">Plot and central situation.</w:t>
      </w:r>
      <w:r>
        <w:t xml:space="preserve"> </w:t>
      </w:r>
      <w:r>
        <w:t xml:space="preserve">Hester Prynne, condemned to wear an embroidered scarlet letter</w:t>
      </w:r>
      <w:r>
        <w:t xml:space="preserve"> </w:t>
      </w:r>
      <w:r>
        <w:t xml:space="preserve">“</w:t>
      </w:r>
      <w:r>
        <w:t xml:space="preserve">A</w:t>
      </w:r>
      <w:r>
        <w:t xml:space="preserve">”</w:t>
      </w:r>
      <w:r>
        <w:t xml:space="preserve"> </w:t>
      </w:r>
      <w:r>
        <w:t xml:space="preserve">(for Adulteress) as permanent public punishment for bearing a child out of wedlock, refuses throughout the novel to name her child’s father — revealed to the reader as the respected minister Arthur Dimmesdale, whose secret guilt, concealed from the community that continues to revere him, proves psychologically and physically more corrosive than Hester’s openly borne, public shame — while Hester’s vengeful, secretly returned husband Roger Chillingworth insinuates himself into Dimmesdale’s life specifically to discover and torment him with this hidden guilt.</w:t>
      </w:r>
    </w:p>
    <w:p>
      <w:pPr>
        <w:pStyle w:val="BodyText"/>
      </w:pPr>
      <w:r>
        <w:rPr>
          <w:bCs/>
          <w:b/>
        </w:rPr>
        <w:t xml:space="preserve">Central themes: public shame versus private guilt, and Puritan rigidity.</w:t>
      </w:r>
      <w:r>
        <w:t xml:space="preserve"> </w:t>
      </w:r>
      <w:r>
        <w:t xml:space="preserve">The novel’s central irony — that Hester’s openly acknowledged, publicly punished sin allows her a kind of honest, if painful, moral clarity and eventual quiet dignity, while Dimmesdale’s concealed guilt slowly destroys him from within — offers Hawthorne’s critique of a moral system (Puritan society) that prizes outward conformity and public reputation over honest reckoning with genuine moral failure; the scarlet letter itself, initially imposed as pure punishment, becomes over the novel’s course an increasingly ambiguous symbol, as Hester’s dignified endurance gradually transforms the community’s reading of the letter from simple condemnation toward something closer to respect, without the novel ever fully resolving the tension between social judgement and individual moral worth.</w:t>
      </w:r>
    </w:p>
    <w:p>
      <w:pPr>
        <w:pStyle w:val="BodyText"/>
      </w:pPr>
      <w:r>
        <w:rPr>
          <w:bCs/>
          <w:b/>
        </w:rPr>
        <w:t xml:space="preserve">Key Takeaways</w:t>
      </w:r>
    </w:p>
    <w:p>
      <w:pPr>
        <w:numPr>
          <w:ilvl w:val="0"/>
          <w:numId w:val="1042"/>
        </w:numPr>
        <w:pStyle w:val="Compact"/>
      </w:pPr>
      <w:r>
        <w:t xml:space="preserve">Hester Prynne’s openly punished, publicly acknowledged sin is contrasted with the secretly guilty minister Arthur Dimmesdale, whose concealed transgression corrodes him from within.</w:t>
      </w:r>
    </w:p>
    <w:p>
      <w:pPr>
        <w:numPr>
          <w:ilvl w:val="0"/>
          <w:numId w:val="1042"/>
        </w:numPr>
        <w:pStyle w:val="Compact"/>
      </w:pPr>
      <w:r>
        <w:t xml:space="preserve">The novel critiques Puritan society’s prioritisation of outward conformity and public reputation over honest reckoning with genuine moral failure.</w:t>
      </w:r>
    </w:p>
    <w:p>
      <w:pPr>
        <w:numPr>
          <w:ilvl w:val="0"/>
          <w:numId w:val="1042"/>
        </w:numPr>
        <w:pStyle w:val="Compact"/>
      </w:pPr>
      <w:r>
        <w:t xml:space="preserve">The scarlet letter itself evolves from a symbol of pure condemnation into an increasingly ambiguous one, as Hester’s dignified endurance gradually shifts the community’s perception of her.</w:t>
      </w:r>
    </w:p>
    <w:bookmarkEnd w:id="65"/>
    <w:bookmarkStart w:id="66" w:name="william-faulkner-the-sound-and-the-fury"/>
    <w:p>
      <w:pPr>
        <w:pStyle w:val="Heading3"/>
      </w:pPr>
      <w:r>
        <w:t xml:space="preserve">43. William Faulkner — The Sound and the Fury</w:t>
      </w:r>
    </w:p>
    <w:p>
      <w:pPr>
        <w:pStyle w:val="FirstParagraph"/>
      </w:pPr>
      <w:r>
        <w:t xml:space="preserve">William Faulkner’s</w:t>
      </w:r>
      <w:r>
        <w:t xml:space="preserve"> </w:t>
      </w:r>
      <w:r>
        <w:rPr>
          <w:iCs/>
          <w:i/>
        </w:rPr>
        <w:t xml:space="preserve">The Sound and the Fury</w:t>
      </w:r>
      <w:r>
        <w:t xml:space="preserve"> </w:t>
      </w:r>
      <w:r>
        <w:t xml:space="preserve">(1929) is a landmark of literary Modernism, using radically fragmented, multiple-perspective narration — including two sections narrated through severely impaired or unreliable consciousness — to trace the decline of the aristocratic Compson family in the American South, centred obsessively on the family’s absent, idealised sister Caddy.</w:t>
      </w:r>
    </w:p>
    <w:p>
      <w:pPr>
        <w:pStyle w:val="BodyText"/>
      </w:pPr>
      <w:r>
        <w:rPr>
          <w:bCs/>
          <w:b/>
        </w:rPr>
        <w:t xml:space="preserve">Structure and narrative technique.</w:t>
      </w:r>
      <w:r>
        <w:t xml:space="preserve"> </w:t>
      </w:r>
      <w:r>
        <w:t xml:space="preserve">The novel is divided into four sections, each offering a different narrative perspective on the same family history: the opening section, narrated by the intellectually disabled Benjy Compson, presents a famously disorienting, non-chronological stream of consciousness in which past and present intermingle without conventional signalling, requiring considerable reader effort to reconstruct the underlying chronology; the second section, narrated by the psychologically disintegrating Quentin Compson on the day of his suicide, similarly fragments chronology under the pressure of Quentin’s mounting despair; the third section, narrated by the bitter, mercenary Jason Compson, offers a more conventionally linear but morally repellent perspective; and the final section shifts to third-person narration centred on the family’s black servant Dilsey, offering a comparatively more stable, though still limited, external vantage point on the family’s disintegration.</w:t>
      </w:r>
    </w:p>
    <w:p>
      <w:pPr>
        <w:pStyle w:val="BodyText"/>
      </w:pPr>
      <w:r>
        <w:rPr>
          <w:bCs/>
          <w:b/>
        </w:rPr>
        <w:t xml:space="preserve">Central themes: family decline and the absent Caddy.</w:t>
      </w:r>
      <w:r>
        <w:t xml:space="preserve"> </w:t>
      </w:r>
      <w:r>
        <w:t xml:space="preserve">Across all four radically different narrative perspectives, the absent sister Caddy — never given her own narrating section, known only through her brothers’ fragmented, obsessive memories and preoccupations — functions as the novel’s structural and emotional centre, with each brother’s psychological damage traceable, in different ways, to his relationship with and loss of her, making the novel simultaneously a formally radical experiment in narrative technique and a study of the American South’s aristocratic decline refracted through a family’s collective, obsessive mourning for a lost, idealised figure who is herself never granted a direct voice.</w:t>
      </w:r>
    </w:p>
    <w:p>
      <w:pPr>
        <w:pStyle w:val="BodyText"/>
      </w:pPr>
      <w:r>
        <w:rPr>
          <w:bCs/>
          <w:b/>
        </w:rPr>
        <w:t xml:space="preserve">Key Takeaways</w:t>
      </w:r>
    </w:p>
    <w:p>
      <w:pPr>
        <w:numPr>
          <w:ilvl w:val="0"/>
          <w:numId w:val="1043"/>
        </w:numPr>
        <w:pStyle w:val="Compact"/>
      </w:pPr>
      <w:r>
        <w:t xml:space="preserve">The novel’s four sections offer radically different narrative perspectives on the same Compson family history, including the disorienting non-chronological consciousness of the intellectually disabled Benjy and the psychologically disintegrating Quentin.</w:t>
      </w:r>
    </w:p>
    <w:p>
      <w:pPr>
        <w:numPr>
          <w:ilvl w:val="0"/>
          <w:numId w:val="1043"/>
        </w:numPr>
        <w:pStyle w:val="Compact"/>
      </w:pPr>
      <w:r>
        <w:t xml:space="preserve">The absent sister Caddy, never given her own narrating section, functions as the novel’s structural and emotional centre, with each brother’s damage traceable to his relationship with her.</w:t>
      </w:r>
    </w:p>
    <w:p>
      <w:pPr>
        <w:numPr>
          <w:ilvl w:val="0"/>
          <w:numId w:val="1043"/>
        </w:numPr>
        <w:pStyle w:val="Compact"/>
      </w:pPr>
      <w:r>
        <w:t xml:space="preserve">The novel represents a landmark Modernist experiment in fragmented, multiple-perspective narration, simultaneously serving as a study of the American South’s aristocratic decline.</w:t>
      </w:r>
    </w:p>
    <w:bookmarkEnd w:id="66"/>
    <w:bookmarkEnd w:id="67"/>
    <w:bookmarkStart w:id="74" w:name="vi.-literary-theory-and-criticism"/>
    <w:p>
      <w:pPr>
        <w:pStyle w:val="Heading2"/>
      </w:pPr>
      <w:r>
        <w:t xml:space="preserve">VI. Literary Theory and Criticism</w:t>
      </w:r>
    </w:p>
    <w:bookmarkStart w:id="68" w:name="structuralism"/>
    <w:p>
      <w:pPr>
        <w:pStyle w:val="Heading3"/>
      </w:pPr>
      <w:r>
        <w:t xml:space="preserve">44. Structuralism</w:t>
      </w:r>
    </w:p>
    <w:p>
      <w:pPr>
        <w:pStyle w:val="FirstParagraph"/>
      </w:pPr>
      <w:r>
        <w:t xml:space="preserve">Structuralism, emerging from the linguistic theory of Ferdinand de Saussure and applied to literature from the mid-20th century onward, analyses literary texts as systems of signs whose meaning derives not from any inherent connection between word and thing, but from the differential relationships among elements within the overall linguistic and cultural system.</w:t>
      </w:r>
    </w:p>
    <w:p>
      <w:pPr>
        <w:pStyle w:val="BodyText"/>
      </w:pPr>
      <w:r>
        <w:rPr>
          <w:bCs/>
          <w:b/>
        </w:rPr>
        <w:t xml:space="preserve">Core theoretical foundation.</w:t>
      </w:r>
      <w:r>
        <w:t xml:space="preserve"> </w:t>
      </w:r>
      <w:r>
        <w:t xml:space="preserve">Saussure’s foundational insight — that the linguistic sign (word) is arbitrary, deriving its meaning not from any natural connection to the thing it names but from its position within a differential system of relationships to other signs (a word means what it means partly by not being the other words around it) — was extended by structuralist critics from linguistics to literature and culture more broadly, treating narrative structures, character types, and symbolic patterns as elements within larger systems governed by underlying rules and conventions, analogous to grammar, that generate meaning through structural relationship rather than direct reference to reality.</w:t>
      </w:r>
    </w:p>
    <w:p>
      <w:pPr>
        <w:pStyle w:val="BodyText"/>
      </w:pPr>
      <w:r>
        <w:rPr>
          <w:bCs/>
          <w:b/>
        </w:rPr>
        <w:t xml:space="preserve">Application to literary analysis.</w:t>
      </w:r>
      <w:r>
        <w:t xml:space="preserve"> </w:t>
      </w:r>
      <w:r>
        <w:t xml:space="preserve">Structuralist literary critics sought to identify the underlying structural patterns and conventions (analogous to a language’s grammar) that generate meaning across individual literary texts — including narrative structures common across many different specific stories (such as recurring plot functions identified in folk-tale analysis), binary oppositions structuring a text’s meaning (such as nature/culture, or order/chaos), and the conventions of genre that shape how individual texts are read and understood — treating the individual literary work less as a unique, self-contained expression of authorial intention and more as a particular instance generated by and legible through broader systems of narrative and cultural convention.</w:t>
      </w:r>
    </w:p>
    <w:p>
      <w:pPr>
        <w:pStyle w:val="BodyText"/>
      </w:pPr>
      <w:r>
        <w:rPr>
          <w:bCs/>
          <w:b/>
        </w:rPr>
        <w:t xml:space="preserve">Significance and subsequent critique.</w:t>
      </w:r>
      <w:r>
        <w:t xml:space="preserve"> </w:t>
      </w:r>
      <w:r>
        <w:t xml:space="preserve">Structuralism’s emphasis on underlying systems rather than individual authorial intention or the text’s apparent direct reference to reality proved highly influential across literary and cultural studies, but also attracted the critique, articulated by post-structuralist theory (including Deconstruction, Topic 46), that structuralism’s confidence in identifying stable, underlying structural systems itself rested on unexamined assumptions about language’s capacity to generate fixed, determinate meaning — a confidence post-structuralist critics would subsequently challenge.</w:t>
      </w:r>
    </w:p>
    <w:p>
      <w:pPr>
        <w:pStyle w:val="BodyText"/>
      </w:pPr>
      <w:r>
        <w:rPr>
          <w:bCs/>
          <w:b/>
        </w:rPr>
        <w:t xml:space="preserve">Key Takeaways</w:t>
      </w:r>
    </w:p>
    <w:p>
      <w:pPr>
        <w:numPr>
          <w:ilvl w:val="0"/>
          <w:numId w:val="1044"/>
        </w:numPr>
        <w:pStyle w:val="Compact"/>
      </w:pPr>
      <w:r>
        <w:t xml:space="preserve">Structuralism, building on Saussure’s linguistic theory, treats literary meaning as generated through differential relationships among elements within a larger system, rather than through direct reference between word and thing.</w:t>
      </w:r>
    </w:p>
    <w:p>
      <w:pPr>
        <w:numPr>
          <w:ilvl w:val="0"/>
          <w:numId w:val="1044"/>
        </w:numPr>
        <w:pStyle w:val="Compact"/>
      </w:pPr>
      <w:r>
        <w:t xml:space="preserve">Structuralist criticism identifies underlying narrative structures, binary oppositions, and generic conventions that generate meaning across individual texts, treating texts as instances of broader systems rather than unique authorial expressions.</w:t>
      </w:r>
    </w:p>
    <w:p>
      <w:pPr>
        <w:numPr>
          <w:ilvl w:val="0"/>
          <w:numId w:val="1044"/>
        </w:numPr>
        <w:pStyle w:val="Compact"/>
      </w:pPr>
      <w:r>
        <w:t xml:space="preserve">Structuralism’s confidence in identifying stable underlying structures was subsequently challenged by post-structuralist approaches, including Deconstruction (Topic 46).</w:t>
      </w:r>
    </w:p>
    <w:bookmarkEnd w:id="68"/>
    <w:bookmarkStart w:id="69" w:name="marxist-criticism"/>
    <w:p>
      <w:pPr>
        <w:pStyle w:val="Heading3"/>
      </w:pPr>
      <w:r>
        <w:t xml:space="preserve">45. Marxist Criticism</w:t>
      </w:r>
    </w:p>
    <w:p>
      <w:pPr>
        <w:pStyle w:val="FirstParagraph"/>
      </w:pPr>
      <w:r>
        <w:t xml:space="preserve">Marxist literary criticism analyses literary texts in relation to the economic and class structures of the society that produced them, treating literature not as a politically neutral aesthetic object but as a cultural product shaped by, and often reproducing or contesting, the ideological interests of a particular economic and class order.</w:t>
      </w:r>
    </w:p>
    <w:p>
      <w:pPr>
        <w:pStyle w:val="BodyText"/>
      </w:pPr>
      <w:r>
        <w:rPr>
          <w:bCs/>
          <w:b/>
        </w:rPr>
        <w:t xml:space="preserve">Core theoretical foundation.</w:t>
      </w:r>
      <w:r>
        <w:t xml:space="preserve"> </w:t>
      </w:r>
      <w:r>
        <w:t xml:space="preserve">Drawing on Marx’s broader theory of historical materialism — the claim that a society’s economic</w:t>
      </w:r>
      <w:r>
        <w:t xml:space="preserve"> </w:t>
      </w:r>
      <w:r>
        <w:t xml:space="preserve">“</w:t>
      </w:r>
      <w:r>
        <w:t xml:space="preserve">base</w:t>
      </w:r>
      <w:r>
        <w:t xml:space="preserve">”</w:t>
      </w:r>
      <w:r>
        <w:t xml:space="preserve"> </w:t>
      </w:r>
      <w:r>
        <w:t xml:space="preserve">(its mode of production and class relations) fundamentally shapes its cultural, political, and intellectual</w:t>
      </w:r>
      <w:r>
        <w:t xml:space="preserve"> </w:t>
      </w:r>
      <w:r>
        <w:t xml:space="preserve">“</w:t>
      </w:r>
      <w:r>
        <w:t xml:space="preserve">superstructure,</w:t>
      </w:r>
      <w:r>
        <w:t xml:space="preserve">”</w:t>
      </w:r>
      <w:r>
        <w:t xml:space="preserve"> </w:t>
      </w:r>
      <w:r>
        <w:t xml:space="preserve">including its literature — Marxist criticism examines how literary texts encode, reflect, or contest the ideological assumptions of the economic system and class interests that produced them, treating even texts that appear politically neutral or purely aesthetic as bearing traces of the class ideology within which they were written.</w:t>
      </w:r>
    </w:p>
    <w:p>
      <w:pPr>
        <w:pStyle w:val="BodyText"/>
      </w:pPr>
      <w:r>
        <w:rPr>
          <w:bCs/>
          <w:b/>
        </w:rPr>
        <w:t xml:space="preserve">Key concepts.</w:t>
      </w:r>
      <w:r>
        <w:t xml:space="preserve"> </w:t>
      </w:r>
      <w:r>
        <w:rPr>
          <w:bCs/>
          <w:b/>
        </w:rPr>
        <w:t xml:space="preserve">Ideology</w:t>
      </w:r>
      <w:r>
        <w:t xml:space="preserve"> </w:t>
      </w:r>
      <w:r>
        <w:t xml:space="preserve">— the often unexamined, naturalised assumptions and values (about class, hierarchy, and social order) that a text may reproduce without explicit political argument, making prevailing class interests appear as simply natural or common-sensical rather than historically contingent and open to challenge;</w:t>
      </w:r>
      <w:r>
        <w:t xml:space="preserve"> </w:t>
      </w:r>
      <w:r>
        <w:rPr>
          <w:bCs/>
          <w:b/>
        </w:rPr>
        <w:t xml:space="preserve">base and superstructure</w:t>
      </w:r>
      <w:r>
        <w:t xml:space="preserve"> </w:t>
      </w:r>
      <w:r>
        <w:t xml:space="preserve">— the relationship between a society’s underlying economic structure and its cultural production, with orthodox Marxist criticism generally treating culture as substantially, though not always straightforwardly or mechanically, shaped by economic relations; and</w:t>
      </w:r>
      <w:r>
        <w:t xml:space="preserve"> </w:t>
      </w:r>
      <w:r>
        <w:rPr>
          <w:bCs/>
          <w:b/>
        </w:rPr>
        <w:t xml:space="preserve">reflection versus mediation</w:t>
      </w:r>
      <w:r>
        <w:t xml:space="preserve"> </w:t>
      </w:r>
      <w:r>
        <w:t xml:space="preserve">— ongoing debate within Marxist criticism over whether literature simply reflects existing economic and class relations relatively directly, or whether it mediates and transforms those relations through the specific, semi-autonomous demands of literary and aesthetic form.</w:t>
      </w:r>
    </w:p>
    <w:p>
      <w:pPr>
        <w:pStyle w:val="BodyText"/>
      </w:pPr>
      <w:r>
        <w:rPr>
          <w:bCs/>
          <w:b/>
        </w:rPr>
        <w:t xml:space="preserve">Application and examples.</w:t>
      </w:r>
      <w:r>
        <w:t xml:space="preserve"> </w:t>
      </w:r>
      <w:r>
        <w:t xml:space="preserve">Marxist critics might examine how a novel’s plot resolution reinforces or challenges prevailing class hierarchies, how working-class characters are represented (with sympathy, condescension, or invisibility), or how a text’s formal choices (which perspectives are centred, whose interior consciousness is granted narrative attention) reflect underlying assumptions about whose experience matters — approaches directly relevant, for instance, to reading the class dynamics dramatised in Shaw’s</w:t>
      </w:r>
      <w:r>
        <w:t xml:space="preserve"> </w:t>
      </w:r>
      <w:r>
        <w:rPr>
          <w:iCs/>
          <w:i/>
        </w:rPr>
        <w:t xml:space="preserve">Pygmalion</w:t>
      </w:r>
      <w:r>
        <w:t xml:space="preserve"> </w:t>
      </w:r>
      <w:r>
        <w:t xml:space="preserve">(Topic 32) or the industrial working-class setting of Lawrence’s</w:t>
      </w:r>
      <w:r>
        <w:t xml:space="preserve"> </w:t>
      </w:r>
      <w:r>
        <w:rPr>
          <w:iCs/>
          <w:i/>
        </w:rPr>
        <w:t xml:space="preserve">Sons and Lovers</w:t>
      </w:r>
      <w:r>
        <w:t xml:space="preserve"> </w:t>
      </w:r>
      <w:r>
        <w:t xml:space="preserve">(Topic 38).</w:t>
      </w:r>
    </w:p>
    <w:p>
      <w:pPr>
        <w:pStyle w:val="BodyText"/>
      </w:pPr>
      <w:r>
        <w:rPr>
          <w:bCs/>
          <w:b/>
        </w:rPr>
        <w:t xml:space="preserve">Key Takeaways</w:t>
      </w:r>
    </w:p>
    <w:p>
      <w:pPr>
        <w:numPr>
          <w:ilvl w:val="0"/>
          <w:numId w:val="1045"/>
        </w:numPr>
        <w:pStyle w:val="Compact"/>
      </w:pPr>
      <w:r>
        <w:t xml:space="preserve">Marxist criticism analyses literature in relation to the economic and class structures of the society that produced it, examining how texts encode, reflect, or contest prevailing class ideology.</w:t>
      </w:r>
    </w:p>
    <w:p>
      <w:pPr>
        <w:numPr>
          <w:ilvl w:val="0"/>
          <w:numId w:val="1045"/>
        </w:numPr>
        <w:pStyle w:val="Compact"/>
      </w:pPr>
      <w:r>
        <w:t xml:space="preserve">Key concepts include ideology (naturalised assumptions serving class interests), the base-superstructure relationship, and ongoing debate over whether literature simply reflects or actively mediates economic relations.</w:t>
      </w:r>
    </w:p>
    <w:p>
      <w:pPr>
        <w:numPr>
          <w:ilvl w:val="0"/>
          <w:numId w:val="1045"/>
        </w:numPr>
        <w:pStyle w:val="Compact"/>
      </w:pPr>
      <w:r>
        <w:t xml:space="preserve">The approach is directly applicable to texts explicitly engaging class dynamics, such as Shaw’s</w:t>
      </w:r>
      <w:r>
        <w:t xml:space="preserve"> </w:t>
      </w:r>
      <w:r>
        <w:rPr>
          <w:iCs/>
          <w:i/>
        </w:rPr>
        <w:t xml:space="preserve">Pygmalion</w:t>
      </w:r>
      <w:r>
        <w:t xml:space="preserve"> </w:t>
      </w:r>
      <w:r>
        <w:t xml:space="preserve">or Lawrence’s</w:t>
      </w:r>
      <w:r>
        <w:t xml:space="preserve"> </w:t>
      </w:r>
      <w:r>
        <w:rPr>
          <w:iCs/>
          <w:i/>
        </w:rPr>
        <w:t xml:space="preserve">Sons and Lovers</w:t>
      </w:r>
      <w:r>
        <w:t xml:space="preserve">.</w:t>
      </w:r>
    </w:p>
    <w:bookmarkEnd w:id="69"/>
    <w:bookmarkStart w:id="70" w:name="deconstruction"/>
    <w:p>
      <w:pPr>
        <w:pStyle w:val="Heading3"/>
      </w:pPr>
      <w:r>
        <w:t xml:space="preserve">46. Deconstruction</w:t>
      </w:r>
    </w:p>
    <w:p>
      <w:pPr>
        <w:pStyle w:val="FirstParagraph"/>
      </w:pPr>
      <w:r>
        <w:t xml:space="preserve">Deconstruction, most closely associated with the philosopher Jacques Derrida, is a mode of critical reading that seeks to expose the internal contradictions, instabilities, and unresolved tensions within a text’s own language and logic, challenging the assumption that texts possess a single, stable, fully coherent meaning.</w:t>
      </w:r>
    </w:p>
    <w:p>
      <w:pPr>
        <w:pStyle w:val="BodyText"/>
      </w:pPr>
      <w:r>
        <w:rPr>
          <w:bCs/>
          <w:b/>
        </w:rPr>
        <w:t xml:space="preserve">Core theoretical foundation: the instability of language.</w:t>
      </w:r>
      <w:r>
        <w:t xml:space="preserve"> </w:t>
      </w:r>
      <w:r>
        <w:t xml:space="preserve">Deconstruction extends and radicalises Saussure’s structuralist insight (Topic 44) that meaning is generated through differential relationships between signs, arguing that this differential process never fully stabilises into fixed, determinate meaning — every sign’s meaning depends on its difference from other signs, which themselves depend on further differences, in an endless chain (Derrida’s term</w:t>
      </w:r>
      <w:r>
        <w:t xml:space="preserve"> </w:t>
      </w:r>
      <w:r>
        <w:t xml:space="preserve">“</w:t>
      </w:r>
      <w:r>
        <w:t xml:space="preserve">différance</w:t>
      </w:r>
      <w:r>
        <w:t xml:space="preserve">”</w:t>
      </w:r>
      <w:r>
        <w:t xml:space="preserve"> </w:t>
      </w:r>
      <w:r>
        <w:t xml:space="preserve">captures this simultaneous</w:t>
      </w:r>
      <w:r>
        <w:t xml:space="preserve"> </w:t>
      </w:r>
      <w:r>
        <w:t xml:space="preserve">“</w:t>
      </w:r>
      <w:r>
        <w:t xml:space="preserve">differing</w:t>
      </w:r>
      <w:r>
        <w:t xml:space="preserve">”</w:t>
      </w:r>
      <w:r>
        <w:t xml:space="preserve"> </w:t>
      </w:r>
      <w:r>
        <w:t xml:space="preserve">and perpetual</w:t>
      </w:r>
      <w:r>
        <w:t xml:space="preserve"> </w:t>
      </w:r>
      <w:r>
        <w:t xml:space="preserve">“</w:t>
      </w:r>
      <w:r>
        <w:t xml:space="preserve">deferring</w:t>
      </w:r>
      <w:r>
        <w:t xml:space="preserve">”</w:t>
      </w:r>
      <w:r>
        <w:t xml:space="preserve"> </w:t>
      </w:r>
      <w:r>
        <w:t xml:space="preserve">of stable meaning) that resists ever arriving at a final, self-sufficient, grounding meaning outside this endless referential chain.</w:t>
      </w:r>
    </w:p>
    <w:p>
      <w:pPr>
        <w:pStyle w:val="BodyText"/>
      </w:pPr>
      <w:r>
        <w:rPr>
          <w:bCs/>
          <w:b/>
        </w:rPr>
        <w:t xml:space="preserve">Method: locating and exploiting internal textual contradiction.</w:t>
      </w:r>
      <w:r>
        <w:t xml:space="preserve"> </w:t>
      </w:r>
      <w:r>
        <w:t xml:space="preserve">Deconstructive reading characteristically identifies binary oppositions structuring a text’s apparent argument (such as speech/writing, presence/absence, reason/emotion) and demonstrates that the privileged, seemingly primary term in each opposition actually depends on, and cannot be fully separated from, the supposedly secondary, subordinate term — showing that the text’s own language undermines the very hierarchy or stable meaning it appears to assert, revealing what deconstructive critics call the text’s internal</w:t>
      </w:r>
      <w:r>
        <w:t xml:space="preserve"> </w:t>
      </w:r>
      <w:r>
        <w:t xml:space="preserve">“</w:t>
      </w:r>
      <w:r>
        <w:t xml:space="preserve">aporia</w:t>
      </w:r>
      <w:r>
        <w:t xml:space="preserve">”</w:t>
      </w:r>
      <w:r>
        <w:t xml:space="preserve"> </w:t>
      </w:r>
      <w:r>
        <w:t xml:space="preserve">(an irresolvable point of contradiction or undecidability) rather than a single, coherent, intended meaning.</w:t>
      </w:r>
    </w:p>
    <w:p>
      <w:pPr>
        <w:pStyle w:val="BodyText"/>
      </w:pPr>
      <w:r>
        <w:rPr>
          <w:bCs/>
          <w:b/>
        </w:rPr>
        <w:t xml:space="preserve">Significance and critique.</w:t>
      </w:r>
      <w:r>
        <w:t xml:space="preserve"> </w:t>
      </w:r>
      <w:r>
        <w:t xml:space="preserve">Deconstruction proved highly influential, and controversial, across literary studies from the 1970s onward, prized by advocates for its rigorous attentiveness to language’s actual complexity and its challenge to naively confident claims of stable textual meaning, while critics have charged the approach with a tendency toward excessive interpretive relativism, obscure or unnecessarily difficult prose style, and, in some applications, a neglect of a text’s historical and social context in favour of purely internal linguistic analysis — a criticism that motivated subsequent critical approaches (including some strands of Marxist, feminist, and postcolonial criticism, Topics 45, 48–49) to insist on reconnecting textual analysis more directly to historical and social context.</w:t>
      </w:r>
    </w:p>
    <w:p>
      <w:pPr>
        <w:pStyle w:val="BodyText"/>
      </w:pPr>
      <w:r>
        <w:rPr>
          <w:bCs/>
          <w:b/>
        </w:rPr>
        <w:t xml:space="preserve">Key Takeaways</w:t>
      </w:r>
    </w:p>
    <w:p>
      <w:pPr>
        <w:numPr>
          <w:ilvl w:val="0"/>
          <w:numId w:val="1046"/>
        </w:numPr>
        <w:pStyle w:val="Compact"/>
      </w:pPr>
      <w:r>
        <w:t xml:space="preserve">Deconstruction, following Derrida, argues that language’s differential structure never fully stabilises into fixed meaning, since every sign’s meaning depends on an endless chain of further differences.</w:t>
      </w:r>
    </w:p>
    <w:p>
      <w:pPr>
        <w:numPr>
          <w:ilvl w:val="0"/>
          <w:numId w:val="1046"/>
        </w:numPr>
        <w:pStyle w:val="Compact"/>
      </w:pPr>
      <w:r>
        <w:t xml:space="preserve">Its characteristic method identifies binary oppositions structuring a text’s argument and demonstrates that the privileged term actually depends on the subordinate one, revealing internal textual contradiction (</w:t>
      </w:r>
      <w:r>
        <w:t xml:space="preserve">“</w:t>
      </w:r>
      <w:r>
        <w:t xml:space="preserve">aporia</w:t>
      </w:r>
      <w:r>
        <w:t xml:space="preserve">”</w:t>
      </w:r>
      <w:r>
        <w:t xml:space="preserve">) rather than stable, coherent meaning.</w:t>
      </w:r>
    </w:p>
    <w:p>
      <w:pPr>
        <w:numPr>
          <w:ilvl w:val="0"/>
          <w:numId w:val="1046"/>
        </w:numPr>
        <w:pStyle w:val="Compact"/>
      </w:pPr>
      <w:r>
        <w:t xml:space="preserve">While influential for its rigorous attentiveness to linguistic complexity, deconstruction has been criticised for interpretive relativism and neglect of historical/social context, prompting subsequent approaches to reconnect textual analysis to context more directly.</w:t>
      </w:r>
    </w:p>
    <w:bookmarkEnd w:id="70"/>
    <w:bookmarkStart w:id="71" w:name="psychoanalytic-criticism"/>
    <w:p>
      <w:pPr>
        <w:pStyle w:val="Heading3"/>
      </w:pPr>
      <w:r>
        <w:t xml:space="preserve">47. Psychoanalytic Criticism</w:t>
      </w:r>
    </w:p>
    <w:p>
      <w:pPr>
        <w:pStyle w:val="FirstParagraph"/>
      </w:pPr>
      <w:r>
        <w:t xml:space="preserve">Psychoanalytic literary criticism applies concepts from Sigmund Freud’s psychoanalytic theory (and later theorists building on or revising Freud, including Jacques Lacan) to interpret literary texts, treating them as expressions of unconscious psychological processes, whether attributed to characters, authors, or readers.</w:t>
      </w:r>
    </w:p>
    <w:p>
      <w:pPr>
        <w:pStyle w:val="BodyText"/>
      </w:pPr>
      <w:r>
        <w:rPr>
          <w:bCs/>
          <w:b/>
        </w:rPr>
        <w:t xml:space="preserve">Core Freudian concepts applied to literature.</w:t>
      </w:r>
      <w:r>
        <w:t xml:space="preserve"> </w:t>
      </w:r>
      <w:r>
        <w:rPr>
          <w:bCs/>
          <w:b/>
        </w:rPr>
        <w:t xml:space="preserve">The unconscious</w:t>
      </w:r>
      <w:r>
        <w:t xml:space="preserve"> </w:t>
      </w:r>
      <w:r>
        <w:t xml:space="preserve">— the theory that much psychological life operates below conscious awareness, meaning a text’s manifest content (what is explicitly stated) may conceal latent, unconsciously encoded meaning, analogous to Freud’s analysis of dreams;</w:t>
      </w:r>
      <w:r>
        <w:t xml:space="preserve"> </w:t>
      </w:r>
      <w:r>
        <w:rPr>
          <w:bCs/>
          <w:b/>
        </w:rPr>
        <w:t xml:space="preserve">repression and symptom</w:t>
      </w:r>
      <w:r>
        <w:t xml:space="preserve"> </w:t>
      </w:r>
      <w:r>
        <w:t xml:space="preserve">— psychologically threatening material may be repressed from conscious awareness but return indirectly, in disguised or symbolic form, within a text’s imagery, plot structure, or characters’ seemingly inexplicable behaviour; and</w:t>
      </w:r>
      <w:r>
        <w:t xml:space="preserve"> </w:t>
      </w:r>
      <w:r>
        <w:rPr>
          <w:bCs/>
          <w:b/>
        </w:rPr>
        <w:t xml:space="preserve">the Oedipus complex</w:t>
      </w:r>
      <w:r>
        <w:t xml:space="preserve"> </w:t>
      </w:r>
      <w:r>
        <w:t xml:space="preserve">— Freud’s theory of a child’s unconscious rivalrous desire toward the same-sex parent and desire for the opposite-sex parent, a framework frequently applied directly to texts dramatising intense, psychologically fraught parent-child relationships, such as D. H. Lawrence’s</w:t>
      </w:r>
      <w:r>
        <w:t xml:space="preserve"> </w:t>
      </w:r>
      <w:r>
        <w:rPr>
          <w:iCs/>
          <w:i/>
        </w:rPr>
        <w:t xml:space="preserve">Sons and Lovers</w:t>
      </w:r>
      <w:r>
        <w:t xml:space="preserve"> </w:t>
      </w:r>
      <w:r>
        <w:t xml:space="preserve">(Topic 38), whose central dynamic has been read almost paradigmatically through this Freudian lens.</w:t>
      </w:r>
    </w:p>
    <w:p>
      <w:pPr>
        <w:pStyle w:val="BodyText"/>
      </w:pPr>
      <w:r>
        <w:rPr>
          <w:bCs/>
          <w:b/>
        </w:rPr>
        <w:t xml:space="preserve">Objects of psychoanalytic analysis.</w:t>
      </w:r>
      <w:r>
        <w:t xml:space="preserve"> </w:t>
      </w:r>
      <w:r>
        <w:t xml:space="preserve">Psychoanalytic criticism can be directed at several distinct objects: the psychology of fictional characters (treating them, provisionally, as if they possessed a genuine unconscious psychological life amenable to analysis); the psychology of the author (reading a text as expressing the author’s own unconscious psychological conflicts, an approach of particular relevance to strongly autobiographical works like</w:t>
      </w:r>
      <w:r>
        <w:t xml:space="preserve"> </w:t>
      </w:r>
      <w:r>
        <w:rPr>
          <w:iCs/>
          <w:i/>
        </w:rPr>
        <w:t xml:space="preserve">Sons and Lovers</w:t>
      </w:r>
      <w:r>
        <w:t xml:space="preserve"> </w:t>
      </w:r>
      <w:r>
        <w:t xml:space="preserve">or Joyce’s</w:t>
      </w:r>
      <w:r>
        <w:t xml:space="preserve"> </w:t>
      </w:r>
      <w:r>
        <w:rPr>
          <w:iCs/>
          <w:i/>
        </w:rPr>
        <w:t xml:space="preserve">Portrait of the Artist</w:t>
      </w:r>
      <w:r>
        <w:t xml:space="preserve"> </w:t>
      </w:r>
      <w:r>
        <w:t xml:space="preserve">discussed in Topic 40); or, in later reader-response-influenced psychoanalytic criticism, the psychology of the reading process itself, examining how texts engage and gratify (or frustrate) unconscious reader desires and anxieties.</w:t>
      </w:r>
    </w:p>
    <w:p>
      <w:pPr>
        <w:pStyle w:val="BodyText"/>
      </w:pPr>
      <w:r>
        <w:rPr>
          <w:bCs/>
          <w:b/>
        </w:rPr>
        <w:t xml:space="preserve">Significance and critique.</w:t>
      </w:r>
      <w:r>
        <w:t xml:space="preserve"> </w:t>
      </w:r>
      <w:r>
        <w:t xml:space="preserve">Psychoanalytic criticism has proven particularly generative for analysing texts dealing explicitly with desire, family conflict, repression, and symbolic or dream-like imagery, but has attracted criticism for sometimes imposing a predetermined interpretive framework (Freudian concepts assumed valid in advance) onto texts regardless of their specific historical and cultural context, and for treating fictional characters as if they possessed the kind of coherent, analysable unconscious psychology properly belonging only to actual individual human minds.</w:t>
      </w:r>
    </w:p>
    <w:p>
      <w:pPr>
        <w:pStyle w:val="BodyText"/>
      </w:pPr>
      <w:r>
        <w:rPr>
          <w:bCs/>
          <w:b/>
        </w:rPr>
        <w:t xml:space="preserve">Key Takeaways</w:t>
      </w:r>
    </w:p>
    <w:p>
      <w:pPr>
        <w:numPr>
          <w:ilvl w:val="0"/>
          <w:numId w:val="1047"/>
        </w:numPr>
        <w:pStyle w:val="Compact"/>
      </w:pPr>
      <w:r>
        <w:t xml:space="preserve">Psychoanalytic criticism applies Freudian concepts — the unconscious, repression and symbolic return, and the Oedipus complex — to interpret literary texts as expressions of unconscious psychological processes.</w:t>
      </w:r>
    </w:p>
    <w:p>
      <w:pPr>
        <w:numPr>
          <w:ilvl w:val="0"/>
          <w:numId w:val="1047"/>
        </w:numPr>
        <w:pStyle w:val="Compact"/>
      </w:pPr>
      <w:r>
        <w:t xml:space="preserve">Analysis can be directed at fictional characters, the author’s own psychology (particularly relevant to autobiographical works like</w:t>
      </w:r>
      <w:r>
        <w:t xml:space="preserve"> </w:t>
      </w:r>
      <w:r>
        <w:rPr>
          <w:iCs/>
          <w:i/>
        </w:rPr>
        <w:t xml:space="preserve">Sons and Lovers</w:t>
      </w:r>
      <w:r>
        <w:t xml:space="preserve">), or the reading process itself.</w:t>
      </w:r>
    </w:p>
    <w:p>
      <w:pPr>
        <w:numPr>
          <w:ilvl w:val="0"/>
          <w:numId w:val="1047"/>
        </w:numPr>
        <w:pStyle w:val="Compact"/>
      </w:pPr>
      <w:r>
        <w:t xml:space="preserve">The approach has proven generative for texts dealing with desire and family conflict but has been criticised for imposing a predetermined interpretive framework regardless of historical context.</w:t>
      </w:r>
    </w:p>
    <w:bookmarkEnd w:id="71"/>
    <w:bookmarkStart w:id="72" w:name="feminist-criticism"/>
    <w:p>
      <w:pPr>
        <w:pStyle w:val="Heading3"/>
      </w:pPr>
      <w:r>
        <w:t xml:space="preserve">48. Feminist Criticism</w:t>
      </w:r>
    </w:p>
    <w:p>
      <w:pPr>
        <w:pStyle w:val="FirstParagraph"/>
      </w:pPr>
      <w:r>
        <w:t xml:space="preserve">Feminist literary criticism examines how literary texts represent, construct, and sometimes challenge gender roles and the social position of women, and critically interrogates the historical exclusion or marginalisation of women writers from the literary canon and critical establishment.</w:t>
      </w:r>
    </w:p>
    <w:p>
      <w:pPr>
        <w:pStyle w:val="BodyText"/>
      </w:pPr>
      <w:r>
        <w:rPr>
          <w:bCs/>
          <w:b/>
        </w:rPr>
        <w:t xml:space="preserve">Major strands and concerns.</w:t>
      </w:r>
      <w:r>
        <w:t xml:space="preserve"> </w:t>
      </w:r>
      <w:r>
        <w:rPr>
          <w:bCs/>
          <w:b/>
        </w:rPr>
        <w:t xml:space="preserve">Representation of women in literature</w:t>
      </w:r>
      <w:r>
        <w:t xml:space="preserve"> </w:t>
      </w:r>
      <w:r>
        <w:t xml:space="preserve">— examining how female characters are constructed, particularly by male authors, and whether they are granted full psychological complexity and narrative agency or reduced to limited, stereotyped roles serving male protagonists’ development (a concern directly relevant to reading Tennyson’s</w:t>
      </w:r>
      <w:r>
        <w:t xml:space="preserve"> </w:t>
      </w:r>
      <w:r>
        <w:t xml:space="preserve">“</w:t>
      </w:r>
      <w:r>
        <w:t xml:space="preserve">The Lady of Shalott,</w:t>
      </w:r>
      <w:r>
        <w:t xml:space="preserve">”</w:t>
      </w:r>
      <w:r>
        <w:t xml:space="preserve"> </w:t>
      </w:r>
      <w:r>
        <w:t xml:space="preserve">Topic 14, or the constrained position of women across much canonical literature);</w:t>
      </w:r>
      <w:r>
        <w:t xml:space="preserve"> </w:t>
      </w:r>
      <w:r>
        <w:rPr>
          <w:bCs/>
          <w:b/>
        </w:rPr>
        <w:t xml:space="preserve">recovery of women writers</w:t>
      </w:r>
      <w:r>
        <w:t xml:space="preserve"> </w:t>
      </w:r>
      <w:r>
        <w:t xml:space="preserve">— feminist criticism has been instrumental in recovering and re-evaluating women writers historically neglected or marginalised by a predominantly male-defined literary canon and critical establishment, and in examining the specific material and social obstacles (education, economic independence, publishing access) that historically constrained women’s literary production; and</w:t>
      </w:r>
      <w:r>
        <w:t xml:space="preserve"> </w:t>
      </w:r>
      <w:r>
        <w:rPr>
          <w:bCs/>
          <w:b/>
        </w:rPr>
        <w:t xml:space="preserve">gynocriticism</w:t>
      </w:r>
      <w:r>
        <w:t xml:space="preserve"> </w:t>
      </w:r>
      <w:r>
        <w:t xml:space="preserve">— a term coined by Elaine Showalter for criticism focused specifically on women’s writing as a distinct literary tradition, examining recurring themes, forms, and concerns across women authors’ work considered on its own terms rather than measured against a male-defined literary standard.</w:t>
      </w:r>
    </w:p>
    <w:p>
      <w:pPr>
        <w:pStyle w:val="BodyText"/>
      </w:pPr>
      <w:r>
        <w:rPr>
          <w:bCs/>
          <w:b/>
        </w:rPr>
        <w:t xml:space="preserve">Theoretical development: from Anglo-American to French feminist theory.</w:t>
      </w:r>
      <w:r>
        <w:t xml:space="preserve"> </w:t>
      </w:r>
      <w:r>
        <w:t xml:space="preserve">Feminist criticism developed along somewhat distinct lines in different critical traditions — an Anglo-American tradition tending toward more historically and sociologically grounded analysis of women’s actual literary representation and production, and a French feminist tradition (including theorists like Hélène Cixous and Luce Irigaray) drawing more heavily on psychoanalytic and post-structuralist theory (Topics 46–47) to examine how language and symbolic systems themselves may be structured around implicitly masculine norms, with some French feminist theorists proposing the possibility of a distinctly feminine mode of writing (</w:t>
      </w:r>
      <w:r>
        <w:t xml:space="preserve">“</w:t>
      </w:r>
      <w:r>
        <w:t xml:space="preserve">écriture féminine</w:t>
      </w:r>
      <w:r>
        <w:t xml:space="preserve">”</w:t>
      </w:r>
      <w:r>
        <w:t xml:space="preserve">) that might challenge or exceed these masculine linguistic norms.</w:t>
      </w:r>
    </w:p>
    <w:p>
      <w:pPr>
        <w:pStyle w:val="BodyText"/>
      </w:pPr>
      <w:r>
        <w:rPr>
          <w:bCs/>
          <w:b/>
        </w:rPr>
        <w:t xml:space="preserve">Application.</w:t>
      </w:r>
      <w:r>
        <w:t xml:space="preserve"> </w:t>
      </w:r>
      <w:r>
        <w:t xml:space="preserve">Feminist criticism offers a particularly productive lens for analysing texts across this subject’s curriculum, from the constrained, ultimately fatal isolation of Tennyson’s Lady of Shalott (Topic 14), to Hardy’s independent-minded Bathsheba Everdene (Topic 37), to the specific historical and material conditions shaping women’s authorship more broadly.</w:t>
      </w:r>
    </w:p>
    <w:p>
      <w:pPr>
        <w:pStyle w:val="BodyText"/>
      </w:pPr>
      <w:r>
        <w:rPr>
          <w:bCs/>
          <w:b/>
        </w:rPr>
        <w:t xml:space="preserve">Key Takeaways</w:t>
      </w:r>
    </w:p>
    <w:p>
      <w:pPr>
        <w:numPr>
          <w:ilvl w:val="0"/>
          <w:numId w:val="1048"/>
        </w:numPr>
        <w:pStyle w:val="Compact"/>
      </w:pPr>
      <w:r>
        <w:t xml:space="preserve">Feminist criticism examines the representation of women in literary texts, works to recover historically marginalised women writers, and, through gynocriticism, analyses women’s writing as a distinct literary tradition on its own terms.</w:t>
      </w:r>
    </w:p>
    <w:p>
      <w:pPr>
        <w:numPr>
          <w:ilvl w:val="0"/>
          <w:numId w:val="1048"/>
        </w:numPr>
        <w:pStyle w:val="Compact"/>
      </w:pPr>
      <w:r>
        <w:t xml:space="preserve">The field developed along both an Anglo-American tradition emphasising historical and sociological analysis and a French feminist tradition drawing on psychoanalytic and post-structuralist theory to examine language’s implicitly masculine structuring.</w:t>
      </w:r>
    </w:p>
    <w:p>
      <w:pPr>
        <w:numPr>
          <w:ilvl w:val="0"/>
          <w:numId w:val="1048"/>
        </w:numPr>
        <w:pStyle w:val="Compact"/>
      </w:pPr>
      <w:r>
        <w:t xml:space="preserve">The approach offers a productive lens across diverse texts, from the constrained female figures of canonical poetry and fiction to the material conditions historically shaping women’s literary production.</w:t>
      </w:r>
    </w:p>
    <w:bookmarkEnd w:id="72"/>
    <w:bookmarkStart w:id="73" w:name="postcolonial-criticism"/>
    <w:p>
      <w:pPr>
        <w:pStyle w:val="Heading3"/>
      </w:pPr>
      <w:r>
        <w:t xml:space="preserve">49. Postcolonial Criticism</w:t>
      </w:r>
    </w:p>
    <w:p>
      <w:pPr>
        <w:pStyle w:val="FirstParagraph"/>
      </w:pPr>
      <w:r>
        <w:t xml:space="preserve">Postcolonial criticism examines literature produced in the context of European colonialism and its aftermath — analysing how colonial power relations are represented, reinforced, or resisted in literary texts, and giving particular critical attention to the voices, perspectives, and literary traditions of formerly colonised peoples.</w:t>
      </w:r>
    </w:p>
    <w:p>
      <w:pPr>
        <w:pStyle w:val="BodyText"/>
      </w:pPr>
      <w:r>
        <w:rPr>
          <w:bCs/>
          <w:b/>
        </w:rPr>
        <w:t xml:space="preserve">Core concerns.</w:t>
      </w:r>
      <w:r>
        <w:t xml:space="preserve"> </w:t>
      </w:r>
      <w:r>
        <w:rPr>
          <w:bCs/>
          <w:b/>
        </w:rPr>
        <w:t xml:space="preserve">Representation of the colonised</w:t>
      </w:r>
      <w:r>
        <w:rPr>
          <w:bCs/>
          <w:b/>
        </w:rPr>
        <w:t xml:space="preserve"> </w:t>
      </w:r>
      <w:r>
        <w:rPr>
          <w:bCs/>
          <w:b/>
        </w:rPr>
        <w:t xml:space="preserve">“</w:t>
      </w:r>
      <w:r>
        <w:rPr>
          <w:bCs/>
          <w:b/>
        </w:rPr>
        <w:t xml:space="preserve">Other</w:t>
      </w:r>
      <w:r>
        <w:rPr>
          <w:bCs/>
          <w:b/>
        </w:rPr>
        <w:t xml:space="preserve">”</w:t>
      </w:r>
      <w:r>
        <w:t xml:space="preserve"> </w:t>
      </w:r>
      <w:r>
        <w:t xml:space="preserve">— building substantially on Edward Said’s foundational concept of</w:t>
      </w:r>
      <w:r>
        <w:t xml:space="preserve"> </w:t>
      </w:r>
      <w:r>
        <w:t xml:space="preserve">“</w:t>
      </w:r>
      <w:r>
        <w:t xml:space="preserve">Orientalism</w:t>
      </w:r>
      <w:r>
        <w:t xml:space="preserve">”</w:t>
      </w:r>
      <w:r>
        <w:t xml:space="preserve"> </w:t>
      </w:r>
      <w:r>
        <w:t xml:space="preserve">(the analysis of how Western literary and scholarly texts historically constructed the non-European world as an exotic, inferior, or threatening</w:t>
      </w:r>
      <w:r>
        <w:t xml:space="preserve"> </w:t>
      </w:r>
      <w:r>
        <w:t xml:space="preserve">“</w:t>
      </w:r>
      <w:r>
        <w:t xml:space="preserve">Other</w:t>
      </w:r>
      <w:r>
        <w:t xml:space="preserve">”</w:t>
      </w:r>
      <w:r>
        <w:t xml:space="preserve"> </w:t>
      </w:r>
      <w:r>
        <w:t xml:space="preserve">against which a superior European identity was implicitly defined), postcolonial criticism examines how colonial-era literature represents colonised peoples and cultures, often revealing embedded assumptions of European superiority even in texts not explicitly or intentionally engaged in colonial political argument;</w:t>
      </w:r>
      <w:r>
        <w:t xml:space="preserve"> </w:t>
      </w:r>
      <w:r>
        <w:rPr>
          <w:bCs/>
          <w:b/>
        </w:rPr>
        <w:t xml:space="preserve">the</w:t>
      </w:r>
      <w:r>
        <w:rPr>
          <w:bCs/>
          <w:b/>
        </w:rPr>
        <w:t xml:space="preserve"> </w:t>
      </w:r>
      <w:r>
        <w:rPr>
          <w:bCs/>
          <w:b/>
        </w:rPr>
        <w:t xml:space="preserve">“</w:t>
      </w:r>
      <w:r>
        <w:rPr>
          <w:bCs/>
          <w:b/>
        </w:rPr>
        <w:t xml:space="preserve">writing back</w:t>
      </w:r>
      <w:r>
        <w:rPr>
          <w:bCs/>
          <w:b/>
        </w:rPr>
        <w:t xml:space="preserve">”</w:t>
      </w:r>
      <w:r>
        <w:rPr>
          <w:bCs/>
          <w:b/>
        </w:rPr>
        <w:t xml:space="preserve"> </w:t>
      </w:r>
      <w:r>
        <w:rPr>
          <w:bCs/>
          <w:b/>
        </w:rPr>
        <w:t xml:space="preserve">tradition</w:t>
      </w:r>
      <w:r>
        <w:t xml:space="preserve"> </w:t>
      </w:r>
      <w:r>
        <w:t xml:space="preserve">— postcolonial criticism gives particular attention to literature by formerly colonised writers that directly responds to, revises, or challenges canonical Western texts and their representational assumptions, reclaiming narrative authority over stories and perspectives colonial-era literature had appropriated or distorted; and</w:t>
      </w:r>
      <w:r>
        <w:t xml:space="preserve"> </w:t>
      </w:r>
      <w:r>
        <w:rPr>
          <w:bCs/>
          <w:b/>
        </w:rPr>
        <w:t xml:space="preserve">hybridity and cultural identity</w:t>
      </w:r>
      <w:r>
        <w:t xml:space="preserve"> </w:t>
      </w:r>
      <w:r>
        <w:t xml:space="preserve">— drawing on theorists including Homi Bhabha, postcolonial criticism examines the complex, often unstable cultural identities produced by colonial contact, in which colonised (and, to a lesser extent, colonising) cultures are transformed through mutual, asymmetrical influence rather than remaining in simple, separate, unmixed cultural isolation.</w:t>
      </w:r>
    </w:p>
    <w:p>
      <w:pPr>
        <w:pStyle w:val="BodyText"/>
      </w:pPr>
      <w:r>
        <w:rPr>
          <w:bCs/>
          <w:b/>
        </w:rPr>
        <w:t xml:space="preserve">Application to canonical literature.</w:t>
      </w:r>
      <w:r>
        <w:t xml:space="preserve"> </w:t>
      </w:r>
      <w:r>
        <w:t xml:space="preserve">Postcolonial criticism can be productively applied even to texts not explicitly concerned with colonialism, examining how imperial assumptions and hierarchies shape texts’ underlying worldview — for example, examining the largely unexamined imperial and racial assumptions embedded within much 19th-century English fiction, or, in Eliot’s case (Topics 17–18), examining how</w:t>
      </w:r>
      <w:r>
        <w:t xml:space="preserve"> </w:t>
      </w:r>
      <w:r>
        <w:t xml:space="preserve">“</w:t>
      </w:r>
      <w:r>
        <w:t xml:space="preserve">The Waste Land</w:t>
      </w:r>
      <w:r>
        <w:t xml:space="preserve">”</w:t>
      </w:r>
      <w:r>
        <w:t xml:space="preserve">’s incorporation of non-Western religious and mythological material (Buddhist and Hindu scripture) reflects a particular, historically situated relationship between Western Modernism and non-Western cultural material.</w:t>
      </w:r>
    </w:p>
    <w:p>
      <w:pPr>
        <w:pStyle w:val="BodyText"/>
      </w:pPr>
      <w:r>
        <w:rPr>
          <w:bCs/>
          <w:b/>
        </w:rPr>
        <w:t xml:space="preserve">Significance.</w:t>
      </w:r>
      <w:r>
        <w:t xml:space="preserve"> </w:t>
      </w:r>
      <w:r>
        <w:t xml:space="preserve">Postcolonial criticism has been instrumental in expanding the literary canon studied in English-language literary education beyond a narrowly British and American frame, and in developing critical vocabulary for analysing power, representation, and cultural exchange across colonial and postcolonial contexts — a critical framework of particular relevance and significance for literary study in Pakistan specifically, given the country’s own direct historical relationship to British colonial rule and its ongoing negotiation of linguistic and literary identity across English and indigenous literary traditions.</w:t>
      </w:r>
    </w:p>
    <w:p>
      <w:pPr>
        <w:pStyle w:val="BodyText"/>
      </w:pPr>
      <w:r>
        <w:rPr>
          <w:bCs/>
          <w:b/>
        </w:rPr>
        <w:t xml:space="preserve">Key Takeaways</w:t>
      </w:r>
    </w:p>
    <w:p>
      <w:pPr>
        <w:numPr>
          <w:ilvl w:val="0"/>
          <w:numId w:val="1049"/>
        </w:numPr>
        <w:pStyle w:val="Compact"/>
      </w:pPr>
      <w:r>
        <w:t xml:space="preserve">Postcolonial criticism examines how colonial power relations are represented, reinforced, or resisted in literature, drawing substantially on Edward Said’s concept of</w:t>
      </w:r>
      <w:r>
        <w:t xml:space="preserve"> </w:t>
      </w:r>
      <w:r>
        <w:t xml:space="preserve">“</w:t>
      </w:r>
      <w:r>
        <w:t xml:space="preserve">Orientalism</w:t>
      </w:r>
      <w:r>
        <w:t xml:space="preserve">”</w:t>
      </w:r>
      <w:r>
        <w:t xml:space="preserve"> </w:t>
      </w:r>
      <w:r>
        <w:t xml:space="preserve">and its analysis of how Western texts construct the colonised world as an inferior</w:t>
      </w:r>
      <w:r>
        <w:t xml:space="preserve"> </w:t>
      </w:r>
      <w:r>
        <w:t xml:space="preserve">“</w:t>
      </w:r>
      <w:r>
        <w:t xml:space="preserve">Other.</w:t>
      </w:r>
      <w:r>
        <w:t xml:space="preserve">”</w:t>
      </w:r>
    </w:p>
    <w:p>
      <w:pPr>
        <w:numPr>
          <w:ilvl w:val="0"/>
          <w:numId w:val="1049"/>
        </w:numPr>
        <w:pStyle w:val="Compact"/>
      </w:pPr>
      <w:r>
        <w:t xml:space="preserve">The</w:t>
      </w:r>
      <w:r>
        <w:t xml:space="preserve"> </w:t>
      </w:r>
      <w:r>
        <w:t xml:space="preserve">“</w:t>
      </w:r>
      <w:r>
        <w:t xml:space="preserve">writing back</w:t>
      </w:r>
      <w:r>
        <w:t xml:space="preserve">”</w:t>
      </w:r>
      <w:r>
        <w:t xml:space="preserve"> </w:t>
      </w:r>
      <w:r>
        <w:t xml:space="preserve">tradition examines literature by formerly colonised writers directly responding to and revising canonical Western texts, while hybridity theory examines the complex, unstable cultural identities produced by colonial contact.</w:t>
      </w:r>
    </w:p>
    <w:p>
      <w:pPr>
        <w:numPr>
          <w:ilvl w:val="0"/>
          <w:numId w:val="1049"/>
        </w:numPr>
        <w:pStyle w:val="Compact"/>
      </w:pPr>
      <w:r>
        <w:t xml:space="preserve">The approach has expanded the literary canon beyond a narrowly British/American frame and holds particular relevance for Pakistani literary study, given the country’s direct historical relationship to British colonial rule.</w:t>
      </w:r>
    </w:p>
    <w:bookmarkEnd w:id="73"/>
    <w:bookmarkEnd w:id="74"/>
    <w:bookmarkStart w:id="84" w:name="vii.-urdu-literature-urdu-adab"/>
    <w:p>
      <w:pPr>
        <w:pStyle w:val="Heading2"/>
      </w:pPr>
      <w:r>
        <w:t xml:space="preserve">VII. Urdu Literature (Urdu Adab)</w:t>
      </w:r>
    </w:p>
    <w:p>
      <w:pPr>
        <w:pStyle w:val="FirstParagraph"/>
      </w:pPr>
      <w:r>
        <w:rPr>
          <w:iCs/>
          <w:i/>
        </w:rPr>
        <w:t xml:space="preserve">The following section addresses the Urdu-language literature component of this subject, covering major Urdu poets, prose writers, and critical/compositional skills. Given this deliverable’s English-medium format, these topics are presented as substantive English-language academic exposition of the relevant Urdu-language works, poets, and movements, in the same expanded analytical style applied throughout this subject.</w:t>
      </w:r>
    </w:p>
    <w:bookmarkStart w:id="75" w:name="Xb9139491f3369cbc13f2418ad529026290d0289"/>
    <w:p>
      <w:pPr>
        <w:pStyle w:val="Heading3"/>
      </w:pPr>
      <w:r>
        <w:t xml:space="preserve">50. The Islamic Identity of Urdu Language and Literature</w:t>
      </w:r>
    </w:p>
    <w:p>
      <w:pPr>
        <w:pStyle w:val="FirstParagraph"/>
      </w:pPr>
      <w:r>
        <w:t xml:space="preserve">Urdu’s historical development is inseparable from the broader Muslim cultural and intellectual presence in the Indian subcontinent, and understanding this Islamic dimension of Urdu’s linguistic and literary formation is essential background for the poets and prose writers examined throughout this section.</w:t>
      </w:r>
    </w:p>
    <w:p>
      <w:pPr>
        <w:pStyle w:val="BodyText"/>
      </w:pPr>
      <w:r>
        <w:rPr>
          <w:bCs/>
          <w:b/>
        </w:rPr>
        <w:t xml:space="preserve">Linguistic formation.</w:t>
      </w:r>
      <w:r>
        <w:t xml:space="preserve"> </w:t>
      </w:r>
      <w:r>
        <w:t xml:space="preserve">Urdu emerged from the linguistic interaction between local subcontinental vernaculars (particularly Khari Boli, a dialect of the Delhi region) and the Persian, Arabic, and Turkic languages carried into the subcontinent through successive waves of Muslim rule and settlement — this contact produced a distinctive vocabulary substantially enriched by Persian and Arabic loanwords (particularly for religious, philosophical, administrative, and literary-critical concepts), and a literary tradition initially written in the Perso-Arabic script, itself carrying clear Islamic cultural association.</w:t>
      </w:r>
    </w:p>
    <w:p>
      <w:pPr>
        <w:pStyle w:val="BodyText"/>
      </w:pPr>
      <w:r>
        <w:rPr>
          <w:bCs/>
          <w:b/>
        </w:rPr>
        <w:t xml:space="preserve">Sufi poetry’s role in vernacular popularisation.</w:t>
      </w:r>
      <w:r>
        <w:t xml:space="preserve"> </w:t>
      </w:r>
      <w:r>
        <w:t xml:space="preserve">Sufi mystic poets played a particularly significant role in popularising the emerging vernacular language among ordinary people, composing devotional and mystical poetry in accessible local dialects (rather than the more formally restricted Persian of the court and scholarly elite) specifically to reach a broader popular audience with their spiritual message — this Sufi vernacular tradition provided crucial early momentum toward establishing the emerging Urdu language as a legitimate vehicle for serious literary and spiritual expression, well before Urdu’s later formalisation as a major literary language of poetry (ghazal, masnavi) and, eventually, prose.</w:t>
      </w:r>
    </w:p>
    <w:p>
      <w:pPr>
        <w:pStyle w:val="BodyText"/>
      </w:pPr>
      <w:r>
        <w:rPr>
          <w:bCs/>
          <w:b/>
        </w:rPr>
        <w:t xml:space="preserve">Islamic thought and literary themes.</w:t>
      </w:r>
      <w:r>
        <w:t xml:space="preserve"> </w:t>
      </w:r>
      <w:r>
        <w:t xml:space="preserve">Beyond vocabulary and script, Islamic theological and philosophical concepts, Quranic and Hadith allusion, and the broader ethical and spiritual vocabulary of Islamic civilisation pervade Urdu literary tradition across genres and periods — from the classical ghazal’s frequent deployment of mystical and religious imagery (examined further in relation to Mir and Ghalib, Topics 53–54) to the explicitly Islamic reformist and revivalist poetry of Hali and Iqbal (Topics 55, 57–59), for whom Islamic civilisational identity and its relationship to modernity became a central, sustained poetic concern.</w:t>
      </w:r>
    </w:p>
    <w:p>
      <w:pPr>
        <w:pStyle w:val="BodyText"/>
      </w:pPr>
      <w:r>
        <w:rPr>
          <w:bCs/>
          <w:b/>
        </w:rPr>
        <w:t xml:space="preserve">Balanced assessment.</w:t>
      </w:r>
      <w:r>
        <w:t xml:space="preserve"> </w:t>
      </w:r>
      <w:r>
        <w:t xml:space="preserve">A complete understanding of this Islamic dimension should avoid reducing Urdu literature to religious poetry alone — Urdu’s Islamic cultural inheritance operates alongside, and in continuous interaction with, the shared regional, multilingual cultural environment of the subcontinent, meaning Urdu’s literary tradition reflects both this specifically Islamic civilisational inheritance and a broader, shared South Asian cultural and linguistic environment simultaneously.</w:t>
      </w:r>
    </w:p>
    <w:p>
      <w:pPr>
        <w:pStyle w:val="BodyText"/>
      </w:pPr>
      <w:r>
        <w:rPr>
          <w:bCs/>
          <w:b/>
        </w:rPr>
        <w:t xml:space="preserve">Key Takeaways</w:t>
      </w:r>
    </w:p>
    <w:p>
      <w:pPr>
        <w:numPr>
          <w:ilvl w:val="0"/>
          <w:numId w:val="1050"/>
        </w:numPr>
        <w:pStyle w:val="Compact"/>
      </w:pPr>
      <w:r>
        <w:t xml:space="preserve">Urdu developed through the interaction of local subcontinental vernaculars with Persian, Arabic, and Turkic linguistic influence carried by Muslim rule and settlement, producing a vocabulary substantially shaped by Islamic civilisational contact.</w:t>
      </w:r>
    </w:p>
    <w:p>
      <w:pPr>
        <w:numPr>
          <w:ilvl w:val="0"/>
          <w:numId w:val="1050"/>
        </w:numPr>
        <w:pStyle w:val="Compact"/>
      </w:pPr>
      <w:r>
        <w:t xml:space="preserve">Sufi mystic poets played a crucial role in popularising the emerging vernacular language by composing accessible devotional poetry for a broad popular audience, well before Urdu’s later formal literary establishment.</w:t>
      </w:r>
    </w:p>
    <w:p>
      <w:pPr>
        <w:numPr>
          <w:ilvl w:val="0"/>
          <w:numId w:val="1050"/>
        </w:numPr>
        <w:pStyle w:val="Compact"/>
      </w:pPr>
      <w:r>
        <w:t xml:space="preserve">Islamic theological and ethical vocabulary pervades Urdu literary tradition across genres and periods, though this Islamic dimension operates alongside, rather than in place of, Urdu’s broader shared regional South Asian cultural inheritance.</w:t>
      </w:r>
    </w:p>
    <w:bookmarkEnd w:id="75"/>
    <w:bookmarkStart w:id="76" w:name="Xc36d03b691b60ff3ba7139146727845f5925646"/>
    <w:p>
      <w:pPr>
        <w:pStyle w:val="Heading3"/>
      </w:pPr>
      <w:r>
        <w:t xml:space="preserve">51. Twentieth-Century Literary Movements in Urdu</w:t>
      </w:r>
    </w:p>
    <w:p>
      <w:pPr>
        <w:pStyle w:val="FirstParagraph"/>
      </w:pPr>
      <w:r>
        <w:t xml:space="preserve">The twentieth century saw the emergence of several distinct literary movements in Urdu, each raising new questions about literature’s proper subject matter, appropriate form, and the writer’s social responsibility, fundamentally reshaping Urdu literary practice across poetry and prose.</w:t>
      </w:r>
    </w:p>
    <w:p>
      <w:pPr>
        <w:pStyle w:val="BodyText"/>
      </w:pPr>
      <w:r>
        <w:rPr>
          <w:bCs/>
          <w:b/>
        </w:rPr>
        <w:t xml:space="preserve">The Progressive Writers’ Movement (Taraqqi Pasand Tehreek).</w:t>
      </w:r>
      <w:r>
        <w:t xml:space="preserve"> </w:t>
      </w:r>
      <w:r>
        <w:t xml:space="preserve">Emerging in the 1930s, this movement, strongly influenced by socialist and Marxist thought, insisted that literature should engage directly with social injustice and class inequality, treating literary work as a vehicle for social critique and, implicitly or explicitly, political change — Progressive writers brought working-class characters, economic exploitation, and social reform themes into Urdu poetry and fiction with unprecedented directness and consistency, decisively shifting Urdu literature’s thematic centre of gravity toward social realism, and profoundly influencing prose writers including Saadat Hasan Manto (Topic 66) and Ahmed Nadeem Qasmi (Topic 67), even where these individual writers’ relationship to the movement’s formal doctrine remained complex or contested.</w:t>
      </w:r>
    </w:p>
    <w:p>
      <w:pPr>
        <w:pStyle w:val="BodyText"/>
      </w:pPr>
      <w:r>
        <w:rPr>
          <w:bCs/>
          <w:b/>
        </w:rPr>
        <w:t xml:space="preserve">Modernism (Jadeediyat).</w:t>
      </w:r>
      <w:r>
        <w:t xml:space="preserve"> </w:t>
      </w:r>
      <w:r>
        <w:t xml:space="preserve">Emerging substantially as a reaction against Progressive literature’s perceived subordination of aesthetic and formal concerns to political and social message, Urdu Modernism emphasised individual psychological interiority, existential isolation, and formally innovative, often difficult symbolic and imagistic technique — Modernist poets (including N. M. Rashid and Majeed Amjad, discussed in Topics 61–62) drew on Western Modernist poetic technique (echoing, in some respects, the fragmented, allusive Modernism of Eliot examined in Topics 17–18) to explore individual consciousness and alienation with a formal complexity and ambiguity the Progressive movement’s more directly communicative social realism had generally avoided.</w:t>
      </w:r>
    </w:p>
    <w:p>
      <w:pPr>
        <w:pStyle w:val="BodyText"/>
      </w:pPr>
      <w:r>
        <w:rPr>
          <w:bCs/>
          <w:b/>
        </w:rPr>
        <w:t xml:space="preserve">Halqa-e Arbab-e Zauq.</w:t>
      </w:r>
      <w:r>
        <w:t xml:space="preserve"> </w:t>
      </w:r>
      <w:r>
        <w:t xml:space="preserve">This literary circle, associated closely with the Modernist tendency, championed artistic experimentation and literary freedom from prescribed ideological or political content, insisting on literature’s autonomous aesthetic value against what its members saw as the Progressive movement’s excessive subordination of art to political doctrine — representing an important institutional and critical counterweight to Progressive orthodoxy within the mid-20th-century Urdu literary field.</w:t>
      </w:r>
    </w:p>
    <w:p>
      <w:pPr>
        <w:pStyle w:val="BodyText"/>
      </w:pPr>
      <w:r>
        <w:rPr>
          <w:bCs/>
          <w:b/>
        </w:rPr>
        <w:t xml:space="preserve">Subsequent developments.</w:t>
      </w:r>
      <w:r>
        <w:t xml:space="preserve"> </w:t>
      </w:r>
      <w:r>
        <w:t xml:space="preserve">Later 20th-century trends built on and complicated this Progressive-Modernist tension, generating new questions about language, identity, and textual interpretation, including postmodern and post-structuralist influenced approaches (paralleling, though with some delay, the Western critical developments examined in Topics 44–49) that further diversified Urdu literary and critical practice beyond the earlier Progressive-Modernist polarity.</w:t>
      </w:r>
    </w:p>
    <w:p>
      <w:pPr>
        <w:pStyle w:val="BodyText"/>
      </w:pPr>
      <w:r>
        <w:rPr>
          <w:bCs/>
          <w:b/>
        </w:rPr>
        <w:t xml:space="preserve">Key Takeaways</w:t>
      </w:r>
    </w:p>
    <w:p>
      <w:pPr>
        <w:numPr>
          <w:ilvl w:val="0"/>
          <w:numId w:val="1051"/>
        </w:numPr>
        <w:pStyle w:val="Compact"/>
      </w:pPr>
      <w:r>
        <w:t xml:space="preserve">The Progressive Writers’ Movement, influenced by socialist thought, insisted literature engage directly with social injustice and class inequality, decisively shifting Urdu literature toward social realism.</w:t>
      </w:r>
    </w:p>
    <w:p>
      <w:pPr>
        <w:numPr>
          <w:ilvl w:val="0"/>
          <w:numId w:val="1051"/>
        </w:numPr>
        <w:pStyle w:val="Compact"/>
      </w:pPr>
      <w:r>
        <w:t xml:space="preserve">Modernism (Jadeediyat) reacted against Progressive literature’s political subordination of art, emphasising individual psychological interiority and formally innovative symbolic technique, paralleling aspects of Western Modernism.</w:t>
      </w:r>
    </w:p>
    <w:p>
      <w:pPr>
        <w:numPr>
          <w:ilvl w:val="0"/>
          <w:numId w:val="1051"/>
        </w:numPr>
        <w:pStyle w:val="Compact"/>
      </w:pPr>
      <w:r>
        <w:t xml:space="preserve">The Halqa-e Arbab-e Zauq championed artistic experimentation and literary autonomy from prescribed ideology, while later 20th-century trends further diversified Urdu literary and critical practice.</w:t>
      </w:r>
    </w:p>
    <w:bookmarkEnd w:id="76"/>
    <w:bookmarkStart w:id="77" w:name="X5ec2861990bdf5ef933d51b5ad06e98125a1144"/>
    <w:p>
      <w:pPr>
        <w:pStyle w:val="Heading3"/>
      </w:pPr>
      <w:r>
        <w:t xml:space="preserve">52. Pakistani Literature: Terminology, Formation, Tradition and Evolution</w:t>
      </w:r>
    </w:p>
    <w:p>
      <w:pPr>
        <w:pStyle w:val="FirstParagraph"/>
      </w:pPr>
      <w:r>
        <w:t xml:space="preserve">Pakistani literature refers to literary expression engaging with Pakistan’s specific historical experience, society, languages, identity, migration, politics, and cultural questions — a category whose very definition (spanning multiple languages and a still-evolving national experience) requires careful conceptual treatment.</w:t>
      </w:r>
    </w:p>
    <w:p>
      <w:pPr>
        <w:pStyle w:val="BodyText"/>
      </w:pPr>
      <w:r>
        <w:rPr>
          <w:bCs/>
          <w:b/>
        </w:rPr>
        <w:t xml:space="preserve">Partition and migration as foundational themes.</w:t>
      </w:r>
      <w:r>
        <w:t xml:space="preserve"> </w:t>
      </w:r>
      <w:r>
        <w:t xml:space="preserve">The 1947 Partition of British India and the accompanying mass migration and communal violence represent a foundational, deeply formative early theme in Pakistani literature, with numerous major writers directly engaging the trauma, displacement, and moral complexity of this founding historical experience — Partition literature (including, notably, Manto’s short fiction, Topic 66) established an early and enduring thematic and moral seriousness within Pakistani literary tradition that continues to shape subsequent literary engagement with violence, displacement, and national trauma.</w:t>
      </w:r>
    </w:p>
    <w:p>
      <w:pPr>
        <w:pStyle w:val="BodyText"/>
      </w:pPr>
      <w:r>
        <w:rPr>
          <w:bCs/>
          <w:b/>
        </w:rPr>
        <w:t xml:space="preserve">National identity and regional diversity in tension.</w:t>
      </w:r>
      <w:r>
        <w:t xml:space="preserve"> </w:t>
      </w:r>
      <w:r>
        <w:t xml:space="preserve">Pakistani literature reflects both an emerging sense of shared national identity and cultural experience, and the considerable regional and linguistic diversity of the country itself (Urdu, Punjabi, Sindhi, Pashto, Balochi, and other languages each carrying their own distinct literary traditions) — meaning</w:t>
      </w:r>
      <w:r>
        <w:t xml:space="preserve"> </w:t>
      </w:r>
      <w:r>
        <w:t xml:space="preserve">“</w:t>
      </w:r>
      <w:r>
        <w:t xml:space="preserve">Pakistani literature</w:t>
      </w:r>
      <w:r>
        <w:t xml:space="preserve">”</w:t>
      </w:r>
      <w:r>
        <w:t xml:space="preserve"> </w:t>
      </w:r>
      <w:r>
        <w:t xml:space="preserve">cannot be adequately understood as a single unified tradition centred on Urdu alone, but must be understood as encompassing this genuine multiplicity of linguistic and regional literary traditions within the shared national experience.</w:t>
      </w:r>
    </w:p>
    <w:p>
      <w:pPr>
        <w:pStyle w:val="BodyText"/>
      </w:pPr>
      <w:r>
        <w:rPr>
          <w:bCs/>
          <w:b/>
        </w:rPr>
        <w:t xml:space="preserve">Evolving thematic concerns.</w:t>
      </w:r>
      <w:r>
        <w:t xml:space="preserve"> </w:t>
      </w:r>
      <w:r>
        <w:t xml:space="preserve">Beyond its Partition-era origins, Pakistani literature has continued evolving in response to the country’s changing social and political experience — subsequent decades bringing sustained literary engagement with political upheaval and military rule, social and economic change, questions of religious and national identity, and, increasingly, the specific experience and perspective of the Pakistani diaspora writing in English and other languages from outside the country itself.</w:t>
      </w:r>
    </w:p>
    <w:p>
      <w:pPr>
        <w:pStyle w:val="BodyText"/>
      </w:pPr>
      <w:r>
        <w:rPr>
          <w:bCs/>
          <w:b/>
        </w:rPr>
        <w:t xml:space="preserve">Terminological and conceptual care.</w:t>
      </w:r>
      <w:r>
        <w:t xml:space="preserve"> </w:t>
      </w:r>
      <w:r>
        <w:t xml:space="preserve">Given this diversity of language, theme, and historical period,</w:t>
      </w:r>
      <w:r>
        <w:t xml:space="preserve"> </w:t>
      </w:r>
      <w:r>
        <w:t xml:space="preserve">“</w:t>
      </w:r>
      <w:r>
        <w:t xml:space="preserve">Pakistani literature</w:t>
      </w:r>
      <w:r>
        <w:t xml:space="preserve">”</w:t>
      </w:r>
      <w:r>
        <w:t xml:space="preserve"> </w:t>
      </w:r>
      <w:r>
        <w:t xml:space="preserve">should be treated as an evolving, internally diverse category rather than a fixed, single tradition — a good critical answer to any question on this topic should explicitly acknowledge both the shared national historical experience (particularly Partition) that gives the category coherence and the genuine linguistic, regional, and thematic diversity that prevents any oversimplified, singular characterisation.</w:t>
      </w:r>
    </w:p>
    <w:p>
      <w:pPr>
        <w:pStyle w:val="BodyText"/>
      </w:pPr>
      <w:r>
        <w:rPr>
          <w:bCs/>
          <w:b/>
        </w:rPr>
        <w:t xml:space="preserve">Key Takeaways</w:t>
      </w:r>
    </w:p>
    <w:p>
      <w:pPr>
        <w:numPr>
          <w:ilvl w:val="0"/>
          <w:numId w:val="1052"/>
        </w:numPr>
        <w:pStyle w:val="Compact"/>
      </w:pPr>
      <w:r>
        <w:t xml:space="preserve">Partition and migration represent a foundational, deeply formative early theme in Pakistani literature, establishing an enduring thematic and moral seriousness continued in subsequent national literary engagement.</w:t>
      </w:r>
    </w:p>
    <w:p>
      <w:pPr>
        <w:numPr>
          <w:ilvl w:val="0"/>
          <w:numId w:val="1052"/>
        </w:numPr>
        <w:pStyle w:val="Compact"/>
      </w:pPr>
      <w:r>
        <w:t xml:space="preserve">Pakistani literature reflects both an emerging national identity and considerable regional/linguistic diversity, encompassing distinct literary traditions beyond Urdu alone (Punjabi, Sindhi, Pashto, Balochi, and others).</w:t>
      </w:r>
    </w:p>
    <w:p>
      <w:pPr>
        <w:numPr>
          <w:ilvl w:val="0"/>
          <w:numId w:val="1052"/>
        </w:numPr>
        <w:pStyle w:val="Compact"/>
      </w:pPr>
      <w:r>
        <w:t xml:space="preserve">The category should be understood as an evolving, internally diverse tradition shaped by changing social and political experience, rather than reduced to a single language, theme, or fixed historical moment.</w:t>
      </w:r>
    </w:p>
    <w:bookmarkEnd w:id="77"/>
    <w:bookmarkStart w:id="78" w:name="mir-taqi-mir-selected-ghazal"/>
    <w:p>
      <w:pPr>
        <w:pStyle w:val="Heading3"/>
      </w:pPr>
      <w:r>
        <w:t xml:space="preserve">53. Mir Taqi Mir — Selected Ghazal</w:t>
      </w:r>
    </w:p>
    <w:p>
      <w:pPr>
        <w:pStyle w:val="FirstParagraph"/>
      </w:pPr>
      <w:r>
        <w:t xml:space="preserve">Mir Taqi Mir (1723–1810), widely regarded as among the greatest classical Urdu poets and a foundational figure of the ghazal tradition in Urdu, is celebrated particularly for the emotional directness, melancholic depth, and linguistic simplicity of his poetry, qualities that earned him the honorific title</w:t>
      </w:r>
      <w:r>
        <w:t xml:space="preserve"> </w:t>
      </w:r>
      <w:r>
        <w:t xml:space="preserve">“</w:t>
      </w:r>
      <w:r>
        <w:t xml:space="preserve">Khuda-e Sukhan</w:t>
      </w:r>
      <w:r>
        <w:t xml:space="preserve">”</w:t>
      </w:r>
      <w:r>
        <w:t xml:space="preserve"> </w:t>
      </w:r>
      <w:r>
        <w:t xml:space="preserve">(</w:t>
      </w:r>
      <w:r>
        <w:t xml:space="preserve">“</w:t>
      </w:r>
      <w:r>
        <w:t xml:space="preserve">god of poetry</w:t>
      </w:r>
      <w:r>
        <w:t xml:space="preserve">”</w:t>
      </w:r>
      <w:r>
        <w:t xml:space="preserve">) among later generations of Urdu poets and readers.</w:t>
      </w:r>
    </w:p>
    <w:p>
      <w:pPr>
        <w:pStyle w:val="BodyText"/>
      </w:pPr>
      <w:r>
        <w:rPr>
          <w:bCs/>
          <w:b/>
        </w:rPr>
        <w:t xml:space="preserve">The ghazal form.</w:t>
      </w:r>
      <w:r>
        <w:t xml:space="preserve"> </w:t>
      </w:r>
      <w:r>
        <w:t xml:space="preserve">The ghazal — a poetic form of Persian and Arabic origin, composed of a series of thematically independent but formally linked couplets (each couplet, or sher, generally capable of standing as a self-contained unit of meaning, unified across the poem primarily through shared metre, rhyme, and refrain rather than continuous narrative or argumentative development) — is the dominant classical Urdu poetic form, and Mir’s mastery of this form, particularly its emotional and lyrical register, established models of ghazal composition that subsequent poets, including Ghalib (Topic 54), would inherit and further develop.</w:t>
      </w:r>
    </w:p>
    <w:p>
      <w:pPr>
        <w:pStyle w:val="BodyText"/>
      </w:pPr>
      <w:r>
        <w:rPr>
          <w:bCs/>
          <w:b/>
        </w:rPr>
        <w:t xml:space="preserve">Characteristic themes and tone.</w:t>
      </w:r>
      <w:r>
        <w:t xml:space="preserve"> </w:t>
      </w:r>
      <w:r>
        <w:t xml:space="preserve">Mir’s ghazal poetry is distinguished by its characteristic melancholic tone (reflecting both the conventional themes of unrequited love and separation central to the ghazal tradition, and, biographically, the considerable personal hardship and political instability Mir experienced across his lifetime, including the decline of Mughal Delhi), rendered with a notable linguistic simplicity and directness of emotional expression that distinguishes his style from the more elaborately ornamented, intellectually complex diction some later poets, including Ghalib, would favour — Mir’s verse achieves its considerable emotional power through apparent plainness and sincerity rather than displayed verbal virtuosity.</w:t>
      </w:r>
    </w:p>
    <w:p>
      <w:pPr>
        <w:pStyle w:val="BodyText"/>
      </w:pPr>
      <w:r>
        <w:rPr>
          <w:bCs/>
          <w:b/>
        </w:rPr>
        <w:t xml:space="preserve">Significance within the ghazal tradition.</w:t>
      </w:r>
      <w:r>
        <w:t xml:space="preserve"> </w:t>
      </w:r>
      <w:r>
        <w:t xml:space="preserve">Mir’s poetry exemplifies the ghazal’s characteristic thematic vocabulary — the lover’s suffering, the beloved’s indifference or cruelty, the wine and tavern imagery frequently deployed with both literal and mystical/Sufi symbolic resonance simultaneously — while his specific achievement lies in rendering these conventional thematic materials with an unusually direct, unaffected emotional sincerity that later critics and readers have consistently distinguished as his defining poetic signature.</w:t>
      </w:r>
    </w:p>
    <w:p>
      <w:pPr>
        <w:pStyle w:val="BodyText"/>
      </w:pPr>
      <w:r>
        <w:rPr>
          <w:bCs/>
          <w:b/>
        </w:rPr>
        <w:t xml:space="preserve">Key Takeaways</w:t>
      </w:r>
    </w:p>
    <w:p>
      <w:pPr>
        <w:numPr>
          <w:ilvl w:val="0"/>
          <w:numId w:val="1053"/>
        </w:numPr>
        <w:pStyle w:val="Compact"/>
      </w:pPr>
      <w:r>
        <w:t xml:space="preserve">Mir Taqi Mir, honoured as</w:t>
      </w:r>
      <w:r>
        <w:t xml:space="preserve"> </w:t>
      </w:r>
      <w:r>
        <w:t xml:space="preserve">“</w:t>
      </w:r>
      <w:r>
        <w:t xml:space="preserve">Khuda-e Sukhan,</w:t>
      </w:r>
      <w:r>
        <w:t xml:space="preserve">”</w:t>
      </w:r>
      <w:r>
        <w:t xml:space="preserve"> </w:t>
      </w:r>
      <w:r>
        <w:t xml:space="preserve">is a foundational figure of the classical Urdu ghazal tradition, whose ghazal consists of thematically independent but formally linked couplets unified by shared metre and rhyme.</w:t>
      </w:r>
    </w:p>
    <w:p>
      <w:pPr>
        <w:numPr>
          <w:ilvl w:val="0"/>
          <w:numId w:val="1053"/>
        </w:numPr>
        <w:pStyle w:val="Compact"/>
      </w:pPr>
      <w:r>
        <w:t xml:space="preserve">His poetry is distinguished by a characteristic melancholic tone and unusually direct, plain linguistic style, reflecting both conventional ghazal themes and his own considerable personal and political hardship.</w:t>
      </w:r>
    </w:p>
    <w:p>
      <w:pPr>
        <w:numPr>
          <w:ilvl w:val="0"/>
          <w:numId w:val="1053"/>
        </w:numPr>
        <w:pStyle w:val="Compact"/>
      </w:pPr>
      <w:r>
        <w:t xml:space="preserve">Mir’s achievement lies in rendering the ghazal’s conventional thematic vocabulary (love’s suffering, the beloved’s cruelty, wine imagery with mystical resonance) with unaffected emotional sincerity, distinguishing his style from later poets’ more ornamented diction.</w:t>
      </w:r>
    </w:p>
    <w:bookmarkEnd w:id="78"/>
    <w:bookmarkStart w:id="79" w:name="mirza-ghalib-diwan-e-ghalib"/>
    <w:p>
      <w:pPr>
        <w:pStyle w:val="Heading3"/>
      </w:pPr>
      <w:r>
        <w:t xml:space="preserve">54. Mirza Ghalib — Diwan-e Ghalib</w:t>
      </w:r>
    </w:p>
    <w:p>
      <w:pPr>
        <w:pStyle w:val="FirstParagraph"/>
      </w:pPr>
      <w:r>
        <w:t xml:space="preserve">Mirza Ghalib (1797–1869) is widely regarded as the most significant and intellectually complex poet in the Urdu ghazal tradition, whose collected work (Diwan-e Ghalib) is distinguished by philosophical depth, linguistic and intellectual complexity, and a distinctive blend of scepticism, wit, and profound melancholy.</w:t>
      </w:r>
    </w:p>
    <w:p>
      <w:pPr>
        <w:pStyle w:val="BodyText"/>
      </w:pPr>
      <w:r>
        <w:rPr>
          <w:bCs/>
          <w:b/>
        </w:rPr>
        <w:t xml:space="preserve">Distinctive style.</w:t>
      </w:r>
      <w:r>
        <w:t xml:space="preserve"> </w:t>
      </w:r>
      <w:r>
        <w:t xml:space="preserve">Ghalib’s poetry is characteristically dense with intellectual and philosophical content, frequently employing elaborate, sometimes deliberately difficult imagery and complex conceits (a quality that provoked criticism from some contemporary readers accustomed to more straightforwardly accessible ghazal composition, and that Ghalib himself addressed with characteristic wit, defending the demanding intellectual pleasure his more difficult verses offered to sufficiently attentive readers) — his verse combines this intellectual complexity with genuine wit and, frequently, a strikingly modern-feeling scepticism regarding conventional religious and social certainties, alongside profound treatment of suffering, mortality, and existential doubt.</w:t>
      </w:r>
    </w:p>
    <w:p>
      <w:pPr>
        <w:pStyle w:val="BodyText"/>
      </w:pPr>
      <w:r>
        <w:rPr>
          <w:bCs/>
          <w:b/>
        </w:rPr>
        <w:t xml:space="preserve">Historical context.</w:t>
      </w:r>
      <w:r>
        <w:t xml:space="preserve"> </w:t>
      </w:r>
      <w:r>
        <w:t xml:space="preserve">Ghalib lived through the final decades of Mughal Delhi’s political and cultural decline, including the traumatic 1857 uprising and its brutal suppression by British colonial forces, an experience of profound civilisational loss that pervades much of his later work, lending his characteristic melancholy a specific historical as well as personal and philosophical dimension — Ghalib’s poetry thus registers both timeless ghazal themes (love, loss, mortality) and the specific historical experience of witnessing a civilisation’s political and cultural collapse.</w:t>
      </w:r>
    </w:p>
    <w:p>
      <w:pPr>
        <w:pStyle w:val="BodyText"/>
      </w:pPr>
      <w:r>
        <w:rPr>
          <w:bCs/>
          <w:b/>
        </w:rPr>
        <w:t xml:space="preserve">Philosophical depth.</w:t>
      </w:r>
      <w:r>
        <w:t xml:space="preserve"> </w:t>
      </w:r>
      <w:r>
        <w:t xml:space="preserve">Beyond the conventional ghazal vocabulary of love and separation, Ghalib’s poetry engages sustained philosophical questioning of fate, divine justice, the nature of existence, and human suffering, with a characteristic willingness to voice doubt and even defiance toward conventional religious consolation that distinguishes his intellectual seriousness from more purely lyrical or devotional ghazal composition — this philosophical and intellectual ambition, combined with his formal mastery of the ghazal’s demanding conventions, underlies his enduring reputation as Urdu poetry’s most significant and intellectually substantial figure.</w:t>
      </w:r>
    </w:p>
    <w:p>
      <w:pPr>
        <w:pStyle w:val="BodyText"/>
      </w:pPr>
      <w:r>
        <w:rPr>
          <w:bCs/>
          <w:b/>
        </w:rPr>
        <w:t xml:space="preserve">Significance and legacy.</w:t>
      </w:r>
      <w:r>
        <w:t xml:space="preserve"> </w:t>
      </w:r>
      <w:r>
        <w:t xml:space="preserve">Ghalib’s influence on subsequent Urdu poetry has been immense and enduring, with his specific combination of intellectual complexity, wit, and philosophical depth establishing a model that subsequent generations of Urdu poets have continued to study, emulate, and measure themselves against, making him, alongside Mir, one of the two most essential reference points for understanding the classical Urdu ghazal tradition.</w:t>
      </w:r>
    </w:p>
    <w:p>
      <w:pPr>
        <w:pStyle w:val="BodyText"/>
      </w:pPr>
      <w:r>
        <w:rPr>
          <w:bCs/>
          <w:b/>
        </w:rPr>
        <w:t xml:space="preserve">Key Takeaways</w:t>
      </w:r>
    </w:p>
    <w:p>
      <w:pPr>
        <w:numPr>
          <w:ilvl w:val="0"/>
          <w:numId w:val="1054"/>
        </w:numPr>
        <w:pStyle w:val="Compact"/>
      </w:pPr>
      <w:r>
        <w:t xml:space="preserve">Ghalib’s poetry combines intellectual and philosophical density, elaborate imagery, and genuine wit, distinguishing his style from more directly accessible ghazal composition, including Mir’s plainer diction.</w:t>
      </w:r>
    </w:p>
    <w:p>
      <w:pPr>
        <w:numPr>
          <w:ilvl w:val="0"/>
          <w:numId w:val="1054"/>
        </w:numPr>
        <w:pStyle w:val="Compact"/>
      </w:pPr>
      <w:r>
        <w:t xml:space="preserve">His work registers the trauma of Mughal Delhi’s political and cultural collapse, including the 1857 uprising, lending his characteristic melancholy specific historical as well as personal and philosophical dimension.</w:t>
      </w:r>
    </w:p>
    <w:p>
      <w:pPr>
        <w:numPr>
          <w:ilvl w:val="0"/>
          <w:numId w:val="1054"/>
        </w:numPr>
        <w:pStyle w:val="Compact"/>
      </w:pPr>
      <w:r>
        <w:t xml:space="preserve">Ghalib’s sustained philosophical engagement with fate, doubt, and existential suffering, combined with his formal mastery, establishes his enduring reputation as the most intellectually substantial figure in the classical Urdu ghazal tradition.</w:t>
      </w:r>
    </w:p>
    <w:bookmarkEnd w:id="79"/>
    <w:bookmarkStart w:id="80" w:name="altaf-hussain-hali-musaddas"/>
    <w:p>
      <w:pPr>
        <w:pStyle w:val="Heading3"/>
      </w:pPr>
      <w:r>
        <w:t xml:space="preserve">55. Altaf Hussain Hali — Musaddas</w:t>
      </w:r>
    </w:p>
    <w:p>
      <w:pPr>
        <w:pStyle w:val="FirstParagraph"/>
      </w:pPr>
      <w:r>
        <w:t xml:space="preserve">Altaf Hussain Hali’s</w:t>
      </w:r>
      <w:r>
        <w:t xml:space="preserve"> </w:t>
      </w:r>
      <w:r>
        <w:rPr>
          <w:iCs/>
          <w:i/>
        </w:rPr>
        <w:t xml:space="preserve">Musaddas-e Hali</w:t>
      </w:r>
      <w:r>
        <w:t xml:space="preserve"> </w:t>
      </w:r>
      <w:r>
        <w:t xml:space="preserve">(formally titled</w:t>
      </w:r>
      <w:r>
        <w:t xml:space="preserve"> </w:t>
      </w:r>
      <w:r>
        <w:rPr>
          <w:iCs/>
          <w:i/>
        </w:rPr>
        <w:t xml:space="preserve">Madd-o-Jazr-e Islam</w:t>
      </w:r>
      <w:r>
        <w:t xml:space="preserve">,</w:t>
      </w:r>
      <w:r>
        <w:t xml:space="preserve"> </w:t>
      </w:r>
      <w:r>
        <w:t xml:space="preserve">“</w:t>
      </w:r>
      <w:r>
        <w:t xml:space="preserve">The Ebb and Flow of Islam,</w:t>
      </w:r>
      <w:r>
        <w:t xml:space="preserve">”</w:t>
      </w:r>
      <w:r>
        <w:t xml:space="preserve"> </w:t>
      </w:r>
      <w:r>
        <w:t xml:space="preserve">1879) represents a landmark work of Urdu reformist poetry, using an extended narrative poem to lament the Muslim community’s perceived civilisational decline and to call for moral, educational, and social reform.</w:t>
      </w:r>
    </w:p>
    <w:p>
      <w:pPr>
        <w:pStyle w:val="BodyText"/>
      </w:pPr>
      <w:r>
        <w:rPr>
          <w:bCs/>
          <w:b/>
        </w:rPr>
        <w:t xml:space="preserve">Form and structure.</w:t>
      </w:r>
      <w:r>
        <w:t xml:space="preserve"> </w:t>
      </w:r>
      <w:r>
        <w:t xml:space="preserve">As its title indicates, the</w:t>
      </w:r>
      <w:r>
        <w:t xml:space="preserve"> </w:t>
      </w:r>
      <w:r>
        <w:rPr>
          <w:iCs/>
          <w:i/>
        </w:rPr>
        <w:t xml:space="preserve">Musaddas</w:t>
      </w:r>
      <w:r>
        <w:t xml:space="preserve"> </w:t>
      </w:r>
      <w:r>
        <w:t xml:space="preserve">is composed in six-line stanzas (musaddas being the Persian/Urdu term for this six-line stanzaic form), a departure from the ghazal’s couplet-based structure that allowed Hali the sustained narrative and argumentative development his reformist, historically-minded poetic project required — the poem traces a sweeping historical arc from the perceived heights of early Islamic civilisational achievement through what Hali presents as a subsequent, troubling decline, before turning to explicit exhortation toward reform and renewed effort.</w:t>
      </w:r>
    </w:p>
    <w:p>
      <w:pPr>
        <w:pStyle w:val="BodyText"/>
      </w:pPr>
      <w:r>
        <w:rPr>
          <w:bCs/>
          <w:b/>
        </w:rPr>
        <w:t xml:space="preserve">Reformist purpose and Sir Syed’s influence.</w:t>
      </w:r>
      <w:r>
        <w:t xml:space="preserve"> </w:t>
      </w:r>
      <w:r>
        <w:t xml:space="preserve">Hali composed the</w:t>
      </w:r>
      <w:r>
        <w:t xml:space="preserve"> </w:t>
      </w:r>
      <w:r>
        <w:rPr>
          <w:iCs/>
          <w:i/>
        </w:rPr>
        <w:t xml:space="preserve">Musaddas</w:t>
      </w:r>
      <w:r>
        <w:t xml:space="preserve"> </w:t>
      </w:r>
      <w:r>
        <w:t xml:space="preserve">under the direct influence and encouragement of Sir Syed Ahmad Khan, the influential Muslim educational and social reformer, and the poem should be understood as a direct poetic expression of the broader Aligarh reformist movement’s core conviction: that the Muslim community’s contemporary weakness and colonial subjugation stemmed substantially from internal social, educational, and moral failings requiring direct address, rather than from external circumstance alone — the poem’s sustained comparison between past civilisational achievement and present decline serves explicitly didactic, mobilising purposes, aiming to provoke moral and social reform among its Muslim readership rather than functioning as detached historical or literary reflection alone.</w:t>
      </w:r>
    </w:p>
    <w:p>
      <w:pPr>
        <w:pStyle w:val="BodyText"/>
      </w:pPr>
      <w:r>
        <w:rPr>
          <w:bCs/>
          <w:b/>
        </w:rPr>
        <w:t xml:space="preserve">Significance for Urdu literary history.</w:t>
      </w:r>
      <w:r>
        <w:t xml:space="preserve"> </w:t>
      </w:r>
      <w:r>
        <w:t xml:space="preserve">The</w:t>
      </w:r>
      <w:r>
        <w:t xml:space="preserve"> </w:t>
      </w:r>
      <w:r>
        <w:rPr>
          <w:iCs/>
          <w:i/>
        </w:rPr>
        <w:t xml:space="preserve">Musaddas</w:t>
      </w:r>
      <w:r>
        <w:t xml:space="preserve"> </w:t>
      </w:r>
      <w:r>
        <w:t xml:space="preserve">represents a significant departure from the classical ghazal tradition’s characteristic thematic and formal conventions (examined in relation to Mir and Ghalib, Topics 53–54) toward a more directly didactic, socially and historically engaged poetic mode, anticipating in important respects the more explicitly reformist and nationally engaged poetry that Iqbal (Topics 57–59) would subsequently develop with even greater philosophical ambition and poetic sophistication.</w:t>
      </w:r>
    </w:p>
    <w:p>
      <w:pPr>
        <w:pStyle w:val="BodyText"/>
      </w:pPr>
      <w:r>
        <w:rPr>
          <w:bCs/>
          <w:b/>
        </w:rPr>
        <w:t xml:space="preserve">Key Takeaways</w:t>
      </w:r>
    </w:p>
    <w:p>
      <w:pPr>
        <w:numPr>
          <w:ilvl w:val="0"/>
          <w:numId w:val="1055"/>
        </w:numPr>
        <w:pStyle w:val="Compact"/>
      </w:pPr>
      <w:r>
        <w:t xml:space="preserve">Hali’s</w:t>
      </w:r>
      <w:r>
        <w:t xml:space="preserve"> </w:t>
      </w:r>
      <w:r>
        <w:rPr>
          <w:iCs/>
          <w:i/>
        </w:rPr>
        <w:t xml:space="preserve">Musaddas</w:t>
      </w:r>
      <w:r>
        <w:t xml:space="preserve">, composed in six-line stanzas departing from ghazal convention, traces a sweeping historical narrative from early Islamic civilisational achievement to perceived contemporary decline, calling explicitly for reform.</w:t>
      </w:r>
    </w:p>
    <w:p>
      <w:pPr>
        <w:numPr>
          <w:ilvl w:val="0"/>
          <w:numId w:val="1055"/>
        </w:numPr>
        <w:pStyle w:val="Compact"/>
      </w:pPr>
      <w:r>
        <w:t xml:space="preserve">The poem was composed under the direct influence of Sir Syed Ahmad Khan’s reformist movement, reflecting the conviction that internal social, educational, and moral failings required direct address alongside external colonial circumstance.</w:t>
      </w:r>
    </w:p>
    <w:p>
      <w:pPr>
        <w:numPr>
          <w:ilvl w:val="0"/>
          <w:numId w:val="1055"/>
        </w:numPr>
        <w:pStyle w:val="Compact"/>
      </w:pPr>
      <w:r>
        <w:t xml:space="preserve">The work’s directly didactic, historically engaged poetic mode represents a significant departure from classical ghazal convention, anticipating the more philosophically ambitious reformist poetry Iqbal would later develop.</w:t>
      </w:r>
    </w:p>
    <w:bookmarkEnd w:id="80"/>
    <w:bookmarkStart w:id="81" w:name="allama-iqbal-tulu-e-islam"/>
    <w:p>
      <w:pPr>
        <w:pStyle w:val="Heading3"/>
      </w:pPr>
      <w:r>
        <w:t xml:space="preserve">56. Allama Iqbal — Tulu-e Islam</w:t>
      </w:r>
    </w:p>
    <w:p>
      <w:pPr>
        <w:pStyle w:val="FirstParagraph"/>
      </w:pPr>
      <w:r>
        <w:t xml:space="preserve">Allama Muhammad Iqbal’s</w:t>
      </w:r>
      <w:r>
        <w:t xml:space="preserve"> </w:t>
      </w:r>
      <w:r>
        <w:t xml:space="preserve">“</w:t>
      </w:r>
      <w:r>
        <w:t xml:space="preserve">Tulu-e Islam</w:t>
      </w:r>
      <w:r>
        <w:t xml:space="preserve">”</w:t>
      </w:r>
      <w:r>
        <w:t xml:space="preserve"> </w:t>
      </w:r>
      <w:r>
        <w:t xml:space="preserve">(</w:t>
      </w:r>
      <w:r>
        <w:t xml:space="preserve">“</w:t>
      </w:r>
      <w:r>
        <w:t xml:space="preserve">The Rise of Islam</w:t>
      </w:r>
      <w:r>
        <w:t xml:space="preserve">”</w:t>
      </w:r>
      <w:r>
        <w:t xml:space="preserve">), part of his collection</w:t>
      </w:r>
      <w:r>
        <w:t xml:space="preserve"> </w:t>
      </w:r>
      <w:r>
        <w:rPr>
          <w:iCs/>
          <w:i/>
        </w:rPr>
        <w:t xml:space="preserve">Bang-e-Dara</w:t>
      </w:r>
      <w:r>
        <w:t xml:space="preserve">, is a visionary poem calling for the moral and spiritual awakening and renewal of the Muslim community, characteristic of Iqbal’s broader poetic project of reviving Muslim self-confidence and purposeful collective action.</w:t>
      </w:r>
    </w:p>
    <w:p>
      <w:pPr>
        <w:pStyle w:val="BodyText"/>
      </w:pPr>
      <w:r>
        <w:rPr>
          <w:bCs/>
          <w:b/>
        </w:rPr>
        <w:t xml:space="preserve">Central vision.</w:t>
      </w:r>
      <w:r>
        <w:t xml:space="preserve"> </w:t>
      </w:r>
      <w:r>
        <w:t xml:space="preserve">The poem envisions a renewed rising of Islamic civilisational vitality, using imagery of dawn and awakening to figure the Muslim community’s hoped-for emergence from what Iqbal, throughout his poetry, consistently diagnoses as a state of civilisational lethargy, internal division, and loss of purposeful collective will — the poem functions as both diagnosis and summons, identifying the community’s current weakened condition while calling, with Iqbal’s characteristic rhetorical force and philosophical conviction, for a renewed spiritual and moral vitality capable of restoring genuine civilisational strength and purpose.</w:t>
      </w:r>
    </w:p>
    <w:p>
      <w:pPr>
        <w:pStyle w:val="BodyText"/>
      </w:pPr>
      <w:r>
        <w:rPr>
          <w:bCs/>
          <w:b/>
        </w:rPr>
        <w:t xml:space="preserve">Iqbal’s philosophy of Khudi (selfhood).</w:t>
      </w:r>
      <w:r>
        <w:t xml:space="preserve"> </w:t>
      </w:r>
      <w:r>
        <w:t xml:space="preserve">Central to this poem, as to Iqbal’s poetry more broadly, is his philosophical concept of Khudi — a strengthened, purposeful individual and collective selfhood, achieved through sustained moral striving, self-discipline, and active engagement with the world, standing in explicit contrast to what Iqbal criticised as a passive, fatalistic quietism he associated with certain strands of contemporary religious practice and, more broadly, with the colonised Muslim community’s perceived loss of purposeful historical agency — the poem’s call for Islamic</w:t>
      </w:r>
      <w:r>
        <w:t xml:space="preserve"> </w:t>
      </w:r>
      <w:r>
        <w:t xml:space="preserve">“</w:t>
      </w:r>
      <w:r>
        <w:t xml:space="preserve">rising</w:t>
      </w:r>
      <w:r>
        <w:t xml:space="preserve">”</w:t>
      </w:r>
      <w:r>
        <w:t xml:space="preserve"> </w:t>
      </w:r>
      <w:r>
        <w:t xml:space="preserve">is inseparable from this broader philosophical insistence on active, self-disciplined striving as the necessary precondition for genuine renewal.</w:t>
      </w:r>
    </w:p>
    <w:p>
      <w:pPr>
        <w:pStyle w:val="BodyText"/>
      </w:pPr>
      <w:r>
        <w:rPr>
          <w:bCs/>
          <w:b/>
        </w:rPr>
        <w:t xml:space="preserve">Historical and rhetorical context.</w:t>
      </w:r>
      <w:r>
        <w:t xml:space="preserve"> </w:t>
      </w:r>
      <w:r>
        <w:t xml:space="preserve">Composed during a period of significant Muslim political and civilizational anxiety under British colonial rule, the poem’s rhetorical force and urgency reflect Iqbal’s broader project of using poetry as a vehicle for philosophical and civilisational argument, continuing the reformist, socially engaged poetic mode Hali had pioneered (Topic 55) while bringing to it Iqbal’s distinctive philosophical sophistication, drawing on both Islamic intellectual tradition and Iqbal’s own engagement with Western philosophy (including his doctoral study in Europe).</w:t>
      </w:r>
    </w:p>
    <w:p>
      <w:pPr>
        <w:pStyle w:val="BodyText"/>
      </w:pPr>
      <w:r>
        <w:rPr>
          <w:bCs/>
          <w:b/>
        </w:rPr>
        <w:t xml:space="preserve">Key Takeaways</w:t>
      </w:r>
    </w:p>
    <w:p>
      <w:pPr>
        <w:numPr>
          <w:ilvl w:val="0"/>
          <w:numId w:val="1056"/>
        </w:numPr>
        <w:pStyle w:val="Compact"/>
      </w:pPr>
      <w:r>
        <w:t xml:space="preserve">The poem calls for the Muslim community’s moral and spiritual awakening, using imagery of dawn and rising to figure a hoped-for emergence from perceived civilisational lethargy and internal division.</w:t>
      </w:r>
    </w:p>
    <w:p>
      <w:pPr>
        <w:numPr>
          <w:ilvl w:val="0"/>
          <w:numId w:val="1056"/>
        </w:numPr>
        <w:pStyle w:val="Compact"/>
      </w:pPr>
      <w:r>
        <w:t xml:space="preserve">Central to the poem is Iqbal’s philosophy of Khudi — strengthened, purposeful selfhood achieved through active moral striving — explicitly contrasted with passive religious and civilisational fatalism.</w:t>
      </w:r>
    </w:p>
    <w:p>
      <w:pPr>
        <w:numPr>
          <w:ilvl w:val="0"/>
          <w:numId w:val="1056"/>
        </w:numPr>
        <w:pStyle w:val="Compact"/>
      </w:pPr>
      <w:r>
        <w:t xml:space="preserve">The poem continues and philosophically deepens the reformist, socially engaged poetic mode Hali pioneered, reflecting Iqbal’s broader project of using poetry to address Muslim civilisational renewal under colonial conditions.</w:t>
      </w:r>
    </w:p>
    <w:bookmarkEnd w:id="81"/>
    <w:bookmarkStart w:id="82" w:name="allama-iqbal-khizr-e-rah"/>
    <w:p>
      <w:pPr>
        <w:pStyle w:val="Heading3"/>
      </w:pPr>
      <w:r>
        <w:t xml:space="preserve">57. Allama Iqbal — Khizr-e Rah</w:t>
      </w:r>
    </w:p>
    <w:p>
      <w:pPr>
        <w:pStyle w:val="FirstParagraph"/>
      </w:pPr>
      <w:r>
        <w:t xml:space="preserve">Iqbal’s</w:t>
      </w:r>
      <w:r>
        <w:t xml:space="preserve"> </w:t>
      </w:r>
      <w:r>
        <w:t xml:space="preserve">“</w:t>
      </w:r>
      <w:r>
        <w:t xml:space="preserve">Khizr-e Rah</w:t>
      </w:r>
      <w:r>
        <w:t xml:space="preserve">”</w:t>
      </w:r>
      <w:r>
        <w:t xml:space="preserve"> </w:t>
      </w:r>
      <w:r>
        <w:t xml:space="preserve">(</w:t>
      </w:r>
      <w:r>
        <w:t xml:space="preserve">“</w:t>
      </w:r>
      <w:r>
        <w:t xml:space="preserve">Khizr, the Guide</w:t>
      </w:r>
      <w:r>
        <w:t xml:space="preserve">”</w:t>
      </w:r>
      <w:r>
        <w:t xml:space="preserve">), also from</w:t>
      </w:r>
      <w:r>
        <w:t xml:space="preserve"> </w:t>
      </w:r>
      <w:r>
        <w:rPr>
          <w:iCs/>
          <w:i/>
        </w:rPr>
        <w:t xml:space="preserve">Bang-e-Dara</w:t>
      </w:r>
      <w:r>
        <w:t xml:space="preserve">, uses the mystical figure of Khizr — a guide-figure in Islamic tradition associated with hidden spiritual wisdom and guidance — as a device for delivering an extended meditation on contemporary social, political, and civilisational questions facing the Muslim world.</w:t>
      </w:r>
    </w:p>
    <w:p>
      <w:pPr>
        <w:pStyle w:val="BodyText"/>
      </w:pPr>
      <w:r>
        <w:rPr>
          <w:bCs/>
          <w:b/>
        </w:rPr>
        <w:t xml:space="preserve">Dialogic structure and the Khizr device.</w:t>
      </w:r>
      <w:r>
        <w:t xml:space="preserve"> </w:t>
      </w:r>
      <w:r>
        <w:t xml:space="preserve">The poem is structured as a dialogue in which the poet questions Khizr regarding the pressing problems of the age — including capitalism, imperialism, the condition of labour, and the broader crisis facing Muslim civilisation under colonial subjugation — with Khizr’s responses providing Iqbal’s own diagnostic and prescriptive commentary on these contemporary questions, delivered through the authoritative, symbolically weighted voice of this traditional guide-figure rather than in the poet’s own direct first-person voice, lending Iqbal’s contemporary social and political argument an added dimension of traditional spiritual authority.</w:t>
      </w:r>
    </w:p>
    <w:p>
      <w:pPr>
        <w:pStyle w:val="BodyText"/>
      </w:pPr>
      <w:r>
        <w:rPr>
          <w:bCs/>
          <w:b/>
        </w:rPr>
        <w:t xml:space="preserve">Themes: capitalism, imperialism, and social justice.</w:t>
      </w:r>
      <w:r>
        <w:t xml:space="preserve"> </w:t>
      </w:r>
      <w:r>
        <w:t xml:space="preserve">The poem addresses questions of economic exploitation and social justice with a directness distinguishing it from more purely devotional or lyrical poetry, reflecting Iqbal’s broader concern (shared, in different register, with the Progressive Writers’ Movement discussed in Topic 51, though arrived at through a distinct philosophical and religious framework rather than Marxist theory specifically) that genuine civilisational renewal requires confronting economic exploitation and social injustice directly, not merely cultivating individual spiritual renewal in isolation from these pressing structural questions.</w:t>
      </w:r>
    </w:p>
    <w:p>
      <w:pPr>
        <w:pStyle w:val="BodyText"/>
      </w:pPr>
      <w:r>
        <w:rPr>
          <w:bCs/>
          <w:b/>
        </w:rPr>
        <w:t xml:space="preserve">Significance within Iqbal’s poetic project.</w:t>
      </w:r>
      <w:r>
        <w:t xml:space="preserve"> </w:t>
      </w:r>
      <w:r>
        <w:t xml:space="preserve">The poem exemplifies Iqbal’s characteristic technique of using traditional Islamic symbolic and literary resources (here, the Khizr figure) as vehicles for addressing distinctly modern political, economic, and social concerns, a synthesis of inherited tradition and contemporary engagement that runs throughout Iqbal’s work and that distinguishes his poetic project from both a purely traditionalist poetry disengaged from contemporary conditions and a purely secular modern poetry disconnected from Islamic intellectual and symbolic tradition.</w:t>
      </w:r>
    </w:p>
    <w:p>
      <w:pPr>
        <w:pStyle w:val="BodyText"/>
      </w:pPr>
      <w:r>
        <w:rPr>
          <w:bCs/>
          <w:b/>
        </w:rPr>
        <w:t xml:space="preserve">Key Takeaways</w:t>
      </w:r>
    </w:p>
    <w:p>
      <w:pPr>
        <w:numPr>
          <w:ilvl w:val="0"/>
          <w:numId w:val="1057"/>
        </w:numPr>
        <w:pStyle w:val="Compact"/>
      </w:pPr>
      <w:r>
        <w:t xml:space="preserve">The poem stages a dialogue between the poet and the traditional guide-figure Khizr, who delivers Iqbal’s diagnostic commentary on contemporary problems including capitalism, imperialism, and labour conditions.</w:t>
      </w:r>
    </w:p>
    <w:p>
      <w:pPr>
        <w:numPr>
          <w:ilvl w:val="0"/>
          <w:numId w:val="1057"/>
        </w:numPr>
        <w:pStyle w:val="Compact"/>
      </w:pPr>
      <w:r>
        <w:t xml:space="preserve">Its direct engagement with economic exploitation and social justice reflects Iqbal’s conviction that civilisational renewal requires confronting structural injustice, not merely individual spiritual renewal alone.</w:t>
      </w:r>
    </w:p>
    <w:p>
      <w:pPr>
        <w:numPr>
          <w:ilvl w:val="0"/>
          <w:numId w:val="1057"/>
        </w:numPr>
        <w:pStyle w:val="Compact"/>
      </w:pPr>
      <w:r>
        <w:t xml:space="preserve">The poem exemplifies Iqbal’s characteristic synthesis of traditional Islamic symbolic resources with distinctly modern political and social concerns, distinguishing his project from both disengaged traditionalism and tradition-disconnected secular modernism.</w:t>
      </w:r>
    </w:p>
    <w:bookmarkEnd w:id="82"/>
    <w:bookmarkStart w:id="83" w:name="allama-iqbal-masjid-e-qurtaba"/>
    <w:p>
      <w:pPr>
        <w:pStyle w:val="Heading3"/>
      </w:pPr>
      <w:r>
        <w:t xml:space="preserve">58. Allama Iqbal — Masjid-e Qurtaba</w:t>
      </w:r>
    </w:p>
    <w:p>
      <w:pPr>
        <w:pStyle w:val="FirstParagraph"/>
      </w:pPr>
      <w:r>
        <w:t xml:space="preserve">Iqbal’s</w:t>
      </w:r>
      <w:r>
        <w:t xml:space="preserve"> </w:t>
      </w:r>
      <w:r>
        <w:t xml:space="preserve">“</w:t>
      </w:r>
      <w:r>
        <w:t xml:space="preserve">Masjid-e Qurtaba</w:t>
      </w:r>
      <w:r>
        <w:t xml:space="preserve">”</w:t>
      </w:r>
      <w:r>
        <w:t xml:space="preserve"> </w:t>
      </w:r>
      <w:r>
        <w:t xml:space="preserve">(</w:t>
      </w:r>
      <w:r>
        <w:t xml:space="preserve">“</w:t>
      </w:r>
      <w:r>
        <w:t xml:space="preserve">The Mosque of Cordoba</w:t>
      </w:r>
      <w:r>
        <w:t xml:space="preserve">”</w:t>
      </w:r>
      <w:r>
        <w:t xml:space="preserve">), composed following Iqbal’s visit to the Great Mosque of Córdoba in Spain, is widely regarded as one of his most formally and philosophically accomplished poems, using the historical monument as an occasion for meditating on art, civilisation, time, and enduring spiritual and creative value.</w:t>
      </w:r>
    </w:p>
    <w:p>
      <w:pPr>
        <w:pStyle w:val="BodyText"/>
      </w:pPr>
      <w:r>
        <w:rPr>
          <w:bCs/>
          <w:b/>
        </w:rPr>
        <w:t xml:space="preserve">Central occasion and meditation.</w:t>
      </w:r>
      <w:r>
        <w:t xml:space="preserve"> </w:t>
      </w:r>
      <w:r>
        <w:t xml:space="preserve">Standing before the Great Mosque of Córdoba — a monument to the vanished civilisational achievement of Muslim Spain (Al-Andalus), now standing as physical testament to a civilisation long since politically and historically ended — Iqbal meditates on the relationship between transient political power and enduring artistic and spiritual creation, finding in the mosque’s continued physical and aesthetic presence, long after the political civilisation that built it has disappeared, evidence that genuine creative and spiritual achievement possesses a durability and value exceeding that of political power itself, which Iqbal presents as inevitably subject to historical rise and fall.</w:t>
      </w:r>
    </w:p>
    <w:p>
      <w:pPr>
        <w:pStyle w:val="BodyText"/>
      </w:pPr>
      <w:r>
        <w:rPr>
          <w:bCs/>
          <w:b/>
        </w:rPr>
        <w:t xml:space="preserve">Philosophical themes: time, love, and creative action.</w:t>
      </w:r>
      <w:r>
        <w:t xml:space="preserve"> </w:t>
      </w:r>
      <w:r>
        <w:t xml:space="preserve">The poem develops Iqbal’s characteristic philosophical concerns with time (drawing on both Islamic philosophical and Iqbal’s own engagement with Western philosophical treatments of temporality) and with Ishq (love, understood by Iqbal in an expansive sense encompassing passionate spiritual devotion and creative-moral striving alike, closely related to his concept of Khudi discussed in Topic 56) as the animating forces capable of producing works — whether architectural, poetic, or moral — that transcend the ordinary temporal decay to which merely political or material achievement remains subject.</w:t>
      </w:r>
    </w:p>
    <w:p>
      <w:pPr>
        <w:pStyle w:val="BodyText"/>
      </w:pPr>
      <w:r>
        <w:rPr>
          <w:bCs/>
          <w:b/>
        </w:rPr>
        <w:t xml:space="preserve">Formal and critical significance.</w:t>
      </w:r>
      <w:r>
        <w:t xml:space="preserve"> </w:t>
      </w:r>
      <w:r>
        <w:t xml:space="preserve">The poem is frequently praised for its formal and rhythmic accomplishment (composed in a metre Iqbal himself associated with particular majesty and gravitas, suited to the poem’s elevated philosophical and historical subject matter) and is widely regarded by critics as representing the height of Iqbal’s mature poetic and philosophical achievement, synthesising his historical, philosophical, and specifically Islamic civilisational concerns into a single, formally masterful meditation occasioned by direct encounter with a physical monument to a vanished but still spiritually resonant civilisational past.</w:t>
      </w:r>
    </w:p>
    <w:p>
      <w:pPr>
        <w:pStyle w:val="BodyText"/>
      </w:pPr>
      <w:r>
        <w:rPr>
          <w:bCs/>
          <w:b/>
        </w:rPr>
        <w:t xml:space="preserve">Key Takeaways</w:t>
      </w:r>
    </w:p>
    <w:p>
      <w:pPr>
        <w:numPr>
          <w:ilvl w:val="0"/>
          <w:numId w:val="1058"/>
        </w:numPr>
        <w:pStyle w:val="Compact"/>
      </w:pPr>
      <w:r>
        <w:t xml:space="preserve">Occasioned by Iqbal’s visit to the Great Mosque of Córdoba, the poem meditates on the relationship between transient political power and enduring artistic and spiritual creation, using the mosque’s continued presence as evidence of art’s durability beyond political civilisation’s rise and fall.</w:t>
      </w:r>
    </w:p>
    <w:p>
      <w:pPr>
        <w:numPr>
          <w:ilvl w:val="0"/>
          <w:numId w:val="1058"/>
        </w:numPr>
        <w:pStyle w:val="Compact"/>
      </w:pPr>
      <w:r>
        <w:t xml:space="preserve">The poem develops Iqbal’s philosophical concerns with time and Ishq (love, encompassing passionate spiritual and creative-moral striving), closely related to his concept of Khudi.</w:t>
      </w:r>
    </w:p>
    <w:p>
      <w:pPr>
        <w:numPr>
          <w:ilvl w:val="0"/>
          <w:numId w:val="1058"/>
        </w:numPr>
        <w:pStyle w:val="Compact"/>
      </w:pPr>
      <w:r>
        <w:t xml:space="preserve">Widely regarded as formally and philosophically among Iqbal’s most accomplished works, the poem synthesises his historical, philosophical, and Islamic civilisational concerns into a single masterful meditation.</w:t>
      </w:r>
    </w:p>
    <w:bookmarkEnd w:id="83"/>
    <w:bookmarkEnd w:id="84"/>
    <w:bookmarkStart w:id="89" w:name="viii.-modern-urdu-poetry"/>
    <w:p>
      <w:pPr>
        <w:pStyle w:val="Heading2"/>
      </w:pPr>
      <w:r>
        <w:t xml:space="preserve">VIII. Modern Urdu Poetry</w:t>
      </w:r>
    </w:p>
    <w:bookmarkStart w:id="85" w:name="X5b87bce9398ee061db295e089014d599e672c92"/>
    <w:p>
      <w:pPr>
        <w:pStyle w:val="Heading3"/>
      </w:pPr>
      <w:r>
        <w:t xml:space="preserve">59. Faiz Ahmed Faiz — Selected Ghazal from Dast-e Saba</w:t>
      </w:r>
    </w:p>
    <w:p>
      <w:pPr>
        <w:pStyle w:val="FirstParagraph"/>
      </w:pPr>
      <w:r>
        <w:t xml:space="preserve">Faiz Ahmed Faiz (1911–1984), among the most significant and internationally recognised modern Urdu poets, is distinguished for his synthesis of the classical ghazal tradition’s inherited romantic and mystical vocabulary with explicit socio-political engagement, reflecting his strong association with the Progressive Writers’ Movement (Topic 51) and his own experience of political imprisonment.</w:t>
      </w:r>
    </w:p>
    <w:p>
      <w:pPr>
        <w:pStyle w:val="BodyText"/>
      </w:pPr>
      <w:r>
        <w:rPr>
          <w:bCs/>
          <w:b/>
        </w:rPr>
        <w:t xml:space="preserve">Synthesis of romantic and political vocabulary.</w:t>
      </w:r>
      <w:r>
        <w:t xml:space="preserve"> </w:t>
      </w:r>
      <w:r>
        <w:t xml:space="preserve">Faiz’s characteristic technique involves deploying the classical ghazal’s traditional vocabulary of romantic longing and separation (the beloved, the pain of separation, the lover’s suffering) in a manner that operates simultaneously at a literal romantic level and as coded political commentary — his beloved often functions ambiguously as both an actual romantic figure and as a symbol for political freedom, justice, or revolution, allowing Faiz to voice politically charged content within the culturally sanctioned and aesthetically rich vocabulary of classical ghazal romance, a technique that gave his poetry both aesthetic beauty and, particularly under periods of political censorship and repression, a capacity for politically resonant indirection.</w:t>
      </w:r>
    </w:p>
    <w:p>
      <w:pPr>
        <w:pStyle w:val="BodyText"/>
      </w:pPr>
      <w:r>
        <w:rPr>
          <w:bCs/>
          <w:b/>
        </w:rPr>
        <w:t xml:space="preserve">Biographical context.</w:t>
      </w:r>
      <w:r>
        <w:t xml:space="preserve"> </w:t>
      </w:r>
      <w:r>
        <w:t xml:space="preserve">Faiz’s own experience of political imprisonment (notably in connection with the Rawalpindi Conspiracy Case) and his sustained political activism directly informed his poetry’s recurring themes of resistance, hope amid repression, and solidarity with the oppressed, lending his poetry’s political dimension a lived, biographically grounded authenticity beyond abstract ideological commitment alone.</w:t>
      </w:r>
    </w:p>
    <w:p>
      <w:pPr>
        <w:pStyle w:val="BodyText"/>
      </w:pPr>
      <w:r>
        <w:rPr>
          <w:bCs/>
          <w:b/>
        </w:rPr>
        <w:t xml:space="preserve">Significance.</w:t>
      </w:r>
      <w:r>
        <w:t xml:space="preserve"> </w:t>
      </w:r>
      <w:r>
        <w:t xml:space="preserve">Faiz’s specific achievement — fusing inherited classical ghazal aesthetics with modern political and social content — has profoundly influenced subsequent Urdu poetry, and his work’s combination of lyrical beauty and political conviction has earned him recognition as among the most significant Urdu poets of the 20th century, with his poetry (Dast-e Saba,</w:t>
      </w:r>
      <w:r>
        <w:t xml:space="preserve"> </w:t>
      </w:r>
      <w:r>
        <w:t xml:space="preserve">“</w:t>
      </w:r>
      <w:r>
        <w:t xml:space="preserve">The Hand of the Morning Breeze,</w:t>
      </w:r>
      <w:r>
        <w:t xml:space="preserve">”</w:t>
      </w:r>
      <w:r>
        <w:t xml:space="preserve"> </w:t>
      </w:r>
      <w:r>
        <w:t xml:space="preserve">being one of his major collections) continuing to be widely read, recited, and set to music across the Urdu-speaking world.</w:t>
      </w:r>
    </w:p>
    <w:p>
      <w:pPr>
        <w:pStyle w:val="BodyText"/>
      </w:pPr>
      <w:r>
        <w:rPr>
          <w:bCs/>
          <w:b/>
        </w:rPr>
        <w:t xml:space="preserve">Key Takeaways</w:t>
      </w:r>
    </w:p>
    <w:p>
      <w:pPr>
        <w:numPr>
          <w:ilvl w:val="0"/>
          <w:numId w:val="1059"/>
        </w:numPr>
        <w:pStyle w:val="Compact"/>
      </w:pPr>
      <w:r>
        <w:t xml:space="preserve">Faiz fuses the classical ghazal’s traditional romantic vocabulary with explicit socio-political engagement, deploying the beloved figure as simultaneously literal and as coded symbol for political freedom and justice.</w:t>
      </w:r>
    </w:p>
    <w:p>
      <w:pPr>
        <w:numPr>
          <w:ilvl w:val="0"/>
          <w:numId w:val="1059"/>
        </w:numPr>
        <w:pStyle w:val="Compact"/>
      </w:pPr>
      <w:r>
        <w:t xml:space="preserve">His own experience of political imprisonment and sustained activism directly inform his poetry’s recurring themes of resistance and hope amid repression, associated closely with the Progressive Writers’ Movement.</w:t>
      </w:r>
    </w:p>
    <w:p>
      <w:pPr>
        <w:numPr>
          <w:ilvl w:val="0"/>
          <w:numId w:val="1059"/>
        </w:numPr>
        <w:pStyle w:val="Compact"/>
      </w:pPr>
      <w:r>
        <w:t xml:space="preserve">Faiz’s synthesis of classical aesthetics with modern political content has profoundly influenced subsequent Urdu poetry, earning him recognition as among the most significant 20th-century Urdu poets.</w:t>
      </w:r>
    </w:p>
    <w:bookmarkEnd w:id="85"/>
    <w:bookmarkStart w:id="86" w:name="n.-m.-rashid-iran-mein-ajnabi"/>
    <w:p>
      <w:pPr>
        <w:pStyle w:val="Heading3"/>
      </w:pPr>
      <w:r>
        <w:t xml:space="preserve">60. N. M. Rashid — Iran Mein Ajnabi</w:t>
      </w:r>
    </w:p>
    <w:p>
      <w:pPr>
        <w:pStyle w:val="FirstParagraph"/>
      </w:pPr>
      <w:r>
        <w:t xml:space="preserve">N. M. Rashid (1910–1975), a pioneering figure of Urdu free verse (nazm-e azad) and a leading figure of Urdu literary Modernism, wrote</w:t>
      </w:r>
      <w:r>
        <w:t xml:space="preserve"> </w:t>
      </w:r>
      <w:r>
        <w:t xml:space="preserve">“</w:t>
      </w:r>
      <w:r>
        <w:t xml:space="preserve">Iran Mein Ajnabi</w:t>
      </w:r>
      <w:r>
        <w:t xml:space="preserve">”</w:t>
      </w:r>
      <w:r>
        <w:t xml:space="preserve"> </w:t>
      </w:r>
      <w:r>
        <w:t xml:space="preserve">(</w:t>
      </w:r>
      <w:r>
        <w:t xml:space="preserve">“</w:t>
      </w:r>
      <w:r>
        <w:t xml:space="preserve">A Stranger in Iran</w:t>
      </w:r>
      <w:r>
        <w:t xml:space="preserve">”</w:t>
      </w:r>
      <w:r>
        <w:t xml:space="preserve">) as a meditation on alienation, cultural displacement, and the individual’s estrangement from a foreign, though historically and culturally related, land.</w:t>
      </w:r>
    </w:p>
    <w:p>
      <w:pPr>
        <w:pStyle w:val="BodyText"/>
      </w:pPr>
      <w:r>
        <w:rPr>
          <w:bCs/>
          <w:b/>
        </w:rPr>
        <w:t xml:space="preserve">Free verse and Modernist technique.</w:t>
      </w:r>
      <w:r>
        <w:t xml:space="preserve"> </w:t>
      </w:r>
      <w:r>
        <w:t xml:space="preserve">Rashid was a pioneering practitioner of free verse in Urdu, breaking from the ghazal’s traditional metrical and rhyme conventions in favour of a more flexible, unrhymed poetic line closer in spirit to Western Modernist free verse (compare Eliot and Stevens, Topics 17–18, 22–24) — this formal innovation allowed Rashid to pursue a more psychologically direct, unornamented exploration of interior consciousness and existential alienation than the ghazal’s traditional formal conventions readily permitted, aligning his work with the broader Modernist (Jadeediyat) tendency discussed in Topic 51.</w:t>
      </w:r>
    </w:p>
    <w:p>
      <w:pPr>
        <w:pStyle w:val="BodyText"/>
      </w:pPr>
      <w:r>
        <w:rPr>
          <w:bCs/>
          <w:b/>
        </w:rPr>
        <w:t xml:space="preserve">Central theme: estrangement and displacement.</w:t>
      </w:r>
      <w:r>
        <w:t xml:space="preserve"> </w:t>
      </w:r>
      <w:r>
        <w:t xml:space="preserve">The poem’s title figure of the</w:t>
      </w:r>
      <w:r>
        <w:t xml:space="preserve"> </w:t>
      </w:r>
      <w:r>
        <w:t xml:space="preserve">“</w:t>
      </w:r>
      <w:r>
        <w:t xml:space="preserve">stranger in Iran</w:t>
      </w:r>
      <w:r>
        <w:t xml:space="preserve">”</w:t>
      </w:r>
      <w:r>
        <w:t xml:space="preserve"> </w:t>
      </w:r>
      <w:r>
        <w:t xml:space="preserve">captures Rashid’s characteristic concern with existential and cultural displacement — the sense of being a foreigner even within a land carrying deep historical and civilisational connection to one’s own cultural background (Iran’s Persian civilisational heritage being deeply intertwined with the broader Islamic and Urdu literary tradition discussed in Topic 50), suggesting that genuine belonging cannot be assumed merely from shared civilisational or religious inheritance, and that individual alienation can persist even within apparently familiar cultural terrain.</w:t>
      </w:r>
    </w:p>
    <w:p>
      <w:pPr>
        <w:pStyle w:val="BodyText"/>
      </w:pPr>
      <w:r>
        <w:rPr>
          <w:bCs/>
          <w:b/>
        </w:rPr>
        <w:t xml:space="preserve">Significance within Urdu Modernism.</w:t>
      </w:r>
      <w:r>
        <w:t xml:space="preserve"> </w:t>
      </w:r>
      <w:r>
        <w:t xml:space="preserve">Rashid’s psychologically probing, formally innovative poetry, of which this poem is representative, exemplifies the Modernist tendency’s characteristic concerns with individual consciousness, existential isolation, and formal experimentation discussed in Topic 51, and his pioneering use of free verse specifically opened new formal possibilities for subsequent Urdu poets seeking to move beyond the ghazal’s traditional formal constraints.</w:t>
      </w:r>
    </w:p>
    <w:p>
      <w:pPr>
        <w:pStyle w:val="BodyText"/>
      </w:pPr>
      <w:r>
        <w:rPr>
          <w:bCs/>
          <w:b/>
        </w:rPr>
        <w:t xml:space="preserve">Key Takeaways</w:t>
      </w:r>
    </w:p>
    <w:p>
      <w:pPr>
        <w:numPr>
          <w:ilvl w:val="0"/>
          <w:numId w:val="1060"/>
        </w:numPr>
        <w:pStyle w:val="Compact"/>
      </w:pPr>
      <w:r>
        <w:t xml:space="preserve">Rashid pioneered Urdu free verse (nazm-e azad), breaking from traditional ghazal metrical and rhyme conventions to pursue more direct, unornamented exploration of psychological interiority, aligning with Western Modernist technique.</w:t>
      </w:r>
    </w:p>
    <w:p>
      <w:pPr>
        <w:numPr>
          <w:ilvl w:val="0"/>
          <w:numId w:val="1060"/>
        </w:numPr>
        <w:pStyle w:val="Compact"/>
      </w:pPr>
      <w:r>
        <w:t xml:space="preserve">“</w:t>
      </w:r>
      <w:r>
        <w:t xml:space="preserve">Iran Mein Ajnabi</w:t>
      </w:r>
      <w:r>
        <w:t xml:space="preserve">”</w:t>
      </w:r>
      <w:r>
        <w:t xml:space="preserve"> </w:t>
      </w:r>
      <w:r>
        <w:t xml:space="preserve">explores existential and cultural displacement, suggesting genuine belonging cannot be assumed from shared civilisational or religious inheritance alone.</w:t>
      </w:r>
    </w:p>
    <w:p>
      <w:pPr>
        <w:numPr>
          <w:ilvl w:val="0"/>
          <w:numId w:val="1060"/>
        </w:numPr>
        <w:pStyle w:val="Compact"/>
      </w:pPr>
      <w:r>
        <w:t xml:space="preserve">The poem exemplifies Urdu Modernism’s characteristic concerns with individual consciousness and formal experimentation, with Rashid’s free verse innovation opening new possibilities for subsequent Urdu poetry.</w:t>
      </w:r>
    </w:p>
    <w:bookmarkEnd w:id="86"/>
    <w:bookmarkStart w:id="87" w:name="majeed-amjad-shab-e-raftah"/>
    <w:p>
      <w:pPr>
        <w:pStyle w:val="Heading3"/>
      </w:pPr>
      <w:r>
        <w:t xml:space="preserve">61. Majeed Amjad — Shab-e Raftah</w:t>
      </w:r>
    </w:p>
    <w:p>
      <w:pPr>
        <w:pStyle w:val="FirstParagraph"/>
      </w:pPr>
      <w:r>
        <w:t xml:space="preserve">Majeed Amjad (1914–1974), a significant though for long relatively underappreciated modern Urdu poet, is known for a distinctive poetic voice combining precise, often understated imagery with deep philosophical and emotional reflection, exemplified in</w:t>
      </w:r>
      <w:r>
        <w:t xml:space="preserve"> </w:t>
      </w:r>
      <w:r>
        <w:t xml:space="preserve">“</w:t>
      </w:r>
      <w:r>
        <w:t xml:space="preserve">Shab-e Raftah</w:t>
      </w:r>
      <w:r>
        <w:t xml:space="preserve">”</w:t>
      </w:r>
      <w:r>
        <w:t xml:space="preserve"> </w:t>
      </w:r>
      <w:r>
        <w:t xml:space="preserve">(</w:t>
      </w:r>
      <w:r>
        <w:t xml:space="preserve">“</w:t>
      </w:r>
      <w:r>
        <w:t xml:space="preserve">The Night That Has Passed</w:t>
      </w:r>
      <w:r>
        <w:t xml:space="preserve">”</w:t>
      </w:r>
      <w:r>
        <w:t xml:space="preserve">).</w:t>
      </w:r>
    </w:p>
    <w:p>
      <w:pPr>
        <w:pStyle w:val="BodyText"/>
      </w:pPr>
      <w:r>
        <w:rPr>
          <w:bCs/>
          <w:b/>
        </w:rPr>
        <w:t xml:space="preserve">Central theme: time, memory, and loss.</w:t>
      </w:r>
      <w:r>
        <w:t xml:space="preserve"> </w:t>
      </w:r>
      <w:r>
        <w:t xml:space="preserve">As its title suggests, the poem meditates on the passage of time and the irrecoverable nature of the past, using the departed night as a meditative occasion for reflecting on memory, loss, and the melancholy inherent in time’s irreversible forward movement — a theme with clear resonance to the broader Urdu and world poetic tradition’s sustained engagement with mortality and transience (compare Keats’s</w:t>
      </w:r>
      <w:r>
        <w:t xml:space="preserve"> </w:t>
      </w:r>
      <w:r>
        <w:t xml:space="preserve">“</w:t>
      </w:r>
      <w:r>
        <w:t xml:space="preserve">To Autumn,</w:t>
      </w:r>
      <w:r>
        <w:t xml:space="preserve">”</w:t>
      </w:r>
      <w:r>
        <w:t xml:space="preserve"> </w:t>
      </w:r>
      <w:r>
        <w:t xml:space="preserve">Topic 12, in its meditation on time’s passage, though approached through a very different formal and cultural idiom).</w:t>
      </w:r>
    </w:p>
    <w:p>
      <w:pPr>
        <w:pStyle w:val="BodyText"/>
      </w:pPr>
      <w:r>
        <w:rPr>
          <w:bCs/>
          <w:b/>
        </w:rPr>
        <w:t xml:space="preserve">Amjad’s distinctive style.</w:t>
      </w:r>
      <w:r>
        <w:t xml:space="preserve"> </w:t>
      </w:r>
      <w:r>
        <w:t xml:space="preserve">Amjad’s poetry is characteristically marked by precise, carefully observed imagery and a restrained, contemplative tone, distinguishing his voice from both the more overtly political engagement of Faiz (Topic 59) and the more radically experimental formal techniques of Rashid (Topic 60) — Amjad’s modernism operates through quiet, careful attentiveness to particular experience and image rather than through dramatic formal rupture or explicit political statement, representing a distinct strand within the broader modern Urdu poetic movement.</w:t>
      </w:r>
    </w:p>
    <w:p>
      <w:pPr>
        <w:pStyle w:val="BodyText"/>
      </w:pPr>
      <w:r>
        <w:rPr>
          <w:bCs/>
          <w:b/>
        </w:rPr>
        <w:t xml:space="preserve">Critical reappraisal.</w:t>
      </w:r>
      <w:r>
        <w:t xml:space="preserve"> </w:t>
      </w:r>
      <w:r>
        <w:t xml:space="preserve">Amjad’s work received comparatively less recognition during his own lifetime relative to more prominent contemporaries, but has since undergone significant critical reappraisal, with subsequent scholarship and criticism increasingly recognising the philosophical depth and technical accomplishment of his relatively smaller poetic output, cementing his current standing as a significant, if historically under-recognised, figure within modern Urdu poetry.</w:t>
      </w:r>
    </w:p>
    <w:p>
      <w:pPr>
        <w:pStyle w:val="BodyText"/>
      </w:pPr>
      <w:r>
        <w:rPr>
          <w:bCs/>
          <w:b/>
        </w:rPr>
        <w:t xml:space="preserve">Key Takeaways</w:t>
      </w:r>
    </w:p>
    <w:p>
      <w:pPr>
        <w:numPr>
          <w:ilvl w:val="0"/>
          <w:numId w:val="1061"/>
        </w:numPr>
        <w:pStyle w:val="Compact"/>
      </w:pPr>
      <w:r>
        <w:t xml:space="preserve">“</w:t>
      </w:r>
      <w:r>
        <w:t xml:space="preserve">Shab-e Raftah</w:t>
      </w:r>
      <w:r>
        <w:t xml:space="preserve">”</w:t>
      </w:r>
      <w:r>
        <w:t xml:space="preserve"> </w:t>
      </w:r>
      <w:r>
        <w:t xml:space="preserve">meditates on the passage of time, memory, and irrecoverable loss, using the departed night as its central reflective occasion.</w:t>
      </w:r>
    </w:p>
    <w:p>
      <w:pPr>
        <w:numPr>
          <w:ilvl w:val="0"/>
          <w:numId w:val="1061"/>
        </w:numPr>
        <w:pStyle w:val="Compact"/>
      </w:pPr>
      <w:r>
        <w:t xml:space="preserve">Amjad’s distinctive style combines precise, carefully observed imagery with a restrained, contemplative tone, distinguishing his quieter modernism from Faiz’s political engagement and Rashid’s formal experimentation.</w:t>
      </w:r>
    </w:p>
    <w:p>
      <w:pPr>
        <w:numPr>
          <w:ilvl w:val="0"/>
          <w:numId w:val="1061"/>
        </w:numPr>
        <w:pStyle w:val="Compact"/>
      </w:pPr>
      <w:r>
        <w:t xml:space="preserve">Though underappreciated during his lifetime, Amjad has undergone significant critical reappraisal, now recognised for the philosophical depth and technical accomplishment of his poetic work.</w:t>
      </w:r>
    </w:p>
    <w:bookmarkEnd w:id="87"/>
    <w:bookmarkStart w:id="88" w:name="Xf700d5eca196144b84aa2b44a9e150a3f3b2e00"/>
    <w:p>
      <w:pPr>
        <w:pStyle w:val="Heading3"/>
      </w:pPr>
      <w:r>
        <w:t xml:space="preserve">62. Nasir Kazmi — Selected Ghazal from Barg-e Nai</w:t>
      </w:r>
    </w:p>
    <w:p>
      <w:pPr>
        <w:pStyle w:val="FirstParagraph"/>
      </w:pPr>
      <w:r>
        <w:t xml:space="preserve">Nasir Kazmi (1925–1972) is celebrated for reviving and renewing the classical ghazal tradition in the post-Partition period, bringing a distinctive combination of classical formal mastery and a specifically modern, often melancholic sensibility shaped by the experience of migration and loss following Partition.</w:t>
      </w:r>
    </w:p>
    <w:p>
      <w:pPr>
        <w:pStyle w:val="BodyText"/>
      </w:pPr>
      <w:r>
        <w:rPr>
          <w:bCs/>
          <w:b/>
        </w:rPr>
        <w:t xml:space="preserve">Revival of the classical ghazal in a modern context.</w:t>
      </w:r>
      <w:r>
        <w:t xml:space="preserve"> </w:t>
      </w:r>
      <w:r>
        <w:t xml:space="preserve">At a moment when Urdu Modernist poets (Rashid, Amjad, Topics 60–61) were largely moving away from the ghazal toward free verse and other formal innovations, Kazmi’s significant achievement was demonstrating that the classical ghazal form itself remained capable of expressing distinctly modern sensibility and experience, without requiring abandonment of its traditional formal conventions — his poetry combines careful, classically grounded formal craftsmanship with an emotional register and thematic concern (displacement, loss, quiet melancholy) shaped by his own experience of migration from India to Pakistan following Partition.</w:t>
      </w:r>
    </w:p>
    <w:p>
      <w:pPr>
        <w:pStyle w:val="BodyText"/>
      </w:pPr>
      <w:r>
        <w:rPr>
          <w:bCs/>
          <w:b/>
        </w:rPr>
        <w:t xml:space="preserve">Central themes: migration, loss, and quiet melancholy.</w:t>
      </w:r>
      <w:r>
        <w:t xml:space="preserve"> </w:t>
      </w:r>
      <w:r>
        <w:t xml:space="preserve">Kazmi’s poetry is pervaded by a distinctive, understated melancholy, frequently read in relation to his own biographical experience of Partition-era displacement (connecting to the Partition and migration themes discussed as foundational to Pakistani literature more broadly in Topic 52) — his ghazals characteristically evoke a sense of loss and longing that operates simultaneously at a personal, romantic register (consistent with the ghazal’s traditional thematic vocabulary) and as an implicit register of the broader historical trauma and displacement his generation experienced.</w:t>
      </w:r>
    </w:p>
    <w:p>
      <w:pPr>
        <w:pStyle w:val="BodyText"/>
      </w:pPr>
      <w:r>
        <w:rPr>
          <w:bCs/>
          <w:b/>
        </w:rPr>
        <w:t xml:space="preserve">Significance.</w:t>
      </w:r>
      <w:r>
        <w:t xml:space="preserve"> </w:t>
      </w:r>
      <w:r>
        <w:t xml:space="preserve">Kazmi’s collection</w:t>
      </w:r>
      <w:r>
        <w:t xml:space="preserve"> </w:t>
      </w:r>
      <w:r>
        <w:rPr>
          <w:iCs/>
          <w:i/>
        </w:rPr>
        <w:t xml:space="preserve">Barg-e Nai</w:t>
      </w:r>
      <w:r>
        <w:t xml:space="preserve"> </w:t>
      </w:r>
      <w:r>
        <w:t xml:space="preserve">(</w:t>
      </w:r>
      <w:r>
        <w:t xml:space="preserve">“</w:t>
      </w:r>
      <w:r>
        <w:t xml:space="preserve">Leaf of the Reed,</w:t>
      </w:r>
      <w:r>
        <w:t xml:space="preserve">”</w:t>
      </w:r>
      <w:r>
        <w:t xml:space="preserve"> </w:t>
      </w:r>
      <w:r>
        <w:t xml:space="preserve">an allusion carrying both literal and, given the reed pen’s traditional association with writing and poetic voice in the Persian-Urdu literary tradition, metapoetic resonance) exemplifies his broader achievement in demonstrating the classical ghazal’s continued expressive vitality and relevance within a distinctly modern, post-Partition Pakistani literary context, securing his significant and lasting influence on subsequent generations of Urdu ghazal poets.</w:t>
      </w:r>
    </w:p>
    <w:p>
      <w:pPr>
        <w:pStyle w:val="BodyText"/>
      </w:pPr>
      <w:r>
        <w:rPr>
          <w:bCs/>
          <w:b/>
        </w:rPr>
        <w:t xml:space="preserve">Key Takeaways</w:t>
      </w:r>
    </w:p>
    <w:p>
      <w:pPr>
        <w:numPr>
          <w:ilvl w:val="0"/>
          <w:numId w:val="1062"/>
        </w:numPr>
        <w:pStyle w:val="Compact"/>
      </w:pPr>
      <w:r>
        <w:t xml:space="preserve">Kazmi revived and renewed the classical ghazal form during a period when Modernist poets were largely turning toward free verse, demonstrating the form’s continued capacity for modern expression.</w:t>
      </w:r>
    </w:p>
    <w:p>
      <w:pPr>
        <w:numPr>
          <w:ilvl w:val="0"/>
          <w:numId w:val="1062"/>
        </w:numPr>
        <w:pStyle w:val="Compact"/>
      </w:pPr>
      <w:r>
        <w:t xml:space="preserve">His poetry is pervaded by understated melancholy connected to his own experience of Partition-era migration and displacement, operating at both personal-romantic and broader historical registers.</w:t>
      </w:r>
    </w:p>
    <w:p>
      <w:pPr>
        <w:numPr>
          <w:ilvl w:val="0"/>
          <w:numId w:val="1062"/>
        </w:numPr>
        <w:pStyle w:val="Compact"/>
      </w:pPr>
      <w:r>
        <w:t xml:space="preserve">His collection</w:t>
      </w:r>
      <w:r>
        <w:t xml:space="preserve"> </w:t>
      </w:r>
      <w:r>
        <w:rPr>
          <w:iCs/>
          <w:i/>
        </w:rPr>
        <w:t xml:space="preserve">Barg-e Nai</w:t>
      </w:r>
      <w:r>
        <w:t xml:space="preserve"> </w:t>
      </w:r>
      <w:r>
        <w:t xml:space="preserve">exemplifies his significant achievement in securing the classical ghazal’s continued vitality within modern Pakistani literary context, influencing subsequent generations of ghazal poets.</w:t>
      </w:r>
    </w:p>
    <w:bookmarkEnd w:id="88"/>
    <w:bookmarkEnd w:id="89"/>
    <w:bookmarkStart w:id="92" w:name="ix.-urdu-prose"/>
    <w:p>
      <w:pPr>
        <w:pStyle w:val="Heading2"/>
      </w:pPr>
      <w:r>
        <w:t xml:space="preserve">IX. Urdu Prose</w:t>
      </w:r>
    </w:p>
    <w:bookmarkStart w:id="90" w:name="shibli-nomani-seerat-un-nabi-volume-one"/>
    <w:p>
      <w:pPr>
        <w:pStyle w:val="Heading3"/>
      </w:pPr>
      <w:r>
        <w:t xml:space="preserve">63. Shibli Nomani — Seerat-un-Nabi, Volume One</w:t>
      </w:r>
    </w:p>
    <w:p>
      <w:pPr>
        <w:pStyle w:val="FirstParagraph"/>
      </w:pPr>
      <w:r>
        <w:t xml:space="preserve">Shibli Nomani’s</w:t>
      </w:r>
      <w:r>
        <w:t xml:space="preserve"> </w:t>
      </w:r>
      <w:r>
        <w:rPr>
          <w:iCs/>
          <w:i/>
        </w:rPr>
        <w:t xml:space="preserve">Seerat-un-Nabi</w:t>
      </w:r>
      <w:r>
        <w:t xml:space="preserve"> </w:t>
      </w:r>
      <w:r>
        <w:t xml:space="preserve">(</w:t>
      </w:r>
      <w:r>
        <w:t xml:space="preserve">“</w:t>
      </w:r>
      <w:r>
        <w:t xml:space="preserve">Biography of the Prophet</w:t>
      </w:r>
      <w:r>
        <w:t xml:space="preserve">”</w:t>
      </w:r>
      <w:r>
        <w:t xml:space="preserve">), a major scholarly biography of the Prophet Muhammad (peace be upon him), represents a landmark achievement in Urdu non-fiction prose, distinguished by its combination of rigorous scholarly methodology and accessible, elegant literary style.</w:t>
      </w:r>
    </w:p>
    <w:p>
      <w:pPr>
        <w:pStyle w:val="BodyText"/>
      </w:pPr>
      <w:r>
        <w:rPr>
          <w:bCs/>
          <w:b/>
        </w:rPr>
        <w:t xml:space="preserve">Scholarly approach and methodology.</w:t>
      </w:r>
      <w:r>
        <w:t xml:space="preserve"> </w:t>
      </w:r>
      <w:r>
        <w:t xml:space="preserve">Shibli, a significant Islamic scholar and reformist intellectual associated with the broader Aligarh reformist movement (connecting to the discussion of Sir Syed Ahmad Khan’s influence in Topic 55), approached the Prophet’s biography with careful attention to historical sourcing and critical evaluation of traditional biographical material, aiming to present the Prophet’s life with scholarly rigour suited to engaging both traditional Islamic scholarship and the more sceptical, historically critical intellectual climate of the colonial-era Western-educated readership Shibli also sought to reach and persuade.</w:t>
      </w:r>
    </w:p>
    <w:p>
      <w:pPr>
        <w:pStyle w:val="BodyText"/>
      </w:pPr>
      <w:r>
        <w:rPr>
          <w:bCs/>
          <w:b/>
        </w:rPr>
        <w:t xml:space="preserve">Literary and prose style significance.</w:t>
      </w:r>
      <w:r>
        <w:t xml:space="preserve"> </w:t>
      </w:r>
      <w:r>
        <w:t xml:space="preserve">Beyond its religious and scholarly significance,</w:t>
      </w:r>
      <w:r>
        <w:t xml:space="preserve"> </w:t>
      </w:r>
      <w:r>
        <w:rPr>
          <w:iCs/>
          <w:i/>
        </w:rPr>
        <w:t xml:space="preserve">Seerat-un-Nabi</w:t>
      </w:r>
      <w:r>
        <w:t xml:space="preserve"> </w:t>
      </w:r>
      <w:r>
        <w:t xml:space="preserve">is significant within Urdu literary history for its prose style — clear, dignified, and intellectually serious, demonstrating that Urdu prose was capable of sustained, sophisticated scholarly and biographical exposition at a level comparable to major European-language scholarly biography, contributing significantly to establishing Urdu as a mature vehicle for serious non-fiction prose alongside its already well-established poetic tradition.</w:t>
      </w:r>
    </w:p>
    <w:p>
      <w:pPr>
        <w:pStyle w:val="BodyText"/>
      </w:pPr>
      <w:r>
        <w:rPr>
          <w:bCs/>
          <w:b/>
        </w:rPr>
        <w:t xml:space="preserve">Significance within the broader reformist project.</w:t>
      </w:r>
      <w:r>
        <w:t xml:space="preserve"> </w:t>
      </w:r>
      <w:r>
        <w:t xml:space="preserve">The work should be understood within the broader context of late 19th- and early 20th-century Muslim intellectual reformism (connecting to Hali’s</w:t>
      </w:r>
      <w:r>
        <w:t xml:space="preserve"> </w:t>
      </w:r>
      <w:r>
        <w:rPr>
          <w:iCs/>
          <w:i/>
        </w:rPr>
        <w:t xml:space="preserve">Musaddas</w:t>
      </w:r>
      <w:r>
        <w:t xml:space="preserve">, Topic 55) — presenting an authoritative, scholarly biography of the Prophet served both a devotional purpose and a broader reformist and apologetic purpose, offering Muslim readers (and, implicitly, sceptical outside observers) a rigorously grounded account capable of withstanding critical historical scrutiny, consistent with the broader reformist movement’s conviction that Muslim intellectual and civilisational renewal required rigorous, serious scholarly engagement rather than reliance on uncritical traditional narrative alone.</w:t>
      </w:r>
    </w:p>
    <w:p>
      <w:pPr>
        <w:pStyle w:val="BodyText"/>
      </w:pPr>
      <w:r>
        <w:rPr>
          <w:bCs/>
          <w:b/>
        </w:rPr>
        <w:t xml:space="preserve">Key Takeaways</w:t>
      </w:r>
    </w:p>
    <w:p>
      <w:pPr>
        <w:numPr>
          <w:ilvl w:val="0"/>
          <w:numId w:val="1063"/>
        </w:numPr>
        <w:pStyle w:val="Compact"/>
      </w:pPr>
      <w:r>
        <w:t xml:space="preserve">Shibli Nomani’s</w:t>
      </w:r>
      <w:r>
        <w:t xml:space="preserve"> </w:t>
      </w:r>
      <w:r>
        <w:rPr>
          <w:iCs/>
          <w:i/>
        </w:rPr>
        <w:t xml:space="preserve">Seerat-un-Nabi</w:t>
      </w:r>
      <w:r>
        <w:t xml:space="preserve"> </w:t>
      </w:r>
      <w:r>
        <w:t xml:space="preserve">approaches the Prophet’s biography with careful historical sourcing and critical methodology, aiming to satisfy both traditional Islamic scholarship and colonial-era critical intellectual standards.</w:t>
      </w:r>
    </w:p>
    <w:p>
      <w:pPr>
        <w:numPr>
          <w:ilvl w:val="0"/>
          <w:numId w:val="1063"/>
        </w:numPr>
        <w:pStyle w:val="Compact"/>
      </w:pPr>
      <w:r>
        <w:t xml:space="preserve">The work is significant within Urdu literary history for demonstrating Urdu prose’s capacity for sustained, sophisticated scholarly exposition, contributing to establishing Urdu as a mature vehicle for serious non-fiction.</w:t>
      </w:r>
    </w:p>
    <w:p>
      <w:pPr>
        <w:numPr>
          <w:ilvl w:val="0"/>
          <w:numId w:val="1063"/>
        </w:numPr>
        <w:pStyle w:val="Compact"/>
      </w:pPr>
      <w:r>
        <w:t xml:space="preserve">The biography should be understood within the broader late 19th/early 20th-century Muslim reformist project, serving both devotional and reformist/apologetic purposes through rigorous scholarly grounding.</w:t>
      </w:r>
    </w:p>
    <w:bookmarkEnd w:id="90"/>
    <w:bookmarkStart w:id="91" w:name="maulvi-abdul-haq-khaake-chand-hum-asr"/>
    <w:p>
      <w:pPr>
        <w:pStyle w:val="Heading3"/>
      </w:pPr>
      <w:r>
        <w:t xml:space="preserve">64. Maulvi Abdul Haq — Khaake / Chand Hum Asr</w:t>
      </w:r>
    </w:p>
    <w:p>
      <w:pPr>
        <w:pStyle w:val="FirstParagraph"/>
      </w:pPr>
      <w:r>
        <w:t xml:space="preserve">Maulvi Abdul Haq (1870–1961), honoured with the title</w:t>
      </w:r>
      <w:r>
        <w:t xml:space="preserve"> </w:t>
      </w:r>
      <w:r>
        <w:t xml:space="preserve">“</w:t>
      </w:r>
      <w:r>
        <w:t xml:space="preserve">Baba-e Urdu</w:t>
      </w:r>
      <w:r>
        <w:t xml:space="preserve">”</w:t>
      </w:r>
      <w:r>
        <w:t xml:space="preserve"> </w:t>
      </w:r>
      <w:r>
        <w:t xml:space="preserve">(</w:t>
      </w:r>
      <w:r>
        <w:t xml:space="preserve">“</w:t>
      </w:r>
      <w:r>
        <w:t xml:space="preserve">Father of Urdu</w:t>
      </w:r>
      <w:r>
        <w:t xml:space="preserve">”</w:t>
      </w:r>
      <w:r>
        <w:t xml:space="preserve">) for his tireless institutional and scholarly service to the Urdu language, is represented here through his collection of prose sketches (khaake) portraying contemporary literary and intellectual figures he personally knew.</w:t>
      </w:r>
    </w:p>
    <w:p>
      <w:pPr>
        <w:pStyle w:val="BodyText"/>
      </w:pPr>
      <w:r>
        <w:rPr>
          <w:bCs/>
          <w:b/>
        </w:rPr>
        <w:t xml:space="preserve">The khaka (prose sketch) genre.</w:t>
      </w:r>
      <w:r>
        <w:t xml:space="preserve"> </w:t>
      </w:r>
      <w:r>
        <w:t xml:space="preserve">The khaka is a distinctive Urdu prose genre — a short, vivid, personally observed character sketch or portrait, typically combining biographical information with personal anecdote and often a degree of affectionate, sometimes gently humorous characterisation, distinct from more formal biography in its shorter scope, more personal, informal register, and its characteristic focus on capturing a subject’s distinctive personality and manner through specific, often small, illuminating personal detail and anecdote rather than comprehensive life narrative.</w:t>
      </w:r>
    </w:p>
    <w:p>
      <w:pPr>
        <w:pStyle w:val="BodyText"/>
      </w:pPr>
      <w:r>
        <w:rPr>
          <w:bCs/>
          <w:b/>
        </w:rPr>
        <w:t xml:space="preserve">Abdul Haq’s approach and significance.</w:t>
      </w:r>
      <w:r>
        <w:t xml:space="preserve"> </w:t>
      </w:r>
      <w:r>
        <w:t xml:space="preserve">As a central figure in Urdu’s institutional development (through his long service with the Anjuman Taraqqi-e Urdu and sustained advocacy for Urdu’s status and standardisation), Abdul Haq’s khaake of</w:t>
      </w:r>
      <w:r>
        <w:t xml:space="preserve"> </w:t>
      </w:r>
      <w:r>
        <w:t xml:space="preserve">“</w:t>
      </w:r>
      <w:r>
        <w:t xml:space="preserve">contemporary</w:t>
      </w:r>
      <w:r>
        <w:t xml:space="preserve">”</w:t>
      </w:r>
      <w:r>
        <w:t xml:space="preserve"> </w:t>
      </w:r>
      <w:r>
        <w:t xml:space="preserve">literary and intellectual figures (chand hum asr,</w:t>
      </w:r>
      <w:r>
        <w:t xml:space="preserve"> </w:t>
      </w:r>
      <w:r>
        <w:t xml:space="preserve">“</w:t>
      </w:r>
      <w:r>
        <w:t xml:space="preserve">some contemporaries</w:t>
      </w:r>
      <w:r>
        <w:t xml:space="preserve">”</w:t>
      </w:r>
      <w:r>
        <w:t xml:space="preserve">) offer both valuable first-hand historical and biographical documentation of significant Urdu literary and intellectual figures of his era, and an example of accomplished, personally engaged prose writing in its own right — his sketches combine genuine personal knowledge and affection for his subjects with a discerning, sometimes wry observational eye.</w:t>
      </w:r>
    </w:p>
    <w:p>
      <w:pPr>
        <w:pStyle w:val="BodyText"/>
      </w:pPr>
      <w:r>
        <w:rPr>
          <w:bCs/>
          <w:b/>
        </w:rPr>
        <w:t xml:space="preserve">Significance for Urdu prose tradition.</w:t>
      </w:r>
      <w:r>
        <w:t xml:space="preserve"> </w:t>
      </w:r>
      <w:r>
        <w:t xml:space="preserve">Abdul Haq’s khaake exemplify the genre’s particular value within Urdu literary and cultural history — providing intimate, humanising portraits of major literary and intellectual figures that complement more formal biographical or critical treatment, and demonstrating Urdu prose’s capacity for the kind of personally engaged, observationally precise informal portraiture the khaka genre specifically cultivates, a genre tradition subsequently continued and developed by later Urdu prose writers.</w:t>
      </w:r>
    </w:p>
    <w:p>
      <w:pPr>
        <w:pStyle w:val="BodyText"/>
      </w:pPr>
      <w:r>
        <w:rPr>
          <w:bCs/>
          <w:b/>
        </w:rPr>
        <w:t xml:space="preserve">Key Takeaways</w:t>
      </w:r>
    </w:p>
    <w:p>
      <w:pPr>
        <w:numPr>
          <w:ilvl w:val="0"/>
          <w:numId w:val="1064"/>
        </w:numPr>
        <w:pStyle w:val="Compact"/>
      </w:pPr>
      <w:r>
        <w:t xml:space="preserve">The khaka is a distinctive Urdu prose genre combining biographical information with personal anecdote to capture a subject’s distinctive personality, distinct from formal comprehensive biography.</w:t>
      </w:r>
    </w:p>
    <w:p>
      <w:pPr>
        <w:numPr>
          <w:ilvl w:val="0"/>
          <w:numId w:val="1064"/>
        </w:numPr>
        <w:pStyle w:val="Compact"/>
      </w:pPr>
      <w:r>
        <w:t xml:space="preserve">Maulvi Abdul Haq, honoured as</w:t>
      </w:r>
      <w:r>
        <w:t xml:space="preserve"> </w:t>
      </w:r>
      <w:r>
        <w:t xml:space="preserve">“</w:t>
      </w:r>
      <w:r>
        <w:t xml:space="preserve">Baba-e Urdu</w:t>
      </w:r>
      <w:r>
        <w:t xml:space="preserve">”</w:t>
      </w:r>
      <w:r>
        <w:t xml:space="preserve"> </w:t>
      </w:r>
      <w:r>
        <w:t xml:space="preserve">for his institutional service to the language, offers in his khaake valuable first-hand documentation of significant contemporary literary figures combined with accomplished personal prose writing.</w:t>
      </w:r>
    </w:p>
    <w:p>
      <w:pPr>
        <w:numPr>
          <w:ilvl w:val="0"/>
          <w:numId w:val="1064"/>
        </w:numPr>
        <w:pStyle w:val="Compact"/>
      </w:pPr>
      <w:r>
        <w:t xml:space="preserve">His sketches exemplify the khaka genre’s particular value in providing intimate, humanising portraits complementing more formal biographical treatment, demonstrating Urdu prose’s capacity for personally engaged informal portraiture.</w:t>
      </w:r>
    </w:p>
    <w:bookmarkEnd w:id="91"/>
    <w:bookmarkEnd w:id="92"/>
    <w:bookmarkStart w:id="96" w:name="x.-urdu-fiction-and-humorous-prose"/>
    <w:p>
      <w:pPr>
        <w:pStyle w:val="Heading2"/>
      </w:pPr>
      <w:r>
        <w:t xml:space="preserve">X. Urdu Fiction and Humorous Prose</w:t>
      </w:r>
    </w:p>
    <w:bookmarkStart w:id="93" w:name="X28b55e491123b4f41786b9a49836e93c140b251"/>
    <w:p>
      <w:pPr>
        <w:pStyle w:val="Heading3"/>
      </w:pPr>
      <w:r>
        <w:t xml:space="preserve">65. Saadat Hasan Manto — Selected Short Stories</w:t>
      </w:r>
    </w:p>
    <w:p>
      <w:pPr>
        <w:pStyle w:val="FirstParagraph"/>
      </w:pPr>
      <w:r>
        <w:t xml:space="preserve">Saadat Hasan Manto (1912–1955) is widely regarded as among the greatest and most controversial short story writers in Urdu literature, celebrated for his unflinching, psychologically penetrating depictions of human suffering, social hypocrisy, and, most centrally, the trauma of Partition.</w:t>
      </w:r>
    </w:p>
    <w:p>
      <w:pPr>
        <w:pStyle w:val="BodyText"/>
      </w:pPr>
      <w:r>
        <w:rPr>
          <w:bCs/>
          <w:b/>
        </w:rPr>
        <w:t xml:space="preserve">Partition fiction.</w:t>
      </w:r>
      <w:r>
        <w:t xml:space="preserve"> </w:t>
      </w:r>
      <w:r>
        <w:t xml:space="preserve">Manto’s most enduringly significant work centres on the violence, displacement, and moral chaos of the 1947 Partition, depicted with an unflinching directness and psychological acuity that refuses both sentimental consolation and simple moral condemnation — his Partition stories (connecting directly to the discussion of Partition as a foundational Pakistani literary theme in Topic 52) are distinguished by their refusal to offer easy explanatory or redemptive frameworks for the violence they depict, instead presenting the period’s moral collapse and human suffering with a stark, often deliberately unsettling directness that provoked considerable controversy, and repeated legal prosecution for alleged obscenity, during Manto’s own lifetime.</w:t>
      </w:r>
    </w:p>
    <w:p>
      <w:pPr>
        <w:pStyle w:val="BodyText"/>
      </w:pPr>
      <w:r>
        <w:rPr>
          <w:bCs/>
          <w:b/>
        </w:rPr>
        <w:t xml:space="preserve">Style and technique.</w:t>
      </w:r>
      <w:r>
        <w:t xml:space="preserve"> </w:t>
      </w:r>
      <w:r>
        <w:t xml:space="preserve">Manto’s prose is characteristically spare, direct, and unsentimental, favouring psychologically penetrating character portraiture and often deliberately shocking or transgressive subject matter (including frank treatment of sexuality, violence, and social hypocrisy) over conventional narrative comfort or moral instruction — his technique frequently involves an almost clinical, detached narrative observation of extreme situations, allowing the depicted events’ inherent moral and emotional weight to register without explicit authorial commentary or interpretation.</w:t>
      </w:r>
    </w:p>
    <w:p>
      <w:pPr>
        <w:pStyle w:val="BodyText"/>
      </w:pPr>
      <w:r>
        <w:rPr>
          <w:bCs/>
          <w:b/>
        </w:rPr>
        <w:t xml:space="preserve">Significance and legacy.</w:t>
      </w:r>
      <w:r>
        <w:t xml:space="preserve"> </w:t>
      </w:r>
      <w:r>
        <w:t xml:space="preserve">Manto’s work, though controversial and subject to repeated censorship and prosecution during his lifetime, has come to be recognised as among the most significant and historically important bodies of Partition literature specifically and modern Urdu short fiction more broadly, valued precisely for its refusal of comfortable moral simplification in confronting one of South Asian history’s most traumatic events, and his influence on subsequent Urdu (and, more broadly, South Asian) fiction addressing violence, trauma, and social hypocrisy has proven substantial and lasting.</w:t>
      </w:r>
    </w:p>
    <w:p>
      <w:pPr>
        <w:pStyle w:val="BodyText"/>
      </w:pPr>
      <w:r>
        <w:rPr>
          <w:bCs/>
          <w:b/>
        </w:rPr>
        <w:t xml:space="preserve">Key Takeaways</w:t>
      </w:r>
    </w:p>
    <w:p>
      <w:pPr>
        <w:numPr>
          <w:ilvl w:val="0"/>
          <w:numId w:val="1065"/>
        </w:numPr>
        <w:pStyle w:val="Compact"/>
      </w:pPr>
      <w:r>
        <w:t xml:space="preserve">Manto’s most significant work centres on Partition’s violence and moral chaos, depicted with unflinching directness that refuses both sentimental consolation and simple moral condemnation.</w:t>
      </w:r>
    </w:p>
    <w:p>
      <w:pPr>
        <w:numPr>
          <w:ilvl w:val="0"/>
          <w:numId w:val="1065"/>
        </w:numPr>
        <w:pStyle w:val="Compact"/>
      </w:pPr>
      <w:r>
        <w:t xml:space="preserve">His characteristically spare, unsentimental prose style favours psychologically penetrating, often deliberately transgressive subject matter over conventional narrative comfort, provoking repeated legal prosecution during his lifetime.</w:t>
      </w:r>
    </w:p>
    <w:p>
      <w:pPr>
        <w:numPr>
          <w:ilvl w:val="0"/>
          <w:numId w:val="1065"/>
        </w:numPr>
        <w:pStyle w:val="Compact"/>
      </w:pPr>
      <w:r>
        <w:t xml:space="preserve">Despite this controversy, Manto’s work is now recognised as among the most significant bodies of Partition literature and modern Urdu short fiction, substantially influencing subsequent South Asian literary treatment of trauma and violence.</w:t>
      </w:r>
    </w:p>
    <w:bookmarkEnd w:id="93"/>
    <w:bookmarkStart w:id="94" w:name="X03352ea90c925ab09dcd948bc63a7d456906e05"/>
    <w:p>
      <w:pPr>
        <w:pStyle w:val="Heading3"/>
      </w:pPr>
      <w:r>
        <w:t xml:space="preserve">66. Ahmed Nadeem Qasmi — Selected Short Stories / Kapas Ka Phool</w:t>
      </w:r>
    </w:p>
    <w:p>
      <w:pPr>
        <w:pStyle w:val="FirstParagraph"/>
      </w:pPr>
      <w:r>
        <w:t xml:space="preserve">Ahmed Nadeem Qasmi (1916–2006), a prolific and versatile Urdu writer closely associated with the Progressive Writers’ Movement (Topic 51), is represented here through his short fiction, including the notable story</w:t>
      </w:r>
      <w:r>
        <w:t xml:space="preserve"> </w:t>
      </w:r>
      <w:r>
        <w:t xml:space="preserve">“</w:t>
      </w:r>
      <w:r>
        <w:t xml:space="preserve">Kapas Ka Phool</w:t>
      </w:r>
      <w:r>
        <w:t xml:space="preserve">”</w:t>
      </w:r>
      <w:r>
        <w:t xml:space="preserve"> </w:t>
      </w:r>
      <w:r>
        <w:t xml:space="preserve">(</w:t>
      </w:r>
      <w:r>
        <w:t xml:space="preserve">“</w:t>
      </w:r>
      <w:r>
        <w:t xml:space="preserve">Cotton Flower</w:t>
      </w:r>
      <w:r>
        <w:t xml:space="preserve">”</w:t>
      </w:r>
      <w:r>
        <w:t xml:space="preserve">), reflecting his sustained literary engagement with rural life and social injustice.</w:t>
      </w:r>
    </w:p>
    <w:p>
      <w:pPr>
        <w:pStyle w:val="BodyText"/>
      </w:pPr>
      <w:r>
        <w:rPr>
          <w:bCs/>
          <w:b/>
        </w:rPr>
        <w:t xml:space="preserve">Progressive social engagement.</w:t>
      </w:r>
      <w:r>
        <w:t xml:space="preserve"> </w:t>
      </w:r>
      <w:r>
        <w:t xml:space="preserve">Consistent with his strong Progressive Movement affiliation, Qasmi’s fiction characteristically engages directly with social injustice, economic exploitation, and the hardship of rural and working-class life, particularly the lives of agricultural labourers and rural communities — his fiction typically combines careful, sympathetically observed social realism with an implicit or explicit critique of the economic and social structures perpetuating rural poverty and exploitation, exemplifying the Progressive Movement’s core conviction that literature should engage directly with social injustice rather than retreating into purely aesthetic or apolitical concerns.</w:t>
      </w:r>
    </w:p>
    <w:p>
      <w:pPr>
        <w:pStyle w:val="BodyText"/>
      </w:pPr>
      <w:r>
        <w:rPr>
          <w:bCs/>
          <w:b/>
        </w:rPr>
        <w:t xml:space="preserve">“</w:t>
      </w:r>
      <w:r>
        <w:rPr>
          <w:bCs/>
          <w:b/>
        </w:rPr>
        <w:t xml:space="preserve">Kapas Ka Phool</w:t>
      </w:r>
      <w:r>
        <w:rPr>
          <w:bCs/>
          <w:b/>
        </w:rPr>
        <w:t xml:space="preserve">”</w:t>
      </w:r>
      <w:r>
        <w:rPr>
          <w:bCs/>
          <w:b/>
        </w:rPr>
        <w:t xml:space="preserve"> </w:t>
      </w:r>
      <w:r>
        <w:rPr>
          <w:bCs/>
          <w:b/>
        </w:rPr>
        <w:t xml:space="preserve">and rural thematic focus.</w:t>
      </w:r>
      <w:r>
        <w:t xml:space="preserve"> </w:t>
      </w:r>
      <w:r>
        <w:t xml:space="preserve">As its title suggests, this story engages directly with agricultural and rural life (cotton being, as established in the Agriculture &amp; Forestry subject, a crop of major economic and social significance in Pakistan’s agricultural economy), using this specific rural, agricultural setting to explore themes of economic hardship, social hierarchy, and human dignity amid difficult material circumstances — Qasmi’s careful attentiveness to specific rural social and economic detail lends his social critique a grounded, concretely observed quality distinguishing it from more abstract or purely ideological social commentary.</w:t>
      </w:r>
    </w:p>
    <w:p>
      <w:pPr>
        <w:pStyle w:val="BodyText"/>
      </w:pPr>
      <w:r>
        <w:rPr>
          <w:bCs/>
          <w:b/>
        </w:rPr>
        <w:t xml:space="preserve">Significance within Progressive fiction.</w:t>
      </w:r>
      <w:r>
        <w:t xml:space="preserve"> </w:t>
      </w:r>
      <w:r>
        <w:t xml:space="preserve">Qasmi’s substantial body of short fiction represents a significant contribution to Progressive Urdu literature’s broader project of bringing previously underrepresented rural and working-class experience into serious literary treatment, and his sustained, prolific engagement with these themes across a long literary career (alongside his significant work as an editor and literary organiser) cemented his standing as a central figure within the Progressive literary tradition in Urdu.</w:t>
      </w:r>
    </w:p>
    <w:p>
      <w:pPr>
        <w:pStyle w:val="BodyText"/>
      </w:pPr>
      <w:r>
        <w:rPr>
          <w:bCs/>
          <w:b/>
        </w:rPr>
        <w:t xml:space="preserve">Key Takeaways</w:t>
      </w:r>
    </w:p>
    <w:p>
      <w:pPr>
        <w:numPr>
          <w:ilvl w:val="0"/>
          <w:numId w:val="1066"/>
        </w:numPr>
        <w:pStyle w:val="Compact"/>
      </w:pPr>
      <w:r>
        <w:t xml:space="preserve">Qasmi’s fiction, closely associated with the Progressive Writers’ Movement, characteristically engages directly with social injustice and the hardship of rural, working-class life, particularly agricultural labourers.</w:t>
      </w:r>
    </w:p>
    <w:p>
      <w:pPr>
        <w:numPr>
          <w:ilvl w:val="0"/>
          <w:numId w:val="1066"/>
        </w:numPr>
        <w:pStyle w:val="Compact"/>
      </w:pPr>
      <w:r>
        <w:t xml:space="preserve">“</w:t>
      </w:r>
      <w:r>
        <w:t xml:space="preserve">Kapas Ka Phool</w:t>
      </w:r>
      <w:r>
        <w:t xml:space="preserve">”</w:t>
      </w:r>
      <w:r>
        <w:t xml:space="preserve"> </w:t>
      </w:r>
      <w:r>
        <w:t xml:space="preserve">uses a rural, cotton-agriculture setting to explore economic hardship, social hierarchy, and human dignity, lending his social critique concretely observed grounding.</w:t>
      </w:r>
    </w:p>
    <w:p>
      <w:pPr>
        <w:numPr>
          <w:ilvl w:val="0"/>
          <w:numId w:val="1066"/>
        </w:numPr>
        <w:pStyle w:val="Compact"/>
      </w:pPr>
      <w:r>
        <w:t xml:space="preserve">His substantial body of work represents a significant contribution to bringing underrepresented rural and working-class experience into serious Progressive Urdu literary treatment.</w:t>
      </w:r>
    </w:p>
    <w:bookmarkEnd w:id="94"/>
    <w:bookmarkStart w:id="95" w:name="X69f67860034fe2d45e62a7a36dde2ff48c391bc"/>
    <w:p>
      <w:pPr>
        <w:pStyle w:val="Heading3"/>
      </w:pPr>
      <w:r>
        <w:t xml:space="preserve">67. Mushtaq Ahmed Yousufi — Satire and Humour / Aab-e Gum</w:t>
      </w:r>
    </w:p>
    <w:p>
      <w:pPr>
        <w:pStyle w:val="FirstParagraph"/>
      </w:pPr>
      <w:r>
        <w:t xml:space="preserve">Mushtaq Ahmed Yousufi (1923–2018) is widely regarded as the foremost master of humorous and satirical prose in modern Urdu literature, celebrated for his linguistically brilliant, wittily observed prose exemplified in works including</w:t>
      </w:r>
      <w:r>
        <w:t xml:space="preserve"> </w:t>
      </w:r>
      <w:r>
        <w:rPr>
          <w:iCs/>
          <w:i/>
        </w:rPr>
        <w:t xml:space="preserve">Aab-e Gum</w:t>
      </w:r>
      <w:r>
        <w:t xml:space="preserve"> </w:t>
      </w:r>
      <w:r>
        <w:t xml:space="preserve">(</w:t>
      </w:r>
      <w:r>
        <w:t xml:space="preserve">“</w:t>
      </w:r>
      <w:r>
        <w:t xml:space="preserve">The Lost Water</w:t>
      </w:r>
      <w:r>
        <w:t xml:space="preserve">”</w:t>
      </w:r>
      <w:r>
        <w:t xml:space="preserve">).</w:t>
      </w:r>
    </w:p>
    <w:p>
      <w:pPr>
        <w:pStyle w:val="BodyText"/>
      </w:pPr>
      <w:r>
        <w:rPr>
          <w:bCs/>
          <w:b/>
        </w:rPr>
        <w:t xml:space="preserve">Characteristic style: wit, wordplay, and satirical observation.</w:t>
      </w:r>
      <w:r>
        <w:t xml:space="preserve"> </w:t>
      </w:r>
      <w:r>
        <w:t xml:space="preserve">Yousufi’s prose is distinguished by its extraordinary linguistic virtuosity — dense wordplay, unexpected comic juxtaposition, elaborate and inventive comic metaphor, and a satirical eye directed at social pretension, bureaucratic absurdity, and the various comic incongruities of everyday middle-class and professional life (Yousufi’s own career as a banker provided rich material for his satirical observation of professional and institutional life) — his humour operates simultaneously at the level of individual sentence-level verbal wit and broader satirical social observation, a combination requiring considerable linguistic sophistication from readers fully able to appreciate his dense, allusive comic technique.</w:t>
      </w:r>
    </w:p>
    <w:p>
      <w:pPr>
        <w:pStyle w:val="BodyText"/>
      </w:pPr>
      <w:r>
        <w:rPr>
          <w:iCs/>
          <w:i/>
          <w:bCs/>
          <w:b/>
        </w:rPr>
        <w:t xml:space="preserve">Aab-e Gum</w:t>
      </w:r>
      <w:r>
        <w:rPr>
          <w:bCs/>
          <w:b/>
        </w:rPr>
        <w:t xml:space="preserve"> </w:t>
      </w:r>
      <w:r>
        <w:rPr>
          <w:bCs/>
          <w:b/>
        </w:rPr>
        <w:t xml:space="preserve">and its concerns.</w:t>
      </w:r>
      <w:r>
        <w:t xml:space="preserve"> </w:t>
      </w:r>
      <w:r>
        <w:t xml:space="preserve">This work, blending memoir, social observation, and satirical commentary, reflects on personal and collective experience (including reflection on Partition-era migration and subsequent settlement, connecting to the broader Pakistani literary engagement with Partition discussed in Topic 52 and exemplified more starkly in Manto’s fiction, Topic 65) filtered through Yousufi’s distinctive comic sensibility — even when addressing serious historical and personal experience, Yousufi’s characteristic wit and satirical observation remain present, offering a notably different, more comically inflected register for engaging historical trauma and social experience than the starker, more unflinching directness of writers like Manto.</w:t>
      </w:r>
    </w:p>
    <w:p>
      <w:pPr>
        <w:pStyle w:val="BodyText"/>
      </w:pPr>
      <w:r>
        <w:rPr>
          <w:bCs/>
          <w:b/>
        </w:rPr>
        <w:t xml:space="preserve">Significance within Urdu prose tradition.</w:t>
      </w:r>
      <w:r>
        <w:t xml:space="preserve"> </w:t>
      </w:r>
      <w:r>
        <w:t xml:space="preserve">Yousufi’s work is widely regarded as representing the highest achievement of humorous and satirical prose in modern Urdu literature, and his distinctive comic voice and linguistic virtuosity have established him as one of the most beloved and critically admired prose stylists in the contemporary Urdu literary tradition, demonstrating Urdu prose’s capacity for sophisticated comic and satirical expression alongside the more overtly serious social and political engagement characteristic of Progressive fiction (Topics 65–66) and the scholarly and biographical prose of writers like Shibli and Abdul Haq (Topics 63–64).</w:t>
      </w:r>
    </w:p>
    <w:p>
      <w:pPr>
        <w:pStyle w:val="BodyText"/>
      </w:pPr>
      <w:r>
        <w:rPr>
          <w:bCs/>
          <w:b/>
        </w:rPr>
        <w:t xml:space="preserve">Key Takeaways</w:t>
      </w:r>
    </w:p>
    <w:p>
      <w:pPr>
        <w:numPr>
          <w:ilvl w:val="0"/>
          <w:numId w:val="1067"/>
        </w:numPr>
        <w:pStyle w:val="Compact"/>
      </w:pPr>
      <w:r>
        <w:t xml:space="preserve">Yousufi’s prose is distinguished by extraordinary linguistic virtuosity — dense wordplay, comic juxtaposition, and satirical observation of social pretension and bureaucratic absurdity, drawing partly on his own banking career.</w:t>
      </w:r>
    </w:p>
    <w:p>
      <w:pPr>
        <w:numPr>
          <w:ilvl w:val="0"/>
          <w:numId w:val="1067"/>
        </w:numPr>
        <w:pStyle w:val="Compact"/>
      </w:pPr>
      <w:r>
        <w:rPr>
          <w:iCs/>
          <w:i/>
        </w:rPr>
        <w:t xml:space="preserve">Aab-e Gum</w:t>
      </w:r>
      <w:r>
        <w:t xml:space="preserve"> </w:t>
      </w:r>
      <w:r>
        <w:t xml:space="preserve">blends memoir, social observation, and satirical commentary, including reflection on Partition-era experience, offering a distinctly comic register for engaging historical and personal trauma compared to Manto’s starker directness.</w:t>
      </w:r>
    </w:p>
    <w:p>
      <w:pPr>
        <w:numPr>
          <w:ilvl w:val="0"/>
          <w:numId w:val="1067"/>
        </w:numPr>
        <w:pStyle w:val="Compact"/>
      </w:pPr>
      <w:r>
        <w:t xml:space="preserve">Yousufi is widely regarded as representing the highest achievement of humorous and satirical prose in modern Urdu literature, demonstrating the language’s capacity for sophisticated comic expression alongside its more overtly serious literary traditions.</w:t>
      </w:r>
    </w:p>
    <w:bookmarkEnd w:id="95"/>
    <w:bookmarkEnd w:id="96"/>
    <w:bookmarkStart w:id="99" w:name="xi.-précis-writing-and-essay-composition"/>
    <w:p>
      <w:pPr>
        <w:pStyle w:val="Heading2"/>
      </w:pPr>
      <w:r>
        <w:t xml:space="preserve">XI. Précis Writing and Essay Composition</w:t>
      </w:r>
    </w:p>
    <w:bookmarkStart w:id="97" w:name="précis-writing-talkhees-nawesi"/>
    <w:p>
      <w:pPr>
        <w:pStyle w:val="Heading3"/>
      </w:pPr>
      <w:r>
        <w:t xml:space="preserve">68. Précis Writing (Talkhees Nawesi)</w:t>
      </w:r>
    </w:p>
    <w:p>
      <w:pPr>
        <w:pStyle w:val="FirstParagraph"/>
      </w:pPr>
      <w:r>
        <w:t xml:space="preserve">Précis writing (talkhees nawesi) is a core compositional and comprehension skill tested in Urdu-medium examination contexts, requiring the systematic condensation of a longer passage into a shorter, accurate, and well-organised summary that preserves the original’s essential meaning and logical structure.</w:t>
      </w:r>
    </w:p>
    <w:p>
      <w:pPr>
        <w:pStyle w:val="BodyText"/>
      </w:pPr>
      <w:r>
        <w:rPr>
          <w:bCs/>
          <w:b/>
        </w:rPr>
        <w:t xml:space="preserve">Core requirements of effective précis writing.</w:t>
      </w:r>
      <w:r>
        <w:t xml:space="preserve"> </w:t>
      </w:r>
      <w:r>
        <w:t xml:space="preserve">An effective précis must accurately capture the original passage’s central argument and essential supporting points while eliminating illustrative detail, repetition, and rhetorical elaboration not essential to the core meaning; must maintain proportional balance across the original passage’s various sections, reflecting each section’s relative importance in the original rather than disproportionately compressing or expanding particular parts; must be expressed in the writer’s own words and sentence structures rather than merely extracting and stringing together phrases lifted directly from the original passage, demonstrating genuine comprehension rather than simple mechanical excerption; and must typically conform to a specified word limit (commonly expressed as a specific proportion, such as one-third, of the original passage’s length), requiring disciplined, deliberate selection of genuinely essential content.</w:t>
      </w:r>
    </w:p>
    <w:p>
      <w:pPr>
        <w:pStyle w:val="BodyText"/>
      </w:pPr>
      <w:r>
        <w:rPr>
          <w:bCs/>
          <w:b/>
        </w:rPr>
        <w:t xml:space="preserve">Common errors to avoid.</w:t>
      </w:r>
      <w:r>
        <w:t xml:space="preserve"> </w:t>
      </w:r>
      <w:r>
        <w:t xml:space="preserve">These include excessive length (failing to achieve genuine, disciplined condensation); omission of genuinely essential points (sacrificing accuracy and completeness for brevity); disproportionate treatment (over-emphasising minor points while under-representing the original’s actual main argument); mechanical copying of the original’s specific phrasing rather than genuine paraphrase; and loss of logical coherence (producing a précis that reads as a disconnected list of extracted points rather than a coherent, well-organised piece of connected prose in its own right).</w:t>
      </w:r>
    </w:p>
    <w:p>
      <w:pPr>
        <w:pStyle w:val="BodyText"/>
      </w:pPr>
      <w:r>
        <w:rPr>
          <w:bCs/>
          <w:b/>
        </w:rPr>
        <w:t xml:space="preserve">Practical approach.</w:t>
      </w:r>
      <w:r>
        <w:t xml:space="preserve"> </w:t>
      </w:r>
      <w:r>
        <w:t xml:space="preserve">Effective précis writing generally proceeds through careful initial reading to identify the passage’s central argument and logical structure, identification of essential versus illustrative/supporting content, drafting in the writer’s own words while maintaining the original’s logical sequence and proportional emphasis, and careful final revision against the specified word limit and against the original passage to verify accuracy and completeness of the core argument.</w:t>
      </w:r>
    </w:p>
    <w:p>
      <w:pPr>
        <w:pStyle w:val="BodyText"/>
      </w:pPr>
      <w:r>
        <w:rPr>
          <w:bCs/>
          <w:b/>
        </w:rPr>
        <w:t xml:space="preserve">Key Takeaways</w:t>
      </w:r>
    </w:p>
    <w:p>
      <w:pPr>
        <w:numPr>
          <w:ilvl w:val="0"/>
          <w:numId w:val="1068"/>
        </w:numPr>
        <w:pStyle w:val="Compact"/>
      </w:pPr>
      <w:r>
        <w:t xml:space="preserve">Effective précis writing requires accurately capturing a passage’s central argument while eliminating inessential detail, maintaining proportional balance, using original wording rather than mechanical excerption, and observing a specified word limit.</w:t>
      </w:r>
    </w:p>
    <w:p>
      <w:pPr>
        <w:numPr>
          <w:ilvl w:val="0"/>
          <w:numId w:val="1068"/>
        </w:numPr>
        <w:pStyle w:val="Compact"/>
      </w:pPr>
      <w:r>
        <w:t xml:space="preserve">Common errors include excessive length, omission of essential points, disproportionate treatment of minor versus major content, mechanical copying rather than genuine paraphrase, and loss of logical coherence.</w:t>
      </w:r>
    </w:p>
    <w:p>
      <w:pPr>
        <w:numPr>
          <w:ilvl w:val="0"/>
          <w:numId w:val="1068"/>
        </w:numPr>
        <w:pStyle w:val="Compact"/>
      </w:pPr>
      <w:r>
        <w:t xml:space="preserve">Effective practice requires careful initial reading for structure and argument, disciplined selection of essential content, original-wording drafting, and careful final revision against both the word limit and the original passage’s accuracy.</w:t>
      </w:r>
    </w:p>
    <w:bookmarkEnd w:id="97"/>
    <w:bookmarkStart w:id="98" w:name="urdu-essay-writing-urdu-mazmoon-nawesi"/>
    <w:p>
      <w:pPr>
        <w:pStyle w:val="Heading3"/>
      </w:pPr>
      <w:r>
        <w:t xml:space="preserve">69. Urdu Essay Writing (Urdu Mazmoon Nawesi)</w:t>
      </w:r>
    </w:p>
    <w:p>
      <w:pPr>
        <w:pStyle w:val="FirstParagraph"/>
      </w:pPr>
      <w:r>
        <w:t xml:space="preserve">Urdu essay writing (mazmoon nawesi) is a core compositional skill requiring the sustained, well-organised development of an argument or exposition on a given topic, drawing on the full range of rhetorical, structural, and stylistic resources of formal Urdu prose.</w:t>
      </w:r>
    </w:p>
    <w:p>
      <w:pPr>
        <w:pStyle w:val="BodyText"/>
      </w:pPr>
      <w:r>
        <w:rPr>
          <w:bCs/>
          <w:b/>
        </w:rPr>
        <w:t xml:space="preserve">Structural requirements.</w:t>
      </w:r>
      <w:r>
        <w:t xml:space="preserve"> </w:t>
      </w:r>
      <w:r>
        <w:t xml:space="preserve">An effective Urdu essay typically follows a clear structural logic: an engaging, well-framed introduction (aghaz) establishing the topic’s significance and the essay’s overall approach or argument; a systematically developed body, organised into clearly delineated paragraphs each addressing a specific aspect or sub-argument of the overall topic, generally moving from more general to more specific points, or following some other clear, logical organisational principle; and a well-crafted conclusion (ikhtitam) that draws the essay’s argument to a satisfying close, synthesising the preceding discussion rather than merely repeating it, and often returning to broader significance or implication.</w:t>
      </w:r>
    </w:p>
    <w:p>
      <w:pPr>
        <w:pStyle w:val="BodyText"/>
      </w:pPr>
      <w:r>
        <w:rPr>
          <w:bCs/>
          <w:b/>
        </w:rPr>
        <w:t xml:space="preserve">Stylistic considerations.</w:t>
      </w:r>
      <w:r>
        <w:t xml:space="preserve"> </w:t>
      </w:r>
      <w:r>
        <w:t xml:space="preserve">Strong Urdu essay writing draws effectively on the language’s rich rhetorical and literary resources — including apt quotation of relevant poetry (particularly from major poets studied elsewhere in this subject, such as Iqbal, Ghalib, or Faiz, where genuinely relevant to the essay’s argument, connecting the essay’s exposition to the broader Urdu literary tradition), appropriate use of idiom and proverb, and a register and vocabulary suited to the specific topic and its intended audience — while avoiding both excessive ornamentation that obscures clear argument and excessively plain, underdeveloped prose that fails to demonstrate genuine command of formal Urdu prose style.</w:t>
      </w:r>
    </w:p>
    <w:p>
      <w:pPr>
        <w:pStyle w:val="BodyText"/>
      </w:pPr>
      <w:r>
        <w:rPr>
          <w:bCs/>
          <w:b/>
        </w:rPr>
        <w:t xml:space="preserve">Common essay topics and preparation strategy.</w:t>
      </w:r>
      <w:r>
        <w:t xml:space="preserve"> </w:t>
      </w:r>
      <w:r>
        <w:t xml:space="preserve">Examination essay topics typically span social, political, cultural, and moral themes relevant to contemporary Pakistani society and broader human experience, meaning effective preparation requires developing genuine, well-organised knowledge and considered opinion across a range of significant contemporary and perennial topics, alongside practising the specific structural and stylistic conventions of formal Urdu essay composition, rather than relying on generic, loosely applicable content that fails to engage the specific essay topic with genuine depth and relevant, well-organised argument.</w:t>
      </w:r>
    </w:p>
    <w:p>
      <w:pPr>
        <w:pStyle w:val="BodyText"/>
      </w:pPr>
      <w:r>
        <w:rPr>
          <w:bCs/>
          <w:b/>
        </w:rPr>
        <w:t xml:space="preserve">Key Takeaways</w:t>
      </w:r>
    </w:p>
    <w:p>
      <w:pPr>
        <w:numPr>
          <w:ilvl w:val="0"/>
          <w:numId w:val="1069"/>
        </w:numPr>
        <w:pStyle w:val="Compact"/>
      </w:pPr>
      <w:r>
        <w:t xml:space="preserve">Effective Urdu essay writing requires a clear structure: an engaging introduction establishing significance, a systematically organised body developing the argument through clearly delineated paragraphs, and a synthesising conclusion.</w:t>
      </w:r>
    </w:p>
    <w:p>
      <w:pPr>
        <w:numPr>
          <w:ilvl w:val="0"/>
          <w:numId w:val="1069"/>
        </w:numPr>
        <w:pStyle w:val="Compact"/>
      </w:pPr>
      <w:r>
        <w:t xml:space="preserve">Strong stylistic execution draws on Urdu’s rhetorical resources — apt poetic quotation, idiom, and register suited to the topic — while avoiding both excessive ornamentation and underdeveloped plainness.</w:t>
      </w:r>
    </w:p>
    <w:p>
      <w:pPr>
        <w:numPr>
          <w:ilvl w:val="0"/>
          <w:numId w:val="1069"/>
        </w:numPr>
        <w:pStyle w:val="Compact"/>
      </w:pPr>
      <w:r>
        <w:t xml:space="preserve">Effective preparation requires developing genuine, well-organised knowledge across significant contemporary and perennial topics alongside practising formal Urdu essay structural and stylistic conventions.</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2026-09-21T12:39:33Z</dcterms:created>
  <dcterms:modified xsi:type="dcterms:W3CDTF">2026-09-21T12:39:33Z</dcterms:modified>
</cp:coreProperties>
</file>

<file path=docProps/custom.xml><?xml version="1.0" encoding="utf-8"?>
<Properties xmlns="http://schemas.openxmlformats.org/officeDocument/2006/custom-properties" xmlns:vt="http://schemas.openxmlformats.org/officeDocument/2006/docPropsVTypes"/>
</file>