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9" w:name="subject-1-gender-studies"/>
    <w:p>
      <w:pPr>
        <w:pStyle w:val="Heading1"/>
      </w:pPr>
      <w:r>
        <w:t xml:space="preserve">Subject 1 — Gender Studies</w:t>
      </w:r>
    </w:p>
    <w:bookmarkStart w:id="25" w:name="i.-introduction-to-gender-studies"/>
    <w:p>
      <w:pPr>
        <w:pStyle w:val="Heading2"/>
      </w:pPr>
      <w:r>
        <w:t xml:space="preserve">I. Introduction to Gender Studies</w:t>
      </w:r>
    </w:p>
    <w:bookmarkStart w:id="20" w:name="introduction-to-gender-studies"/>
    <w:p>
      <w:pPr>
        <w:pStyle w:val="Heading3"/>
      </w:pPr>
      <w:r>
        <w:t xml:space="preserve">1. Introduction to Gender Studies</w:t>
      </w:r>
    </w:p>
    <w:p>
      <w:pPr>
        <w:pStyle w:val="FirstParagraph"/>
      </w:pPr>
      <w:r>
        <w:t xml:space="preserve">Gender Studies is the academic field that examines how societies organise life around the idea of gender — the roles, behaviours, expectations, and power relations that a culture attaches to being male, female, or otherwise gendered. It differs from biology’s study of sex (the physical, chromosomal, and hormonal differences between bodies) by asking a separate question: how do societies turn biological difference into social hierarchy, and why?</w:t>
      </w:r>
    </w:p>
    <w:p>
      <w:pPr>
        <w:pStyle w:val="BodyText"/>
      </w:pPr>
      <w:r>
        <w:t xml:space="preserve">The field emerged because earlier social-science disciplines — sociology, political science, economics, history — largely treated the male experience as the neutral, universal standard and left women’s experiences, and the workings of gender more broadly, unexamined or footnoted. Gender Studies corrects this by making gender itself the central object of analysis rather than an incidental variable.</w:t>
      </w:r>
    </w:p>
    <w:p>
      <w:pPr>
        <w:pStyle w:val="BodyText"/>
      </w:pPr>
      <w:r>
        <w:rPr>
          <w:bCs/>
          <w:b/>
        </w:rPr>
        <w:t xml:space="preserve">What the discipline actually studies.</w:t>
      </w:r>
      <w:r>
        <w:t xml:space="preserve"> </w:t>
      </w:r>
      <w:r>
        <w:t xml:space="preserve">Four questions organise most of the field:</w:t>
      </w:r>
    </w:p>
    <w:p>
      <w:pPr>
        <w:numPr>
          <w:ilvl w:val="0"/>
          <w:numId w:val="1001"/>
        </w:numPr>
        <w:pStyle w:val="Compact"/>
      </w:pPr>
      <w:r>
        <w:rPr>
          <w:bCs/>
          <w:b/>
        </w:rPr>
        <w:t xml:space="preserve">How is gender constructed?</w:t>
      </w:r>
      <w:r>
        <w:t xml:space="preserve"> </w:t>
      </w:r>
      <w:r>
        <w:t xml:space="preserve">Gender Studies asks how a society teaches people to think, dress, work, and behave</w:t>
      </w:r>
      <w:r>
        <w:t xml:space="preserve"> </w:t>
      </w:r>
      <w:r>
        <w:t xml:space="preserve">“</w:t>
      </w:r>
      <w:r>
        <w:t xml:space="preserve">as a man</w:t>
      </w:r>
      <w:r>
        <w:t xml:space="preserve">”</w:t>
      </w:r>
      <w:r>
        <w:t xml:space="preserve"> </w:t>
      </w:r>
      <w:r>
        <w:t xml:space="preserve">or</w:t>
      </w:r>
      <w:r>
        <w:t xml:space="preserve"> </w:t>
      </w:r>
      <w:r>
        <w:t xml:space="preserve">“</w:t>
      </w:r>
      <w:r>
        <w:t xml:space="preserve">as a woman,</w:t>
      </w:r>
      <w:r>
        <w:t xml:space="preserve">”</w:t>
      </w:r>
      <w:r>
        <w:t xml:space="preserve"> </w:t>
      </w:r>
      <w:r>
        <w:t xml:space="preserve">through family upbringing, schooling, religion, media, and law. This is different from asking whether sex differences exist biologically; it asks how a society decides what those differences should</w:t>
      </w:r>
      <w:r>
        <w:t xml:space="preserve"> </w:t>
      </w:r>
      <w:r>
        <w:rPr>
          <w:iCs/>
          <w:i/>
        </w:rPr>
        <w:t xml:space="preserve">mean</w:t>
      </w:r>
      <w:r>
        <w:t xml:space="preserve"> </w:t>
      </w:r>
      <w:r>
        <w:t xml:space="preserve">socially.</w:t>
      </w:r>
    </w:p>
    <w:p>
      <w:pPr>
        <w:numPr>
          <w:ilvl w:val="0"/>
          <w:numId w:val="1001"/>
        </w:numPr>
        <w:pStyle w:val="Compact"/>
      </w:pPr>
      <w:r>
        <w:rPr>
          <w:bCs/>
          <w:b/>
        </w:rPr>
        <w:t xml:space="preserve">How is power distributed along gender lines?</w:t>
      </w:r>
      <w:r>
        <w:t xml:space="preserve"> </w:t>
      </w:r>
      <w:r>
        <w:t xml:space="preserve">The discipline studies who controls land, wages, political office, physical safety, and decision-making within the household and the state, and how gender shapes access to each of these.</w:t>
      </w:r>
    </w:p>
    <w:p>
      <w:pPr>
        <w:numPr>
          <w:ilvl w:val="0"/>
          <w:numId w:val="1001"/>
        </w:numPr>
        <w:pStyle w:val="Compact"/>
      </w:pPr>
      <w:r>
        <w:rPr>
          <w:bCs/>
          <w:b/>
        </w:rPr>
        <w:t xml:space="preserve">How do gender, class, ethnicity, and other identities intersect?</w:t>
      </w:r>
      <w:r>
        <w:t xml:space="preserve"> </w:t>
      </w:r>
      <w:r>
        <w:t xml:space="preserve">A poor rural woman and a wealthy urban woman do not experience gender inequality identically; the field studies how gender combines with class, caste, religion, and region to produce different lived realities.</w:t>
      </w:r>
    </w:p>
    <w:p>
      <w:pPr>
        <w:numPr>
          <w:ilvl w:val="0"/>
          <w:numId w:val="1001"/>
        </w:numPr>
        <w:pStyle w:val="Compact"/>
      </w:pPr>
      <w:r>
        <w:rPr>
          <w:bCs/>
          <w:b/>
        </w:rPr>
        <w:t xml:space="preserve">How can gender relations be changed?</w:t>
      </w:r>
      <w:r>
        <w:t xml:space="preserve"> </w:t>
      </w:r>
      <w:r>
        <w:t xml:space="preserve">Because the field grew out of feminist political movements, it is not purely descriptive — it also evaluates laws, policies, and development programmes for whether they reduce or entrench gender inequality.</w:t>
      </w:r>
    </w:p>
    <w:p>
      <w:pPr>
        <w:pStyle w:val="FirstParagraph"/>
      </w:pPr>
      <w:r>
        <w:rPr>
          <w:bCs/>
          <w:b/>
        </w:rPr>
        <w:t xml:space="preserve">Why this matters for exam purposes.</w:t>
      </w:r>
      <w:r>
        <w:t xml:space="preserve"> </w:t>
      </w:r>
      <w:r>
        <w:t xml:space="preserve">Almost every question in this subject is really a variation on:</w:t>
      </w:r>
      <w:r>
        <w:t xml:space="preserve"> </w:t>
      </w:r>
      <w:r>
        <w:rPr>
          <w:iCs/>
          <w:i/>
        </w:rPr>
        <w:t xml:space="preserve">define the concept → explain the mechanism that produces the inequality or the practice → give a real or Pakistani example → evaluate critically → suggest what changes the situation.</w:t>
      </w:r>
      <w:r>
        <w:t xml:space="preserve"> </w:t>
      </w:r>
      <w:r>
        <w:t xml:space="preserve">Internalising this five-step movement is more valuable than memorising any single definition, because it can be applied to nearly all fifty topics that follow.</w:t>
      </w:r>
    </w:p>
    <w:p>
      <w:pPr>
        <w:pStyle w:val="BodyText"/>
      </w:pPr>
      <w:r>
        <w:rPr>
          <w:bCs/>
          <w:b/>
        </w:rPr>
        <w:t xml:space="preserve">Key Takeaways</w:t>
      </w:r>
    </w:p>
    <w:p>
      <w:pPr>
        <w:numPr>
          <w:ilvl w:val="0"/>
          <w:numId w:val="1002"/>
        </w:numPr>
        <w:pStyle w:val="Compact"/>
      </w:pPr>
      <w:r>
        <w:t xml:space="preserve">Gender Studies studies the</w:t>
      </w:r>
      <w:r>
        <w:t xml:space="preserve"> </w:t>
      </w:r>
      <w:r>
        <w:rPr>
          <w:iCs/>
          <w:i/>
        </w:rPr>
        <w:t xml:space="preserve">social</w:t>
      </w:r>
      <w:r>
        <w:t xml:space="preserve"> </w:t>
      </w:r>
      <w:r>
        <w:t xml:space="preserve">meaning attached to sex difference, not sex difference itself.</w:t>
      </w:r>
    </w:p>
    <w:p>
      <w:pPr>
        <w:numPr>
          <w:ilvl w:val="0"/>
          <w:numId w:val="1002"/>
        </w:numPr>
        <w:pStyle w:val="Compact"/>
      </w:pPr>
      <w:r>
        <w:t xml:space="preserve">It is organised around four recurring questions: construction, power, intersection, and change.</w:t>
      </w:r>
    </w:p>
    <w:p>
      <w:pPr>
        <w:numPr>
          <w:ilvl w:val="0"/>
          <w:numId w:val="1002"/>
        </w:numPr>
        <w:pStyle w:val="Compact"/>
      </w:pPr>
      <w:r>
        <w:t xml:space="preserve">The discipline is explicitly evaluative and reformist, not only descriptive, because of its roots in feminist political movements.</w:t>
      </w:r>
    </w:p>
    <w:bookmarkEnd w:id="20"/>
    <w:bookmarkStart w:id="21" w:name="X59f872f87a209c966a1f9ab7572d6984cdacaa7"/>
    <w:p>
      <w:pPr>
        <w:pStyle w:val="Heading3"/>
      </w:pPr>
      <w:r>
        <w:t xml:space="preserve">2. Difference between Gender Studies and Women’s Studies</w:t>
      </w:r>
    </w:p>
    <w:p>
      <w:pPr>
        <w:pStyle w:val="FirstParagraph"/>
      </w:pPr>
      <w:r>
        <w:t xml:space="preserve">Women’s Studies emerged first, in the late 1960s and 1970s, out of the second-wave feminist movement in Western universities. Its founding insight was that mainstream academic disciplines had written women out of history, literature, economics, and politics, so a corrective field was needed that put women’s experiences, writings, and struggles at the centre of study.</w:t>
      </w:r>
    </w:p>
    <w:p>
      <w:pPr>
        <w:pStyle w:val="BodyText"/>
      </w:pPr>
      <w:r>
        <w:t xml:space="preserve">Gender Studies developed later, from the 1980s onward, as scholars — influenced particularly by the work of theorists such as Judith Butler — argued that focusing only on</w:t>
      </w:r>
      <w:r>
        <w:t xml:space="preserve"> </w:t>
      </w:r>
      <w:r>
        <w:t xml:space="preserve">“</w:t>
      </w:r>
      <w:r>
        <w:t xml:space="preserve">women</w:t>
      </w:r>
      <w:r>
        <w:t xml:space="preserve">”</w:t>
      </w:r>
      <w:r>
        <w:t xml:space="preserve"> </w:t>
      </w:r>
      <w:r>
        <w:t xml:space="preserve">as a fixed, already-known category left the underlying system unexamined. If gender is a</w:t>
      </w:r>
      <w:r>
        <w:t xml:space="preserve"> </w:t>
      </w:r>
      <w:r>
        <w:rPr>
          <w:iCs/>
          <w:i/>
        </w:rPr>
        <w:t xml:space="preserve">relational</w:t>
      </w:r>
      <w:r>
        <w:t xml:space="preserve"> </w:t>
      </w:r>
      <w:r>
        <w:t xml:space="preserve">system (masculinity is defined partly in opposition to femininity, and vice versa), then studying women alone cannot fully explain gender inequality; the roles assigned to men, and the relationship between the two, must also be studied.</w:t>
      </w:r>
    </w:p>
    <w:p>
      <w:pPr>
        <w:pStyle w:val="BodyText"/>
      </w:pPr>
      <w:r>
        <w:rPr>
          <w:bCs/>
          <w:b/>
        </w:rPr>
        <w:t xml:space="preserve">The substantive differences:</w:t>
      </w:r>
    </w:p>
    <w:p>
      <w:pPr>
        <w:numPr>
          <w:ilvl w:val="0"/>
          <w:numId w:val="1003"/>
        </w:numPr>
        <w:pStyle w:val="Compact"/>
      </w:pPr>
      <w:r>
        <w:rPr>
          <w:bCs/>
          <w:b/>
        </w:rPr>
        <w:t xml:space="preserve">Object of study:</w:t>
      </w:r>
      <w:r>
        <w:t xml:space="preserve"> </w:t>
      </w:r>
      <w:r>
        <w:t xml:space="preserve">Women’s Studies takes women as its primary subject — their history, writing, labour, and political struggles. Gender Studies takes the</w:t>
      </w:r>
      <w:r>
        <w:t xml:space="preserve"> </w:t>
      </w:r>
      <w:r>
        <w:rPr>
          <w:iCs/>
          <w:i/>
        </w:rPr>
        <w:t xml:space="preserve">relationship</w:t>
      </w:r>
      <w:r>
        <w:t xml:space="preserve"> </w:t>
      </w:r>
      <w:r>
        <w:t xml:space="preserve">between genders — masculinity, femininity, and identities outside this binary — as its subject.</w:t>
      </w:r>
    </w:p>
    <w:p>
      <w:pPr>
        <w:numPr>
          <w:ilvl w:val="0"/>
          <w:numId w:val="1003"/>
        </w:numPr>
        <w:pStyle w:val="Compact"/>
      </w:pPr>
      <w:r>
        <w:rPr>
          <w:bCs/>
          <w:b/>
        </w:rPr>
        <w:t xml:space="preserve">Underlying assumption:</w:t>
      </w:r>
      <w:r>
        <w:t xml:space="preserve"> </w:t>
      </w:r>
      <w:r>
        <w:t xml:space="preserve">Women’s Studies tends to treat</w:t>
      </w:r>
      <w:r>
        <w:t xml:space="preserve"> </w:t>
      </w:r>
      <w:r>
        <w:t xml:space="preserve">“</w:t>
      </w:r>
      <w:r>
        <w:t xml:space="preserve">woman</w:t>
      </w:r>
      <w:r>
        <w:t xml:space="preserve">”</w:t>
      </w:r>
      <w:r>
        <w:t xml:space="preserve"> </w:t>
      </w:r>
      <w:r>
        <w:t xml:space="preserve">as a meaningful, shared political category worth organising around. Gender Studies is more likely to treat gender categories themselves as historically constructed and open to question, drawing on queer theory to examine how the categories</w:t>
      </w:r>
      <w:r>
        <w:t xml:space="preserve"> </w:t>
      </w:r>
      <w:r>
        <w:t xml:space="preserve">“</w:t>
      </w:r>
      <w:r>
        <w:t xml:space="preserve">man</w:t>
      </w:r>
      <w:r>
        <w:t xml:space="preserve">”</w:t>
      </w:r>
      <w:r>
        <w:t xml:space="preserve"> </w:t>
      </w:r>
      <w:r>
        <w:t xml:space="preserve">and</w:t>
      </w:r>
      <w:r>
        <w:t xml:space="preserve"> </w:t>
      </w:r>
      <w:r>
        <w:t xml:space="preserve">“</w:t>
      </w:r>
      <w:r>
        <w:t xml:space="preserve">woman</w:t>
      </w:r>
      <w:r>
        <w:t xml:space="preserve">”</w:t>
      </w:r>
      <w:r>
        <w:t xml:space="preserve"> </w:t>
      </w:r>
      <w:r>
        <w:t xml:space="preserve">were formed in the first place.</w:t>
      </w:r>
    </w:p>
    <w:p>
      <w:pPr>
        <w:numPr>
          <w:ilvl w:val="0"/>
          <w:numId w:val="1003"/>
        </w:numPr>
        <w:pStyle w:val="Compact"/>
      </w:pPr>
      <w:r>
        <w:rPr>
          <w:bCs/>
          <w:b/>
        </w:rPr>
        <w:t xml:space="preserve">Scope of masculinity:</w:t>
      </w:r>
      <w:r>
        <w:t xml:space="preserve"> </w:t>
      </w:r>
      <w:r>
        <w:t xml:space="preserve">Because Gender Studies treats gender as relational, it explicitly studies masculinities — how societies construct ideas of manhood, and how these ideas also constrain men — which classical Women’s Studies did not prioritise.</w:t>
      </w:r>
    </w:p>
    <w:p>
      <w:pPr>
        <w:numPr>
          <w:ilvl w:val="0"/>
          <w:numId w:val="1003"/>
        </w:numPr>
        <w:pStyle w:val="Compact"/>
      </w:pPr>
      <w:r>
        <w:rPr>
          <w:bCs/>
          <w:b/>
        </w:rPr>
        <w:t xml:space="preserve">Institutional practice:</w:t>
      </w:r>
      <w:r>
        <w:t xml:space="preserve"> </w:t>
      </w:r>
      <w:r>
        <w:t xml:space="preserve">In practice, many university departments carry both names interchangeably, and most Gender Studies programmes retain a strong feminist orientation, so the distinction is more a matter of theoretical emphasis than a hard boundary.</w:t>
      </w:r>
    </w:p>
    <w:p>
      <w:pPr>
        <w:pStyle w:val="FirstParagraph"/>
      </w:pPr>
      <w:r>
        <w:rPr>
          <w:bCs/>
          <w:b/>
        </w:rPr>
        <w:t xml:space="preserve">A necessary caution:</w:t>
      </w:r>
      <w:r>
        <w:t xml:space="preserve"> </w:t>
      </w:r>
      <w:r>
        <w:t xml:space="preserve">examiners often want you to avoid presenting this as an opposition. The better analytical claim is that Gender Studies is Women’s Studies</w:t>
      </w:r>
      <w:r>
        <w:t xml:space="preserve"> </w:t>
      </w:r>
      <w:r>
        <w:rPr>
          <w:iCs/>
          <w:i/>
        </w:rPr>
        <w:t xml:space="preserve">broadened</w:t>
      </w:r>
      <w:r>
        <w:t xml:space="preserve"> </w:t>
      </w:r>
      <w:r>
        <w:t xml:space="preserve">— it kept the feminist commitment to exposing and reducing inequality but widened the unit of analysis from</w:t>
      </w:r>
      <w:r>
        <w:t xml:space="preserve"> </w:t>
      </w:r>
      <w:r>
        <w:t xml:space="preserve">“</w:t>
      </w:r>
      <w:r>
        <w:t xml:space="preserve">women</w:t>
      </w:r>
      <w:r>
        <w:t xml:space="preserve">”</w:t>
      </w:r>
      <w:r>
        <w:t xml:space="preserve"> </w:t>
      </w:r>
      <w:r>
        <w:t xml:space="preserve">to</w:t>
      </w:r>
      <w:r>
        <w:t xml:space="preserve"> </w:t>
      </w:r>
      <w:r>
        <w:t xml:space="preserve">“</w:t>
      </w:r>
      <w:r>
        <w:t xml:space="preserve">the gender system as a whole,</w:t>
      </w:r>
      <w:r>
        <w:t xml:space="preserve">”</w:t>
      </w:r>
      <w:r>
        <w:t xml:space="preserve"> </w:t>
      </w:r>
      <w:r>
        <w:t xml:space="preserve">which now includes men, masculinity, and non-binary identities.</w:t>
      </w:r>
    </w:p>
    <w:p>
      <w:pPr>
        <w:pStyle w:val="BodyText"/>
      </w:pPr>
      <w:r>
        <w:rPr>
          <w:bCs/>
          <w:b/>
        </w:rPr>
        <w:t xml:space="preserve">Key Takeaways</w:t>
      </w:r>
    </w:p>
    <w:p>
      <w:pPr>
        <w:numPr>
          <w:ilvl w:val="0"/>
          <w:numId w:val="1004"/>
        </w:numPr>
        <w:pStyle w:val="Compact"/>
      </w:pPr>
      <w:r>
        <w:t xml:space="preserve">Women’s Studies centres women’s experience; Gender Studies centres the relational system of gender, including masculinity.</w:t>
      </w:r>
    </w:p>
    <w:p>
      <w:pPr>
        <w:numPr>
          <w:ilvl w:val="0"/>
          <w:numId w:val="1004"/>
        </w:numPr>
        <w:pStyle w:val="Compact"/>
      </w:pPr>
      <w:r>
        <w:t xml:space="preserve">The shift reflects the influence of theorists like Judith Butler, who questioned whether gender categories are fixed.</w:t>
      </w:r>
    </w:p>
    <w:p>
      <w:pPr>
        <w:numPr>
          <w:ilvl w:val="0"/>
          <w:numId w:val="1004"/>
        </w:numPr>
        <w:pStyle w:val="Compact"/>
      </w:pPr>
      <w:r>
        <w:t xml:space="preserve">Treat this as a broadening of scope, not a rejection of feminist Women’s Studies.</w:t>
      </w:r>
    </w:p>
    <w:bookmarkEnd w:id="21"/>
    <w:bookmarkStart w:id="22" w:name="X2a818d0a24ad87679953b6d9a30ef60801fd529"/>
    <w:p>
      <w:pPr>
        <w:pStyle w:val="Heading3"/>
      </w:pPr>
      <w:r>
        <w:t xml:space="preserve">3. Multi-disciplinary Nature of Gender Studies</w:t>
      </w:r>
    </w:p>
    <w:p>
      <w:pPr>
        <w:pStyle w:val="FirstParagraph"/>
      </w:pPr>
      <w:r>
        <w:t xml:space="preserve">Gender Studies does not have a single research method or a single body of theory of its own; instead, it borrows methods and concepts from many existing disciplines and applies a</w:t>
      </w:r>
      <w:r>
        <w:t xml:space="preserve"> </w:t>
      </w:r>
      <w:r>
        <w:t xml:space="preserve">“</w:t>
      </w:r>
      <w:r>
        <w:t xml:space="preserve">gender lens</w:t>
      </w:r>
      <w:r>
        <w:t xml:space="preserve">”</w:t>
      </w:r>
      <w:r>
        <w:t xml:space="preserve"> </w:t>
      </w:r>
      <w:r>
        <w:t xml:space="preserve">to each. This is what makes it multi-disciplinary rather than a discipline with one method, like economics (which relies heavily on quantitative modelling) or literature (which relies on textual analysis).</w:t>
      </w:r>
    </w:p>
    <w:p>
      <w:pPr>
        <w:pStyle w:val="BodyText"/>
      </w:pPr>
      <w:r>
        <w:rPr>
          <w:bCs/>
          <w:b/>
        </w:rPr>
        <w:t xml:space="preserve">How different disciplines contribute:</w:t>
      </w:r>
    </w:p>
    <w:p>
      <w:pPr>
        <w:numPr>
          <w:ilvl w:val="0"/>
          <w:numId w:val="1005"/>
        </w:numPr>
        <w:pStyle w:val="Compact"/>
      </w:pPr>
      <w:r>
        <w:rPr>
          <w:bCs/>
          <w:b/>
        </w:rPr>
        <w:t xml:space="preserve">Sociology</w:t>
      </w:r>
      <w:r>
        <w:t xml:space="preserve"> </w:t>
      </w:r>
      <w:r>
        <w:t xml:space="preserve">supplies concepts such as socialisation, social institutions, and social structure, which explain how gender roles are learned and reproduced through the family, school, and religion.</w:t>
      </w:r>
    </w:p>
    <w:p>
      <w:pPr>
        <w:numPr>
          <w:ilvl w:val="0"/>
          <w:numId w:val="1005"/>
        </w:numPr>
        <w:pStyle w:val="Compact"/>
      </w:pPr>
      <w:r>
        <w:rPr>
          <w:bCs/>
          <w:b/>
        </w:rPr>
        <w:t xml:space="preserve">Anthropology</w:t>
      </w:r>
      <w:r>
        <w:t xml:space="preserve"> </w:t>
      </w:r>
      <w:r>
        <w:t xml:space="preserve">contributes cross-cultural evidence, showing that gender roles considered</w:t>
      </w:r>
      <w:r>
        <w:t xml:space="preserve"> </w:t>
      </w:r>
      <w:r>
        <w:t xml:space="preserve">“</w:t>
      </w:r>
      <w:r>
        <w:t xml:space="preserve">natural</w:t>
      </w:r>
      <w:r>
        <w:t xml:space="preserve">”</w:t>
      </w:r>
      <w:r>
        <w:t xml:space="preserve"> </w:t>
      </w:r>
      <w:r>
        <w:t xml:space="preserve">in one society (for example, which sex performs certain agricultural tasks) are organised completely differently in another society, which supports the claim that gender is socially constructed rather than biologically fixed.</w:t>
      </w:r>
    </w:p>
    <w:p>
      <w:pPr>
        <w:numPr>
          <w:ilvl w:val="0"/>
          <w:numId w:val="1005"/>
        </w:numPr>
        <w:pStyle w:val="Compact"/>
      </w:pPr>
      <w:r>
        <w:rPr>
          <w:bCs/>
          <w:b/>
        </w:rPr>
        <w:t xml:space="preserve">Political Science</w:t>
      </w:r>
      <w:r>
        <w:t xml:space="preserve"> </w:t>
      </w:r>
      <w:r>
        <w:t xml:space="preserve">contributes analysis of how laws, electoral quotas, and state institutions distribute power between men and women, and how citizenship itself was historically defined around male heads of household.</w:t>
      </w:r>
    </w:p>
    <w:p>
      <w:pPr>
        <w:numPr>
          <w:ilvl w:val="0"/>
          <w:numId w:val="1005"/>
        </w:numPr>
        <w:pStyle w:val="Compact"/>
      </w:pPr>
      <w:r>
        <w:rPr>
          <w:bCs/>
          <w:b/>
        </w:rPr>
        <w:t xml:space="preserve">Economics</w:t>
      </w:r>
      <w:r>
        <w:t xml:space="preserve"> </w:t>
      </w:r>
      <w:r>
        <w:t xml:space="preserve">contributes tools to measure unpaid care work, the gender wage gap, and how labour markets segregate men and women into different, unequally rewarded occupations.</w:t>
      </w:r>
    </w:p>
    <w:p>
      <w:pPr>
        <w:numPr>
          <w:ilvl w:val="0"/>
          <w:numId w:val="1005"/>
        </w:numPr>
        <w:pStyle w:val="Compact"/>
      </w:pPr>
      <w:r>
        <w:rPr>
          <w:bCs/>
          <w:b/>
        </w:rPr>
        <w:t xml:space="preserve">History</w:t>
      </w:r>
      <w:r>
        <w:t xml:space="preserve"> </w:t>
      </w:r>
      <w:r>
        <w:t xml:space="preserve">contributes the recovery of women’s roles in past events that mainstream historical writing overlooked, and traces how gender ideologies have changed over time rather than being timeless.</w:t>
      </w:r>
    </w:p>
    <w:p>
      <w:pPr>
        <w:numPr>
          <w:ilvl w:val="0"/>
          <w:numId w:val="1005"/>
        </w:numPr>
        <w:pStyle w:val="Compact"/>
      </w:pPr>
      <w:r>
        <w:rPr>
          <w:bCs/>
          <w:b/>
        </w:rPr>
        <w:t xml:space="preserve">Literature and Cultural Studies</w:t>
      </w:r>
      <w:r>
        <w:t xml:space="preserve"> </w:t>
      </w:r>
      <w:r>
        <w:t xml:space="preserve">contribute methods for reading how gender ideas are represented, reinforced, or challenged in novels, film, and media.</w:t>
      </w:r>
    </w:p>
    <w:p>
      <w:pPr>
        <w:numPr>
          <w:ilvl w:val="0"/>
          <w:numId w:val="1005"/>
        </w:numPr>
        <w:pStyle w:val="Compact"/>
      </w:pPr>
      <w:r>
        <w:rPr>
          <w:bCs/>
          <w:b/>
        </w:rPr>
        <w:t xml:space="preserve">Biology and Medicine</w:t>
      </w:r>
      <w:r>
        <w:t xml:space="preserve"> </w:t>
      </w:r>
      <w:r>
        <w:t xml:space="preserve">are drawn on cautiously — mainly to clarify what is actually established about physiological sex difference, so that social claims are not wrongly justified by appeals to</w:t>
      </w:r>
      <w:r>
        <w:t xml:space="preserve"> </w:t>
      </w:r>
      <w:r>
        <w:t xml:space="preserve">“</w:t>
      </w:r>
      <w:r>
        <w:t xml:space="preserve">nature.</w:t>
      </w:r>
      <w:r>
        <w:t xml:space="preserve">”</w:t>
      </w:r>
    </w:p>
    <w:p>
      <w:pPr>
        <w:pStyle w:val="FirstParagraph"/>
      </w:pPr>
      <w:r>
        <w:rPr>
          <w:bCs/>
          <w:b/>
        </w:rPr>
        <w:t xml:space="preserve">Why the multi-disciplinary structure matters analytically.</w:t>
      </w:r>
      <w:r>
        <w:t xml:space="preserve"> </w:t>
      </w:r>
      <w:r>
        <w:t xml:space="preserve">Because no single discipline can explain a phenomenon as broad as gender inequality — which shows up in wages, law, health, violence, and culture simultaneously — Gender Studies has to combine explanatory tools. A weakness sometimes raised against the field is exactly this: because it borrows rather than develops its own testable methodology, critics from more traditional social sciences have questioned its rigour. Gender Studies scholars respond that the object of study (a phenomenon that runs through every social institution at once)</w:t>
      </w:r>
      <w:r>
        <w:t xml:space="preserve"> </w:t>
      </w:r>
      <w:r>
        <w:rPr>
          <w:iCs/>
          <w:i/>
        </w:rPr>
        <w:t xml:space="preserve">requires</w:t>
      </w:r>
      <w:r>
        <w:t xml:space="preserve"> </w:t>
      </w:r>
      <w:r>
        <w:t xml:space="preserve">a multi-disciplinary method, and that rigour comes from the quality of the borrowed methods applied, not from having one method of its own.</w:t>
      </w:r>
    </w:p>
    <w:p>
      <w:pPr>
        <w:pStyle w:val="BodyText"/>
      </w:pPr>
      <w:r>
        <w:rPr>
          <w:bCs/>
          <w:b/>
        </w:rPr>
        <w:t xml:space="preserve">Key Takeaways</w:t>
      </w:r>
    </w:p>
    <w:p>
      <w:pPr>
        <w:numPr>
          <w:ilvl w:val="0"/>
          <w:numId w:val="1006"/>
        </w:numPr>
        <w:pStyle w:val="Compact"/>
      </w:pPr>
      <w:r>
        <w:t xml:space="preserve">Gender Studies applies a gender-focused lens using methods borrowed from sociology, anthropology, political science, economics, history, and literature.</w:t>
      </w:r>
    </w:p>
    <w:p>
      <w:pPr>
        <w:numPr>
          <w:ilvl w:val="0"/>
          <w:numId w:val="1006"/>
        </w:numPr>
        <w:pStyle w:val="Compact"/>
      </w:pPr>
      <w:r>
        <w:t xml:space="preserve">Its strength is explaining a phenomenon that no single discipline can capture alone.</w:t>
      </w:r>
    </w:p>
    <w:p>
      <w:pPr>
        <w:numPr>
          <w:ilvl w:val="0"/>
          <w:numId w:val="1006"/>
        </w:numPr>
        <w:pStyle w:val="Compact"/>
      </w:pPr>
      <w:r>
        <w:t xml:space="preserve">Its main methodological criticism is the absence of one distinct method of its own; defenders argue this follows necessarily from the breadth of the subject.</w:t>
      </w:r>
    </w:p>
    <w:bookmarkEnd w:id="22"/>
    <w:bookmarkStart w:id="23" w:name="autonomy-vs-integration-debate"/>
    <w:p>
      <w:pPr>
        <w:pStyle w:val="Heading3"/>
      </w:pPr>
      <w:r>
        <w:t xml:space="preserve">4. Autonomy vs Integration Debate</w:t>
      </w:r>
    </w:p>
    <w:p>
      <w:pPr>
        <w:pStyle w:val="FirstParagraph"/>
      </w:pPr>
      <w:r>
        <w:t xml:space="preserve">This is a policy and institutional debate about how Gender Studies, and gender concerns generally, should be organised within universities, governments, and development organisations. There are two competing models.</w:t>
      </w:r>
    </w:p>
    <w:p>
      <w:pPr>
        <w:pStyle w:val="BodyText"/>
      </w:pPr>
      <w:r>
        <w:rPr>
          <w:bCs/>
          <w:b/>
        </w:rPr>
        <w:t xml:space="preserve">The autonomy position</w:t>
      </w:r>
      <w:r>
        <w:t xml:space="preserve"> </w:t>
      </w:r>
      <w:r>
        <w:t xml:space="preserve">argues that Gender Studies should exist as its own separate department, with its own faculty, budget, and degree programmes, and that gender concerns in policy should have a dedicated ministry or unit (in Pakistan, for example, the Ministry of Human Rights or provincial Women Development Departments). The reasoning is that if gender issues are folded into general departments or general policies, they receive only marginal attention, are the first area cut when budgets tighten, and lose the specialised expertise needed to research and act on gender-specific problems.</w:t>
      </w:r>
    </w:p>
    <w:p>
      <w:pPr>
        <w:pStyle w:val="BodyText"/>
      </w:pPr>
      <w:r>
        <w:rPr>
          <w:bCs/>
          <w:b/>
        </w:rPr>
        <w:t xml:space="preserve">The integration position</w:t>
      </w:r>
      <w:r>
        <w:t xml:space="preserve"> </w:t>
      </w:r>
      <w:r>
        <w:t xml:space="preserve">— often called</w:t>
      </w:r>
      <w:r>
        <w:t xml:space="preserve"> </w:t>
      </w:r>
      <w:r>
        <w:t xml:space="preserve">“</w:t>
      </w:r>
      <w:r>
        <w:t xml:space="preserve">gender mainstreaming</w:t>
      </w:r>
      <w:r>
        <w:t xml:space="preserve">”</w:t>
      </w:r>
      <w:r>
        <w:t xml:space="preserve"> </w:t>
      </w:r>
      <w:r>
        <w:t xml:space="preserve">in the policy literature — argues that gender should not be confined to a separate silo at all. Instead, every policy, every academic department, and every government ministry (health, education, finance, agriculture) should be required to consider its gender impact as a routine part of its own regular work. The reasoning is that gender inequality is produced across all of society’s institutions, so confining gender expertise to one small department cannot fix inequality that is generated elsewhere — in the finance ministry’s budget choices, in the health ministry’s clinic locations, in the education ministry’s curriculum.</w:t>
      </w:r>
    </w:p>
    <w:p>
      <w:pPr>
        <w:pStyle w:val="BodyText"/>
      </w:pPr>
      <w:r>
        <w:rPr>
          <w:bCs/>
          <w:b/>
        </w:rPr>
        <w:t xml:space="preserve">Evaluating the debate.</w:t>
      </w:r>
      <w:r>
        <w:t xml:space="preserve"> </w:t>
      </w:r>
      <w:r>
        <w:t xml:space="preserve">In practice, most credible policy frameworks — including UN gender mainstreaming policy since the 1995 Beijing Platform for Action — try to combine both: a dedicated ministry or department that holds specialist expertise and monitors overall progress,</w:t>
      </w:r>
      <w:r>
        <w:t xml:space="preserve"> </w:t>
      </w:r>
      <w:r>
        <w:rPr>
          <w:iCs/>
          <w:i/>
        </w:rPr>
        <w:t xml:space="preserve">and</w:t>
      </w:r>
      <w:r>
        <w:t xml:space="preserve"> </w:t>
      </w:r>
      <w:r>
        <w:t xml:space="preserve">a mainstreaming requirement that pushes every other ministry to integrate gender considerations into its own work (for example, gender-responsive budgeting, where each ministry must show how its budget affects men and women differently).</w:t>
      </w:r>
    </w:p>
    <w:p>
      <w:pPr>
        <w:pStyle w:val="BodyText"/>
      </w:pPr>
      <w:r>
        <w:rPr>
          <w:bCs/>
          <w:b/>
        </w:rPr>
        <w:t xml:space="preserve">Common mistake:</w:t>
      </w:r>
      <w:r>
        <w:t xml:space="preserve"> </w:t>
      </w:r>
      <w:r>
        <w:t xml:space="preserve">students often present this as a settled matter with a</w:t>
      </w:r>
      <w:r>
        <w:t xml:space="preserve"> </w:t>
      </w:r>
      <w:r>
        <w:t xml:space="preserve">“</w:t>
      </w:r>
      <w:r>
        <w:t xml:space="preserve">correct</w:t>
      </w:r>
      <w:r>
        <w:t xml:space="preserve">”</w:t>
      </w:r>
      <w:r>
        <w:t xml:space="preserve"> </w:t>
      </w:r>
      <w:r>
        <w:t xml:space="preserve">answer. It should be argued as a genuine trade-off: autonomy protects visibility and expertise but risks marginalisation; integration maximises reach but risks gender concerns becoming a token line item that no single body is accountable for.</w:t>
      </w:r>
    </w:p>
    <w:p>
      <w:pPr>
        <w:pStyle w:val="BodyText"/>
      </w:pPr>
      <w:r>
        <w:rPr>
          <w:bCs/>
          <w:b/>
        </w:rPr>
        <w:t xml:space="preserve">Key Takeaways</w:t>
      </w:r>
    </w:p>
    <w:p>
      <w:pPr>
        <w:numPr>
          <w:ilvl w:val="0"/>
          <w:numId w:val="1007"/>
        </w:numPr>
        <w:pStyle w:val="Compact"/>
      </w:pPr>
      <w:r>
        <w:t xml:space="preserve">Autonomy = dedicated departments/ministries for gender; Integration =</w:t>
      </w:r>
      <w:r>
        <w:t xml:space="preserve"> </w:t>
      </w:r>
      <w:r>
        <w:t xml:space="preserve">“</w:t>
      </w:r>
      <w:r>
        <w:t xml:space="preserve">mainstreaming</w:t>
      </w:r>
      <w:r>
        <w:t xml:space="preserve">”</w:t>
      </w:r>
      <w:r>
        <w:t xml:space="preserve"> </w:t>
      </w:r>
      <w:r>
        <w:t xml:space="preserve">gender into every institution’s regular work.</w:t>
      </w:r>
    </w:p>
    <w:p>
      <w:pPr>
        <w:numPr>
          <w:ilvl w:val="0"/>
          <w:numId w:val="1007"/>
        </w:numPr>
        <w:pStyle w:val="Compact"/>
      </w:pPr>
      <w:r>
        <w:t xml:space="preserve">Autonomy protects focus and expertise but risks being marginalised and underfunded.</w:t>
      </w:r>
    </w:p>
    <w:p>
      <w:pPr>
        <w:numPr>
          <w:ilvl w:val="0"/>
          <w:numId w:val="1007"/>
        </w:numPr>
        <w:pStyle w:val="Compact"/>
      </w:pPr>
      <w:r>
        <w:t xml:space="preserve">Integration maximises institutional reach but risks becoming symbolic without a dedicated body holding institutions accountable.</w:t>
      </w:r>
    </w:p>
    <w:p>
      <w:pPr>
        <w:numPr>
          <w:ilvl w:val="0"/>
          <w:numId w:val="1007"/>
        </w:numPr>
        <w:pStyle w:val="Compact"/>
      </w:pPr>
      <w:r>
        <w:t xml:space="preserve">Real-world policy (e.g., post-Beijing 1995 UN framework) generally combines both approaches.</w:t>
      </w:r>
    </w:p>
    <w:bookmarkEnd w:id="23"/>
    <w:bookmarkStart w:id="24" w:name="status-of-gender-studies-in-pakistan"/>
    <w:p>
      <w:pPr>
        <w:pStyle w:val="Heading3"/>
      </w:pPr>
      <w:r>
        <w:t xml:space="preserve">5. Status of Gender Studies in Pakistan</w:t>
      </w:r>
    </w:p>
    <w:p>
      <w:pPr>
        <w:pStyle w:val="FirstParagraph"/>
      </w:pPr>
      <w:r>
        <w:t xml:space="preserve">Gender Studies as a formal academic discipline arrived in Pakistan later than in Western universities, largely from the 1990s onward, driven by three overlapping forces: the international donor and UN agenda following the 1995 Beijing Conference, the activism of Pakistani women’s rights organisations that had been working since the 1980s Women’s Action Forum movement against the Hudood Ordinances, and the gradual establishment of dedicated academic departments, most notably at institutions such as the University of Karachi, Fatima Jinnah Women University, and Allama Iqbal Open University.</w:t>
      </w:r>
    </w:p>
    <w:p>
      <w:pPr>
        <w:pStyle w:val="BodyText"/>
      </w:pPr>
      <w:r>
        <w:rPr>
          <w:bCs/>
          <w:b/>
        </w:rPr>
        <w:t xml:space="preserve">Institutional development.</w:t>
      </w:r>
      <w:r>
        <w:t xml:space="preserve"> </w:t>
      </w:r>
      <w:r>
        <w:t xml:space="preserve">Pakistan established a Ministry of Women Development at the federal level (its functions later devolved substantially to the provinces after the 18th Constitutional Amendment in 2010), created provincial Commissions on the Status of Women, and set up a National Commission for Human Rights, alongside university departments offering BS, MA, and MPhil programmes specifically in Gender Studies.</w:t>
      </w:r>
    </w:p>
    <w:p>
      <w:pPr>
        <w:pStyle w:val="BodyText"/>
      </w:pPr>
      <w:r>
        <w:rPr>
          <w:bCs/>
          <w:b/>
        </w:rPr>
        <w:t xml:space="preserve">Distinct features of the discipline as practised in Pakistan:</w:t>
      </w:r>
    </w:p>
    <w:p>
      <w:pPr>
        <w:numPr>
          <w:ilvl w:val="0"/>
          <w:numId w:val="1008"/>
        </w:numPr>
        <w:pStyle w:val="Compact"/>
      </w:pPr>
      <w:r>
        <w:t xml:space="preserve">It engages heavily with religious and cultural debates, because arguments about women’s rights in Pakistan are frequently framed through competing interpretations of Islamic law (Sharia) rather than purely secular rights language, so Pakistani Gender Studies scholarship often works within and through Islamic feminist scholarship rather than only Western liberal-feminist frameworks.</w:t>
      </w:r>
    </w:p>
    <w:p>
      <w:pPr>
        <w:numPr>
          <w:ilvl w:val="0"/>
          <w:numId w:val="1008"/>
        </w:numPr>
        <w:pStyle w:val="Compact"/>
      </w:pPr>
      <w:r>
        <w:t xml:space="preserve">It focuses substantially on legal reform, given landmark and contested legislation such as the Hudood Ordinances (1979), their partial reform through the Protection of Women (Criminal Laws Amendment) Act, 2006, and later laws such as the Punjab Protection of Women against Violence Act, 2016, and the Zainab Alert, Response and Recovery Act, 2020.</w:t>
      </w:r>
    </w:p>
    <w:p>
      <w:pPr>
        <w:numPr>
          <w:ilvl w:val="0"/>
          <w:numId w:val="1008"/>
        </w:numPr>
        <w:pStyle w:val="Compact"/>
      </w:pPr>
      <w:r>
        <w:t xml:space="preserve">It addresses acute development gaps: Pakistan continues to rank low on international gender-gap indices, particularly on female labour-force participation, girls’ secondary-school enrolment, and maternal health indicators, which gives the discipline a strong applied, policy-oriented character rather than a purely theoretical one.</w:t>
      </w:r>
    </w:p>
    <w:p>
      <w:pPr>
        <w:numPr>
          <w:ilvl w:val="0"/>
          <w:numId w:val="1008"/>
        </w:numPr>
        <w:pStyle w:val="Compact"/>
      </w:pPr>
      <w:r>
        <w:t xml:space="preserve">It faces resistance in some conservative sections of society, where</w:t>
      </w:r>
      <w:r>
        <w:t xml:space="preserve"> </w:t>
      </w:r>
      <w:r>
        <w:t xml:space="preserve">“</w:t>
      </w:r>
      <w:r>
        <w:t xml:space="preserve">gender</w:t>
      </w:r>
      <w:r>
        <w:t xml:space="preserve">”</w:t>
      </w:r>
      <w:r>
        <w:t xml:space="preserve"> </w:t>
      </w:r>
      <w:r>
        <w:t xml:space="preserve">as a concept is sometimes politically contested and conflated with Western cultural influence, which shapes how the discipline is taught and discussed publicly.</w:t>
      </w:r>
    </w:p>
    <w:p>
      <w:pPr>
        <w:pStyle w:val="FirstParagraph"/>
      </w:pPr>
      <w:r>
        <w:rPr>
          <w:bCs/>
          <w:b/>
        </w:rPr>
        <w:t xml:space="preserve">Key Takeaways</w:t>
      </w:r>
    </w:p>
    <w:p>
      <w:pPr>
        <w:numPr>
          <w:ilvl w:val="0"/>
          <w:numId w:val="1009"/>
        </w:numPr>
        <w:pStyle w:val="Compact"/>
      </w:pPr>
      <w:r>
        <w:t xml:space="preserve">Gender Studies became institutionalised in Pakistan mainly after the 1990s, driven by Beijing 1995, local activism (Women’s Action Forum), and university programmes.</w:t>
      </w:r>
    </w:p>
    <w:p>
      <w:pPr>
        <w:numPr>
          <w:ilvl w:val="0"/>
          <w:numId w:val="1009"/>
        </w:numPr>
        <w:pStyle w:val="Compact"/>
      </w:pPr>
      <w:r>
        <w:t xml:space="preserve">Pakistani Gender Studies scholarship distinctly engages Islamic legal and theological debates alongside secular feminist theory.</w:t>
      </w:r>
    </w:p>
    <w:p>
      <w:pPr>
        <w:numPr>
          <w:ilvl w:val="0"/>
          <w:numId w:val="1009"/>
        </w:numPr>
        <w:pStyle w:val="Compact"/>
      </w:pPr>
      <w:r>
        <w:t xml:space="preserve">The field remains strongly policy-oriented because of persistent, measurable gender gaps in health, education, and employment.</w:t>
      </w:r>
    </w:p>
    <w:bookmarkEnd w:id="24"/>
    <w:bookmarkEnd w:id="25"/>
    <w:bookmarkStart w:id="31" w:name="ii.-social-construction-of-gender"/>
    <w:p>
      <w:pPr>
        <w:pStyle w:val="Heading2"/>
      </w:pPr>
      <w:r>
        <w:t xml:space="preserve">II. Social Construction of Gender</w:t>
      </w:r>
    </w:p>
    <w:bookmarkStart w:id="26" w:name="historicizing-constructionism"/>
    <w:p>
      <w:pPr>
        <w:pStyle w:val="Heading3"/>
      </w:pPr>
      <w:r>
        <w:t xml:space="preserve">6. Historicizing Constructionism</w:t>
      </w:r>
    </w:p>
    <w:p>
      <w:pPr>
        <w:pStyle w:val="FirstParagraph"/>
      </w:pPr>
      <w:r>
        <w:t xml:space="preserve">Social constructionism is the theoretical claim that many features of gender we take to be natural or fixed — such as which colours, careers, personality traits, or forms of dress</w:t>
      </w:r>
      <w:r>
        <w:t xml:space="preserve"> </w:t>
      </w:r>
      <w:r>
        <w:t xml:space="preserve">“</w:t>
      </w:r>
      <w:r>
        <w:t xml:space="preserve">belong</w:t>
      </w:r>
      <w:r>
        <w:t xml:space="preserve">”</w:t>
      </w:r>
      <w:r>
        <w:t xml:space="preserve"> </w:t>
      </w:r>
      <w:r>
        <w:t xml:space="preserve">to men and women — are in fact produced historically and culturally, and can therefore vary across time and place and can, in principle, be changed.</w:t>
      </w:r>
      <w:r>
        <w:t xml:space="preserve"> </w:t>
      </w:r>
      <w:r>
        <w:t xml:space="preserve">“</w:t>
      </w:r>
      <w:r>
        <w:t xml:space="preserve">Historicizing</w:t>
      </w:r>
      <w:r>
        <w:t xml:space="preserve">”</w:t>
      </w:r>
      <w:r>
        <w:t xml:space="preserve"> </w:t>
      </w:r>
      <w:r>
        <w:t xml:space="preserve">constructionism means tracing how this idea developed as an intellectual argument, rather than simply asserting it.</w:t>
      </w:r>
    </w:p>
    <w:p>
      <w:pPr>
        <w:pStyle w:val="BodyText"/>
      </w:pPr>
      <w:r>
        <w:rPr>
          <w:bCs/>
          <w:b/>
        </w:rPr>
        <w:t xml:space="preserve">The intellectual lineage.</w:t>
      </w:r>
      <w:r>
        <w:t xml:space="preserve"> </w:t>
      </w:r>
      <w:r>
        <w:t xml:space="preserve">The foundational modern statement is usually traced to Simone de Beauvoir’s 1949 claim that</w:t>
      </w:r>
      <w:r>
        <w:t xml:space="preserve"> </w:t>
      </w:r>
      <w:r>
        <w:t xml:space="preserve">“</w:t>
      </w:r>
      <w:r>
        <w:t xml:space="preserve">one is not born, but rather becomes, a woman</w:t>
      </w:r>
      <w:r>
        <w:t xml:space="preserve">”</w:t>
      </w:r>
      <w:r>
        <w:t xml:space="preserve"> </w:t>
      </w:r>
      <w:r>
        <w:t xml:space="preserve">— meaning that femininity is not an automatic biological outcome but something a girl is trained into through upbringing and social expectation. This was developed further by sociologists in the 1970s who introduced the sex/gender distinction: sex refers to biological attributes (chromosomes, reproductive anatomy, hormones), while gender refers to the socially learned roles, behaviours, and identities attached to those biological categories. Anthropological evidence — for instance, studies documenting societies where tasks like farming, trading, or childcare are divided between the sexes in patterns opposite to Western assumptions — was used to support the claim that if gender roles varied this much across cultures, they could not simply be dictated by biology.</w:t>
      </w:r>
    </w:p>
    <w:p>
      <w:pPr>
        <w:pStyle w:val="BodyText"/>
      </w:pPr>
      <w:r>
        <w:rPr>
          <w:bCs/>
          <w:b/>
        </w:rPr>
        <w:t xml:space="preserve">Why this matters analytically.</w:t>
      </w:r>
      <w:r>
        <w:t xml:space="preserve"> </w:t>
      </w:r>
      <w:r>
        <w:t xml:space="preserve">If gender is constructed rather than natural, then gender inequality is not an unavoidable fact of nature but a social arrangement that was built by particular historical institutions (patriarchal family structures, religious doctrine as historically interpreted, colonial administration, industrial labour markets) and can therefore be reformed or dismantled by changing those institutions. This is the theoretical foundation that justifies the entire discipline’s reformist, policy-oriented character (see Topic 1).</w:t>
      </w:r>
    </w:p>
    <w:p>
      <w:pPr>
        <w:pStyle w:val="BodyText"/>
      </w:pPr>
      <w:r>
        <w:rPr>
          <w:bCs/>
          <w:b/>
        </w:rPr>
        <w:t xml:space="preserve">The main counter-argument</w:t>
      </w:r>
      <w:r>
        <w:t xml:space="preserve"> </w:t>
      </w:r>
      <w:r>
        <w:t xml:space="preserve">comes from those who argue that constructionism goes too far if it denies any role for biology at all — for example, some evolutionary psychologists argue that certain broad behavioural tendencies have biological roots shaped by human evolutionary history. Mainstream Gender Studies scholarship does not usually deny that biological sex exists; its claim is narrower and more defensible: that the</w:t>
      </w:r>
      <w:r>
        <w:t xml:space="preserve"> </w:t>
      </w:r>
      <w:r>
        <w:rPr>
          <w:iCs/>
          <w:i/>
        </w:rPr>
        <w:t xml:space="preserve">meaning, value, and social consequences</w:t>
      </w:r>
      <w:r>
        <w:t xml:space="preserve"> </w:t>
      </w:r>
      <w:r>
        <w:t xml:space="preserve">attached to biological difference are constructed, even where some underlying biological difference is real.</w:t>
      </w:r>
    </w:p>
    <w:p>
      <w:pPr>
        <w:pStyle w:val="BodyText"/>
      </w:pPr>
      <w:r>
        <w:rPr>
          <w:bCs/>
          <w:b/>
        </w:rPr>
        <w:t xml:space="preserve">Key Takeaways</w:t>
      </w:r>
    </w:p>
    <w:p>
      <w:pPr>
        <w:numPr>
          <w:ilvl w:val="0"/>
          <w:numId w:val="1010"/>
        </w:numPr>
        <w:pStyle w:val="Compact"/>
      </w:pPr>
      <w:r>
        <w:t xml:space="preserve">Constructionism traces to de Beauvoir’s</w:t>
      </w:r>
      <w:r>
        <w:t xml:space="preserve"> </w:t>
      </w:r>
      <w:r>
        <w:t xml:space="preserve">“</w:t>
      </w:r>
      <w:r>
        <w:t xml:space="preserve">becomes, not born</w:t>
      </w:r>
      <w:r>
        <w:t xml:space="preserve">”</w:t>
      </w:r>
      <w:r>
        <w:t xml:space="preserve"> </w:t>
      </w:r>
      <w:r>
        <w:t xml:space="preserve">argument and the later sex/gender conceptual distinction.</w:t>
      </w:r>
    </w:p>
    <w:p>
      <w:pPr>
        <w:numPr>
          <w:ilvl w:val="0"/>
          <w:numId w:val="1010"/>
        </w:numPr>
        <w:pStyle w:val="Compact"/>
      </w:pPr>
      <w:r>
        <w:t xml:space="preserve">Cross-cultural anthropological variation is the main evidential support for the constructionist claim.</w:t>
      </w:r>
    </w:p>
    <w:p>
      <w:pPr>
        <w:numPr>
          <w:ilvl w:val="0"/>
          <w:numId w:val="1010"/>
        </w:numPr>
        <w:pStyle w:val="Compact"/>
      </w:pPr>
      <w:r>
        <w:t xml:space="preserve">The strongest version of the theory does not deny biological sex; it argues the</w:t>
      </w:r>
      <w:r>
        <w:t xml:space="preserve"> </w:t>
      </w:r>
      <w:r>
        <w:rPr>
          <w:iCs/>
          <w:i/>
        </w:rPr>
        <w:t xml:space="preserve">social meaning</w:t>
      </w:r>
      <w:r>
        <w:t xml:space="preserve"> </w:t>
      </w:r>
      <w:r>
        <w:t xml:space="preserve">attached to sex is what is constructed.</w:t>
      </w:r>
    </w:p>
    <w:bookmarkEnd w:id="26"/>
    <w:bookmarkStart w:id="27" w:name="Xa17938e509c7155ddf1251d05af4f037442aaa4"/>
    <w:p>
      <w:pPr>
        <w:pStyle w:val="Heading3"/>
      </w:pPr>
      <w:r>
        <w:t xml:space="preserve">7. Problematizing the Category of Sex: Queer Theory</w:t>
      </w:r>
    </w:p>
    <w:p>
      <w:pPr>
        <w:pStyle w:val="FirstParagraph"/>
      </w:pPr>
      <w:r>
        <w:t xml:space="preserve">Queer theory extends constructionism (Topic 6) one step further. Constructionism had generally accepted that biological</w:t>
      </w:r>
      <w:r>
        <w:t xml:space="preserve"> </w:t>
      </w:r>
      <w:r>
        <w:rPr>
          <w:iCs/>
          <w:i/>
        </w:rPr>
        <w:t xml:space="preserve">sex</w:t>
      </w:r>
      <w:r>
        <w:t xml:space="preserve"> </w:t>
      </w:r>
      <w:r>
        <w:t xml:space="preserve">(male/female bodies) is a fixed, pre-social fact, and argued only that</w:t>
      </w:r>
      <w:r>
        <w:t xml:space="preserve"> </w:t>
      </w:r>
      <w:r>
        <w:rPr>
          <w:iCs/>
          <w:i/>
        </w:rPr>
        <w:t xml:space="preserve">gender</w:t>
      </w:r>
      <w:r>
        <w:t xml:space="preserve"> </w:t>
      </w:r>
      <w:r>
        <w:t xml:space="preserve">(the roles attached to sex) is constructed. Queer theory, most influentially through the work of Judith Butler (</w:t>
      </w:r>
      <w:r>
        <w:rPr>
          <w:iCs/>
          <w:i/>
        </w:rPr>
        <w:t xml:space="preserve">Gender Trouble</w:t>
      </w:r>
      <w:r>
        <w:t xml:space="preserve">, 1990), questions whether even the category of</w:t>
      </w:r>
      <w:r>
        <w:t xml:space="preserve"> </w:t>
      </w:r>
      <w:r>
        <w:t xml:space="preserve">“</w:t>
      </w:r>
      <w:r>
        <w:t xml:space="preserve">sex</w:t>
      </w:r>
      <w:r>
        <w:t xml:space="preserve">”</w:t>
      </w:r>
      <w:r>
        <w:t xml:space="preserve"> </w:t>
      </w:r>
      <w:r>
        <w:t xml:space="preserve">itself is as neutral and pre-social as it appears.</w:t>
      </w:r>
    </w:p>
    <w:p>
      <w:pPr>
        <w:pStyle w:val="BodyText"/>
      </w:pPr>
      <w:r>
        <w:rPr>
          <w:bCs/>
          <w:b/>
        </w:rPr>
        <w:t xml:space="preserve">Butler’s core argument.</w:t>
      </w:r>
      <w:r>
        <w:t xml:space="preserve"> </w:t>
      </w:r>
      <w:r>
        <w:t xml:space="preserve">Butler argues that when doctors, scientists, and societies classify bodies into exactly two sex categories, they are not simply reading off a neutral biological fact — they are applying a</w:t>
      </w:r>
      <w:r>
        <w:t xml:space="preserve"> </w:t>
      </w:r>
      <w:r>
        <w:rPr>
          <w:iCs/>
          <w:i/>
        </w:rPr>
        <w:t xml:space="preserve">cultural framework that expects two, and only two, categories</w:t>
      </w:r>
      <w:r>
        <w:t xml:space="preserve"> </w:t>
      </w:r>
      <w:r>
        <w:t xml:space="preserve">onto the messier and more variable reality of human bodies (which includes intersex variations, meaning people born with reproductive or chromosomal anatomy that does not fit typical binary definitions). In this view, sex classification is already a social act, not merely its later social interpretation. Butler further argues that gender is</w:t>
      </w:r>
      <w:r>
        <w:t xml:space="preserve"> </w:t>
      </w:r>
      <w:r>
        <w:t xml:space="preserve">“</w:t>
      </w:r>
      <w:r>
        <w:t xml:space="preserve">performative</w:t>
      </w:r>
      <w:r>
        <w:t xml:space="preserve">”</w:t>
      </w:r>
      <w:r>
        <w:t xml:space="preserve"> </w:t>
      </w:r>
      <w:r>
        <w:t xml:space="preserve">— it is not an inner essence a person expresses, but something continuously produced through repeated actions, speech, and social rituals (how one dresses, moves, and speaks), and it is this repetition that creates the</w:t>
      </w:r>
      <w:r>
        <w:t xml:space="preserve"> </w:t>
      </w:r>
      <w:r>
        <w:rPr>
          <w:iCs/>
          <w:i/>
        </w:rPr>
        <w:t xml:space="preserve">illusion</w:t>
      </w:r>
      <w:r>
        <w:t xml:space="preserve"> </w:t>
      </w:r>
      <w:r>
        <w:t xml:space="preserve">of a natural, stable gendered self.</w:t>
      </w:r>
    </w:p>
    <w:p>
      <w:pPr>
        <w:pStyle w:val="BodyText"/>
      </w:pPr>
      <w:r>
        <w:rPr>
          <w:bCs/>
          <w:b/>
        </w:rPr>
        <w:t xml:space="preserve">Why this is described as</w:t>
      </w:r>
      <w:r>
        <w:rPr>
          <w:bCs/>
          <w:b/>
        </w:rPr>
        <w:t xml:space="preserve"> </w:t>
      </w:r>
      <w:r>
        <w:rPr>
          <w:bCs/>
          <w:b/>
        </w:rPr>
        <w:t xml:space="preserve">“</w:t>
      </w:r>
      <w:r>
        <w:rPr>
          <w:bCs/>
          <w:b/>
        </w:rPr>
        <w:t xml:space="preserve">problematizing.</w:t>
      </w:r>
      <w:r>
        <w:rPr>
          <w:bCs/>
          <w:b/>
        </w:rPr>
        <w:t xml:space="preserve">”</w:t>
      </w:r>
      <w:r>
        <w:t xml:space="preserve"> </w:t>
      </w:r>
      <w:r>
        <w:t xml:space="preserve">The term means that queer theory treats the sex/gender binary as a problem to be examined and questioned, rather than as a stable starting point. This has practical implications: it grounds arguments for recognising intersex and transgender identities as evidence that a strict, two-category biological sex classification does not capture the full range of human bodies and identities.</w:t>
      </w:r>
    </w:p>
    <w:p>
      <w:pPr>
        <w:pStyle w:val="BodyText"/>
      </w:pPr>
      <w:r>
        <w:rPr>
          <w:bCs/>
          <w:b/>
        </w:rPr>
        <w:t xml:space="preserve">Criticism.</w:t>
      </w:r>
      <w:r>
        <w:t xml:space="preserve"> </w:t>
      </w:r>
      <w:r>
        <w:t xml:space="preserve">Some feminist scholars — including certain radical feminists — have argued that Butler’s approach, by questioning the category</w:t>
      </w:r>
      <w:r>
        <w:t xml:space="preserve"> </w:t>
      </w:r>
      <w:r>
        <w:t xml:space="preserve">“</w:t>
      </w:r>
      <w:r>
        <w:t xml:space="preserve">woman</w:t>
      </w:r>
      <w:r>
        <w:t xml:space="preserve">”</w:t>
      </w:r>
      <w:r>
        <w:t xml:space="preserve"> </w:t>
      </w:r>
      <w:r>
        <w:t xml:space="preserve">itself, risks undermining the political basis on which women have historically organised for rights, since political movements typically need a stable group identity to mobilise around. Butler’s defenders respond that political solidarity does not require metaphysical certainty about fixed categories — people can organise around shared experiences of gendered oppression without needing those categories to be biologically absolute.</w:t>
      </w:r>
    </w:p>
    <w:p>
      <w:pPr>
        <w:pStyle w:val="BodyText"/>
      </w:pPr>
      <w:r>
        <w:rPr>
          <w:bCs/>
          <w:b/>
        </w:rPr>
        <w:t xml:space="preserve">Key Takeaways</w:t>
      </w:r>
    </w:p>
    <w:p>
      <w:pPr>
        <w:numPr>
          <w:ilvl w:val="0"/>
          <w:numId w:val="1011"/>
        </w:numPr>
        <w:pStyle w:val="Compact"/>
      </w:pPr>
      <w:r>
        <w:t xml:space="preserve">Queer theory (Butler) extends constructionism to question the category of biological sex itself, not only gender roles.</w:t>
      </w:r>
    </w:p>
    <w:p>
      <w:pPr>
        <w:numPr>
          <w:ilvl w:val="0"/>
          <w:numId w:val="1011"/>
        </w:numPr>
        <w:pStyle w:val="Compact"/>
      </w:pPr>
      <w:r>
        <w:t xml:space="preserve">Central concept: gender as</w:t>
      </w:r>
      <w:r>
        <w:t xml:space="preserve"> </w:t>
      </w:r>
      <w:r>
        <w:t xml:space="preserve">“</w:t>
      </w:r>
      <w:r>
        <w:t xml:space="preserve">performative</w:t>
      </w:r>
      <w:r>
        <w:t xml:space="preserve">”</w:t>
      </w:r>
      <w:r>
        <w:t xml:space="preserve"> </w:t>
      </w:r>
      <w:r>
        <w:t xml:space="preserve">— produced through repeated acts, not an inner essence.</w:t>
      </w:r>
    </w:p>
    <w:p>
      <w:pPr>
        <w:numPr>
          <w:ilvl w:val="0"/>
          <w:numId w:val="1011"/>
        </w:numPr>
        <w:pStyle w:val="Compact"/>
      </w:pPr>
      <w:r>
        <w:t xml:space="preserve">Main criticism: destabilising</w:t>
      </w:r>
      <w:r>
        <w:t xml:space="preserve"> </w:t>
      </w:r>
      <w:r>
        <w:t xml:space="preserve">“</w:t>
      </w:r>
      <w:r>
        <w:t xml:space="preserve">woman</w:t>
      </w:r>
      <w:r>
        <w:t xml:space="preserve">”</w:t>
      </w:r>
      <w:r>
        <w:t xml:space="preserve"> </w:t>
      </w:r>
      <w:r>
        <w:t xml:space="preserve">as a category may weaken the basis for feminist political organising; defenders argue solidarity does not require fixed categories.</w:t>
      </w:r>
    </w:p>
    <w:bookmarkEnd w:id="27"/>
    <w:bookmarkStart w:id="28" w:name="is-sex-socially-determined-too"/>
    <w:p>
      <w:pPr>
        <w:pStyle w:val="Heading3"/>
      </w:pPr>
      <w:r>
        <w:t xml:space="preserve">8. Is Sex Socially Determined Too?</w:t>
      </w:r>
    </w:p>
    <w:p>
      <w:pPr>
        <w:pStyle w:val="FirstParagraph"/>
      </w:pPr>
      <w:r>
        <w:t xml:space="preserve">This topic directly follows from Topic 7 and asks the exam-relevant question in its clearest form: can even the biological classification of</w:t>
      </w:r>
      <w:r>
        <w:t xml:space="preserve"> </w:t>
      </w:r>
      <w:r>
        <w:t xml:space="preserve">“</w:t>
      </w:r>
      <w:r>
        <w:t xml:space="preserve">male</w:t>
      </w:r>
      <w:r>
        <w:t xml:space="preserve">”</w:t>
      </w:r>
      <w:r>
        <w:t xml:space="preserve"> </w:t>
      </w:r>
      <w:r>
        <w:t xml:space="preserve">and</w:t>
      </w:r>
      <w:r>
        <w:t xml:space="preserve"> </w:t>
      </w:r>
      <w:r>
        <w:t xml:space="preserve">“</w:t>
      </w:r>
      <w:r>
        <w:t xml:space="preserve">female</w:t>
      </w:r>
      <w:r>
        <w:t xml:space="preserve">”</w:t>
      </w:r>
      <w:r>
        <w:t xml:space="preserve"> </w:t>
      </w:r>
      <w:r>
        <w:t xml:space="preserve">be considered a social construction, or is this claim overreaching?</w:t>
      </w:r>
    </w:p>
    <w:p>
      <w:pPr>
        <w:pStyle w:val="BodyText"/>
      </w:pPr>
      <w:r>
        <w:rPr>
          <w:bCs/>
          <w:b/>
        </w:rPr>
        <w:t xml:space="preserve">The case that sex has a social dimension:</w:t>
      </w:r>
    </w:p>
    <w:p>
      <w:pPr>
        <w:numPr>
          <w:ilvl w:val="0"/>
          <w:numId w:val="1012"/>
        </w:numPr>
        <w:pStyle w:val="Compact"/>
      </w:pPr>
      <w:r>
        <w:rPr>
          <w:bCs/>
          <w:b/>
        </w:rPr>
        <w:t xml:space="preserve">Intersex variation</w:t>
      </w:r>
      <w:r>
        <w:t xml:space="preserve"> </w:t>
      </w:r>
      <w:r>
        <w:t xml:space="preserve">shows that human bodies do not divide cleanly into two discrete biological categories. Some estimates suggest roughly 1 in 2,000 births involve some form of intersex variation in chromosomes, hormones, or anatomy, and historically, doctors and legal systems have made decisions — sometimes through surgery on infants — about which of the two available categories to assign such individuals to. The</w:t>
      </w:r>
      <w:r>
        <w:t xml:space="preserve"> </w:t>
      </w:r>
      <w:r>
        <w:rPr>
          <w:iCs/>
          <w:i/>
        </w:rPr>
        <w:t xml:space="preserve">decision to force a binary outcome</w:t>
      </w:r>
      <w:r>
        <w:t xml:space="preserve"> </w:t>
      </w:r>
      <w:r>
        <w:t xml:space="preserve">onto genuinely variable biology is, in this view, a social act.</w:t>
      </w:r>
    </w:p>
    <w:p>
      <w:pPr>
        <w:numPr>
          <w:ilvl w:val="0"/>
          <w:numId w:val="1012"/>
        </w:numPr>
        <w:pStyle w:val="Compact"/>
      </w:pPr>
      <w:r>
        <w:rPr>
          <w:bCs/>
          <w:b/>
        </w:rPr>
        <w:t xml:space="preserve">The history of medical classification</w:t>
      </w:r>
      <w:r>
        <w:t xml:space="preserve"> </w:t>
      </w:r>
      <w:r>
        <w:t xml:space="preserve">shows that scientific understanding of what</w:t>
      </w:r>
      <w:r>
        <w:t xml:space="preserve"> </w:t>
      </w:r>
      <w:r>
        <w:t xml:space="preserve">“</w:t>
      </w:r>
      <w:r>
        <w:t xml:space="preserve">counts</w:t>
      </w:r>
      <w:r>
        <w:t xml:space="preserve">”</w:t>
      </w:r>
      <w:r>
        <w:t xml:space="preserve"> </w:t>
      </w:r>
      <w:r>
        <w:t xml:space="preserve">as sex has changed over time — for example, the criteria used to sex-test female athletes in international sport have shifted repeatedly across chromosomal, hormonal, and anatomical tests, showing that even scientific institutions have struggled to fix a single, stable biological definition.</w:t>
      </w:r>
    </w:p>
    <w:p>
      <w:pPr>
        <w:pStyle w:val="FirstParagraph"/>
      </w:pPr>
      <w:r>
        <w:rPr>
          <w:bCs/>
          <w:b/>
        </w:rPr>
        <w:t xml:space="preserve">The case against overextending the claim:</w:t>
      </w:r>
    </w:p>
    <w:p>
      <w:pPr>
        <w:numPr>
          <w:ilvl w:val="0"/>
          <w:numId w:val="1013"/>
        </w:numPr>
        <w:pStyle w:val="Compact"/>
      </w:pPr>
      <w:r>
        <w:t xml:space="preserve">The great majority of human bodies do sort clearly and consistently into male and female categories along multiple correlated biological markers (chromosomes, gonads, hormone levels, reproductive anatomy), and this correlation is a real biological fact, not merely a social agreement.</w:t>
      </w:r>
    </w:p>
    <w:p>
      <w:pPr>
        <w:numPr>
          <w:ilvl w:val="0"/>
          <w:numId w:val="1013"/>
        </w:numPr>
        <w:pStyle w:val="Compact"/>
      </w:pPr>
      <w:r>
        <w:t xml:space="preserve">Reducing all of biology to social construction can make it difficult to discuss real, measurable biological differences relevant to medicine (for example, differences in disease presentation or drug metabolism between male and female bodies), which matters for practical fields like public health.</w:t>
      </w:r>
    </w:p>
    <w:p>
      <w:pPr>
        <w:pStyle w:val="FirstParagraph"/>
      </w:pPr>
      <w:r>
        <w:rPr>
          <w:bCs/>
          <w:b/>
        </w:rPr>
        <w:t xml:space="preserve">A balanced exam answer</w:t>
      </w:r>
      <w:r>
        <w:t xml:space="preserve"> </w:t>
      </w:r>
      <w:r>
        <w:t xml:space="preserve">should therefore state: biological sex has a real, largely bimodal (two-peaked) distribution in most measurable traits, but (a) this distribution is not perfectly binary — intersex variation is real and non-trivial, and (b) the</w:t>
      </w:r>
      <w:r>
        <w:t xml:space="preserve"> </w:t>
      </w:r>
      <w:r>
        <w:rPr>
          <w:iCs/>
          <w:i/>
        </w:rPr>
        <w:t xml:space="preserve">social decision</w:t>
      </w:r>
      <w:r>
        <w:t xml:space="preserve"> </w:t>
      </w:r>
      <w:r>
        <w:t xml:space="preserve">to treat sex as a rigid, mutually exclusive two-category system, and to attach enormous social consequences to which category a person is assigned, is a social and institutional choice layered on top of the biological data, not something the biological data alone dictates.</w:t>
      </w:r>
    </w:p>
    <w:p>
      <w:pPr>
        <w:pStyle w:val="BodyText"/>
      </w:pPr>
      <w:r>
        <w:rPr>
          <w:bCs/>
          <w:b/>
        </w:rPr>
        <w:t xml:space="preserve">Key Takeaways</w:t>
      </w:r>
    </w:p>
    <w:p>
      <w:pPr>
        <w:numPr>
          <w:ilvl w:val="0"/>
          <w:numId w:val="1014"/>
        </w:numPr>
        <w:pStyle w:val="Compact"/>
      </w:pPr>
      <w:r>
        <w:t xml:space="preserve">Intersex variation and shifting medical classification criteria are the main evidence for a social dimension to sex categorisation.</w:t>
      </w:r>
    </w:p>
    <w:p>
      <w:pPr>
        <w:numPr>
          <w:ilvl w:val="0"/>
          <w:numId w:val="1014"/>
        </w:numPr>
        <w:pStyle w:val="Compact"/>
      </w:pPr>
      <w:r>
        <w:t xml:space="preserve">Most biological markers do sort bimodally into male/female, so the constructionist claim about sex should be stated carefully, not as a blanket denial of biology.</w:t>
      </w:r>
    </w:p>
    <w:p>
      <w:pPr>
        <w:numPr>
          <w:ilvl w:val="0"/>
          <w:numId w:val="1014"/>
        </w:numPr>
        <w:pStyle w:val="Compact"/>
      </w:pPr>
      <w:r>
        <w:t xml:space="preserve">The strongest defensible claim: biology provides variation; society decides how rigidly to categorise and how much social weight to attach to that categorisation.</w:t>
      </w:r>
    </w:p>
    <w:bookmarkEnd w:id="28"/>
    <w:bookmarkStart w:id="29" w:name="masculinities-and-femininities"/>
    <w:p>
      <w:pPr>
        <w:pStyle w:val="Heading3"/>
      </w:pPr>
      <w:r>
        <w:t xml:space="preserve">9. Masculinities and Femininities</w:t>
      </w:r>
    </w:p>
    <w:p>
      <w:pPr>
        <w:pStyle w:val="FirstParagraph"/>
      </w:pPr>
      <w:r>
        <w:t xml:space="preserve">Because Gender Studies treats gender as a relational system (Topic 2), it studies masculinity with the same analytical seriousness as femininity, rather than treating masculinity as an unmarked, unexamined default.</w:t>
      </w:r>
    </w:p>
    <w:p>
      <w:pPr>
        <w:pStyle w:val="BodyText"/>
      </w:pPr>
      <w:r>
        <w:rPr>
          <w:bCs/>
          <w:b/>
        </w:rPr>
        <w:t xml:space="preserve">Hegemonic masculinity.</w:t>
      </w:r>
      <w:r>
        <w:t xml:space="preserve"> </w:t>
      </w:r>
      <w:r>
        <w:t xml:space="preserve">The key concept here, developed by sociologist R.W. Connell, is</w:t>
      </w:r>
      <w:r>
        <w:t xml:space="preserve"> </w:t>
      </w:r>
      <w:r>
        <w:t xml:space="preserve">“</w:t>
      </w:r>
      <w:r>
        <w:t xml:space="preserve">hegemonic masculinity</w:t>
      </w:r>
      <w:r>
        <w:t xml:space="preserve">”</w:t>
      </w:r>
      <w:r>
        <w:t xml:space="preserve"> </w:t>
      </w:r>
      <w:r>
        <w:t xml:space="preserve">— the dominant, most socially rewarded model of manhood in a given society at a given time (in many contemporary societies, associated with traits like physical toughness, economic providership, emotional restraint, and authority over women and other men). Connell’s crucial insight is that hegemonic masculinity is not the way most men actually behave; it is an</w:t>
      </w:r>
      <w:r>
        <w:t xml:space="preserve"> </w:t>
      </w:r>
      <w:r>
        <w:rPr>
          <w:iCs/>
          <w:i/>
        </w:rPr>
        <w:t xml:space="preserve">ideal</w:t>
      </w:r>
      <w:r>
        <w:t xml:space="preserve"> </w:t>
      </w:r>
      <w:r>
        <w:t xml:space="preserve">that most men are measured against, that some men benefit from without embodying (through the general social authority granted to</w:t>
      </w:r>
      <w:r>
        <w:t xml:space="preserve"> </w:t>
      </w:r>
      <w:r>
        <w:t xml:space="preserve">“</w:t>
      </w:r>
      <w:r>
        <w:t xml:space="preserve">men</w:t>
      </w:r>
      <w:r>
        <w:t xml:space="preserve">”</w:t>
      </w:r>
      <w:r>
        <w:t xml:space="preserve"> </w:t>
      </w:r>
      <w:r>
        <w:t xml:space="preserve">as a category), and that many men fail to live up to, often at real psychological cost.</w:t>
      </w:r>
    </w:p>
    <w:p>
      <w:pPr>
        <w:pStyle w:val="BodyText"/>
      </w:pPr>
      <w:r>
        <w:rPr>
          <w:bCs/>
          <w:b/>
        </w:rPr>
        <w:t xml:space="preserve">Multiple masculinities and femininities.</w:t>
      </w:r>
      <w:r>
        <w:t xml:space="preserve"> </w:t>
      </w:r>
      <w:r>
        <w:t xml:space="preserve">Connell’s framework also identifies subordinate masculinities (for example, masculinities associated with homosexuality, which hegemonic masculinity in many societies has historically devalued), complicit masculinities (men who do not personally enact the hegemonic ideal but benefit from the general social dominance of men), and marginalised masculinities (shaped further by race, class, or ethnicity). The same plural logic applies to femininities —</w:t>
      </w:r>
      <w:r>
        <w:t xml:space="preserve"> </w:t>
      </w:r>
      <w:r>
        <w:t xml:space="preserve">“</w:t>
      </w:r>
      <w:r>
        <w:t xml:space="preserve">emphasised femininity</w:t>
      </w:r>
      <w:r>
        <w:t xml:space="preserve">”</w:t>
      </w:r>
      <w:r>
        <w:t xml:space="preserve"> </w:t>
      </w:r>
      <w:r>
        <w:t xml:space="preserve">(traits like nurturing, physical attractiveness by prevailing standards, and deference) functions as a socially rewarded ideal for women, alongside other femininities that do not conform to it and are often penalised.</w:t>
      </w:r>
    </w:p>
    <w:p>
      <w:pPr>
        <w:pStyle w:val="BodyText"/>
      </w:pPr>
      <w:r>
        <w:rPr>
          <w:bCs/>
          <w:b/>
        </w:rPr>
        <w:t xml:space="preserve">Why studying masculinity helps gender analysis.</w:t>
      </w:r>
      <w:r>
        <w:t xml:space="preserve"> </w:t>
      </w:r>
      <w:r>
        <w:t xml:space="preserve">Recognising that men are also constrained, ranked, and disciplined by gender norms — rather than simply being the uncomplicated beneficiaries of patriarchy — helps explain phenomena that a purely</w:t>
      </w:r>
      <w:r>
        <w:t xml:space="preserve"> </w:t>
      </w:r>
      <w:r>
        <w:t xml:space="preserve">“</w:t>
      </w:r>
      <w:r>
        <w:t xml:space="preserve">women as victims, men as beneficiaries</w:t>
      </w:r>
      <w:r>
        <w:t xml:space="preserve">”</w:t>
      </w:r>
      <w:r>
        <w:t xml:space="preserve"> </w:t>
      </w:r>
      <w:r>
        <w:t xml:space="preserve">model struggles with: for example, higher male suicide rates in many societies linked partly to norms against expressing emotional vulnerability, or the social punishment faced by men who take on caregiving roles.</w:t>
      </w:r>
    </w:p>
    <w:p>
      <w:pPr>
        <w:pStyle w:val="BodyText"/>
      </w:pPr>
      <w:r>
        <w:rPr>
          <w:bCs/>
          <w:b/>
        </w:rPr>
        <w:t xml:space="preserve">Application example (Pakistan-relevant):</w:t>
      </w:r>
      <w:r>
        <w:t xml:space="preserve"> </w:t>
      </w:r>
      <w:r>
        <w:t xml:space="preserve">the strong social expectation that men must be the family’s economic provider (</w:t>
      </w:r>
      <w:r>
        <w:t xml:space="preserve">“</w:t>
      </w:r>
      <w:r>
        <w:t xml:space="preserve">breadwinner masculinity</w:t>
      </w:r>
      <w:r>
        <w:t xml:space="preserve">”</w:t>
      </w:r>
      <w:r>
        <w:t xml:space="preserve">) is often cited as a factor limiting men’s willingness to share domestic and childcare responsibilities even when both spouses work, and as a source of psychological stress for men who cannot meet this expectation due to unemployment or low wages.</w:t>
      </w:r>
    </w:p>
    <w:p>
      <w:pPr>
        <w:pStyle w:val="BodyText"/>
      </w:pPr>
      <w:r>
        <w:rPr>
          <w:bCs/>
          <w:b/>
        </w:rPr>
        <w:t xml:space="preserve">Key Takeaways</w:t>
      </w:r>
    </w:p>
    <w:p>
      <w:pPr>
        <w:numPr>
          <w:ilvl w:val="0"/>
          <w:numId w:val="1015"/>
        </w:numPr>
        <w:pStyle w:val="Compact"/>
      </w:pPr>
      <w:r>
        <w:t xml:space="preserve">Hegemonic masculinity (Connell) is a socially dominant</w:t>
      </w:r>
      <w:r>
        <w:t xml:space="preserve"> </w:t>
      </w:r>
      <w:r>
        <w:rPr>
          <w:iCs/>
          <w:i/>
        </w:rPr>
        <w:t xml:space="preserve">ideal</w:t>
      </w:r>
      <w:r>
        <w:t xml:space="preserve"> </w:t>
      </w:r>
      <w:r>
        <w:t xml:space="preserve">of manhood, not a description of most men’s actual behaviour.</w:t>
      </w:r>
    </w:p>
    <w:p>
      <w:pPr>
        <w:numPr>
          <w:ilvl w:val="0"/>
          <w:numId w:val="1015"/>
        </w:numPr>
        <w:pStyle w:val="Compact"/>
      </w:pPr>
      <w:r>
        <w:t xml:space="preserve">Masculinities and femininities exist in multiple, ranked forms — hegemonic/emphasised, subordinate, complicit, marginalised.</w:t>
      </w:r>
    </w:p>
    <w:p>
      <w:pPr>
        <w:numPr>
          <w:ilvl w:val="0"/>
          <w:numId w:val="1015"/>
        </w:numPr>
        <w:pStyle w:val="Compact"/>
      </w:pPr>
      <w:r>
        <w:t xml:space="preserve">Studying masculinity shows that gender norms constrain and cost men too, refining rather than replacing the analysis of women’s disadvantage.</w:t>
      </w:r>
    </w:p>
    <w:bookmarkEnd w:id="29"/>
    <w:bookmarkStart w:id="30" w:name="nature-versus-culture-debate"/>
    <w:p>
      <w:pPr>
        <w:pStyle w:val="Heading3"/>
      </w:pPr>
      <w:r>
        <w:t xml:space="preserve">10. Nature versus Culture Debate</w:t>
      </w:r>
    </w:p>
    <w:p>
      <w:pPr>
        <w:pStyle w:val="FirstParagraph"/>
      </w:pPr>
      <w:r>
        <w:t xml:space="preserve">This is the broadest theoretical debate underlying the whole field: are observed differences between men and women (in behaviour, occupation, temperament) primarily the product of biological nature, or of cultural conditioning?</w:t>
      </w:r>
    </w:p>
    <w:p>
      <w:pPr>
        <w:pStyle w:val="BodyText"/>
      </w:pPr>
      <w:r>
        <w:rPr>
          <w:bCs/>
          <w:b/>
        </w:rPr>
        <w:t xml:space="preserve">The</w:t>
      </w:r>
      <w:r>
        <w:rPr>
          <w:bCs/>
          <w:b/>
        </w:rPr>
        <w:t xml:space="preserve"> </w:t>
      </w:r>
      <w:r>
        <w:rPr>
          <w:bCs/>
          <w:b/>
        </w:rPr>
        <w:t xml:space="preserve">“</w:t>
      </w:r>
      <w:r>
        <w:rPr>
          <w:bCs/>
          <w:b/>
        </w:rPr>
        <w:t xml:space="preserve">nature</w:t>
      </w:r>
      <w:r>
        <w:rPr>
          <w:bCs/>
          <w:b/>
        </w:rPr>
        <w:t xml:space="preserve">”</w:t>
      </w:r>
      <w:r>
        <w:rPr>
          <w:bCs/>
          <w:b/>
        </w:rPr>
        <w:t xml:space="preserve"> </w:t>
      </w:r>
      <w:r>
        <w:rPr>
          <w:bCs/>
          <w:b/>
        </w:rPr>
        <w:t xml:space="preserve">position</w:t>
      </w:r>
      <w:r>
        <w:t xml:space="preserve"> </w:t>
      </w:r>
      <w:r>
        <w:t xml:space="preserve">draws on evolutionary biology and psychology, arguing that certain broad behavioural tendencies (for example, average differences in risk-taking, or patterns of parental investment) have deep evolutionary roots related to reproductive strategy, and that these biological predispositions interact with, but are not simply erased by, culture.</w:t>
      </w:r>
    </w:p>
    <w:p>
      <w:pPr>
        <w:pStyle w:val="BodyText"/>
      </w:pPr>
      <w:r>
        <w:rPr>
          <w:bCs/>
          <w:b/>
        </w:rPr>
        <w:t xml:space="preserve">The</w:t>
      </w:r>
      <w:r>
        <w:rPr>
          <w:bCs/>
          <w:b/>
        </w:rPr>
        <w:t xml:space="preserve"> </w:t>
      </w:r>
      <w:r>
        <w:rPr>
          <w:bCs/>
          <w:b/>
        </w:rPr>
        <w:t xml:space="preserve">“</w:t>
      </w:r>
      <w:r>
        <w:rPr>
          <w:bCs/>
          <w:b/>
        </w:rPr>
        <w:t xml:space="preserve">culture</w:t>
      </w:r>
      <w:r>
        <w:rPr>
          <w:bCs/>
          <w:b/>
        </w:rPr>
        <w:t xml:space="preserve">”</w:t>
      </w:r>
      <w:r>
        <w:rPr>
          <w:bCs/>
          <w:b/>
        </w:rPr>
        <w:t xml:space="preserve"> </w:t>
      </w:r>
      <w:r>
        <w:rPr>
          <w:bCs/>
          <w:b/>
        </w:rPr>
        <w:t xml:space="preserve">(constructionist) position</w:t>
      </w:r>
      <w:r>
        <w:t xml:space="preserve"> </w:t>
      </w:r>
      <w:r>
        <w:t xml:space="preserve">(see Topic 6) argues that most observed differences are better explained by differential socialisation — boys and girls are treated differently from birth, given different toys, praised for different behaviours, and channelled into different subjects at school and different occupations as adults, so that what looks like an innate difference is often a</w:t>
      </w:r>
      <w:r>
        <w:t xml:space="preserve"> </w:t>
      </w:r>
      <w:r>
        <w:rPr>
          <w:iCs/>
          <w:i/>
        </w:rPr>
        <w:t xml:space="preserve">produced</w:t>
      </w:r>
      <w:r>
        <w:t xml:space="preserve"> </w:t>
      </w:r>
      <w:r>
        <w:t xml:space="preserve">difference resulting from these accumulated social pressures.</w:t>
      </w:r>
    </w:p>
    <w:p>
      <w:pPr>
        <w:pStyle w:val="BodyText"/>
      </w:pPr>
      <w:r>
        <w:rPr>
          <w:bCs/>
          <w:b/>
        </w:rPr>
        <w:t xml:space="preserve">Why the debate persists and how to handle it academically.</w:t>
      </w:r>
      <w:r>
        <w:t xml:space="preserve"> </w:t>
      </w:r>
      <w:r>
        <w:t xml:space="preserve">Neither pure position is fully defensible on its own: strict biological determinism struggles to explain the enormous cross-cultural variation in gender roles documented by anthropology (Topic 6), while pure social constructionism struggles to explain some cross-cultural regularities (for example, that in nearly all documented societies, primary childcare of infants falls disproportionately to women, which some scholars link to the biological fact of breastfeeding). The academically credible middle position, often called</w:t>
      </w:r>
      <w:r>
        <w:t xml:space="preserve"> </w:t>
      </w:r>
      <w:r>
        <w:t xml:space="preserve">“</w:t>
      </w:r>
      <w:r>
        <w:t xml:space="preserve">biosocial</w:t>
      </w:r>
      <w:r>
        <w:t xml:space="preserve">”</w:t>
      </w:r>
      <w:r>
        <w:t xml:space="preserve"> </w:t>
      </w:r>
      <w:r>
        <w:t xml:space="preserve">or</w:t>
      </w:r>
      <w:r>
        <w:t xml:space="preserve"> </w:t>
      </w:r>
      <w:r>
        <w:t xml:space="preserve">“</w:t>
      </w:r>
      <w:r>
        <w:t xml:space="preserve">interactionist,</w:t>
      </w:r>
      <w:r>
        <w:t xml:space="preserve">”</w:t>
      </w:r>
      <w:r>
        <w:t xml:space="preserve"> </w:t>
      </w:r>
      <w:r>
        <w:t xml:space="preserve">argues that biology may set loose predispositions or starting points, but culture determines how large, how rigid, and how socially consequential those differences become — and it is precisely this</w:t>
      </w:r>
      <w:r>
        <w:t xml:space="preserve"> </w:t>
      </w:r>
      <w:r>
        <w:rPr>
          <w:iCs/>
          <w:i/>
        </w:rPr>
        <w:t xml:space="preserve">social amplification</w:t>
      </w:r>
      <w:r>
        <w:t xml:space="preserve"> </w:t>
      </w:r>
      <w:r>
        <w:t xml:space="preserve">of small or uncertain biological differences into large, rigid social roles that Gender Studies is most interested in critiquing.</w:t>
      </w:r>
    </w:p>
    <w:p>
      <w:pPr>
        <w:pStyle w:val="BodyText"/>
      </w:pPr>
      <w:r>
        <w:rPr>
          <w:bCs/>
          <w:b/>
        </w:rPr>
        <w:t xml:space="preserve">Exam guidance:</w:t>
      </w:r>
      <w:r>
        <w:t xml:space="preserve"> </w:t>
      </w:r>
      <w:r>
        <w:t xml:space="preserve">avoid picking one extreme side. The strongest answers explain both positions accurately, cite the anthropological cross-cultural evidence as the decisive consideration against strict biological determinism, and conclude with the interactionist synthesis.</w:t>
      </w:r>
    </w:p>
    <w:p>
      <w:pPr>
        <w:pStyle w:val="BodyText"/>
      </w:pPr>
      <w:r>
        <w:rPr>
          <w:bCs/>
          <w:b/>
        </w:rPr>
        <w:t xml:space="preserve">Key Takeaways</w:t>
      </w:r>
    </w:p>
    <w:p>
      <w:pPr>
        <w:numPr>
          <w:ilvl w:val="0"/>
          <w:numId w:val="1016"/>
        </w:numPr>
        <w:pStyle w:val="Compact"/>
      </w:pPr>
      <w:r>
        <w:t xml:space="preserve">Nature position: evolutionary/biological roots of behavioural difference. Culture position: differential socialisation produces the difference.</w:t>
      </w:r>
    </w:p>
    <w:p>
      <w:pPr>
        <w:numPr>
          <w:ilvl w:val="0"/>
          <w:numId w:val="1016"/>
        </w:numPr>
        <w:pStyle w:val="Compact"/>
      </w:pPr>
      <w:r>
        <w:t xml:space="preserve">Cross-cultural variation in gender roles is the strongest evidence against strict biological determinism.</w:t>
      </w:r>
    </w:p>
    <w:p>
      <w:pPr>
        <w:numPr>
          <w:ilvl w:val="0"/>
          <w:numId w:val="1016"/>
        </w:numPr>
        <w:pStyle w:val="Compact"/>
      </w:pPr>
      <w:r>
        <w:t xml:space="preserve">The defensible academic synthesis is interactionist: biology may provide a starting point; culture amplifies it into rigid social roles.</w:t>
      </w:r>
    </w:p>
    <w:bookmarkEnd w:id="30"/>
    <w:bookmarkEnd w:id="31"/>
    <w:bookmarkStart w:id="39" w:name="iii.-feminist-theories-and-practice"/>
    <w:p>
      <w:pPr>
        <w:pStyle w:val="Heading2"/>
      </w:pPr>
      <w:r>
        <w:t xml:space="preserve">III. Feminist Theories and Practice</w:t>
      </w:r>
    </w:p>
    <w:bookmarkStart w:id="32" w:name="what-is-feminism"/>
    <w:p>
      <w:pPr>
        <w:pStyle w:val="Heading3"/>
      </w:pPr>
      <w:r>
        <w:t xml:space="preserve">11. What is Feminism?</w:t>
      </w:r>
    </w:p>
    <w:p>
      <w:pPr>
        <w:pStyle w:val="FirstParagraph"/>
      </w:pPr>
      <w:r>
        <w:t xml:space="preserve">Feminism is both a political movement and a body of theory built around two connected claims: that women have historically been, and in most societies continue to be, disadvantaged relative to men in rights, resources, and power; and that this disadvantage is not natural or inevitable but the result of social arrangements that can and should be changed.</w:t>
      </w:r>
    </w:p>
    <w:p>
      <w:pPr>
        <w:pStyle w:val="BodyText"/>
      </w:pPr>
      <w:r>
        <w:rPr>
          <w:bCs/>
          <w:b/>
        </w:rPr>
        <w:t xml:space="preserve">Feminism as theory vs. feminism as movement.</w:t>
      </w:r>
      <w:r>
        <w:t xml:space="preserve"> </w:t>
      </w:r>
      <w:r>
        <w:t xml:space="preserve">As theory, feminism analyses</w:t>
      </w:r>
      <w:r>
        <w:t xml:space="preserve"> </w:t>
      </w:r>
      <w:r>
        <w:rPr>
          <w:iCs/>
          <w:i/>
        </w:rPr>
        <w:t xml:space="preserve">why</w:t>
      </w:r>
      <w:r>
        <w:t xml:space="preserve"> </w:t>
      </w:r>
      <w:r>
        <w:t xml:space="preserve">gender inequality exists and persists — through concepts like patriarchy (a social system in which men hold disproportionate power) and the sexual division of labour. As a movement, feminism organises collective action — campaigns, protests, lobbying, legal challenges — to change laws, institutions, and social attitudes.</w:t>
      </w:r>
    </w:p>
    <w:p>
      <w:pPr>
        <w:pStyle w:val="BodyText"/>
      </w:pPr>
      <w:r>
        <w:rPr>
          <w:bCs/>
          <w:b/>
        </w:rPr>
        <w:t xml:space="preserve">Common misconceptions worth addressing directly in an answer:</w:t>
      </w:r>
      <w:r>
        <w:t xml:space="preserve"> </w:t>
      </w:r>
      <w:r>
        <w:t xml:space="preserve">feminism is not a single unified ideology (there are liberal, radical, Marxist/socialist, psychoanalytic, postmodern, and other feminisms, covered in Topics 12–17, which sometimes disagree sharply with each other); it is not inherently anti-men (most feminist theory targets the</w:t>
      </w:r>
      <w:r>
        <w:t xml:space="preserve"> </w:t>
      </w:r>
      <w:r>
        <w:rPr>
          <w:iCs/>
          <w:i/>
        </w:rPr>
        <w:t xml:space="preserve">system</w:t>
      </w:r>
      <w:r>
        <w:t xml:space="preserve"> </w:t>
      </w:r>
      <w:r>
        <w:t xml:space="preserve">of patriarchy, which it argues constrains men as well, see Topic 9); and it is not a purely Western import, since indigenous women’s movements with locally rooted demands exist across Africa, South Asia, and the Muslim world, including Pakistan’s own Women’s Action Forum tradition (Topic 23).</w:t>
      </w:r>
    </w:p>
    <w:p>
      <w:pPr>
        <w:pStyle w:val="BodyText"/>
      </w:pPr>
      <w:r>
        <w:rPr>
          <w:bCs/>
          <w:b/>
        </w:rPr>
        <w:t xml:space="preserve">Core shared commitment across all feminist schools:</w:t>
      </w:r>
      <w:r>
        <w:t xml:space="preserve"> </w:t>
      </w:r>
      <w:r>
        <w:t xml:space="preserve">despite their theoretical disagreements, all feminisms share the basic commitment described above — that gender inequality is real, socially produced, and changeable — which is why they can be treated as a family of related theories rather than as entirely separate fields.</w:t>
      </w:r>
    </w:p>
    <w:p>
      <w:pPr>
        <w:pStyle w:val="BodyText"/>
      </w:pPr>
      <w:r>
        <w:rPr>
          <w:bCs/>
          <w:b/>
        </w:rPr>
        <w:t xml:space="preserve">Key Takeaways</w:t>
      </w:r>
    </w:p>
    <w:p>
      <w:pPr>
        <w:numPr>
          <w:ilvl w:val="0"/>
          <w:numId w:val="1017"/>
        </w:numPr>
        <w:pStyle w:val="Compact"/>
      </w:pPr>
      <w:r>
        <w:t xml:space="preserve">Feminism combines theory (why inequality exists) and movement (organised action to change it).</w:t>
      </w:r>
    </w:p>
    <w:p>
      <w:pPr>
        <w:numPr>
          <w:ilvl w:val="0"/>
          <w:numId w:val="1017"/>
        </w:numPr>
        <w:pStyle w:val="Compact"/>
      </w:pPr>
      <w:r>
        <w:t xml:space="preserve">It is not one ideology but a family of related schools of thought sharing a common core commitment.</w:t>
      </w:r>
    </w:p>
    <w:p>
      <w:pPr>
        <w:numPr>
          <w:ilvl w:val="0"/>
          <w:numId w:val="1017"/>
        </w:numPr>
        <w:pStyle w:val="Compact"/>
      </w:pPr>
      <w:r>
        <w:t xml:space="preserve">It is not confined to the West; locally rooted feminist movements exist across the Muslim world and South Asia.</w:t>
      </w:r>
    </w:p>
    <w:bookmarkEnd w:id="32"/>
    <w:bookmarkStart w:id="33" w:name="liberal-feminism"/>
    <w:p>
      <w:pPr>
        <w:pStyle w:val="Heading3"/>
      </w:pPr>
      <w:r>
        <w:t xml:space="preserve">12. Liberal Feminism</w:t>
      </w:r>
    </w:p>
    <w:p>
      <w:pPr>
        <w:pStyle w:val="FirstParagraph"/>
      </w:pPr>
      <w:r>
        <w:t xml:space="preserve">Liberal feminism is historically the earliest and most mainstream strand, rooted in Enlightenment liberal political philosophy — the idea that all individuals possess equal reason and therefore equal rights. Its central claim is that women’s inequality results from unfair exclusion from existing legal, educational, and economic institutions, not from a need to overturn those institutions altogether.</w:t>
      </w:r>
    </w:p>
    <w:p>
      <w:pPr>
        <w:pStyle w:val="BodyText"/>
      </w:pPr>
      <w:r>
        <w:rPr>
          <w:bCs/>
          <w:b/>
        </w:rPr>
        <w:t xml:space="preserve">Historical roots and key arguments.</w:t>
      </w:r>
      <w:r>
        <w:t xml:space="preserve"> </w:t>
      </w:r>
      <w:r>
        <w:t xml:space="preserve">Mary Wollstonecraft’s</w:t>
      </w:r>
      <w:r>
        <w:t xml:space="preserve"> </w:t>
      </w:r>
      <w:r>
        <w:rPr>
          <w:iCs/>
          <w:i/>
        </w:rPr>
        <w:t xml:space="preserve">A Vindication of the Rights of Woman</w:t>
      </w:r>
      <w:r>
        <w:t xml:space="preserve"> </w:t>
      </w:r>
      <w:r>
        <w:t xml:space="preserve">(1792) argued that women appeared less rational than men only because they were denied the same education, not because of any natural inferiority — if given equal education, women would demonstrate equal reasoning capacity. Later liberal feminists such as John Stuart Mill (</w:t>
      </w:r>
      <w:r>
        <w:rPr>
          <w:iCs/>
          <w:i/>
        </w:rPr>
        <w:t xml:space="preserve">The Subjection of Women</w:t>
      </w:r>
      <w:r>
        <w:t xml:space="preserve">, 1869) extended this to argue for equal legal and political rights, including suffrage.</w:t>
      </w:r>
    </w:p>
    <w:p>
      <w:pPr>
        <w:pStyle w:val="BodyText"/>
      </w:pPr>
      <w:r>
        <w:rPr>
          <w:bCs/>
          <w:b/>
        </w:rPr>
        <w:t xml:space="preserve">What liberal feminism campaigns for, concretely:</w:t>
      </w:r>
      <w:r>
        <w:t xml:space="preserve"> </w:t>
      </w:r>
      <w:r>
        <w:t xml:space="preserve">equal legal rights (the vote, property ownership, the right to sign contracts), equal access to education, equal employment opportunity and equal pay for equal work, and the removal of formal legal barriers that treat women differently from men (for example, laws historically requiring a husband’s permission for a wife to work or travel).</w:t>
      </w:r>
    </w:p>
    <w:p>
      <w:pPr>
        <w:pStyle w:val="BodyText"/>
      </w:pPr>
      <w:r>
        <w:rPr>
          <w:bCs/>
          <w:b/>
        </w:rPr>
        <w:t xml:space="preserve">Strengths:</w:t>
      </w:r>
      <w:r>
        <w:t xml:space="preserve"> </w:t>
      </w:r>
      <w:r>
        <w:t xml:space="preserve">liberal feminism achieved many of the most visible, concrete legal victories of the feminist movement historically — suffrage, anti-discrimination employment law, and equal-education laws — because its demands (equal treatment under existing law) were relatively achievable within existing political systems.</w:t>
      </w:r>
    </w:p>
    <w:p>
      <w:pPr>
        <w:pStyle w:val="BodyText"/>
      </w:pPr>
      <w:r>
        <w:rPr>
          <w:bCs/>
          <w:b/>
        </w:rPr>
        <w:t xml:space="preserve">Criticism.</w:t>
      </w:r>
      <w:r>
        <w:t xml:space="preserve"> </w:t>
      </w:r>
      <w:r>
        <w:t xml:space="preserve">Radical and Marxist feminists (Topics 13–14) argue that liberal feminism is too limited: achieving formal legal equality does not automatically produce real social equality, because deep structural factors — the unequal distribution of unpaid domestic labour, cultural attitudes, and economic dependency — continue to disadvantage women even after laws are formally equal. Liberal feminism’s critics describe this as mistaking equality</w:t>
      </w:r>
      <w:r>
        <w:t xml:space="preserve"> </w:t>
      </w:r>
      <w:r>
        <w:rPr>
          <w:iCs/>
          <w:i/>
        </w:rPr>
        <w:t xml:space="preserve">on paper</w:t>
      </w:r>
      <w:r>
        <w:t xml:space="preserve"> </w:t>
      </w:r>
      <w:r>
        <w:t xml:space="preserve">for equality</w:t>
      </w:r>
      <w:r>
        <w:t xml:space="preserve"> </w:t>
      </w:r>
      <w:r>
        <w:rPr>
          <w:iCs/>
          <w:i/>
        </w:rPr>
        <w:t xml:space="preserve">in practice</w:t>
      </w:r>
      <w:r>
        <w:t xml:space="preserve">.</w:t>
      </w:r>
    </w:p>
    <w:p>
      <w:pPr>
        <w:pStyle w:val="BodyText"/>
      </w:pPr>
      <w:r>
        <w:rPr>
          <w:bCs/>
          <w:b/>
        </w:rPr>
        <w:t xml:space="preserve">Key Takeaways</w:t>
      </w:r>
    </w:p>
    <w:p>
      <w:pPr>
        <w:numPr>
          <w:ilvl w:val="0"/>
          <w:numId w:val="1018"/>
        </w:numPr>
        <w:pStyle w:val="Compact"/>
      </w:pPr>
      <w:r>
        <w:t xml:space="preserve">Liberal feminism seeks equal rights and access within existing institutions, rooted in Enlightenment ideas of equal individual reason.</w:t>
      </w:r>
    </w:p>
    <w:p>
      <w:pPr>
        <w:numPr>
          <w:ilvl w:val="0"/>
          <w:numId w:val="1018"/>
        </w:numPr>
        <w:pStyle w:val="Compact"/>
      </w:pPr>
      <w:r>
        <w:t xml:space="preserve">Wollstonecraft and Mill are its foundational theorists; suffrage and anti-discrimination law are its landmark achievements.</w:t>
      </w:r>
    </w:p>
    <w:p>
      <w:pPr>
        <w:numPr>
          <w:ilvl w:val="0"/>
          <w:numId w:val="1018"/>
        </w:numPr>
        <w:pStyle w:val="Compact"/>
      </w:pPr>
      <w:r>
        <w:t xml:space="preserve">Main criticism: formal legal equality does not remove deeper structural and cultural disadvantages.</w:t>
      </w:r>
    </w:p>
    <w:bookmarkEnd w:id="33"/>
    <w:bookmarkStart w:id="34" w:name="radical-feminism"/>
    <w:p>
      <w:pPr>
        <w:pStyle w:val="Heading3"/>
      </w:pPr>
      <w:r>
        <w:t xml:space="preserve">13. Radical Feminism</w:t>
      </w:r>
    </w:p>
    <w:p>
      <w:pPr>
        <w:pStyle w:val="FirstParagraph"/>
      </w:pPr>
      <w:r>
        <w:t xml:space="preserve">Radical feminism argues that women’s oppression is the most fundamental and universal form of social inequality, predating and underlying other inequalities like class or race, and that it is rooted directly in the structure of patriarchy itself — men’s systematic control over women’s bodies, sexuality, and labour — rather than merely in unequal laws.</w:t>
      </w:r>
    </w:p>
    <w:p>
      <w:pPr>
        <w:pStyle w:val="BodyText"/>
      </w:pPr>
      <w:r>
        <w:rPr>
          <w:bCs/>
          <w:b/>
        </w:rPr>
        <w:t xml:space="preserve">Core claim.</w:t>
      </w:r>
      <w:r>
        <w:t xml:space="preserve"> </w:t>
      </w:r>
      <w:r>
        <w:t xml:space="preserve">Because the problem is patriarchy as a total social system, radical feminists argue that reform within existing institutions (the liberal feminist approach) cannot be sufficient; the system itself, including its most intimate structures such as the family and heterosexual relationships, needs fundamental transformation.</w:t>
      </w:r>
    </w:p>
    <w:p>
      <w:pPr>
        <w:pStyle w:val="BodyText"/>
      </w:pPr>
      <w:r>
        <w:rPr>
          <w:bCs/>
          <w:b/>
        </w:rPr>
        <w:t xml:space="preserve">Key concepts and arguments:</w:t>
      </w:r>
    </w:p>
    <w:p>
      <w:pPr>
        <w:numPr>
          <w:ilvl w:val="0"/>
          <w:numId w:val="1019"/>
        </w:numPr>
        <w:pStyle w:val="Compact"/>
      </w:pPr>
      <w:r>
        <w:rPr>
          <w:bCs/>
          <w:b/>
        </w:rPr>
        <w:t xml:space="preserve">“</w:t>
      </w:r>
      <w:r>
        <w:rPr>
          <w:bCs/>
          <w:b/>
        </w:rPr>
        <w:t xml:space="preserve">The personal is political</w:t>
      </w:r>
      <w:r>
        <w:rPr>
          <w:bCs/>
          <w:b/>
        </w:rPr>
        <w:t xml:space="preserve">”</w:t>
      </w:r>
      <w:r>
        <w:t xml:space="preserve"> </w:t>
      </w:r>
      <w:r>
        <w:t xml:space="preserve">— a foundational radical feminist slogan holding that experiences typically dismissed as private (domestic violence, housework division, sexual relationships) are in fact political, structured by power, and legitimate targets of political analysis and action, not merely private matters.</w:t>
      </w:r>
    </w:p>
    <w:p>
      <w:pPr>
        <w:numPr>
          <w:ilvl w:val="0"/>
          <w:numId w:val="1019"/>
        </w:numPr>
        <w:pStyle w:val="Compact"/>
      </w:pPr>
      <w:r>
        <w:rPr>
          <w:bCs/>
          <w:b/>
        </w:rPr>
        <w:t xml:space="preserve">Control over women’s bodies and sexuality</w:t>
      </w:r>
      <w:r>
        <w:t xml:space="preserve"> </w:t>
      </w:r>
      <w:r>
        <w:t xml:space="preserve">— radical feminists place particular emphasis on reproductive rights, sexual violence, and pornography as central sites where patriarchal control over women’s bodies is exercised and reproduced.</w:t>
      </w:r>
    </w:p>
    <w:p>
      <w:pPr>
        <w:numPr>
          <w:ilvl w:val="0"/>
          <w:numId w:val="1019"/>
        </w:numPr>
        <w:pStyle w:val="Compact"/>
      </w:pPr>
      <w:r>
        <w:rPr>
          <w:bCs/>
          <w:b/>
        </w:rPr>
        <w:t xml:space="preserve">Patriarchy as a system, not just an attitude</w:t>
      </w:r>
      <w:r>
        <w:t xml:space="preserve"> </w:t>
      </w:r>
      <w:r>
        <w:t xml:space="preserve">— radical feminists analyse patriarchy as embedded in institutions (family, religion, law, media) that work together to maintain male dominance, rather than as simply a collection of individual sexist attitudes that education alone could fix.</w:t>
      </w:r>
    </w:p>
    <w:p>
      <w:pPr>
        <w:pStyle w:val="FirstParagraph"/>
      </w:pPr>
      <w:r>
        <w:rPr>
          <w:bCs/>
          <w:b/>
        </w:rPr>
        <w:t xml:space="preserve">Criticism.</w:t>
      </w:r>
      <w:r>
        <w:t xml:space="preserve"> </w:t>
      </w:r>
      <w:r>
        <w:t xml:space="preserve">Critics argue that treating patriarchy as a single universal system risks flattening major differences in how women experience oppression across different classes, races, and cultures (an objection developed further by intersectional and postcolonial feminists). Some also argue that radical feminism’s focus on heterosexual relationships as inherently structured by domination is too totalising and does not capture the diversity of actual relationships.</w:t>
      </w:r>
    </w:p>
    <w:p>
      <w:pPr>
        <w:pStyle w:val="BodyText"/>
      </w:pPr>
      <w:r>
        <w:rPr>
          <w:bCs/>
          <w:b/>
        </w:rPr>
        <w:t xml:space="preserve">Key Takeaways</w:t>
      </w:r>
    </w:p>
    <w:p>
      <w:pPr>
        <w:numPr>
          <w:ilvl w:val="0"/>
          <w:numId w:val="1020"/>
        </w:numPr>
        <w:pStyle w:val="Compact"/>
      </w:pPr>
      <w:r>
        <w:t xml:space="preserve">Radical feminism sees patriarchy as the foundational, universal structure of inequality, requiring transformation rather than reform.</w:t>
      </w:r>
    </w:p>
    <w:p>
      <w:pPr>
        <w:numPr>
          <w:ilvl w:val="0"/>
          <w:numId w:val="1020"/>
        </w:numPr>
        <w:pStyle w:val="Compact"/>
      </w:pPr>
      <w:r>
        <w:t xml:space="preserve">“</w:t>
      </w:r>
      <w:r>
        <w:t xml:space="preserve">The personal is political</w:t>
      </w:r>
      <w:r>
        <w:t xml:space="preserve">”</w:t>
      </w:r>
      <w:r>
        <w:t xml:space="preserve"> </w:t>
      </w:r>
      <w:r>
        <w:t xml:space="preserve">reframes private life (housework, sexuality, domestic violence) as a matter of political power.</w:t>
      </w:r>
    </w:p>
    <w:p>
      <w:pPr>
        <w:numPr>
          <w:ilvl w:val="0"/>
          <w:numId w:val="1020"/>
        </w:numPr>
        <w:pStyle w:val="Compact"/>
      </w:pPr>
      <w:r>
        <w:t xml:space="preserve">Criticised for treating patriarchy as a single universal system that may overlook differences of class, race, and culture.</w:t>
      </w:r>
    </w:p>
    <w:bookmarkEnd w:id="34"/>
    <w:bookmarkStart w:id="35" w:name="marxist-and-socialist-feminism"/>
    <w:p>
      <w:pPr>
        <w:pStyle w:val="Heading3"/>
      </w:pPr>
      <w:r>
        <w:t xml:space="preserve">14. Marxist and Socialist Feminism</w:t>
      </w:r>
    </w:p>
    <w:p>
      <w:pPr>
        <w:pStyle w:val="FirstParagraph"/>
      </w:pPr>
      <w:r>
        <w:t xml:space="preserve">Marxist feminism applies Karl Marx’s framework of class and economic exploitation to explain women’s oppression, arguing that it is rooted primarily in the capitalist economic system rather than in patriarchy as an independent structure.</w:t>
      </w:r>
    </w:p>
    <w:p>
      <w:pPr>
        <w:pStyle w:val="BodyText"/>
      </w:pPr>
      <w:r>
        <w:rPr>
          <w:bCs/>
          <w:b/>
        </w:rPr>
        <w:t xml:space="preserve">Core argument.</w:t>
      </w:r>
      <w:r>
        <w:t xml:space="preserve"> </w:t>
      </w:r>
      <w:r>
        <w:t xml:space="preserve">Under capitalism, women perform vast amounts of unpaid domestic labour (childcare, cooking, cleaning) that is essential to reproducing the workforce — feeding and raising the next generation of workers, and allowing male workers to be available for waged labour — but this labour is not recognised or paid, because capitalism benefits from treating it as a</w:t>
      </w:r>
      <w:r>
        <w:t xml:space="preserve"> </w:t>
      </w:r>
      <w:r>
        <w:t xml:space="preserve">“</w:t>
      </w:r>
      <w:r>
        <w:t xml:space="preserve">natural</w:t>
      </w:r>
      <w:r>
        <w:t xml:space="preserve">”</w:t>
      </w:r>
      <w:r>
        <w:t xml:space="preserve"> </w:t>
      </w:r>
      <w:r>
        <w:t xml:space="preserve">female duty rather than as economically valuable work. Women who do enter the paid workforce are further exploited as a</w:t>
      </w:r>
      <w:r>
        <w:t xml:space="preserve"> </w:t>
      </w:r>
      <w:r>
        <w:t xml:space="preserve">“</w:t>
      </w:r>
      <w:r>
        <w:t xml:space="preserve">reserve army of labour</w:t>
      </w:r>
      <w:r>
        <w:t xml:space="preserve">”</w:t>
      </w:r>
      <w:r>
        <w:t xml:space="preserve"> </w:t>
      </w:r>
      <w:r>
        <w:t xml:space="preserve">— a pool that can be paid less, hired when convenient, and dismissed first during downturns.</w:t>
      </w:r>
    </w:p>
    <w:p>
      <w:pPr>
        <w:pStyle w:val="BodyText"/>
      </w:pPr>
      <w:r>
        <w:rPr>
          <w:bCs/>
          <w:b/>
        </w:rPr>
        <w:t xml:space="preserve">Socialist feminism</w:t>
      </w:r>
      <w:r>
        <w:t xml:space="preserve"> </w:t>
      </w:r>
      <w:r>
        <w:t xml:space="preserve">is a later refinement that combines the Marxist economic analysis with the radical feminist recognition (Topic 13) that patriarchy is a distinct structure of its own, not simply a by-product of capitalism. Socialist feminists argue that capitalism and patriarchy interact and reinforce each other (sometimes called the</w:t>
      </w:r>
      <w:r>
        <w:t xml:space="preserve"> </w:t>
      </w:r>
      <w:r>
        <w:t xml:space="preserve">“</w:t>
      </w:r>
      <w:r>
        <w:t xml:space="preserve">dual systems</w:t>
      </w:r>
      <w:r>
        <w:t xml:space="preserve">”</w:t>
      </w:r>
      <w:r>
        <w:t xml:space="preserve"> </w:t>
      </w:r>
      <w:r>
        <w:t xml:space="preserve">theory), so that ending capitalist exploitation alone, without also dismantling patriarchal control, would not automatically end women’s oppression, and vice versa.</w:t>
      </w:r>
    </w:p>
    <w:p>
      <w:pPr>
        <w:pStyle w:val="BodyText"/>
      </w:pPr>
      <w:r>
        <w:rPr>
          <w:bCs/>
          <w:b/>
        </w:rPr>
        <w:t xml:space="preserve">Why this distinction matters for policy analysis:</w:t>
      </w:r>
      <w:r>
        <w:t xml:space="preserve"> </w:t>
      </w:r>
      <w:r>
        <w:t xml:space="preserve">Marxist/socialist feminist theory is the direct theoretical basis for policy demands such as wages for housework, universal public childcare, and paid maternity/parental leave — because these demands treat domestic and reproductive labour as real economic work deserving recognition and compensation, rather than as an unpaid private duty.</w:t>
      </w:r>
    </w:p>
    <w:p>
      <w:pPr>
        <w:pStyle w:val="BodyText"/>
      </w:pPr>
      <w:r>
        <w:rPr>
          <w:bCs/>
          <w:b/>
        </w:rPr>
        <w:t xml:space="preserve">Criticism.</w:t>
      </w:r>
      <w:r>
        <w:t xml:space="preserve"> </w:t>
      </w:r>
      <w:r>
        <w:t xml:space="preserve">Critics note that Marxist feminism, by explaining gender oppression mainly through class and capitalism, can struggle to explain gender inequality in non-capitalist and pre-capitalist societies, which suggests patriarchy has causes independent of capitalism — the very point socialist feminism was developed to address.</w:t>
      </w:r>
    </w:p>
    <w:p>
      <w:pPr>
        <w:pStyle w:val="BodyText"/>
      </w:pPr>
      <w:r>
        <w:rPr>
          <w:bCs/>
          <w:b/>
        </w:rPr>
        <w:t xml:space="preserve">Key Takeaways</w:t>
      </w:r>
    </w:p>
    <w:p>
      <w:pPr>
        <w:numPr>
          <w:ilvl w:val="0"/>
          <w:numId w:val="1021"/>
        </w:numPr>
        <w:pStyle w:val="Compact"/>
      </w:pPr>
      <w:r>
        <w:t xml:space="preserve">Marxist feminism explains women’s oppression through capitalism’s reliance on unpaid domestic labour and women’s use as a flexible</w:t>
      </w:r>
      <w:r>
        <w:t xml:space="preserve"> </w:t>
      </w:r>
      <w:r>
        <w:t xml:space="preserve">“</w:t>
      </w:r>
      <w:r>
        <w:t xml:space="preserve">reserve army of labour.</w:t>
      </w:r>
      <w:r>
        <w:t xml:space="preserve">”</w:t>
      </w:r>
    </w:p>
    <w:p>
      <w:pPr>
        <w:numPr>
          <w:ilvl w:val="0"/>
          <w:numId w:val="1021"/>
        </w:numPr>
        <w:pStyle w:val="Compact"/>
      </w:pPr>
      <w:r>
        <w:t xml:space="preserve">Socialist feminism refines this with</w:t>
      </w:r>
      <w:r>
        <w:t xml:space="preserve"> </w:t>
      </w:r>
      <w:r>
        <w:t xml:space="preserve">“</w:t>
      </w:r>
      <w:r>
        <w:t xml:space="preserve">dual systems</w:t>
      </w:r>
      <w:r>
        <w:t xml:space="preserve">”</w:t>
      </w:r>
      <w:r>
        <w:t xml:space="preserve"> </w:t>
      </w:r>
      <w:r>
        <w:t xml:space="preserve">theory: capitalism and patriarchy are distinct but mutually reinforcing structures.</w:t>
      </w:r>
    </w:p>
    <w:p>
      <w:pPr>
        <w:numPr>
          <w:ilvl w:val="0"/>
          <w:numId w:val="1021"/>
        </w:numPr>
        <w:pStyle w:val="Compact"/>
      </w:pPr>
      <w:r>
        <w:t xml:space="preserve">This theory underpins concrete policy demands like paid parental leave and public childcare.</w:t>
      </w:r>
    </w:p>
    <w:bookmarkEnd w:id="35"/>
    <w:bookmarkStart w:id="36" w:name="psychoanalytical-feminism"/>
    <w:p>
      <w:pPr>
        <w:pStyle w:val="Heading3"/>
      </w:pPr>
      <w:r>
        <w:t xml:space="preserve">15. Psychoanalytical Feminism</w:t>
      </w:r>
    </w:p>
    <w:p>
      <w:pPr>
        <w:pStyle w:val="FirstParagraph"/>
      </w:pPr>
      <w:r>
        <w:t xml:space="preserve">Psychoanalytical feminism uses and critically revises Sigmund Freud’s psychoanalytic theory to explain how gender identity and gender inequality are formed at the level of early childhood psychological development, rather than only through external social institutions.</w:t>
      </w:r>
    </w:p>
    <w:p>
      <w:pPr>
        <w:pStyle w:val="BodyText"/>
      </w:pPr>
      <w:r>
        <w:rPr>
          <w:bCs/>
          <w:b/>
        </w:rPr>
        <w:t xml:space="preserve">Freud’s original theory and the feminist response.</w:t>
      </w:r>
      <w:r>
        <w:t xml:space="preserve"> </w:t>
      </w:r>
      <w:r>
        <w:t xml:space="preserve">Freud argued that gender identity develops in early childhood partly through children’s recognition of anatomical sex difference, famously through his controversial concept of</w:t>
      </w:r>
      <w:r>
        <w:t xml:space="preserve"> </w:t>
      </w:r>
      <w:r>
        <w:t xml:space="preserve">“</w:t>
      </w:r>
      <w:r>
        <w:t xml:space="preserve">penis envy</w:t>
      </w:r>
      <w:r>
        <w:t xml:space="preserve">”</w:t>
      </w:r>
      <w:r>
        <w:t xml:space="preserve"> </w:t>
      </w:r>
      <w:r>
        <w:t xml:space="preserve">in girls. Feminist theorists rejected this specific claim as biologically deterministic and demeaning to women, but retained Freud’s broader insight that gender identity is not simply learned consciously through role models — it is formed at a deep, partly unconscious psychological level in early childhood, which is why gender identity feels so stable and</w:t>
      </w:r>
      <w:r>
        <w:t xml:space="preserve"> </w:t>
      </w:r>
      <w:r>
        <w:t xml:space="preserve">“</w:t>
      </w:r>
      <w:r>
        <w:t xml:space="preserve">natural</w:t>
      </w:r>
      <w:r>
        <w:t xml:space="preserve">”</w:t>
      </w:r>
      <w:r>
        <w:t xml:space="preserve"> </w:t>
      </w:r>
      <w:r>
        <w:t xml:space="preserve">to individuals even though it is, in fact, produced.</w:t>
      </w:r>
    </w:p>
    <w:p>
      <w:pPr>
        <w:pStyle w:val="BodyText"/>
      </w:pPr>
      <w:r>
        <w:rPr>
          <w:bCs/>
          <w:b/>
        </w:rPr>
        <w:t xml:space="preserve">Nancy Chodorow’s reworking.</w:t>
      </w:r>
      <w:r>
        <w:t xml:space="preserve"> </w:t>
      </w:r>
      <w:r>
        <w:t xml:space="preserve">A key feminist revision, from sociologist Nancy Chodorow (</w:t>
      </w:r>
      <w:r>
        <w:rPr>
          <w:iCs/>
          <w:i/>
        </w:rPr>
        <w:t xml:space="preserve">The Reproduction of Mothering</w:t>
      </w:r>
      <w:r>
        <w:t xml:space="preserve">, 1978), argues that because mothers (not fathers) are typically the primary early caregivers in most societies, girls develop their gender identity in continuous closeness with their mother (leading, Chodorow argues, to relational, empathetic personality traits), while boys must psychologically separate from the mother to form a distinct masculine identity (leading to a personality more oriented toward independence and emotional distance). Crucially, Chodorow argues this pattern is not biologically fixed — it results directly from the</w:t>
      </w:r>
      <w:r>
        <w:t xml:space="preserve"> </w:t>
      </w:r>
      <w:r>
        <w:rPr>
          <w:iCs/>
          <w:i/>
        </w:rPr>
        <w:t xml:space="preserve">social arrangement</w:t>
      </w:r>
      <w:r>
        <w:t xml:space="preserve"> </w:t>
      </w:r>
      <w:r>
        <w:t xml:space="preserve">of assigning mothers as primary caregivers, and would change if caregiving were shared more equally between parents.</w:t>
      </w:r>
    </w:p>
    <w:p>
      <w:pPr>
        <w:pStyle w:val="BodyText"/>
      </w:pPr>
      <w:r>
        <w:rPr>
          <w:bCs/>
          <w:b/>
        </w:rPr>
        <w:t xml:space="preserve">Why this matters analytically.</w:t>
      </w:r>
      <w:r>
        <w:t xml:space="preserve"> </w:t>
      </w:r>
      <w:r>
        <w:t xml:space="preserve">This theory offers a psychological mechanism for</w:t>
      </w:r>
      <w:r>
        <w:t xml:space="preserve"> </w:t>
      </w:r>
      <w:r>
        <w:rPr>
          <w:iCs/>
          <w:i/>
        </w:rPr>
        <w:t xml:space="preserve">why</w:t>
      </w:r>
      <w:r>
        <w:t xml:space="preserve"> </w:t>
      </w:r>
      <w:r>
        <w:t xml:space="preserve">gendered personality traits and the sexual division of labour reproduce themselves generation after generation even without any explicit teaching — children absorb gendered patterns through the emotional structure of early family life itself.</w:t>
      </w:r>
    </w:p>
    <w:p>
      <w:pPr>
        <w:pStyle w:val="BodyText"/>
      </w:pPr>
      <w:r>
        <w:rPr>
          <w:bCs/>
          <w:b/>
        </w:rPr>
        <w:t xml:space="preserve">Criticism.</w:t>
      </w:r>
      <w:r>
        <w:t xml:space="preserve"> </w:t>
      </w:r>
      <w:r>
        <w:t xml:space="preserve">Critics note the theory is difficult to test empirically, relies heavily on culturally specific (largely Western, nuclear-family) assumptions about caregiving arrangements, and may not generalise well to societies with extended-family or communal childcare structures, such as many South Asian household arrangements.</w:t>
      </w:r>
    </w:p>
    <w:p>
      <w:pPr>
        <w:pStyle w:val="BodyText"/>
      </w:pPr>
      <w:r>
        <w:rPr>
          <w:bCs/>
          <w:b/>
        </w:rPr>
        <w:t xml:space="preserve">Key Takeaways</w:t>
      </w:r>
    </w:p>
    <w:p>
      <w:pPr>
        <w:numPr>
          <w:ilvl w:val="0"/>
          <w:numId w:val="1022"/>
        </w:numPr>
        <w:pStyle w:val="Compact"/>
      </w:pPr>
      <w:r>
        <w:t xml:space="preserve">Psychoanalytical feminism examines how gender identity forms unconsciously in early childhood, revising rather than accepting Freud’s original claims.</w:t>
      </w:r>
    </w:p>
    <w:p>
      <w:pPr>
        <w:numPr>
          <w:ilvl w:val="0"/>
          <w:numId w:val="1022"/>
        </w:numPr>
        <w:pStyle w:val="Compact"/>
      </w:pPr>
      <w:r>
        <w:t xml:space="preserve">Chodorow’s theory ties gendered personality differences directly to the social fact that mothers are usually primary caregivers, not to biology.</w:t>
      </w:r>
    </w:p>
    <w:p>
      <w:pPr>
        <w:numPr>
          <w:ilvl w:val="0"/>
          <w:numId w:val="1022"/>
        </w:numPr>
        <w:pStyle w:val="Compact"/>
      </w:pPr>
      <w:r>
        <w:t xml:space="preserve">Its central policy implication: shared parenting could, over generations, reduce gendered psychological patterns.</w:t>
      </w:r>
    </w:p>
    <w:bookmarkEnd w:id="36"/>
    <w:bookmarkStart w:id="37" w:name="mens-feminism"/>
    <w:p>
      <w:pPr>
        <w:pStyle w:val="Heading3"/>
      </w:pPr>
      <w:r>
        <w:t xml:space="preserve">16. Men’s Feminism</w:t>
      </w:r>
    </w:p>
    <w:p>
      <w:pPr>
        <w:pStyle w:val="FirstParagraph"/>
      </w:pPr>
      <w:r>
        <w:t xml:space="preserve">“</w:t>
      </w:r>
      <w:r>
        <w:t xml:space="preserve">Men’s feminism,</w:t>
      </w:r>
      <w:r>
        <w:t xml:space="preserve">”</w:t>
      </w:r>
      <w:r>
        <w:t xml:space="preserve"> </w:t>
      </w:r>
      <w:r>
        <w:t xml:space="preserve">more precisely referred to in the literature as pro-feminist men’s studies or the study of men and masculinities within a feminist framework, examines how men can engage with, benefit from, and also be harmed by patriarchy, and asks what role men can and should play in feminist politics.</w:t>
      </w:r>
    </w:p>
    <w:p>
      <w:pPr>
        <w:pStyle w:val="BodyText"/>
      </w:pPr>
      <w:r>
        <w:rPr>
          <w:bCs/>
          <w:b/>
        </w:rPr>
        <w:t xml:space="preserve">Two distinct strands worth separating in an answer:</w:t>
      </w:r>
    </w:p>
    <w:p>
      <w:pPr>
        <w:numPr>
          <w:ilvl w:val="0"/>
          <w:numId w:val="1023"/>
        </w:numPr>
        <w:pStyle w:val="Compact"/>
      </w:pPr>
      <w:r>
        <w:rPr>
          <w:bCs/>
          <w:b/>
        </w:rPr>
        <w:t xml:space="preserve">Pro-feminist men’s movements</w:t>
      </w:r>
      <w:r>
        <w:t xml:space="preserve"> </w:t>
      </w:r>
      <w:r>
        <w:t xml:space="preserve">support feminist goals and argue that men benefit from patriarchy as a group (through greater average access to political power, wages, and social authority) even though individual men also bear costs from rigid masculine norms (Topic 9) — costs such as restricted emotional expression, pressure toward risk-taking, and social stigma for stepping outside prescribed gender roles (for example, men who do full-time caregiving). Pro-feminist men’s advocates argue men have a responsibility to challenge patriarchy precisely because they hold more institutional power to change it.</w:t>
      </w:r>
    </w:p>
    <w:p>
      <w:pPr>
        <w:numPr>
          <w:ilvl w:val="0"/>
          <w:numId w:val="1023"/>
        </w:numPr>
        <w:pStyle w:val="Compact"/>
      </w:pPr>
      <w:r>
        <w:rPr>
          <w:bCs/>
          <w:b/>
        </w:rPr>
        <w:t xml:space="preserve">Men’s rights movements</w:t>
      </w:r>
      <w:r>
        <w:t xml:space="preserve">, by contrast, argue that men face serious, under-recognised disadvantages of their own (in areas like family courts and child custody decisions, workplace safety and occupational fatality rates, or lack of support services for male victims of domestic violence) and are often more openly critical of, or opposed to, mainstream feminist analysis, sometimes framing gender relations as now disadvantaging men more than women in specific domains.</w:t>
      </w:r>
    </w:p>
    <w:p>
      <w:pPr>
        <w:pStyle w:val="FirstParagraph"/>
      </w:pPr>
      <w:r>
        <w:rPr>
          <w:bCs/>
          <w:b/>
        </w:rPr>
        <w:t xml:space="preserve">Why examiners include this topic.</w:t>
      </w:r>
      <w:r>
        <w:t xml:space="preserve"> </w:t>
      </w:r>
      <w:r>
        <w:t xml:space="preserve">It tests whether a student can move beyond a simple</w:t>
      </w:r>
      <w:r>
        <w:t xml:space="preserve"> </w:t>
      </w:r>
      <w:r>
        <w:t xml:space="preserve">“</w:t>
      </w:r>
      <w:r>
        <w:t xml:space="preserve">men versus women</w:t>
      </w:r>
      <w:r>
        <w:t xml:space="preserve">”</w:t>
      </w:r>
      <w:r>
        <w:t xml:space="preserve"> </w:t>
      </w:r>
      <w:r>
        <w:t xml:space="preserve">framing and engage with the more sophisticated relational model of gender (Topic 9) — recognising that a critique of patriarchy as a</w:t>
      </w:r>
      <w:r>
        <w:t xml:space="preserve"> </w:t>
      </w:r>
      <w:r>
        <w:rPr>
          <w:iCs/>
          <w:i/>
        </w:rPr>
        <w:t xml:space="preserve">system</w:t>
      </w:r>
      <w:r>
        <w:t xml:space="preserve"> </w:t>
      </w:r>
      <w:r>
        <w:t xml:space="preserve">is compatible with acknowledging real costs that the same system imposes on men, without treating men’s disadvantages and women’s disadvantages as equivalent in scale or origin.</w:t>
      </w:r>
    </w:p>
    <w:p>
      <w:pPr>
        <w:pStyle w:val="BodyText"/>
      </w:pPr>
      <w:r>
        <w:rPr>
          <w:bCs/>
          <w:b/>
        </w:rPr>
        <w:t xml:space="preserve">Balanced conclusion for an exam answer:</w:t>
      </w:r>
      <w:r>
        <w:t xml:space="preserve"> </w:t>
      </w:r>
      <w:r>
        <w:t xml:space="preserve">the mainstream Gender Studies position is that men’s engagement with feminism is valuable and necessary because patriarchy is a system that shapes both genders, but that specific</w:t>
      </w:r>
      <w:r>
        <w:t xml:space="preserve"> </w:t>
      </w:r>
      <w:r>
        <w:t xml:space="preserve">“</w:t>
      </w:r>
      <w:r>
        <w:t xml:space="preserve">men’s rights</w:t>
      </w:r>
      <w:r>
        <w:t xml:space="preserve">”</w:t>
      </w:r>
      <w:r>
        <w:t xml:space="preserve"> </w:t>
      </w:r>
      <w:r>
        <w:t xml:space="preserve">claims should be evaluated on their own evidentiary merits case by case, rather than treated as an equal and opposite counter-movement to feminism.</w:t>
      </w:r>
    </w:p>
    <w:p>
      <w:pPr>
        <w:pStyle w:val="BodyText"/>
      </w:pPr>
      <w:r>
        <w:rPr>
          <w:bCs/>
          <w:b/>
        </w:rPr>
        <w:t xml:space="preserve">Key Takeaways</w:t>
      </w:r>
    </w:p>
    <w:p>
      <w:pPr>
        <w:numPr>
          <w:ilvl w:val="0"/>
          <w:numId w:val="1024"/>
        </w:numPr>
        <w:pStyle w:val="Compact"/>
      </w:pPr>
      <w:r>
        <w:t xml:space="preserve">Pro-feminist men’s studies analyses how men both benefit from and are constrained by patriarchy, and calls for men’s active participation in reform.</w:t>
      </w:r>
    </w:p>
    <w:p>
      <w:pPr>
        <w:numPr>
          <w:ilvl w:val="0"/>
          <w:numId w:val="1024"/>
        </w:numPr>
        <w:pStyle w:val="Compact"/>
      </w:pPr>
      <w:r>
        <w:t xml:space="preserve">Men’s rights movements raise specific, separately-evaluated claims about disadvantages men face (custody law, occupational risk) and are often more critical of mainstream feminism.</w:t>
      </w:r>
    </w:p>
    <w:p>
      <w:pPr>
        <w:numPr>
          <w:ilvl w:val="0"/>
          <w:numId w:val="1024"/>
        </w:numPr>
        <w:pStyle w:val="Compact"/>
      </w:pPr>
      <w:r>
        <w:t xml:space="preserve">The relational model of gender (Topic 9) is the key theoretical tool for handling this topic without collapsing into an either/or framing.</w:t>
      </w:r>
    </w:p>
    <w:bookmarkEnd w:id="37"/>
    <w:bookmarkStart w:id="38" w:name="postmodern-feminism"/>
    <w:p>
      <w:pPr>
        <w:pStyle w:val="Heading3"/>
      </w:pPr>
      <w:r>
        <w:t xml:space="preserve">17. Postmodern Feminism</w:t>
      </w:r>
    </w:p>
    <w:p>
      <w:pPr>
        <w:pStyle w:val="FirstParagraph"/>
      </w:pPr>
      <w:r>
        <w:t xml:space="preserve">Postmodern feminism applies postmodern philosophy’s general suspicion of grand, universal explanatory theories to feminism itself, questioning whether concepts like</w:t>
      </w:r>
      <w:r>
        <w:t xml:space="preserve"> </w:t>
      </w:r>
      <w:r>
        <w:t xml:space="preserve">“</w:t>
      </w:r>
      <w:r>
        <w:t xml:space="preserve">woman,</w:t>
      </w:r>
      <w:r>
        <w:t xml:space="preserve">”</w:t>
      </w:r>
      <w:r>
        <w:t xml:space="preserve"> </w:t>
      </w:r>
      <w:r>
        <w:t xml:space="preserve">“</w:t>
      </w:r>
      <w:r>
        <w:t xml:space="preserve">patriarchy,</w:t>
      </w:r>
      <w:r>
        <w:t xml:space="preserve">”</w:t>
      </w:r>
      <w:r>
        <w:t xml:space="preserve"> </w:t>
      </w:r>
      <w:r>
        <w:t xml:space="preserve">or</w:t>
      </w:r>
      <w:r>
        <w:t xml:space="preserve"> </w:t>
      </w:r>
      <w:r>
        <w:t xml:space="preserve">“</w:t>
      </w:r>
      <w:r>
        <w:t xml:space="preserve">women’s experience</w:t>
      </w:r>
      <w:r>
        <w:t xml:space="preserve">”</w:t>
      </w:r>
      <w:r>
        <w:t xml:space="preserve"> </w:t>
      </w:r>
      <w:r>
        <w:t xml:space="preserve">can be treated as single, universal categories at all.</w:t>
      </w:r>
    </w:p>
    <w:p>
      <w:pPr>
        <w:pStyle w:val="BodyText"/>
      </w:pPr>
      <w:r>
        <w:rPr>
          <w:bCs/>
          <w:b/>
        </w:rPr>
        <w:t xml:space="preserve">Core argument.</w:t>
      </w:r>
      <w:r>
        <w:t xml:space="preserve"> </w:t>
      </w:r>
      <w:r>
        <w:t xml:space="preserve">Earlier feminist theories (liberal, radical, Marxist) each proposed a single overarching explanation for women’s oppression, and largely assumed a shared category of</w:t>
      </w:r>
      <w:r>
        <w:t xml:space="preserve"> </w:t>
      </w:r>
      <w:r>
        <w:t xml:space="preserve">“</w:t>
      </w:r>
      <w:r>
        <w:t xml:space="preserve">woman</w:t>
      </w:r>
      <w:r>
        <w:t xml:space="preserve">”</w:t>
      </w:r>
      <w:r>
        <w:t xml:space="preserve"> </w:t>
      </w:r>
      <w:r>
        <w:t xml:space="preserve">whose interests could be represented collectively. Postmodern feminists, drawing on thinkers such as Michel Foucault (on how power operates through discourse and knowledge, not only through laws and economics) and Judith Butler (Topic 7), argue that this assumption erases real differences among women — of race, class, sexuality, culture, and nationality — and imposes a falsely unified</w:t>
      </w:r>
      <w:r>
        <w:t xml:space="preserve"> </w:t>
      </w:r>
      <w:r>
        <w:t xml:space="preserve">“</w:t>
      </w:r>
      <w:r>
        <w:t xml:space="preserve">woman’s experience</w:t>
      </w:r>
      <w:r>
        <w:t xml:space="preserve">”</w:t>
      </w:r>
      <w:r>
        <w:t xml:space="preserve"> </w:t>
      </w:r>
      <w:r>
        <w:t xml:space="preserve">that in practice often reflected the specific experience of white, middle-class, Western women.</w:t>
      </w:r>
    </w:p>
    <w:p>
      <w:pPr>
        <w:pStyle w:val="BodyText"/>
      </w:pPr>
      <w:r>
        <w:rPr>
          <w:bCs/>
          <w:b/>
        </w:rPr>
        <w:t xml:space="preserve">Key contributions:</w:t>
      </w:r>
    </w:p>
    <w:p>
      <w:pPr>
        <w:numPr>
          <w:ilvl w:val="0"/>
          <w:numId w:val="1025"/>
        </w:numPr>
        <w:pStyle w:val="Compact"/>
      </w:pPr>
      <w:r>
        <w:t xml:space="preserve">It emphasises that power operates diffusely, through language, everyday practices, and institutions (medicine, education, media) that shape what counts as</w:t>
      </w:r>
      <w:r>
        <w:t xml:space="preserve"> </w:t>
      </w:r>
      <w:r>
        <w:t xml:space="preserve">“</w:t>
      </w:r>
      <w:r>
        <w:t xml:space="preserve">normal</w:t>
      </w:r>
      <w:r>
        <w:t xml:space="preserve">”</w:t>
      </w:r>
      <w:r>
        <w:t xml:space="preserve"> </w:t>
      </w:r>
      <w:r>
        <w:t xml:space="preserve">gender behaviour, not only through overt legal discrimination.</w:t>
      </w:r>
    </w:p>
    <w:p>
      <w:pPr>
        <w:numPr>
          <w:ilvl w:val="0"/>
          <w:numId w:val="1025"/>
        </w:numPr>
        <w:pStyle w:val="Compact"/>
      </w:pPr>
      <w:r>
        <w:t xml:space="preserve">It rejects the search for one grand theory of women’s oppression (whether patriarchy, capitalism, or psychoanalysis) in favour of examining how gender is constructed differently in different specific contexts.</w:t>
      </w:r>
    </w:p>
    <w:p>
      <w:pPr>
        <w:numPr>
          <w:ilvl w:val="0"/>
          <w:numId w:val="1025"/>
        </w:numPr>
        <w:pStyle w:val="Compact"/>
      </w:pPr>
      <w:r>
        <w:t xml:space="preserve">It laid groundwork for intersectionality (developed most influentially by Kimberlé Crenshaw), the idea that gender, race, and class combine to produce distinct, non-additive forms of disadvantage — a Black working-class woman’s experience of oppression, for example, cannot be understood simply by adding</w:t>
      </w:r>
      <w:r>
        <w:t xml:space="preserve"> </w:t>
      </w:r>
      <w:r>
        <w:t xml:space="preserve">“</w:t>
      </w:r>
      <w:r>
        <w:t xml:space="preserve">racism</w:t>
      </w:r>
      <w:r>
        <w:t xml:space="preserve">”</w:t>
      </w:r>
      <w:r>
        <w:t xml:space="preserve"> </w:t>
      </w:r>
      <w:r>
        <w:t xml:space="preserve">and</w:t>
      </w:r>
      <w:r>
        <w:t xml:space="preserve"> </w:t>
      </w:r>
      <w:r>
        <w:t xml:space="preserve">“</w:t>
      </w:r>
      <w:r>
        <w:t xml:space="preserve">sexism</w:t>
      </w:r>
      <w:r>
        <w:t xml:space="preserve">”</w:t>
      </w:r>
      <w:r>
        <w:t xml:space="preserve"> </w:t>
      </w:r>
      <w:r>
        <w:t xml:space="preserve">together, because the two interact to produce a distinct experience.</w:t>
      </w:r>
    </w:p>
    <w:p>
      <w:pPr>
        <w:pStyle w:val="FirstParagraph"/>
      </w:pPr>
      <w:r>
        <w:rPr>
          <w:bCs/>
          <w:b/>
        </w:rPr>
        <w:t xml:space="preserve">Criticism.</w:t>
      </w:r>
      <w:r>
        <w:t xml:space="preserve"> </w:t>
      </w:r>
      <w:r>
        <w:t xml:space="preserve">Some feminist scholars (echoing the criticism of queer theory in Topic 7) argue that postmodern feminism’s emphasis on difference and its scepticism toward unified categories makes collective political mobilisation more difficult, since organised movements have historically needed a shared group identity (</w:t>
      </w:r>
      <w:r>
        <w:t xml:space="preserve">“</w:t>
      </w:r>
      <w:r>
        <w:t xml:space="preserve">women</w:t>
      </w:r>
      <w:r>
        <w:t xml:space="preserve">”</w:t>
      </w:r>
      <w:r>
        <w:t xml:space="preserve">) to act politically. Postmodernists respond that political coalitions can be built around shared strategic goals without requiring a fixed, essential shared identity.</w:t>
      </w:r>
    </w:p>
    <w:p>
      <w:pPr>
        <w:pStyle w:val="BodyText"/>
      </w:pPr>
      <w:r>
        <w:rPr>
          <w:bCs/>
          <w:b/>
        </w:rPr>
        <w:t xml:space="preserve">Key Takeaways</w:t>
      </w:r>
    </w:p>
    <w:p>
      <w:pPr>
        <w:numPr>
          <w:ilvl w:val="0"/>
          <w:numId w:val="1026"/>
        </w:numPr>
        <w:pStyle w:val="Compact"/>
      </w:pPr>
      <w:r>
        <w:t xml:space="preserve">Postmodern feminism questions whether</w:t>
      </w:r>
      <w:r>
        <w:t xml:space="preserve"> </w:t>
      </w:r>
      <w:r>
        <w:t xml:space="preserve">“</w:t>
      </w:r>
      <w:r>
        <w:t xml:space="preserve">woman</w:t>
      </w:r>
      <w:r>
        <w:t xml:space="preserve">”</w:t>
      </w:r>
      <w:r>
        <w:t xml:space="preserve"> </w:t>
      </w:r>
      <w:r>
        <w:t xml:space="preserve">and other core feminist categories can be treated as universal, given differences of race, class, and culture.</w:t>
      </w:r>
    </w:p>
    <w:p>
      <w:pPr>
        <w:numPr>
          <w:ilvl w:val="0"/>
          <w:numId w:val="1026"/>
        </w:numPr>
        <w:pStyle w:val="Compact"/>
      </w:pPr>
      <w:r>
        <w:t xml:space="preserve">It draws on Foucault (diffuse power through discourse) and Butler (performativity) and gave rise to intersectionality (Crenshaw).</w:t>
      </w:r>
    </w:p>
    <w:p>
      <w:pPr>
        <w:numPr>
          <w:ilvl w:val="0"/>
          <w:numId w:val="1026"/>
        </w:numPr>
        <w:pStyle w:val="Compact"/>
      </w:pPr>
      <w:r>
        <w:t xml:space="preserve">Main criticism: emphasising difference over unity may weaken the basis for collective feminist political action.</w:t>
      </w:r>
    </w:p>
    <w:bookmarkEnd w:id="38"/>
    <w:bookmarkEnd w:id="39"/>
    <w:bookmarkStart w:id="46" w:name="iv.-feminist-movements"/>
    <w:p>
      <w:pPr>
        <w:pStyle w:val="Heading2"/>
      </w:pPr>
      <w:r>
        <w:t xml:space="preserve">IV. Feminist Movements</w:t>
      </w:r>
    </w:p>
    <w:bookmarkStart w:id="40" w:name="feminist-movements-in-the-west"/>
    <w:p>
      <w:pPr>
        <w:pStyle w:val="Heading3"/>
      </w:pPr>
      <w:r>
        <w:t xml:space="preserve">18. Feminist Movements in the West</w:t>
      </w:r>
    </w:p>
    <w:p>
      <w:pPr>
        <w:pStyle w:val="FirstParagraph"/>
      </w:pPr>
      <w:r>
        <w:t xml:space="preserve">Western feminist movements are conventionally divided into three (sometimes four) historical</w:t>
      </w:r>
      <w:r>
        <w:t xml:space="preserve"> </w:t>
      </w:r>
      <w:r>
        <w:t xml:space="preserve">“</w:t>
      </w:r>
      <w:r>
        <w:t xml:space="preserve">waves,</w:t>
      </w:r>
      <w:r>
        <w:t xml:space="preserve">”</w:t>
      </w:r>
      <w:r>
        <w:t xml:space="preserve"> </w:t>
      </w:r>
      <w:r>
        <w:t xml:space="preserve">a framework that is useful for organising the material but should be used carefully, since it can oversimplify continuous and overlapping activism into neat separate periods.</w:t>
      </w:r>
    </w:p>
    <w:p>
      <w:pPr>
        <w:pStyle w:val="BodyText"/>
      </w:pPr>
      <w:r>
        <w:rPr>
          <w:bCs/>
          <w:b/>
        </w:rPr>
        <w:t xml:space="preserve">Why the wave framework exists.</w:t>
      </w:r>
      <w:r>
        <w:t xml:space="preserve"> </w:t>
      </w:r>
      <w:r>
        <w:t xml:space="preserve">Each</w:t>
      </w:r>
      <w:r>
        <w:t xml:space="preserve"> </w:t>
      </w:r>
      <w:r>
        <w:t xml:space="preserve">“</w:t>
      </w:r>
      <w:r>
        <w:t xml:space="preserve">wave</w:t>
      </w:r>
      <w:r>
        <w:t xml:space="preserve">”</w:t>
      </w:r>
      <w:r>
        <w:t xml:space="preserve"> </w:t>
      </w:r>
      <w:r>
        <w:t xml:space="preserve">is associated with a dominant set of demands, a dominant theoretical framework, and a period of heightened public visibility and mobilisation, even though feminist activity continued in the intervening periods at lower visibility.</w:t>
      </w:r>
    </w:p>
    <w:p>
      <w:pPr>
        <w:pStyle w:val="BodyText"/>
      </w:pPr>
      <w:r>
        <w:rPr>
          <w:bCs/>
          <w:b/>
        </w:rPr>
        <w:t xml:space="preserve">Overview of the three main waves (each developed fully in Topics 19–21):</w:t>
      </w:r>
    </w:p>
    <w:p>
      <w:pPr>
        <w:numPr>
          <w:ilvl w:val="0"/>
          <w:numId w:val="1027"/>
        </w:numPr>
        <w:pStyle w:val="Compact"/>
      </w:pPr>
      <w:r>
        <w:rPr>
          <w:bCs/>
          <w:b/>
        </w:rPr>
        <w:t xml:space="preserve">First wave</w:t>
      </w:r>
      <w:r>
        <w:t xml:space="preserve"> </w:t>
      </w:r>
      <w:r>
        <w:t xml:space="preserve">(roughly 1848–early 1900s): centred on legal and political rights, above all suffrage (the right to vote).</w:t>
      </w:r>
    </w:p>
    <w:p>
      <w:pPr>
        <w:numPr>
          <w:ilvl w:val="0"/>
          <w:numId w:val="1027"/>
        </w:numPr>
        <w:pStyle w:val="Compact"/>
      </w:pPr>
      <w:r>
        <w:rPr>
          <w:bCs/>
          <w:b/>
        </w:rPr>
        <w:t xml:space="preserve">Second wave</w:t>
      </w:r>
      <w:r>
        <w:t xml:space="preserve"> </w:t>
      </w:r>
      <w:r>
        <w:t xml:space="preserve">(roughly 1960s–1980s): broadened the agenda to workplace equality, reproductive rights, sexuality, and the structural critique of patriarchy summarised in Topics 12–15.</w:t>
      </w:r>
    </w:p>
    <w:p>
      <w:pPr>
        <w:numPr>
          <w:ilvl w:val="0"/>
          <w:numId w:val="1027"/>
        </w:numPr>
        <w:pStyle w:val="Compact"/>
      </w:pPr>
      <w:r>
        <w:rPr>
          <w:bCs/>
          <w:b/>
        </w:rPr>
        <w:t xml:space="preserve">Third wave</w:t>
      </w:r>
      <w:r>
        <w:t xml:space="preserve"> </w:t>
      </w:r>
      <w:r>
        <w:t xml:space="preserve">(roughly 1990s onward): emphasised diversity, intersectionality (Topic 17), and a critique of the earlier waves for centring the experiences of white, middle-class, heterosexual women.</w:t>
      </w:r>
    </w:p>
    <w:p>
      <w:pPr>
        <w:pStyle w:val="FirstParagraph"/>
      </w:pPr>
      <w:r>
        <w:rPr>
          <w:bCs/>
          <w:b/>
        </w:rPr>
        <w:t xml:space="preserve">A fourth wave</w:t>
      </w:r>
      <w:r>
        <w:t xml:space="preserve"> </w:t>
      </w:r>
      <w:r>
        <w:t xml:space="preserve">is often now discussed, associated with digital-era activism (online movements such as #MeToo against sexual harassment and assault, beginning around 2017), though there is no full scholarly consensus on whether this constitutes a genuinely distinct wave or a continuation of the third wave using new tools.</w:t>
      </w:r>
    </w:p>
    <w:p>
      <w:pPr>
        <w:pStyle w:val="BodyText"/>
      </w:pPr>
      <w:r>
        <w:rPr>
          <w:bCs/>
          <w:b/>
        </w:rPr>
        <w:t xml:space="preserve">Why examiners test this topic.</w:t>
      </w:r>
      <w:r>
        <w:t xml:space="preserve"> </w:t>
      </w:r>
      <w:r>
        <w:t xml:space="preserve">It requires linking each wave’s demands to the theoretical frameworks studied earlier (for example, first-wave suffrage campaigns drew on liberal feminist theory, Topic 12; second-wave critiques of the family and sexuality drew on radical feminism, Topic 13) — showing that theory and movement history are not separate topics but explain each other.</w:t>
      </w:r>
    </w:p>
    <w:p>
      <w:pPr>
        <w:pStyle w:val="BodyText"/>
      </w:pPr>
      <w:r>
        <w:rPr>
          <w:bCs/>
          <w:b/>
        </w:rPr>
        <w:t xml:space="preserve">Key Takeaways</w:t>
      </w:r>
    </w:p>
    <w:p>
      <w:pPr>
        <w:numPr>
          <w:ilvl w:val="0"/>
          <w:numId w:val="1028"/>
        </w:numPr>
        <w:pStyle w:val="Compact"/>
      </w:pPr>
      <w:r>
        <w:t xml:space="preserve">Western feminism is conventionally periodised into first, second, and third (and arguably fourth) waves, each with a dominant agenda.</w:t>
      </w:r>
    </w:p>
    <w:p>
      <w:pPr>
        <w:numPr>
          <w:ilvl w:val="0"/>
          <w:numId w:val="1028"/>
        </w:numPr>
        <w:pStyle w:val="Compact"/>
      </w:pPr>
      <w:r>
        <w:t xml:space="preserve">The wave framework is a useful organising tool but risks oversimplifying continuous, overlapping activism.</w:t>
      </w:r>
    </w:p>
    <w:p>
      <w:pPr>
        <w:numPr>
          <w:ilvl w:val="0"/>
          <w:numId w:val="1028"/>
        </w:numPr>
        <w:pStyle w:val="Compact"/>
      </w:pPr>
      <w:r>
        <w:t xml:space="preserve">Each wave’s demands connect directly to specific feminist theories covered in Topics 12–17.</w:t>
      </w:r>
    </w:p>
    <w:bookmarkEnd w:id="40"/>
    <w:bookmarkStart w:id="41" w:name="first-wave-feminism"/>
    <w:p>
      <w:pPr>
        <w:pStyle w:val="Heading3"/>
      </w:pPr>
      <w:r>
        <w:t xml:space="preserve">19. First Wave Feminism</w:t>
      </w:r>
    </w:p>
    <w:p>
      <w:pPr>
        <w:pStyle w:val="FirstParagraph"/>
      </w:pPr>
      <w:r>
        <w:t xml:space="preserve">First-wave feminism spans roughly from the 1848 Seneca Falls Convention in the United States (widely treated as the symbolic beginning of organised feminist activism, where the Declaration of Sentiments demanded rights including suffrage) through the early twentieth century, when women won the right to vote in a series of countries — for example, New Zealand in 1893, Britain in stages between 1918 and 1928, and the United States in 1920 through the Nineteenth Amendment.</w:t>
      </w:r>
    </w:p>
    <w:p>
      <w:pPr>
        <w:pStyle w:val="BodyText"/>
      </w:pPr>
      <w:r>
        <w:rPr>
          <w:bCs/>
          <w:b/>
        </w:rPr>
        <w:t xml:space="preserve">Core demands.</w:t>
      </w:r>
      <w:r>
        <w:t xml:space="preserve"> </w:t>
      </w:r>
      <w:r>
        <w:t xml:space="preserve">First-wave feminism concentrated on formal legal and political rights: the right to vote, the right to own property independently of a husband, the right to sign contracts, and access to higher education and certain professions previously closed to women. Its theoretical basis was primarily liberal feminism (Topic 12) — the argument that women, as rational individuals, deserved the same legal standing as men.</w:t>
      </w:r>
    </w:p>
    <w:p>
      <w:pPr>
        <w:pStyle w:val="BodyText"/>
      </w:pPr>
      <w:r>
        <w:rPr>
          <w:bCs/>
          <w:b/>
        </w:rPr>
        <w:t xml:space="preserve">Key organisations and tactics.</w:t>
      </w:r>
      <w:r>
        <w:t xml:space="preserve"> </w:t>
      </w:r>
      <w:r>
        <w:t xml:space="preserve">Suffrage movements used petitioning, public marches, and — particularly in Britain through the more militant suffragette wing led by the Pankhursts — direct action including hunger strikes and property damage, alongside the more moderate</w:t>
      </w:r>
      <w:r>
        <w:t xml:space="preserve"> </w:t>
      </w:r>
      <w:r>
        <w:t xml:space="preserve">“</w:t>
      </w:r>
      <w:r>
        <w:t xml:space="preserve">suffragist</w:t>
      </w:r>
      <w:r>
        <w:t xml:space="preserve">”</w:t>
      </w:r>
      <w:r>
        <w:t xml:space="preserve"> </w:t>
      </w:r>
      <w:r>
        <w:t xml:space="preserve">wing that relied on lobbying and peaceful campaigning.</w:t>
      </w:r>
    </w:p>
    <w:p>
      <w:pPr>
        <w:pStyle w:val="BodyText"/>
      </w:pPr>
      <w:r>
        <w:rPr>
          <w:bCs/>
          <w:b/>
        </w:rPr>
        <w:t xml:space="preserve">Limitations, important for critical evaluation.</w:t>
      </w:r>
      <w:r>
        <w:t xml:space="preserve"> </w:t>
      </w:r>
      <w:r>
        <w:t xml:space="preserve">First-wave feminism in most Western countries was led predominantly by white, middle- and upper-class women, and in several countries (including the United States) the right to vote in practice excluded women of colour for decades even after formal suffrage laws passed, due to other discriminatory barriers (such as racially targeted voting restrictions). This is a key point later feminists, especially third-wave and intersectional theorists (Topic 17), used to critique the movement’s limited scope.</w:t>
      </w:r>
    </w:p>
    <w:p>
      <w:pPr>
        <w:pStyle w:val="BodyText"/>
      </w:pPr>
      <w:r>
        <w:rPr>
          <w:bCs/>
          <w:b/>
        </w:rPr>
        <w:t xml:space="preserve">Key Takeaways</w:t>
      </w:r>
    </w:p>
    <w:p>
      <w:pPr>
        <w:numPr>
          <w:ilvl w:val="0"/>
          <w:numId w:val="1029"/>
        </w:numPr>
        <w:pStyle w:val="Compact"/>
      </w:pPr>
      <w:r>
        <w:t xml:space="preserve">First-wave feminism (c. 1848–early 1900s) focused on legal rights, above all suffrage, grounded in liberal feminist theory.</w:t>
      </w:r>
    </w:p>
    <w:p>
      <w:pPr>
        <w:numPr>
          <w:ilvl w:val="0"/>
          <w:numId w:val="1029"/>
        </w:numPr>
        <w:pStyle w:val="Compact"/>
      </w:pPr>
      <w:r>
        <w:t xml:space="preserve">Seneca Falls (1848) is the conventional symbolic starting point; suffrage was achieved in stages across different countries between the 1890s and 1920s.</w:t>
      </w:r>
    </w:p>
    <w:p>
      <w:pPr>
        <w:numPr>
          <w:ilvl w:val="0"/>
          <w:numId w:val="1029"/>
        </w:numPr>
        <w:pStyle w:val="Compact"/>
      </w:pPr>
      <w:r>
        <w:t xml:space="preserve">The movement is criticised for being led primarily by white, middle-class women, with rights not equally extended in practice to women of colour.</w:t>
      </w:r>
    </w:p>
    <w:bookmarkEnd w:id="41"/>
    <w:bookmarkStart w:id="42" w:name="second-wave-feminism"/>
    <w:p>
      <w:pPr>
        <w:pStyle w:val="Heading3"/>
      </w:pPr>
      <w:r>
        <w:t xml:space="preserve">20. Second Wave Feminism</w:t>
      </w:r>
    </w:p>
    <w:p>
      <w:pPr>
        <w:pStyle w:val="FirstParagraph"/>
      </w:pPr>
      <w:r>
        <w:t xml:space="preserve">Second-wave feminism runs roughly from the early 1960s to the 1980s and dramatically broadened feminism’s scope beyond formal legal rights to the structural and cultural roots of inequality.</w:t>
      </w:r>
    </w:p>
    <w:p>
      <w:pPr>
        <w:pStyle w:val="BodyText"/>
      </w:pPr>
      <w:r>
        <w:rPr>
          <w:bCs/>
          <w:b/>
        </w:rPr>
        <w:t xml:space="preserve">Catalysts.</w:t>
      </w:r>
      <w:r>
        <w:t xml:space="preserve"> </w:t>
      </w:r>
      <w:r>
        <w:t xml:space="preserve">Betty Friedan’s</w:t>
      </w:r>
      <w:r>
        <w:t xml:space="preserve"> </w:t>
      </w:r>
      <w:r>
        <w:rPr>
          <w:iCs/>
          <w:i/>
        </w:rPr>
        <w:t xml:space="preserve">The Feminine Mystique</w:t>
      </w:r>
      <w:r>
        <w:t xml:space="preserve"> </w:t>
      </w:r>
      <w:r>
        <w:t xml:space="preserve">(1963) is widely credited as a catalysing text, articulating the frustration of educated, middle-class American housewives confined to domestic roles despite formal legal equality — what Friedan called</w:t>
      </w:r>
      <w:r>
        <w:t xml:space="preserve"> </w:t>
      </w:r>
      <w:r>
        <w:t xml:space="preserve">“</w:t>
      </w:r>
      <w:r>
        <w:t xml:space="preserve">the problem that has no name.</w:t>
      </w:r>
      <w:r>
        <w:t xml:space="preserve">”</w:t>
      </w:r>
      <w:r>
        <w:t xml:space="preserve"> </w:t>
      </w:r>
      <w:r>
        <w:t xml:space="preserve">This period also saw the founding of major organisations such as the National Organization for Women (NOW) in the United States (1966).</w:t>
      </w:r>
    </w:p>
    <w:p>
      <w:pPr>
        <w:pStyle w:val="BodyText"/>
      </w:pPr>
      <w:r>
        <w:rPr>
          <w:bCs/>
          <w:b/>
        </w:rPr>
        <w:t xml:space="preserve">Expanded agenda.</w:t>
      </w:r>
      <w:r>
        <w:t xml:space="preserve"> </w:t>
      </w:r>
      <w:r>
        <w:t xml:space="preserve">Second-wave demands included: workplace equality and equal pay; reproductive rights, especially access to contraception and the legalisation of abortion (in the US, established by</w:t>
      </w:r>
      <w:r>
        <w:t xml:space="preserve"> </w:t>
      </w:r>
      <w:r>
        <w:rPr>
          <w:iCs/>
          <w:i/>
        </w:rPr>
        <w:t xml:space="preserve">Roe v. Wade</w:t>
      </w:r>
      <w:r>
        <w:t xml:space="preserve"> </w:t>
      </w:r>
      <w:r>
        <w:t xml:space="preserve">in 1973); protection against domestic violence and marital rape (which many legal systems had not previously recognised as crimes, since marriage was treated as implying ongoing sexual consent); and the slogan</w:t>
      </w:r>
      <w:r>
        <w:t xml:space="preserve"> </w:t>
      </w:r>
      <w:r>
        <w:t xml:space="preserve">“</w:t>
      </w:r>
      <w:r>
        <w:t xml:space="preserve">the personal is political</w:t>
      </w:r>
      <w:r>
        <w:t xml:space="preserve">”</w:t>
      </w:r>
      <w:r>
        <w:t xml:space="preserve"> </w:t>
      </w:r>
      <w:r>
        <w:t xml:space="preserve">(Topic 13), which brought private-sphere issues like housework and sexuality into political debate.</w:t>
      </w:r>
    </w:p>
    <w:p>
      <w:pPr>
        <w:pStyle w:val="BodyText"/>
      </w:pPr>
      <w:r>
        <w:rPr>
          <w:bCs/>
          <w:b/>
        </w:rPr>
        <w:t xml:space="preserve">Theoretical diversity.</w:t>
      </w:r>
      <w:r>
        <w:t xml:space="preserve"> </w:t>
      </w:r>
      <w:r>
        <w:t xml:space="preserve">Unlike the largely liberal-feminist first wave, the second wave drew on the full range of feminist theories developed in this period — radical feminism (Topic 13), Marxist/socialist feminism (Topic 14), and psychoanalytical feminism (Topic 15) — reflecting real disagreements within the movement about the root causes of oppression and the best strategies for change.</w:t>
      </w:r>
    </w:p>
    <w:p>
      <w:pPr>
        <w:pStyle w:val="BodyText"/>
      </w:pPr>
      <w:r>
        <w:rPr>
          <w:bCs/>
          <w:b/>
        </w:rPr>
        <w:t xml:space="preserve">Criticism.</w:t>
      </w:r>
      <w:r>
        <w:t xml:space="preserve"> </w:t>
      </w:r>
      <w:r>
        <w:t xml:space="preserve">As with the first wave, second-wave feminism has been criticised — especially by Black feminist scholars such as bell hooks and the Combahee River Collective — for centring the concerns of white, middle-class, heterosexual women, and for not adequately addressing how race and class shaped different women’s experiences of oppression, a critique that directly motivated the intersectional turn of the third wave (Topic 17, Topic 21).</w:t>
      </w:r>
    </w:p>
    <w:p>
      <w:pPr>
        <w:pStyle w:val="BodyText"/>
      </w:pPr>
      <w:r>
        <w:rPr>
          <w:bCs/>
          <w:b/>
        </w:rPr>
        <w:t xml:space="preserve">Key Takeaways</w:t>
      </w:r>
    </w:p>
    <w:p>
      <w:pPr>
        <w:numPr>
          <w:ilvl w:val="0"/>
          <w:numId w:val="1030"/>
        </w:numPr>
        <w:pStyle w:val="Compact"/>
      </w:pPr>
      <w:r>
        <w:t xml:space="preserve">Second-wave feminism (c. 1960s–1980s) expanded the agenda to workplace equality, reproductive rights, and structural critiques of patriarchy.</w:t>
      </w:r>
    </w:p>
    <w:p>
      <w:pPr>
        <w:numPr>
          <w:ilvl w:val="0"/>
          <w:numId w:val="1030"/>
        </w:numPr>
        <w:pStyle w:val="Compact"/>
      </w:pPr>
      <w:r>
        <w:t xml:space="preserve">Friedan’s</w:t>
      </w:r>
      <w:r>
        <w:t xml:space="preserve"> </w:t>
      </w:r>
      <w:r>
        <w:rPr>
          <w:iCs/>
          <w:i/>
        </w:rPr>
        <w:t xml:space="preserve">The Feminine Mystique</w:t>
      </w:r>
      <w:r>
        <w:t xml:space="preserve"> </w:t>
      </w:r>
      <w:r>
        <w:t xml:space="preserve">(1963) is a key catalysing text;</w:t>
      </w:r>
      <w:r>
        <w:t xml:space="preserve"> </w:t>
      </w:r>
      <w:r>
        <w:t xml:space="preserve">“</w:t>
      </w:r>
      <w:r>
        <w:t xml:space="preserve">the personal is political</w:t>
      </w:r>
      <w:r>
        <w:t xml:space="preserve">”</w:t>
      </w:r>
      <w:r>
        <w:t xml:space="preserve"> </w:t>
      </w:r>
      <w:r>
        <w:t xml:space="preserve">is its defining slogan.</w:t>
      </w:r>
    </w:p>
    <w:p>
      <w:pPr>
        <w:numPr>
          <w:ilvl w:val="0"/>
          <w:numId w:val="1030"/>
        </w:numPr>
        <w:pStyle w:val="Compact"/>
      </w:pPr>
      <w:r>
        <w:t xml:space="preserve">Criticised by Black feminist scholars for centring white, middle-class experience — a critique that shaped third-wave intersectionality.</w:t>
      </w:r>
    </w:p>
    <w:bookmarkEnd w:id="42"/>
    <w:bookmarkStart w:id="43" w:name="third-wave-feminism"/>
    <w:p>
      <w:pPr>
        <w:pStyle w:val="Heading3"/>
      </w:pPr>
      <w:r>
        <w:t xml:space="preserve">21. Third Wave Feminism</w:t>
      </w:r>
    </w:p>
    <w:p>
      <w:pPr>
        <w:pStyle w:val="FirstParagraph"/>
      </w:pPr>
      <w:r>
        <w:t xml:space="preserve">Third-wave feminism emerged in the early-to-mid 1990s, substantially as a response to the criticisms levelled at the second wave (Topic 20): that it had not adequately represented the diversity of women’s experiences across race, class, sexuality, and nationality.</w:t>
      </w:r>
    </w:p>
    <w:p>
      <w:pPr>
        <w:pStyle w:val="BodyText"/>
      </w:pPr>
      <w:r>
        <w:rPr>
          <w:bCs/>
          <w:b/>
        </w:rPr>
        <w:t xml:space="preserve">Core commitments.</w:t>
      </w:r>
      <w:r>
        <w:t xml:space="preserve"> </w:t>
      </w:r>
      <w:r>
        <w:t xml:space="preserve">The third wave embraced intersectionality (Topic 17) as a central analytical tool, insisted on including the perspectives of women of colour, LGBTQ+ women, and women from the Global South, and was generally more comfortable with individual choice and personal expression of femininity or sexuality (for example, reclaiming things like makeup or provocative dress as compatible with feminist identity) than the second wave had sometimes been, reflecting a less uniform, more pluralistic view of what a feminist life could look like.</w:t>
      </w:r>
    </w:p>
    <w:p>
      <w:pPr>
        <w:pStyle w:val="BodyText"/>
      </w:pPr>
      <w:r>
        <w:rPr>
          <w:bCs/>
          <w:b/>
        </w:rPr>
        <w:t xml:space="preserve">Cultural and generational features.</w:t>
      </w:r>
      <w:r>
        <w:t xml:space="preserve"> </w:t>
      </w:r>
      <w:r>
        <w:t xml:space="preserve">The term</w:t>
      </w:r>
      <w:r>
        <w:t xml:space="preserve"> </w:t>
      </w:r>
      <w:r>
        <w:t xml:space="preserve">“</w:t>
      </w:r>
      <w:r>
        <w:t xml:space="preserve">third wave</w:t>
      </w:r>
      <w:r>
        <w:t xml:space="preserve">”</w:t>
      </w:r>
      <w:r>
        <w:t xml:space="preserve"> </w:t>
      </w:r>
      <w:r>
        <w:t xml:space="preserve">is often associated with Rebecca Walker’s 1992 essay declaring</w:t>
      </w:r>
      <w:r>
        <w:t xml:space="preserve"> </w:t>
      </w:r>
      <w:r>
        <w:t xml:space="preserve">“</w:t>
      </w:r>
      <w:r>
        <w:t xml:space="preserve">I am not a post-feminist feminist. I am the Third Wave,</w:t>
      </w:r>
      <w:r>
        <w:t xml:space="preserve">”</w:t>
      </w:r>
      <w:r>
        <w:t xml:space="preserve"> </w:t>
      </w:r>
      <w:r>
        <w:t xml:space="preserve">explicitly positioning the movement as continuing feminist activism rather than assuming feminism’s goals were already achieved. Third-wave feminism also engaged actively with popular culture, media representation, and (increasingly through the 1990s and 2000s) the internet as a space for feminist discussion.</w:t>
      </w:r>
    </w:p>
    <w:p>
      <w:pPr>
        <w:pStyle w:val="BodyText"/>
      </w:pPr>
      <w:r>
        <w:rPr>
          <w:bCs/>
          <w:b/>
        </w:rPr>
        <w:t xml:space="preserve">Relationship to the</w:t>
      </w:r>
      <w:r>
        <w:rPr>
          <w:bCs/>
          <w:b/>
        </w:rPr>
        <w:t xml:space="preserve"> </w:t>
      </w:r>
      <w:r>
        <w:rPr>
          <w:bCs/>
          <w:b/>
        </w:rPr>
        <w:t xml:space="preserve">“</w:t>
      </w:r>
      <w:r>
        <w:rPr>
          <w:bCs/>
          <w:b/>
        </w:rPr>
        <w:t xml:space="preserve">fourth wave.</w:t>
      </w:r>
      <w:r>
        <w:rPr>
          <w:bCs/>
          <w:b/>
        </w:rPr>
        <w:t xml:space="preserve">”</w:t>
      </w:r>
      <w:r>
        <w:t xml:space="preserve"> </w:t>
      </w:r>
      <w:r>
        <w:t xml:space="preserve">As mentioned in Topic 18, a fourth wave is often discussed in relation to digital-era, hashtag-driven activism (notably #MeToo from 2017), which some scholars treat as a distinct wave defined by its use of social media to rapidly mobilise around sexual harassment and assault, and others treat as simply the third wave’s logical continuation using new digital tools rather than a theoretically distinct phase.</w:t>
      </w:r>
    </w:p>
    <w:p>
      <w:pPr>
        <w:pStyle w:val="BodyText"/>
      </w:pPr>
      <w:r>
        <w:rPr>
          <w:bCs/>
          <w:b/>
        </w:rPr>
        <w:t xml:space="preserve">Key Takeaways</w:t>
      </w:r>
    </w:p>
    <w:p>
      <w:pPr>
        <w:numPr>
          <w:ilvl w:val="0"/>
          <w:numId w:val="1031"/>
        </w:numPr>
        <w:pStyle w:val="Compact"/>
      </w:pPr>
      <w:r>
        <w:t xml:space="preserve">Third-wave feminism (1990s onward) foregrounds intersectionality and diversity of experience, responding directly to second-wave criticism.</w:t>
      </w:r>
    </w:p>
    <w:p>
      <w:pPr>
        <w:numPr>
          <w:ilvl w:val="0"/>
          <w:numId w:val="1031"/>
        </w:numPr>
        <w:pStyle w:val="Compact"/>
      </w:pPr>
      <w:r>
        <w:t xml:space="preserve">It is more pluralistic about individual expressions of femininity and sexuality than earlier waves.</w:t>
      </w:r>
    </w:p>
    <w:p>
      <w:pPr>
        <w:numPr>
          <w:ilvl w:val="0"/>
          <w:numId w:val="1031"/>
        </w:numPr>
        <w:pStyle w:val="Compact"/>
      </w:pPr>
      <w:r>
        <w:t xml:space="preserve">The</w:t>
      </w:r>
      <w:r>
        <w:t xml:space="preserve"> </w:t>
      </w:r>
      <w:r>
        <w:t xml:space="preserve">“</w:t>
      </w:r>
      <w:r>
        <w:t xml:space="preserve">fourth wave</w:t>
      </w:r>
      <w:r>
        <w:t xml:space="preserve">”</w:t>
      </w:r>
      <w:r>
        <w:t xml:space="preserve"> </w:t>
      </w:r>
      <w:r>
        <w:t xml:space="preserve">(digital activism, #MeToo) is debated as either a distinct wave or a continuation of the third.</w:t>
      </w:r>
    </w:p>
    <w:bookmarkEnd w:id="43"/>
    <w:bookmarkStart w:id="44" w:name="united-nations-conferences-on-women"/>
    <w:p>
      <w:pPr>
        <w:pStyle w:val="Heading3"/>
      </w:pPr>
      <w:r>
        <w:t xml:space="preserve">22. United Nations Conferences on Women</w:t>
      </w:r>
    </w:p>
    <w:p>
      <w:pPr>
        <w:pStyle w:val="FirstParagraph"/>
      </w:pPr>
      <w:r>
        <w:t xml:space="preserve">The United Nations has convened a series of major World Conferences on Women that shaped the global framework for gender policy, and which are essential reference points for Pakistan-related policy topics later in this subject (Topics 33–43).</w:t>
      </w:r>
    </w:p>
    <w:p>
      <w:pPr>
        <w:pStyle w:val="BodyText"/>
      </w:pPr>
      <w:r>
        <w:rPr>
          <w:bCs/>
          <w:b/>
        </w:rPr>
        <w:t xml:space="preserve">Key conferences:</w:t>
      </w:r>
    </w:p>
    <w:p>
      <w:pPr>
        <w:numPr>
          <w:ilvl w:val="0"/>
          <w:numId w:val="1032"/>
        </w:numPr>
        <w:pStyle w:val="Compact"/>
      </w:pPr>
      <w:r>
        <w:rPr>
          <w:bCs/>
          <w:b/>
        </w:rPr>
        <w:t xml:space="preserve">Mexico City (1975)</w:t>
      </w:r>
      <w:r>
        <w:t xml:space="preserve">, the first UN World Conference on Women, launched the UN Decade for Women (1976–1985) and established international attention to women’s issues as a formal UN priority.</w:t>
      </w:r>
    </w:p>
    <w:p>
      <w:pPr>
        <w:numPr>
          <w:ilvl w:val="0"/>
          <w:numId w:val="1032"/>
        </w:numPr>
        <w:pStyle w:val="Compact"/>
      </w:pPr>
      <w:r>
        <w:rPr>
          <w:bCs/>
          <w:b/>
        </w:rPr>
        <w:t xml:space="preserve">Copenhagen (1980)</w:t>
      </w:r>
      <w:r>
        <w:t xml:space="preserve"> </w:t>
      </w:r>
      <w:r>
        <w:t xml:space="preserve">reviewed progress and focused particularly on employment, health, and education.</w:t>
      </w:r>
    </w:p>
    <w:p>
      <w:pPr>
        <w:numPr>
          <w:ilvl w:val="0"/>
          <w:numId w:val="1032"/>
        </w:numPr>
        <w:pStyle w:val="Compact"/>
      </w:pPr>
      <w:r>
        <w:rPr>
          <w:bCs/>
          <w:b/>
        </w:rPr>
        <w:t xml:space="preserve">Nairobi (1985)</w:t>
      </w:r>
      <w:r>
        <w:t xml:space="preserve"> </w:t>
      </w:r>
      <w:r>
        <w:t xml:space="preserve">marked the end of the UN Decade for Women and produced the</w:t>
      </w:r>
      <w:r>
        <w:t xml:space="preserve"> </w:t>
      </w:r>
      <w:r>
        <w:t xml:space="preserve">“</w:t>
      </w:r>
      <w:r>
        <w:t xml:space="preserve">Nairobi Forward-Looking Strategies,</w:t>
      </w:r>
      <w:r>
        <w:t xml:space="preserve">”</w:t>
      </w:r>
      <w:r>
        <w:t xml:space="preserve"> </w:t>
      </w:r>
      <w:r>
        <w:t xml:space="preserve">broadening the agenda and acknowledging that progress had been uneven.</w:t>
      </w:r>
    </w:p>
    <w:p>
      <w:pPr>
        <w:numPr>
          <w:ilvl w:val="0"/>
          <w:numId w:val="1032"/>
        </w:numPr>
        <w:pStyle w:val="Compact"/>
      </w:pPr>
      <w:r>
        <w:rPr>
          <w:bCs/>
          <w:b/>
        </w:rPr>
        <w:t xml:space="preserve">Beijing (1995)</w:t>
      </w:r>
      <w:r>
        <w:t xml:space="preserve">, the Fourth World Conference on Women, is the single most important reference point in this list. It produced the</w:t>
      </w:r>
      <w:r>
        <w:t xml:space="preserve"> </w:t>
      </w:r>
      <w:r>
        <w:rPr>
          <w:bCs/>
          <w:b/>
        </w:rPr>
        <w:t xml:space="preserve">Beijing Declaration and Platform for Action</w:t>
      </w:r>
      <w:r>
        <w:t xml:space="preserve">, which established</w:t>
      </w:r>
      <w:r>
        <w:t xml:space="preserve"> </w:t>
      </w:r>
      <w:r>
        <w:rPr>
          <w:bCs/>
          <w:b/>
        </w:rPr>
        <w:t xml:space="preserve">gender mainstreaming</w:t>
      </w:r>
      <w:r>
        <w:t xml:space="preserve"> </w:t>
      </w:r>
      <w:r>
        <w:t xml:space="preserve">(Topic 4) as the official global strategy for achieving gender equality — requiring gender considerations to be integrated into all policy areas, not confined to a separate women’s ministry — and identified twelve critical areas of concern, including poverty, education, health, violence against women, and women in power and decision-making.</w:t>
      </w:r>
    </w:p>
    <w:p>
      <w:pPr>
        <w:pStyle w:val="FirstParagraph"/>
      </w:pPr>
      <w:r>
        <w:rPr>
          <w:bCs/>
          <w:b/>
        </w:rPr>
        <w:t xml:space="preserve">Ongoing review mechanisms.</w:t>
      </w:r>
      <w:r>
        <w:t xml:space="preserve"> </w:t>
      </w:r>
      <w:r>
        <w:t xml:space="preserve">The UN Commission on the Status of Women continues to meet annually to review progress against the Beijing Platform, and gender equality was later incorporated as a standalone goal (Sustainable Development Goal 5) within the UN’s 2015 Sustainable Development Goals framework, reflecting the Beijing conference’s continuing influence.</w:t>
      </w:r>
    </w:p>
    <w:p>
      <w:pPr>
        <w:pStyle w:val="BodyText"/>
      </w:pPr>
      <w:r>
        <w:rPr>
          <w:bCs/>
          <w:b/>
        </w:rPr>
        <w:t xml:space="preserve">Why this matters for Pakistan specifically.</w:t>
      </w:r>
      <w:r>
        <w:t xml:space="preserve"> </w:t>
      </w:r>
      <w:r>
        <w:t xml:space="preserve">Pakistan is a signatory to the Beijing Platform for Action and to CEDAW (the Convention on the Elimination of All Forms of Discrimination Against Women, 1979), and many of Pakistan’s domestic gender policy instruments — its National Policy for Development and Empowerment of Women, its gender mainstreaming units within ministries, and its Commissions on the Status of Women — were established substantially in response to these international commitments (see Topic 5).</w:t>
      </w:r>
    </w:p>
    <w:p>
      <w:pPr>
        <w:pStyle w:val="BodyText"/>
      </w:pPr>
      <w:r>
        <w:rPr>
          <w:bCs/>
          <w:b/>
        </w:rPr>
        <w:t xml:space="preserve">Key Takeaways</w:t>
      </w:r>
    </w:p>
    <w:p>
      <w:pPr>
        <w:numPr>
          <w:ilvl w:val="0"/>
          <w:numId w:val="1033"/>
        </w:numPr>
        <w:pStyle w:val="Compact"/>
      </w:pPr>
      <w:r>
        <w:t xml:space="preserve">Mexico City (1975) began the UN Decade for Women; Beijing (1995) is the landmark conference, producing the Platform for Action and establishing gender mainstreaming as global policy.</w:t>
      </w:r>
    </w:p>
    <w:p>
      <w:pPr>
        <w:numPr>
          <w:ilvl w:val="0"/>
          <w:numId w:val="1033"/>
        </w:numPr>
        <w:pStyle w:val="Compact"/>
      </w:pPr>
      <w:r>
        <w:t xml:space="preserve">The UN Commission on the Status of Women monitors ongoing progress; SDG 5 (2015) later embedded gender equality in the global development agenda.</w:t>
      </w:r>
    </w:p>
    <w:p>
      <w:pPr>
        <w:numPr>
          <w:ilvl w:val="0"/>
          <w:numId w:val="1033"/>
        </w:numPr>
        <w:pStyle w:val="Compact"/>
      </w:pPr>
      <w:r>
        <w:t xml:space="preserve">Pakistan’s domestic gender-policy architecture is substantially a response to these international commitments, especially Beijing and CEDAW.</w:t>
      </w:r>
    </w:p>
    <w:bookmarkEnd w:id="44"/>
    <w:bookmarkStart w:id="45" w:name="feminist-movements-in-pakistan"/>
    <w:p>
      <w:pPr>
        <w:pStyle w:val="Heading3"/>
      </w:pPr>
      <w:r>
        <w:t xml:space="preserve">23. Feminist Movements in Pakistan</w:t>
      </w:r>
    </w:p>
    <w:p>
      <w:pPr>
        <w:pStyle w:val="FirstParagraph"/>
      </w:pPr>
      <w:r>
        <w:t xml:space="preserve">Pakistani feminist activism has its own distinct history, shaped heavily by the country’s specific religious, legal, and political context, rather than simply importing Western feminist waves.</w:t>
      </w:r>
    </w:p>
    <w:p>
      <w:pPr>
        <w:pStyle w:val="BodyText"/>
      </w:pPr>
      <w:r>
        <w:rPr>
          <w:bCs/>
          <w:b/>
        </w:rPr>
        <w:t xml:space="preserve">Key historical moments:</w:t>
      </w:r>
    </w:p>
    <w:p>
      <w:pPr>
        <w:numPr>
          <w:ilvl w:val="0"/>
          <w:numId w:val="1034"/>
        </w:numPr>
        <w:pStyle w:val="Compact"/>
      </w:pPr>
      <w:r>
        <w:rPr>
          <w:bCs/>
          <w:b/>
        </w:rPr>
        <w:t xml:space="preserve">The Hudood Ordinances (1979)</w:t>
      </w:r>
      <w:r>
        <w:t xml:space="preserve">, introduced under General Zia-ul-Haq’s Islamisation programme, criminalised extramarital sex (zina) and, controversially, made it extremely difficult for rape victims to prove their case without risking prosecution for zina themselves if they could not produce the required evidentiary standard. These ordinances became the single most galvanising issue for the modern Pakistani women’s movement.</w:t>
      </w:r>
    </w:p>
    <w:p>
      <w:pPr>
        <w:numPr>
          <w:ilvl w:val="0"/>
          <w:numId w:val="1034"/>
        </w:numPr>
        <w:pStyle w:val="Compact"/>
      </w:pPr>
      <w:r>
        <w:rPr>
          <w:bCs/>
          <w:b/>
        </w:rPr>
        <w:t xml:space="preserve">The Women’s Action Forum (WAF)</w:t>
      </w:r>
      <w:r>
        <w:t xml:space="preserve">, founded in 1981 largely in Lahore and Karachi, became the leading organised response to the Hudood Ordinances and to broader Islamisation-era restrictions on women (including a controversial 1983 proposed law of evidence that would have valued a woman’s court testimony as worth less than a man’s in certain matters). WAF organised public protests — including a notable 1983 demonstration outside the Lahore High Court that was met with police action — making it a landmark moment of visible feminist resistance in Pakistan’s history.</w:t>
      </w:r>
    </w:p>
    <w:p>
      <w:pPr>
        <w:numPr>
          <w:ilvl w:val="0"/>
          <w:numId w:val="1034"/>
        </w:numPr>
        <w:pStyle w:val="Compact"/>
      </w:pPr>
      <w:r>
        <w:rPr>
          <w:bCs/>
          <w:b/>
        </w:rPr>
        <w:t xml:space="preserve">Later legal reforms</w:t>
      </w:r>
      <w:r>
        <w:t xml:space="preserve"> </w:t>
      </w:r>
      <w:r>
        <w:t xml:space="preserve">achieved substantially through sustained activism include the Protection of Women (Criminal Laws Amendment) Act, 2006, which moved rape prosecutions out of the Hudood framework and into ordinary criminal law; the Protection against Harassment of Women at the Workplace Act, 2010; provincial domestic violence laws such as the Punjab Protection of Women against Violence Act, 2016; and the criminalisation of practices such as honour killing loopholes through the Anti-Honour Killing Laws (Criminal Laws Amendment) Act, 2016, which closed a legal provision that had allowed victims’ families to</w:t>
      </w:r>
      <w:r>
        <w:t xml:space="preserve"> </w:t>
      </w:r>
      <w:r>
        <w:t xml:space="preserve">“</w:t>
      </w:r>
      <w:r>
        <w:t xml:space="preserve">forgive</w:t>
      </w:r>
      <w:r>
        <w:t xml:space="preserve">”</w:t>
      </w:r>
      <w:r>
        <w:t xml:space="preserve"> </w:t>
      </w:r>
      <w:r>
        <w:t xml:space="preserve">murderers in honour-killing cases, effectively granting impunity.</w:t>
      </w:r>
    </w:p>
    <w:p>
      <w:pPr>
        <w:numPr>
          <w:ilvl w:val="0"/>
          <w:numId w:val="1034"/>
        </w:numPr>
        <w:pStyle w:val="Compact"/>
      </w:pPr>
      <w:r>
        <w:rPr>
          <w:bCs/>
          <w:b/>
        </w:rPr>
        <w:t xml:space="preserve">The Aurat March</w:t>
      </w:r>
      <w:r>
        <w:t xml:space="preserve">, an annual women’s rights march held since 2018 in major Pakistani cities on International Women’s Day, represents a more recent and often more publicly contested phase of activism, addressing issues from workplace harassment to bodily autonomy, and has generated significant public debate and backlash in Pakistan’s media and political discourse.</w:t>
      </w:r>
    </w:p>
    <w:p>
      <w:pPr>
        <w:pStyle w:val="FirstParagraph"/>
      </w:pPr>
      <w:r>
        <w:rPr>
          <w:bCs/>
          <w:b/>
        </w:rPr>
        <w:t xml:space="preserve">Distinct character of the movement.</w:t>
      </w:r>
      <w:r>
        <w:t xml:space="preserve"> </w:t>
      </w:r>
      <w:r>
        <w:t xml:space="preserve">Unlike much Western feminist activism, the Pakistani movement has had to engage directly and continuously with religious and legal frameworks, often working through reformist Islamic legal scholarship to argue that specific discriminatory laws or interpretations are not required by Islam itself, rather than campaigning on purely secular grounds.</w:t>
      </w:r>
    </w:p>
    <w:p>
      <w:pPr>
        <w:pStyle w:val="BodyText"/>
      </w:pPr>
      <w:r>
        <w:rPr>
          <w:bCs/>
          <w:b/>
        </w:rPr>
        <w:t xml:space="preserve">Key Takeaways</w:t>
      </w:r>
    </w:p>
    <w:p>
      <w:pPr>
        <w:numPr>
          <w:ilvl w:val="0"/>
          <w:numId w:val="1035"/>
        </w:numPr>
        <w:pStyle w:val="Compact"/>
      </w:pPr>
      <w:r>
        <w:t xml:space="preserve">The Hudood Ordinances (1979) and the founding of the Women’s Action Forum (1981) are the defining early moments of organised Pakistani feminism.</w:t>
      </w:r>
    </w:p>
    <w:p>
      <w:pPr>
        <w:numPr>
          <w:ilvl w:val="0"/>
          <w:numId w:val="1035"/>
        </w:numPr>
        <w:pStyle w:val="Compact"/>
      </w:pPr>
      <w:r>
        <w:t xml:space="preserve">Major legal reforms (2006 Women’s Protection Act, 2010 Harassment Act, 2016 domestic violence and anti-honour-killing laws) resulted substantially from sustained activist pressure.</w:t>
      </w:r>
    </w:p>
    <w:p>
      <w:pPr>
        <w:numPr>
          <w:ilvl w:val="0"/>
          <w:numId w:val="1035"/>
        </w:numPr>
        <w:pStyle w:val="Compact"/>
      </w:pPr>
      <w:r>
        <w:t xml:space="preserve">The Aurat March (since 2018) represents a newer, more publicly contested phase; Pakistani feminism generally engages directly with religious-legal debate rather than purely secular argument.</w:t>
      </w:r>
    </w:p>
    <w:bookmarkEnd w:id="45"/>
    <w:bookmarkEnd w:id="46"/>
    <w:bookmarkStart w:id="57" w:name="v.-gender-and-development"/>
    <w:p>
      <w:pPr>
        <w:pStyle w:val="Heading2"/>
      </w:pPr>
      <w:r>
        <w:t xml:space="preserve">V. Gender and Development</w:t>
      </w:r>
    </w:p>
    <w:bookmarkStart w:id="47" w:name="X501cebf6095381a0bd4df6f142424137daab163"/>
    <w:p>
      <w:pPr>
        <w:pStyle w:val="Heading3"/>
      </w:pPr>
      <w:r>
        <w:t xml:space="preserve">24. Colonial and Capitalistic Perspectives of Gender</w:t>
      </w:r>
    </w:p>
    <w:p>
      <w:pPr>
        <w:pStyle w:val="FirstParagraph"/>
      </w:pPr>
      <w:r>
        <w:t xml:space="preserve">This topic examines how colonialism and the spread of capitalism reshaped gender roles in colonised societies, often worsening women’s economic and social position rather than being neutral processes.</w:t>
      </w:r>
    </w:p>
    <w:p>
      <w:pPr>
        <w:pStyle w:val="BodyText"/>
      </w:pPr>
      <w:r>
        <w:rPr>
          <w:bCs/>
          <w:b/>
        </w:rPr>
        <w:t xml:space="preserve">Colonial impact on gender roles.</w:t>
      </w:r>
      <w:r>
        <w:t xml:space="preserve"> </w:t>
      </w:r>
      <w:r>
        <w:t xml:space="preserve">Pre-colonial societies in many parts of Africa and Asia had women actively involved in agriculture, trade, and local decision-making, with rights to land and resources that varied by community but were often more substantial than colonial administrators assumed. Colonial administrations, importing Victorian-era European assumptions that women belonged in the domestic sphere and men in public economic and political life, frequently restructured land ownership, taxation, and cash-crop farming systems to register land and issue formal legal and economic status to men as household heads, systematically excluding women from the formal economy and land rights they had previously exercised informally.</w:t>
      </w:r>
    </w:p>
    <w:p>
      <w:pPr>
        <w:pStyle w:val="BodyText"/>
      </w:pPr>
      <w:r>
        <w:rPr>
          <w:bCs/>
          <w:b/>
        </w:rPr>
        <w:t xml:space="preserve">Capitalism’s role.</w:t>
      </w:r>
      <w:r>
        <w:t xml:space="preserve"> </w:t>
      </w:r>
      <w:r>
        <w:t xml:space="preserve">As colonial and later independent economies were drawn into global capitalist markets (Topic 14’s Marxist feminist framework applies directly here), the demand for cheap, flexible labour created strong incentives to keep women’s labour informal and underpaid — as unpaid family labour on cash crops, or as low-wage factory labour in export industries — while formal wage employment, unionisation, and property rights were disproportionately available to men.</w:t>
      </w:r>
    </w:p>
    <w:p>
      <w:pPr>
        <w:pStyle w:val="BodyText"/>
      </w:pPr>
      <w:r>
        <w:rPr>
          <w:bCs/>
          <w:b/>
        </w:rPr>
        <w:t xml:space="preserve">Why this matters for development theory.</w:t>
      </w:r>
      <w:r>
        <w:t xml:space="preserve"> </w:t>
      </w:r>
      <w:r>
        <w:t xml:space="preserve">This colonial and capitalist history is the essential background for understanding the development theories that follow (Topics 25–27) and the WID/WAD/GAD policy frameworks (Topics 29–31): development economists in the 1970s began to recognise that women had often been</w:t>
      </w:r>
      <w:r>
        <w:t xml:space="preserve"> </w:t>
      </w:r>
      <w:r>
        <w:rPr>
          <w:iCs/>
          <w:i/>
        </w:rPr>
        <w:t xml:space="preserve">worse off</w:t>
      </w:r>
      <w:r>
        <w:t xml:space="preserve"> </w:t>
      </w:r>
      <w:r>
        <w:t xml:space="preserve">after colonial-era economic integration and modernisation than before it, directly challenging the assumption that economic development automatically benefits everyone, including women, equally.</w:t>
      </w:r>
    </w:p>
    <w:p>
      <w:pPr>
        <w:pStyle w:val="BodyText"/>
      </w:pPr>
      <w:r>
        <w:rPr>
          <w:bCs/>
          <w:b/>
        </w:rPr>
        <w:t xml:space="preserve">Key Takeaways</w:t>
      </w:r>
    </w:p>
    <w:p>
      <w:pPr>
        <w:numPr>
          <w:ilvl w:val="0"/>
          <w:numId w:val="1036"/>
        </w:numPr>
        <w:pStyle w:val="Compact"/>
      </w:pPr>
      <w:r>
        <w:t xml:space="preserve">Colonial administration often replaced women’s pre-existing informal land and economic rights with formal systems that recognised only men as economic actors.</w:t>
      </w:r>
    </w:p>
    <w:p>
      <w:pPr>
        <w:numPr>
          <w:ilvl w:val="0"/>
          <w:numId w:val="1036"/>
        </w:numPr>
        <w:pStyle w:val="Compact"/>
      </w:pPr>
      <w:r>
        <w:t xml:space="preserve">Capitalist integration created incentives to keep women’s labour cheap and informal, echoing Marxist feminist analysis (Topic 14).</w:t>
      </w:r>
    </w:p>
    <w:p>
      <w:pPr>
        <w:numPr>
          <w:ilvl w:val="0"/>
          <w:numId w:val="1036"/>
        </w:numPr>
        <w:pStyle w:val="Compact"/>
      </w:pPr>
      <w:r>
        <w:t xml:space="preserve">This history motivated the recognition that development is not gender-neutral, directly shaping later WID/WAD/GAD frameworks.</w:t>
      </w:r>
    </w:p>
    <w:bookmarkEnd w:id="47"/>
    <w:bookmarkStart w:id="48" w:name="modernization-theory"/>
    <w:p>
      <w:pPr>
        <w:pStyle w:val="Heading3"/>
      </w:pPr>
      <w:r>
        <w:t xml:space="preserve">25. Modernization Theory</w:t>
      </w:r>
    </w:p>
    <w:p>
      <w:pPr>
        <w:pStyle w:val="FirstParagraph"/>
      </w:pPr>
      <w:r>
        <w:t xml:space="preserve">Modernization theory, dominant in development economics through the 1950s–1960s, argued that</w:t>
      </w:r>
      <w:r>
        <w:t xml:space="preserve"> </w:t>
      </w:r>
      <w:r>
        <w:t xml:space="preserve">“</w:t>
      </w:r>
      <w:r>
        <w:t xml:space="preserve">underdeveloped</w:t>
      </w:r>
      <w:r>
        <w:t xml:space="preserve">”</w:t>
      </w:r>
      <w:r>
        <w:t xml:space="preserve"> </w:t>
      </w:r>
      <w:r>
        <w:t xml:space="preserve">societies would develop by following the same path already taken by industrialised Western nations — moving from traditional agrarian economies to modern industrial ones through capital investment, technology transfer, and the adoption of modern social and economic institutions.</w:t>
      </w:r>
    </w:p>
    <w:p>
      <w:pPr>
        <w:pStyle w:val="BodyText"/>
      </w:pPr>
      <w:r>
        <w:rPr>
          <w:bCs/>
          <w:b/>
        </w:rPr>
        <w:t xml:space="preserve">Gender assumptions within modernization theory.</w:t>
      </w:r>
      <w:r>
        <w:t xml:space="preserve"> </w:t>
      </w:r>
      <w:r>
        <w:t xml:space="preserve">The theory generally assumed that development’s benefits (education, formal employment, higher incomes) would</w:t>
      </w:r>
      <w:r>
        <w:t xml:space="preserve"> </w:t>
      </w:r>
      <w:r>
        <w:t xml:space="preserve">“</w:t>
      </w:r>
      <w:r>
        <w:t xml:space="preserve">trickle down</w:t>
      </w:r>
      <w:r>
        <w:t xml:space="preserve">”</w:t>
      </w:r>
      <w:r>
        <w:t xml:space="preserve"> </w:t>
      </w:r>
      <w:r>
        <w:t xml:space="preserve">to women automatically as a society modernised, and paid little explicit attention to how development projects affected men and women differently. Where women were considered at all, it was often through a narrow lens focused on reducing fertility rates and improving women’s roles as mothers, rather than as independent economic actors.</w:t>
      </w:r>
    </w:p>
    <w:p>
      <w:pPr>
        <w:pStyle w:val="BodyText"/>
      </w:pPr>
      <w:r>
        <w:rPr>
          <w:bCs/>
          <w:b/>
        </w:rPr>
        <w:t xml:space="preserve">Feminist critique.</w:t>
      </w:r>
      <w:r>
        <w:t xml:space="preserve"> </w:t>
      </w:r>
      <w:r>
        <w:t xml:space="preserve">Ester Boserup’s landmark study</w:t>
      </w:r>
      <w:r>
        <w:t xml:space="preserve"> </w:t>
      </w:r>
      <w:r>
        <w:rPr>
          <w:iCs/>
          <w:i/>
        </w:rPr>
        <w:t xml:space="preserve">Women’s Role in Economic Development</w:t>
      </w:r>
      <w:r>
        <w:t xml:space="preserve"> </w:t>
      </w:r>
      <w:r>
        <w:t xml:space="preserve">(1970) directly challenged modernization theory by showing empirically that development projects — introducing new agricultural technology, cash crops, and mechanisation — frequently bypassed women farmers (who in many African contexts did the bulk of subsistence food production) in favour of men, who were given the training, credit, and modern equipment, actually</w:t>
      </w:r>
      <w:r>
        <w:t xml:space="preserve"> </w:t>
      </w:r>
      <w:r>
        <w:rPr>
          <w:iCs/>
          <w:i/>
        </w:rPr>
        <w:t xml:space="preserve">worsening</w:t>
      </w:r>
      <w:r>
        <w:t xml:space="preserve"> </w:t>
      </w:r>
      <w:r>
        <w:t xml:space="preserve">women’s relative economic position and workload even as overall production increased. Boserup’s work is widely credited as the founding text of what became the Women in Development (WID) approach (Topic 29).</w:t>
      </w:r>
    </w:p>
    <w:p>
      <w:pPr>
        <w:pStyle w:val="BodyText"/>
      </w:pPr>
      <w:r>
        <w:rPr>
          <w:bCs/>
          <w:b/>
        </w:rPr>
        <w:t xml:space="preserve">Why examiners test this.</w:t>
      </w:r>
      <w:r>
        <w:t xml:space="preserve"> </w:t>
      </w:r>
      <w:r>
        <w:t xml:space="preserve">It illustrates a recurring theme across this entire section (V): treating development as gender-neutral is itself a form of gender bias, because existing gender inequalities determine who actually captures the benefits of new resources, technology, and income, even when policy does not explicitly discriminate.</w:t>
      </w:r>
    </w:p>
    <w:p>
      <w:pPr>
        <w:pStyle w:val="BodyText"/>
      </w:pPr>
      <w:r>
        <w:rPr>
          <w:bCs/>
          <w:b/>
        </w:rPr>
        <w:t xml:space="preserve">Key Takeaways</w:t>
      </w:r>
    </w:p>
    <w:p>
      <w:pPr>
        <w:numPr>
          <w:ilvl w:val="0"/>
          <w:numId w:val="1037"/>
        </w:numPr>
        <w:pStyle w:val="Compact"/>
      </w:pPr>
      <w:r>
        <w:t xml:space="preserve">Modernization theory assumed development benefits would trickle down to women automatically, without addressing gender differences explicitly.</w:t>
      </w:r>
    </w:p>
    <w:p>
      <w:pPr>
        <w:numPr>
          <w:ilvl w:val="0"/>
          <w:numId w:val="1037"/>
        </w:numPr>
        <w:pStyle w:val="Compact"/>
      </w:pPr>
      <w:r>
        <w:t xml:space="preserve">Boserup’s 1970 study showed development projects often bypassed women farmers, worsening their relative position — the foundational critique behind WID.</w:t>
      </w:r>
    </w:p>
    <w:p>
      <w:pPr>
        <w:numPr>
          <w:ilvl w:val="0"/>
          <w:numId w:val="1037"/>
        </w:numPr>
        <w:pStyle w:val="Compact"/>
      </w:pPr>
      <w:r>
        <w:t xml:space="preserve">Core lesson: gender-neutral development policy is not automatically gender-equal in its outcomes.</w:t>
      </w:r>
    </w:p>
    <w:bookmarkEnd w:id="48"/>
    <w:bookmarkStart w:id="49" w:name="world-system-theory"/>
    <w:p>
      <w:pPr>
        <w:pStyle w:val="Heading3"/>
      </w:pPr>
      <w:r>
        <w:t xml:space="preserve">26. World System Theory</w:t>
      </w:r>
    </w:p>
    <w:p>
      <w:pPr>
        <w:pStyle w:val="FirstParagraph"/>
      </w:pPr>
      <w:r>
        <w:t xml:space="preserve">World System Theory, developed by Immanuel Wallerstein, analyses global economic inequality not as a matter of individual countries being at different</w:t>
      </w:r>
      <w:r>
        <w:t xml:space="preserve"> </w:t>
      </w:r>
      <w:r>
        <w:t xml:space="preserve">“</w:t>
      </w:r>
      <w:r>
        <w:t xml:space="preserve">stages</w:t>
      </w:r>
      <w:r>
        <w:t xml:space="preserve">”</w:t>
      </w:r>
      <w:r>
        <w:t xml:space="preserve"> </w:t>
      </w:r>
      <w:r>
        <w:t xml:space="preserve">of development (as modernization theory assumed) but as the product of a single, integrated global capitalist economy structured into a hierarchy of</w:t>
      </w:r>
      <w:r>
        <w:t xml:space="preserve"> </w:t>
      </w:r>
      <w:r>
        <w:t xml:space="preserve">“</w:t>
      </w:r>
      <w:r>
        <w:t xml:space="preserve">core</w:t>
      </w:r>
      <w:r>
        <w:t xml:space="preserve">”</w:t>
      </w:r>
      <w:r>
        <w:t xml:space="preserve"> </w:t>
      </w:r>
      <w:r>
        <w:t xml:space="preserve">(wealthy, industrialised),</w:t>
      </w:r>
      <w:r>
        <w:t xml:space="preserve"> </w:t>
      </w:r>
      <w:r>
        <w:t xml:space="preserve">“</w:t>
      </w:r>
      <w:r>
        <w:t xml:space="preserve">periphery</w:t>
      </w:r>
      <w:r>
        <w:t xml:space="preserve">”</w:t>
      </w:r>
      <w:r>
        <w:t xml:space="preserve"> </w:t>
      </w:r>
      <w:r>
        <w:t xml:space="preserve">(poor, primarily resource- and labour-exporting), and</w:t>
      </w:r>
      <w:r>
        <w:t xml:space="preserve"> </w:t>
      </w:r>
      <w:r>
        <w:t xml:space="preserve">“</w:t>
      </w:r>
      <w:r>
        <w:t xml:space="preserve">semi-periphery</w:t>
      </w:r>
      <w:r>
        <w:t xml:space="preserve">”</w:t>
      </w:r>
      <w:r>
        <w:t xml:space="preserve"> </w:t>
      </w:r>
      <w:r>
        <w:t xml:space="preserve">nations, in which the core systematically extracts wealth from the periphery through unequal trade and investment relationships.</w:t>
      </w:r>
    </w:p>
    <w:p>
      <w:pPr>
        <w:pStyle w:val="BodyText"/>
      </w:pPr>
      <w:r>
        <w:rPr>
          <w:bCs/>
          <w:b/>
        </w:rPr>
        <w:t xml:space="preserve">Gendered dimension.</w:t>
      </w:r>
      <w:r>
        <w:t xml:space="preserve"> </w:t>
      </w:r>
      <w:r>
        <w:t xml:space="preserve">Applied to gender, World System Theory highlights how peripheral countries’ integration into the global economy relies heavily on cheap, feminised labour — export-processing zones and garment or electronics factories in periphery and semi-periphery countries (including Pakistan, Bangladesh, and other South and Southeast Asian countries) disproportionately employ women at low wages, with limited labour protections, because a large, socially undervalued female workforce is precisely what allows peripheral economies to compete for footloose international capital seeking the cheapest possible production costs.</w:t>
      </w:r>
    </w:p>
    <w:p>
      <w:pPr>
        <w:pStyle w:val="BodyText"/>
      </w:pPr>
      <w:r>
        <w:rPr>
          <w:bCs/>
          <w:b/>
        </w:rPr>
        <w:t xml:space="preserve">Distinctive contribution to gender-and-development debates.</w:t>
      </w:r>
      <w:r>
        <w:t xml:space="preserve"> </w:t>
      </w:r>
      <w:r>
        <w:t xml:space="preserve">Unlike modernization theory, which located the</w:t>
      </w:r>
      <w:r>
        <w:t xml:space="preserve"> </w:t>
      </w:r>
      <w:r>
        <w:t xml:space="preserve">“</w:t>
      </w:r>
      <w:r>
        <w:t xml:space="preserve">problem</w:t>
      </w:r>
      <w:r>
        <w:t xml:space="preserve">”</w:t>
      </w:r>
      <w:r>
        <w:t xml:space="preserve"> </w:t>
      </w:r>
      <w:r>
        <w:t xml:space="preserve">within individual traditional societies needing to modernise, World System Theory locates the problem in the</w:t>
      </w:r>
      <w:r>
        <w:t xml:space="preserve"> </w:t>
      </w:r>
      <w:r>
        <w:rPr>
          <w:iCs/>
          <w:i/>
        </w:rPr>
        <w:t xml:space="preserve">structure of the global economy itself</w:t>
      </w:r>
      <w:r>
        <w:t xml:space="preserve">, implying that women’s disadvantage in periphery countries cannot be solved simply by internal reform or more development aid, but requires addressing structurally unequal terms of global trade and capital flows.</w:t>
      </w:r>
    </w:p>
    <w:p>
      <w:pPr>
        <w:pStyle w:val="BodyText"/>
      </w:pPr>
      <w:r>
        <w:rPr>
          <w:bCs/>
          <w:b/>
        </w:rPr>
        <w:t xml:space="preserve">Criticism.</w:t>
      </w:r>
      <w:r>
        <w:t xml:space="preserve"> </w:t>
      </w:r>
      <w:r>
        <w:t xml:space="preserve">Critics argue the theory can be overly deterministic, treating peripheral countries’ economic roles as almost entirely fixed by the global system, leaving comparatively little room to explain successful cases of economic transformation (such as some East Asian economies) achieved by former periphery states, or to explain internal variation in gender outcomes among periphery countries with similar positions in the global economy.</w:t>
      </w:r>
    </w:p>
    <w:p>
      <w:pPr>
        <w:pStyle w:val="BodyText"/>
      </w:pPr>
      <w:r>
        <w:rPr>
          <w:bCs/>
          <w:b/>
        </w:rPr>
        <w:t xml:space="preserve">Key Takeaways</w:t>
      </w:r>
    </w:p>
    <w:p>
      <w:pPr>
        <w:numPr>
          <w:ilvl w:val="0"/>
          <w:numId w:val="1038"/>
        </w:numPr>
        <w:pStyle w:val="Compact"/>
      </w:pPr>
      <w:r>
        <w:t xml:space="preserve">World System Theory (Wallerstein) explains global inequality through core-periphery-semi-periphery structure within one integrated capitalist world economy.</w:t>
      </w:r>
    </w:p>
    <w:p>
      <w:pPr>
        <w:numPr>
          <w:ilvl w:val="0"/>
          <w:numId w:val="1038"/>
        </w:numPr>
        <w:pStyle w:val="Compact"/>
      </w:pPr>
      <w:r>
        <w:t xml:space="preserve">Peripheral economies’ reliance on cheap, feminised export labour (e.g., garment industries) is the theory’s key gendered insight.</w:t>
      </w:r>
    </w:p>
    <w:p>
      <w:pPr>
        <w:numPr>
          <w:ilvl w:val="0"/>
          <w:numId w:val="1038"/>
        </w:numPr>
        <w:pStyle w:val="Compact"/>
      </w:pPr>
      <w:r>
        <w:t xml:space="preserve">Criticised as overly deterministic, underexplaining cases of successful economic transformation by former periphery states.</w:t>
      </w:r>
    </w:p>
    <w:bookmarkEnd w:id="49"/>
    <w:bookmarkStart w:id="50" w:name="dependency-theory"/>
    <w:p>
      <w:pPr>
        <w:pStyle w:val="Heading3"/>
      </w:pPr>
      <w:r>
        <w:t xml:space="preserve">27. Dependency Theory</w:t>
      </w:r>
    </w:p>
    <w:p>
      <w:pPr>
        <w:pStyle w:val="FirstParagraph"/>
      </w:pPr>
      <w:r>
        <w:t xml:space="preserve">Dependency Theory, closely related to World System Theory but developed earlier (primarily by Latin American economists such as Raúl Prebisch and later scholars like Andre Gunder Frank, from the 1950s–1960s), argues that</w:t>
      </w:r>
      <w:r>
        <w:t xml:space="preserve"> </w:t>
      </w:r>
      <w:r>
        <w:t xml:space="preserve">“</w:t>
      </w:r>
      <w:r>
        <w:t xml:space="preserve">underdeveloped</w:t>
      </w:r>
      <w:r>
        <w:t xml:space="preserve">”</w:t>
      </w:r>
      <w:r>
        <w:t xml:space="preserve"> </w:t>
      </w:r>
      <w:r>
        <w:t xml:space="preserve">countries are not simply behind on a universal development path (as modernization theory claimed) but have been actively made poor — their development has been distorted and constrained — by their historical and ongoing economic relationship with wealthier, more powerful countries, first through colonialism and later through unequal trade, debt, and multinational investment relationships.</w:t>
      </w:r>
    </w:p>
    <w:p>
      <w:pPr>
        <w:pStyle w:val="BodyText"/>
      </w:pPr>
      <w:r>
        <w:rPr>
          <w:bCs/>
          <w:b/>
        </w:rPr>
        <w:t xml:space="preserve">Mechanism.</w:t>
      </w:r>
      <w:r>
        <w:t xml:space="preserve"> </w:t>
      </w:r>
      <w:r>
        <w:t xml:space="preserve">Dependency theorists argue that periphery countries are locked into exporting raw materials and agricultural commodities (whose prices are volatile and, over the long term, tend to decline relative to the price of manufactured goods they must import), which prevents them from accumulating the capital needed to industrialise and develop more diversified, self-sufficient economies — a state of structural</w:t>
      </w:r>
      <w:r>
        <w:t xml:space="preserve"> </w:t>
      </w:r>
      <w:r>
        <w:t xml:space="preserve">“</w:t>
      </w:r>
      <w:r>
        <w:t xml:space="preserve">dependency</w:t>
      </w:r>
      <w:r>
        <w:t xml:space="preserve">”</w:t>
      </w:r>
      <w:r>
        <w:t xml:space="preserve"> </w:t>
      </w:r>
      <w:r>
        <w:t xml:space="preserve">on the core.</w:t>
      </w:r>
    </w:p>
    <w:p>
      <w:pPr>
        <w:pStyle w:val="BodyText"/>
      </w:pPr>
      <w:r>
        <w:rPr>
          <w:bCs/>
          <w:b/>
        </w:rPr>
        <w:t xml:space="preserve">Gendered application.</w:t>
      </w:r>
      <w:r>
        <w:t xml:space="preserve"> </w:t>
      </w:r>
      <w:r>
        <w:t xml:space="preserve">Applied to gender, dependency theory highlights how structural adjustment programmes and export-oriented growth strategies imposed on dependent economies (often as conditions attached to international loans, discussed further in Topic 32) tend to cut public spending on health, education, and social services — cuts that disproportionately increase women’s unpaid care burden, since women are typically expected to compensate for reduced state provision of care services within the household.</w:t>
      </w:r>
    </w:p>
    <w:p>
      <w:pPr>
        <w:pStyle w:val="BodyText"/>
      </w:pPr>
      <w:r>
        <w:rPr>
          <w:bCs/>
          <w:b/>
        </w:rPr>
        <w:t xml:space="preserve">Relationship to World System Theory.</w:t>
      </w:r>
      <w:r>
        <w:t xml:space="preserve"> </w:t>
      </w:r>
      <w:r>
        <w:t xml:space="preserve">The two theories are often taught together because they share the core claim that global economic structure, not internal national characteristics, is the primary cause of underdevelopment; World System Theory offers a more elaborate three-tier global structure, while Dependency Theory focuses more specifically on the mechanisms (trade terms, capital flight, debt) that keep periphery economies dependent.</w:t>
      </w:r>
    </w:p>
    <w:p>
      <w:pPr>
        <w:pStyle w:val="BodyText"/>
      </w:pPr>
      <w:r>
        <w:rPr>
          <w:bCs/>
          <w:b/>
        </w:rPr>
        <w:t xml:space="preserve">Key Takeaways</w:t>
      </w:r>
    </w:p>
    <w:p>
      <w:pPr>
        <w:numPr>
          <w:ilvl w:val="0"/>
          <w:numId w:val="1039"/>
        </w:numPr>
        <w:pStyle w:val="Compact"/>
      </w:pPr>
      <w:r>
        <w:t xml:space="preserve">Dependency Theory argues periphery countries are made poor by structurally unequal relationships with core countries, not merely</w:t>
      </w:r>
      <w:r>
        <w:t xml:space="preserve"> </w:t>
      </w:r>
      <w:r>
        <w:t xml:space="preserve">“</w:t>
      </w:r>
      <w:r>
        <w:t xml:space="preserve">behind</w:t>
      </w:r>
      <w:r>
        <w:t xml:space="preserve">”</w:t>
      </w:r>
      <w:r>
        <w:t xml:space="preserve"> </w:t>
      </w:r>
      <w:r>
        <w:t xml:space="preserve">on a universal path.</w:t>
      </w:r>
    </w:p>
    <w:p>
      <w:pPr>
        <w:numPr>
          <w:ilvl w:val="0"/>
          <w:numId w:val="1039"/>
        </w:numPr>
        <w:pStyle w:val="Compact"/>
      </w:pPr>
      <w:r>
        <w:t xml:space="preserve">Reliance on raw-material exports with declining relative value traps dependent economies in a cycle preventing industrialisation.</w:t>
      </w:r>
    </w:p>
    <w:p>
      <w:pPr>
        <w:numPr>
          <w:ilvl w:val="0"/>
          <w:numId w:val="1039"/>
        </w:numPr>
        <w:pStyle w:val="Compact"/>
      </w:pPr>
      <w:r>
        <w:t xml:space="preserve">Gendered link: dependency-driven austerity and structural adjustment disproportionately shift care burdens onto women (connects to Topic 32).</w:t>
      </w:r>
    </w:p>
    <w:bookmarkEnd w:id="50"/>
    <w:bookmarkStart w:id="51" w:name="structural-functionalism"/>
    <w:p>
      <w:pPr>
        <w:pStyle w:val="Heading3"/>
      </w:pPr>
      <w:r>
        <w:t xml:space="preserve">28. Structural Functionalism</w:t>
      </w:r>
    </w:p>
    <w:p>
      <w:pPr>
        <w:pStyle w:val="FirstParagraph"/>
      </w:pPr>
      <w:r>
        <w:t xml:space="preserve">Structural functionalism is a sociological theory (associated with Talcott Parsons) that predates and stands in contrast to the critical development theories above. It explains social institutions, including the gendered division of labour within the family, by asking what social</w:t>
      </w:r>
      <w:r>
        <w:t xml:space="preserve"> </w:t>
      </w:r>
      <w:r>
        <w:t xml:space="preserve">“</w:t>
      </w:r>
      <w:r>
        <w:t xml:space="preserve">function</w:t>
      </w:r>
      <w:r>
        <w:t xml:space="preserve">”</w:t>
      </w:r>
      <w:r>
        <w:t xml:space="preserve"> </w:t>
      </w:r>
      <w:r>
        <w:t xml:space="preserve">they serve in maintaining the stability of the overall social system, rather than asking who benefits or loses power.</w:t>
      </w:r>
    </w:p>
    <w:p>
      <w:pPr>
        <w:pStyle w:val="BodyText"/>
      </w:pPr>
      <w:r>
        <w:rPr>
          <w:bCs/>
          <w:b/>
        </w:rPr>
        <w:t xml:space="preserve">Parsons’s account of gender roles.</w:t>
      </w:r>
      <w:r>
        <w:t xml:space="preserve"> </w:t>
      </w:r>
      <w:r>
        <w:t xml:space="preserve">Parsons argued that the mid-twentieth-century nuclear family divided labour efficiently between an</w:t>
      </w:r>
      <w:r>
        <w:t xml:space="preserve"> </w:t>
      </w:r>
      <w:r>
        <w:t xml:space="preserve">“</w:t>
      </w:r>
      <w:r>
        <w:t xml:space="preserve">instrumental</w:t>
      </w:r>
      <w:r>
        <w:t xml:space="preserve">”</w:t>
      </w:r>
      <w:r>
        <w:t xml:space="preserve"> </w:t>
      </w:r>
      <w:r>
        <w:t xml:space="preserve">role (typically assigned to the husband — earning income and dealing with the world outside the family) and an</w:t>
      </w:r>
      <w:r>
        <w:t xml:space="preserve"> </w:t>
      </w:r>
      <w:r>
        <w:t xml:space="preserve">“</w:t>
      </w:r>
      <w:r>
        <w:t xml:space="preserve">expressive</w:t>
      </w:r>
      <w:r>
        <w:t xml:space="preserve">”</w:t>
      </w:r>
      <w:r>
        <w:t xml:space="preserve"> </w:t>
      </w:r>
      <w:r>
        <w:t xml:space="preserve">role (typically assigned to the wife — providing emotional support and managing internal family relationships and childcare), and that this division of labour was functional because it minimised role conflict and helped the family unit run smoothly, which in turn stabilised the broader society that depends on well-functioning families to raise the next generation of productive members.</w:t>
      </w:r>
    </w:p>
    <w:p>
      <w:pPr>
        <w:pStyle w:val="BodyText"/>
      </w:pPr>
      <w:r>
        <w:rPr>
          <w:bCs/>
          <w:b/>
        </w:rPr>
        <w:t xml:space="preserve">Why feminist theory rejects this account.</w:t>
      </w:r>
      <w:r>
        <w:t xml:space="preserve"> </w:t>
      </w:r>
      <w:r>
        <w:t xml:space="preserve">Feminist critics point out several serious problems: the theory treats a historically and culturally specific arrangement (the mid-century Western nuclear family, with a male breadwinner and female homemaker) as if it were a universal, natural, and efficient functional necessity, when in fact this arrangement is neither universal across cultures nor historically constant even within the West. It also treats the division of labour as harmoniously agreed upon and mutually beneficial, ignoring the unequal power, unequal pay, and restricted choices this arrangement actually imposed on women, who were expected to remain in the</w:t>
      </w:r>
      <w:r>
        <w:t xml:space="preserve"> </w:t>
      </w:r>
      <w:r>
        <w:t xml:space="preserve">“</w:t>
      </w:r>
      <w:r>
        <w:t xml:space="preserve">expressive</w:t>
      </w:r>
      <w:r>
        <w:t xml:space="preserve">”</w:t>
      </w:r>
      <w:r>
        <w:t xml:space="preserve"> </w:t>
      </w:r>
      <w:r>
        <w:t xml:space="preserve">role regardless of individual preference or talent. Because functionalism asks only</w:t>
      </w:r>
      <w:r>
        <w:t xml:space="preserve"> </w:t>
      </w:r>
      <w:r>
        <w:t xml:space="preserve">“</w:t>
      </w:r>
      <w:r>
        <w:t xml:space="preserve">does this arrangement help the system run smoothly?</w:t>
      </w:r>
      <w:r>
        <w:t xml:space="preserve">”</w:t>
      </w:r>
      <w:r>
        <w:t xml:space="preserve"> </w:t>
      </w:r>
      <w:r>
        <w:t xml:space="preserve">rather than</w:t>
      </w:r>
      <w:r>
        <w:t xml:space="preserve"> </w:t>
      </w:r>
      <w:r>
        <w:t xml:space="preserve">“</w:t>
      </w:r>
      <w:r>
        <w:t xml:space="preserve">is this arrangement fair, and who benefits from it?</w:t>
      </w:r>
      <w:r>
        <w:t xml:space="preserve">”</w:t>
      </w:r>
      <w:r>
        <w:t xml:space="preserve">, it structurally cannot identify or critique gender inequality — a fundamental theoretical weakness from a feminist standpoint.</w:t>
      </w:r>
    </w:p>
    <w:p>
      <w:pPr>
        <w:pStyle w:val="BodyText"/>
      </w:pPr>
      <w:r>
        <w:rPr>
          <w:bCs/>
          <w:b/>
        </w:rPr>
        <w:t xml:space="preserve">Why the theory is still taught.</w:t>
      </w:r>
      <w:r>
        <w:t xml:space="preserve"> </w:t>
      </w:r>
      <w:r>
        <w:t xml:space="preserve">It is included in the syllabus specifically as a contrast case: understanding functionalism’s blind spot toward power and inequality is what makes the feminist and conflict-oriented critiques (from Topics 12–17, 26, 27) analytically sharper by comparison.</w:t>
      </w:r>
    </w:p>
    <w:p>
      <w:pPr>
        <w:pStyle w:val="BodyText"/>
      </w:pPr>
      <w:r>
        <w:rPr>
          <w:bCs/>
          <w:b/>
        </w:rPr>
        <w:t xml:space="preserve">Key Takeaways</w:t>
      </w:r>
    </w:p>
    <w:p>
      <w:pPr>
        <w:numPr>
          <w:ilvl w:val="0"/>
          <w:numId w:val="1040"/>
        </w:numPr>
        <w:pStyle w:val="Compact"/>
      </w:pPr>
      <w:r>
        <w:t xml:space="preserve">Structural functionalism (Parsons) explains gender roles by their supposed function in maintaining family and social stability, not by questions of power or fairness.</w:t>
      </w:r>
    </w:p>
    <w:p>
      <w:pPr>
        <w:numPr>
          <w:ilvl w:val="0"/>
          <w:numId w:val="1040"/>
        </w:numPr>
        <w:pStyle w:val="Compact"/>
      </w:pPr>
      <w:r>
        <w:t xml:space="preserve">The classic instrumental (male)/expressive (female) role division is presented as functionally efficient, not as historically specific or unequal.</w:t>
      </w:r>
    </w:p>
    <w:p>
      <w:pPr>
        <w:numPr>
          <w:ilvl w:val="0"/>
          <w:numId w:val="1040"/>
        </w:numPr>
        <w:pStyle w:val="Compact"/>
      </w:pPr>
      <w:r>
        <w:t xml:space="preserve">Feminist critique: functionalism cannot identify inequality because it does not ask who benefits and who is constrained by a given social arrangement.</w:t>
      </w:r>
    </w:p>
    <w:bookmarkEnd w:id="51"/>
    <w:bookmarkStart w:id="52" w:name="women-in-development-wid"/>
    <w:p>
      <w:pPr>
        <w:pStyle w:val="Heading3"/>
      </w:pPr>
      <w:r>
        <w:t xml:space="preserve">29. Women in Development (WID)</w:t>
      </w:r>
    </w:p>
    <w:p>
      <w:pPr>
        <w:pStyle w:val="FirstParagraph"/>
      </w:pPr>
      <w:r>
        <w:t xml:space="preserve">Women in Development (WID) was the first major policy framework (emerging in the early-to-mid 1970s, directly following Boserup’s 1970 critique discussed in Topic 25) through which international development institutions explicitly began addressing women in their programming, rather than assuming development was gender-neutral.</w:t>
      </w:r>
    </w:p>
    <w:p>
      <w:pPr>
        <w:pStyle w:val="BodyText"/>
      </w:pPr>
      <w:r>
        <w:rPr>
          <w:bCs/>
          <w:b/>
        </w:rPr>
        <w:t xml:space="preserve">Core approach.</w:t>
      </w:r>
      <w:r>
        <w:t xml:space="preserve"> </w:t>
      </w:r>
      <w:r>
        <w:t xml:space="preserve">WID’s central strategy was to</w:t>
      </w:r>
      <w:r>
        <w:t xml:space="preserve"> </w:t>
      </w:r>
      <w:r>
        <w:rPr>
          <w:iCs/>
          <w:i/>
        </w:rPr>
        <w:t xml:space="preserve">integrate</w:t>
      </w:r>
      <w:r>
        <w:t xml:space="preserve"> </w:t>
      </w:r>
      <w:r>
        <w:t xml:space="preserve">women more fully into existing development processes — by giving women better access to credit, agricultural training, technology, and income-generating projects — on the theory that women had simply been left out of development so far, and that including them within existing development models would improve outcomes both for women and for overall economic growth (</w:t>
      </w:r>
      <w:r>
        <w:t xml:space="preserve">“</w:t>
      </w:r>
      <w:r>
        <w:t xml:space="preserve">efficiency</w:t>
      </w:r>
      <w:r>
        <w:t xml:space="preserve">”</w:t>
      </w:r>
      <w:r>
        <w:t xml:space="preserve"> </w:t>
      </w:r>
      <w:r>
        <w:t xml:space="preserve">argument).</w:t>
      </w:r>
    </w:p>
    <w:p>
      <w:pPr>
        <w:pStyle w:val="BodyText"/>
      </w:pPr>
      <w:r>
        <w:rPr>
          <w:bCs/>
          <w:b/>
        </w:rPr>
        <w:t xml:space="preserve">Strengths.</w:t>
      </w:r>
      <w:r>
        <w:t xml:space="preserve"> </w:t>
      </w:r>
      <w:r>
        <w:t xml:space="preserve">WID succeeded in making women’s economic contribution visible to policymakers for the first time in a systematic way, and led to concrete programming — women-specific microcredit schemes, agricultural extension programmes targeted at women farmers, and income-generation projects — that produced real, measurable benefits in many contexts.</w:t>
      </w:r>
    </w:p>
    <w:p>
      <w:pPr>
        <w:pStyle w:val="BodyText"/>
      </w:pPr>
      <w:r>
        <w:rPr>
          <w:bCs/>
          <w:b/>
        </w:rPr>
        <w:t xml:space="preserve">Criticism, which directly motivated the next frameworks (Topics 30–31).</w:t>
      </w:r>
      <w:r>
        <w:t xml:space="preserve"> </w:t>
      </w:r>
      <w:r>
        <w:t xml:space="preserve">Critics argued that WID treated women as a separate, add-on category to be integrated into an unchanged, male-defined development model, rather than questioning why the model excluded women in the first place, or examining the underlying gender relations (unequal power, unpaid domestic labour, restricted decision-making authority) that caused women’s exclusion. It also tended to add income-generating responsibilities onto women’s existing unpaid domestic workload without addressing that workload, increasing women’s total labour burden — sometimes called the</w:t>
      </w:r>
      <w:r>
        <w:t xml:space="preserve"> </w:t>
      </w:r>
      <w:r>
        <w:t xml:space="preserve">“</w:t>
      </w:r>
      <w:r>
        <w:t xml:space="preserve">triple burden</w:t>
      </w:r>
      <w:r>
        <w:t xml:space="preserve">”</w:t>
      </w:r>
      <w:r>
        <w:t xml:space="preserve"> </w:t>
      </w:r>
      <w:r>
        <w:t xml:space="preserve">of productive, reproductive, and community work.</w:t>
      </w:r>
    </w:p>
    <w:p>
      <w:pPr>
        <w:pStyle w:val="BodyText"/>
      </w:pPr>
      <w:r>
        <w:rPr>
          <w:bCs/>
          <w:b/>
        </w:rPr>
        <w:t xml:space="preserve">Key Takeaways</w:t>
      </w:r>
    </w:p>
    <w:p>
      <w:pPr>
        <w:numPr>
          <w:ilvl w:val="0"/>
          <w:numId w:val="1041"/>
        </w:numPr>
        <w:pStyle w:val="Compact"/>
      </w:pPr>
      <w:r>
        <w:t xml:space="preserve">WID (1970s) sought to integrate women into existing development processes through targeted access to credit, training, and income projects.</w:t>
      </w:r>
    </w:p>
    <w:p>
      <w:pPr>
        <w:numPr>
          <w:ilvl w:val="0"/>
          <w:numId w:val="1041"/>
        </w:numPr>
        <w:pStyle w:val="Compact"/>
      </w:pPr>
      <w:r>
        <w:t xml:space="preserve">Its main strength was making women’s economic role newly visible to policymakers.</w:t>
      </w:r>
    </w:p>
    <w:p>
      <w:pPr>
        <w:numPr>
          <w:ilvl w:val="0"/>
          <w:numId w:val="1041"/>
        </w:numPr>
        <w:pStyle w:val="Compact"/>
      </w:pPr>
      <w:r>
        <w:t xml:space="preserve">Main criticism: it added responsibilities onto women without addressing unpaid domestic labour or underlying gender power relations, motivating WAD and GAD.</w:t>
      </w:r>
    </w:p>
    <w:bookmarkEnd w:id="52"/>
    <w:bookmarkStart w:id="53" w:name="women-and-development-wad"/>
    <w:p>
      <w:pPr>
        <w:pStyle w:val="Heading3"/>
      </w:pPr>
      <w:r>
        <w:t xml:space="preserve">30. Women and Development (WAD)</w:t>
      </w:r>
    </w:p>
    <w:p>
      <w:pPr>
        <w:pStyle w:val="FirstParagraph"/>
      </w:pPr>
      <w:r>
        <w:t xml:space="preserve">Women and Development (WAD), emerging in the late 1970s largely from Marxist and dependency-theory-influenced scholars (Topics 14, 27), responded to WID’s central weakness by arguing that women had never actually been</w:t>
      </w:r>
      <w:r>
        <w:t xml:space="preserve"> </w:t>
      </w:r>
      <w:r>
        <w:t xml:space="preserve">“</w:t>
      </w:r>
      <w:r>
        <w:t xml:space="preserve">left out</w:t>
      </w:r>
      <w:r>
        <w:t xml:space="preserve">”</w:t>
      </w:r>
      <w:r>
        <w:t xml:space="preserve"> </w:t>
      </w:r>
      <w:r>
        <w:t xml:space="preserve">of development at all — they had always been integrated into economic processes, but on unequal and exploitative terms, particularly through unpaid reproductive labour and underpaid informal work.</w:t>
      </w:r>
    </w:p>
    <w:p>
      <w:pPr>
        <w:pStyle w:val="BodyText"/>
      </w:pPr>
      <w:r>
        <w:rPr>
          <w:bCs/>
          <w:b/>
        </w:rPr>
        <w:t xml:space="preserve">Core argument.</w:t>
      </w:r>
      <w:r>
        <w:t xml:space="preserve"> </w:t>
      </w:r>
      <w:r>
        <w:t xml:space="preserve">WAD’s key claim is that the</w:t>
      </w:r>
      <w:r>
        <w:t xml:space="preserve"> </w:t>
      </w:r>
      <w:r>
        <w:rPr>
          <w:iCs/>
          <w:i/>
        </w:rPr>
        <w:t xml:space="preserve">problem is not women’s exclusion from development, but the exploitative structure of the development process itself</w:t>
      </w:r>
      <w:r>
        <w:t xml:space="preserve"> </w:t>
      </w:r>
      <w:r>
        <w:t xml:space="preserve">— the same global capitalist and patriarchal structures analysed in dependency theory and Marxist feminism. On this view, simply adding women more fully into existing development programmes (the WID solution) cannot fix the problem, because the structure of the global economy itself, not merely women’s absence from it, is what generates inequality.</w:t>
      </w:r>
    </w:p>
    <w:p>
      <w:pPr>
        <w:pStyle w:val="BodyText"/>
      </w:pPr>
      <w:r>
        <w:rPr>
          <w:bCs/>
          <w:b/>
        </w:rPr>
        <w:t xml:space="preserve">Comparison with WID.</w:t>
      </w:r>
      <w:r>
        <w:t xml:space="preserve"> </w:t>
      </w:r>
      <w:r>
        <w:t xml:space="preserve">Where WID asks</w:t>
      </w:r>
      <w:r>
        <w:t xml:space="preserve"> </w:t>
      </w:r>
      <w:r>
        <w:t xml:space="preserve">“</w:t>
      </w:r>
      <w:r>
        <w:t xml:space="preserve">how can we integrate women better into development?</w:t>
      </w:r>
      <w:r>
        <w:t xml:space="preserve">”</w:t>
      </w:r>
      <w:r>
        <w:t xml:space="preserve">, WAD asks</w:t>
      </w:r>
      <w:r>
        <w:t xml:space="preserve"> </w:t>
      </w:r>
      <w:r>
        <w:t xml:space="preserve">“</w:t>
      </w:r>
      <w:r>
        <w:t xml:space="preserve">why does the existing development model exploit women’s labour, and how must that model itself change?</w:t>
      </w:r>
      <w:r>
        <w:t xml:space="preserve">”</w:t>
      </w:r>
      <w:r>
        <w:t xml:space="preserve"> </w:t>
      </w:r>
      <w:r>
        <w:t xml:space="preserve">WAD is therefore more structurally critical and less optimistic that simply adding targeted women’s projects within an unchanged system will solve the underlying problem.</w:t>
      </w:r>
    </w:p>
    <w:p>
      <w:pPr>
        <w:pStyle w:val="BodyText"/>
      </w:pPr>
      <w:r>
        <w:rPr>
          <w:bCs/>
          <w:b/>
        </w:rPr>
        <w:t xml:space="preserve">Limitation of WAD.</w:t>
      </w:r>
      <w:r>
        <w:t xml:space="preserve"> </w:t>
      </w:r>
      <w:r>
        <w:t xml:space="preserve">Critics note that WAD, by focusing heavily on structural, class-based, and international economic explanations, sometimes underplayed the importance of gender relations</w:t>
      </w:r>
      <w:r>
        <w:t xml:space="preserve"> </w:t>
      </w:r>
      <w:r>
        <w:rPr>
          <w:iCs/>
          <w:i/>
        </w:rPr>
        <w:t xml:space="preserve">within</w:t>
      </w:r>
      <w:r>
        <w:t xml:space="preserve"> </w:t>
      </w:r>
      <w:r>
        <w:t xml:space="preserve">the household and local community (patriarchal power dynamics between husbands and wives, for example) as a cause of inequality distinct from global capitalism — a gap the next framework, GAD, was designed to close.</w:t>
      </w:r>
    </w:p>
    <w:p>
      <w:pPr>
        <w:pStyle w:val="BodyText"/>
      </w:pPr>
      <w:r>
        <w:rPr>
          <w:bCs/>
          <w:b/>
        </w:rPr>
        <w:t xml:space="preserve">Key Takeaways</w:t>
      </w:r>
    </w:p>
    <w:p>
      <w:pPr>
        <w:numPr>
          <w:ilvl w:val="0"/>
          <w:numId w:val="1042"/>
        </w:numPr>
        <w:pStyle w:val="Compact"/>
      </w:pPr>
      <w:r>
        <w:t xml:space="preserve">WAD (late 1970s) argues women were always integrated into development, but on exploitative terms, not excluded from it.</w:t>
      </w:r>
    </w:p>
    <w:p>
      <w:pPr>
        <w:numPr>
          <w:ilvl w:val="0"/>
          <w:numId w:val="1042"/>
        </w:numPr>
        <w:pStyle w:val="Compact"/>
      </w:pPr>
      <w:r>
        <w:t xml:space="preserve">It locates the cause of inequality in the structure of the global capitalist development process itself, not women’s absence from programmes.</w:t>
      </w:r>
    </w:p>
    <w:p>
      <w:pPr>
        <w:numPr>
          <w:ilvl w:val="0"/>
          <w:numId w:val="1042"/>
        </w:numPr>
        <w:pStyle w:val="Compact"/>
      </w:pPr>
      <w:r>
        <w:t xml:space="preserve">Its limitation: underemphasises household-level patriarchal power relations, a gap GAD later addressed.</w:t>
      </w:r>
    </w:p>
    <w:bookmarkEnd w:id="53"/>
    <w:bookmarkStart w:id="54" w:name="gender-and-development-gad"/>
    <w:p>
      <w:pPr>
        <w:pStyle w:val="Heading3"/>
      </w:pPr>
      <w:r>
        <w:t xml:space="preserve">31. Gender and Development (GAD)</w:t>
      </w:r>
    </w:p>
    <w:p>
      <w:pPr>
        <w:pStyle w:val="FirstParagraph"/>
      </w:pPr>
      <w:r>
        <w:t xml:space="preserve">Gender and Development (GAD), emerging in the 1980s, is generally regarded as the most theoretically comprehensive of the three frameworks (WID, WAD, GAD), because it combines WAD’s structural critique of the global economy with explicit attention to gender relations of power</w:t>
      </w:r>
      <w:r>
        <w:t xml:space="preserve"> </w:t>
      </w:r>
      <w:r>
        <w:rPr>
          <w:iCs/>
          <w:i/>
        </w:rPr>
        <w:t xml:space="preserve">within</w:t>
      </w:r>
      <w:r>
        <w:t xml:space="preserve"> </w:t>
      </w:r>
      <w:r>
        <w:t xml:space="preserve">households, communities, and institutions — the piece WAD had underemphasised.</w:t>
      </w:r>
    </w:p>
    <w:p>
      <w:pPr>
        <w:pStyle w:val="BodyText"/>
      </w:pPr>
      <w:r>
        <w:rPr>
          <w:bCs/>
          <w:b/>
        </w:rPr>
        <w:t xml:space="preserve">Core shift in focus.</w:t>
      </w:r>
      <w:r>
        <w:t xml:space="preserve"> </w:t>
      </w:r>
      <w:r>
        <w:t xml:space="preserve">Rather than focusing narrowly on</w:t>
      </w:r>
      <w:r>
        <w:t xml:space="preserve"> </w:t>
      </w:r>
      <w:r>
        <w:t xml:space="preserve">“</w:t>
      </w:r>
      <w:r>
        <w:t xml:space="preserve">women</w:t>
      </w:r>
      <w:r>
        <w:t xml:space="preserve">”</w:t>
      </w:r>
      <w:r>
        <w:t xml:space="preserve"> </w:t>
      </w:r>
      <w:r>
        <w:t xml:space="preserve">as a target group (as WID did) or purely on global economic structures (as WAD did), GAD analyses the</w:t>
      </w:r>
      <w:r>
        <w:t xml:space="preserve"> </w:t>
      </w:r>
      <w:r>
        <w:rPr>
          <w:iCs/>
          <w:i/>
        </w:rPr>
        <w:t xml:space="preserve">social relations between men and women</w:t>
      </w:r>
      <w:r>
        <w:t xml:space="preserve"> </w:t>
      </w:r>
      <w:r>
        <w:t xml:space="preserve">— how power, resources, and responsibilities are divided between genders at every level, from the household to international institutions — and asks how development interventions can transform unequal gender relations rather than simply working around them.</w:t>
      </w:r>
    </w:p>
    <w:p>
      <w:pPr>
        <w:pStyle w:val="BodyText"/>
      </w:pPr>
      <w:r>
        <w:rPr>
          <w:bCs/>
          <w:b/>
        </w:rPr>
        <w:t xml:space="preserve">Key conceptual tools introduced by GAD:</w:t>
      </w:r>
    </w:p>
    <w:p>
      <w:pPr>
        <w:numPr>
          <w:ilvl w:val="0"/>
          <w:numId w:val="1043"/>
        </w:numPr>
        <w:pStyle w:val="Compact"/>
      </w:pPr>
      <w:r>
        <w:rPr>
          <w:bCs/>
          <w:b/>
        </w:rPr>
        <w:t xml:space="preserve">Practical needs vs. strategic needs</w:t>
      </w:r>
      <w:r>
        <w:t xml:space="preserve"> </w:t>
      </w:r>
      <w:r>
        <w:t xml:space="preserve">(a distinction developed by Maxine Molyneux and taken up widely in GAD): practical gender needs are immediate, material needs arising from women’s existing roles (for example, a nearby water source to reduce time spent fetching water); strategic gender needs address the underlying unequal power relations that created those roles in the first place (for example, changing land inheritance laws so women can own property independently). GAD emphasises that development should aim to address strategic needs, not only practical ones, or existing inequality will simply be managed rather than reduced.</w:t>
      </w:r>
    </w:p>
    <w:p>
      <w:pPr>
        <w:numPr>
          <w:ilvl w:val="0"/>
          <w:numId w:val="1043"/>
        </w:numPr>
        <w:pStyle w:val="Compact"/>
      </w:pPr>
      <w:r>
        <w:rPr>
          <w:bCs/>
          <w:b/>
        </w:rPr>
        <w:t xml:space="preserve">Gender mainstreaming</w:t>
      </w:r>
      <w:r>
        <w:t xml:space="preserve"> </w:t>
      </w:r>
      <w:r>
        <w:t xml:space="preserve">(Topic 4, Topic 22) — the idea that gender analysis should be integrated into every policy area, not confined to separate women’s projects, is the operational strategy most closely associated with GAD and was formally adopted by the UN at the 1995 Beijing Conference.</w:t>
      </w:r>
    </w:p>
    <w:p>
      <w:pPr>
        <w:pStyle w:val="FirstParagraph"/>
      </w:pPr>
      <w:r>
        <w:rPr>
          <w:bCs/>
          <w:b/>
        </w:rPr>
        <w:t xml:space="preserve">Why GAD is considered the dominant current framework.</w:t>
      </w:r>
      <w:r>
        <w:t xml:space="preserve"> </w:t>
      </w:r>
      <w:r>
        <w:t xml:space="preserve">Most contemporary international development institutions (the UN, World Bank, major bilateral donors) officially frame their gender policy in GAD terms — emphasising gender relations, mainstreaming, and strategic needs — even though WID-style targeted women’s projects continue to operate in practice alongside GAD’s broader framework.</w:t>
      </w:r>
    </w:p>
    <w:p>
      <w:pPr>
        <w:pStyle w:val="BodyText"/>
      </w:pPr>
      <w:r>
        <w:rPr>
          <w:bCs/>
          <w:b/>
        </w:rPr>
        <w:t xml:space="preserve">Key Takeaways</w:t>
      </w:r>
    </w:p>
    <w:p>
      <w:pPr>
        <w:numPr>
          <w:ilvl w:val="0"/>
          <w:numId w:val="1044"/>
        </w:numPr>
        <w:pStyle w:val="Compact"/>
      </w:pPr>
      <w:r>
        <w:t xml:space="preserve">GAD (1980s) combines WAD’s structural critique with explicit analysis of gender power relations within households and institutions.</w:t>
      </w:r>
    </w:p>
    <w:p>
      <w:pPr>
        <w:numPr>
          <w:ilvl w:val="0"/>
          <w:numId w:val="1044"/>
        </w:numPr>
        <w:pStyle w:val="Compact"/>
      </w:pPr>
      <w:r>
        <w:t xml:space="preserve">Molyneux’s practical needs/strategic needs distinction is GAD’s key conceptual tool; addressing strategic needs is necessary to change underlying inequality.</w:t>
      </w:r>
    </w:p>
    <w:p>
      <w:pPr>
        <w:numPr>
          <w:ilvl w:val="0"/>
          <w:numId w:val="1044"/>
        </w:numPr>
        <w:pStyle w:val="Compact"/>
      </w:pPr>
      <w:r>
        <w:t xml:space="preserve">Gender mainstreaming (adopted at Beijing 1995) is GAD’s dominant operational strategy and remains the mainstream international policy framework today.</w:t>
      </w:r>
    </w:p>
    <w:bookmarkEnd w:id="54"/>
    <w:bookmarkStart w:id="55" w:name="X36372f38c743e2eb299eb0f90f96e2011cfc833"/>
    <w:p>
      <w:pPr>
        <w:pStyle w:val="Heading3"/>
      </w:pPr>
      <w:r>
        <w:t xml:space="preserve">32. Structural Adjustment Programmes and Gender</w:t>
      </w:r>
    </w:p>
    <w:p>
      <w:pPr>
        <w:pStyle w:val="FirstParagraph"/>
      </w:pPr>
      <w:r>
        <w:t xml:space="preserve">Structural Adjustment Programmes (SAPs) were economic reform packages imposed by the International Monetary Fund (IMF) and World Bank as conditions attached to loans to heavily indebted developing countries, especially from the 1980s onward, typically requiring recipient governments to cut public spending, reduce subsidies, privatise state enterprises, devalue currency, and orient the economy toward export-led growth.</w:t>
      </w:r>
    </w:p>
    <w:p>
      <w:pPr>
        <w:pStyle w:val="BodyText"/>
      </w:pPr>
      <w:r>
        <w:rPr>
          <w:bCs/>
          <w:b/>
        </w:rPr>
        <w:t xml:space="preserve">Gendered impact — the mechanism.</w:t>
      </w:r>
      <w:r>
        <w:t xml:space="preserve"> </w:t>
      </w:r>
      <w:r>
        <w:t xml:space="preserve">Feminist economists, building on dependency theory (Topic 27) and GAD analysis (Topic 31), demonstrated that SAPs, although presented as gender-neutral macroeconomic policy, had systematically different effects on men and women:</w:t>
      </w:r>
    </w:p>
    <w:p>
      <w:pPr>
        <w:numPr>
          <w:ilvl w:val="0"/>
          <w:numId w:val="1045"/>
        </w:numPr>
        <w:pStyle w:val="Compact"/>
      </w:pPr>
      <w:r>
        <w:rPr>
          <w:bCs/>
          <w:b/>
        </w:rPr>
        <w:t xml:space="preserve">Cuts to public health and education spending</w:t>
      </w:r>
      <w:r>
        <w:t xml:space="preserve"> </w:t>
      </w:r>
      <w:r>
        <w:t xml:space="preserve">shifted the burden of care (nursing sick family members, home-schooling, fetching water where public services were cut) onto women’s unpaid labour, since someone still had to perform this work even after the state stopped funding it.</w:t>
      </w:r>
    </w:p>
    <w:p>
      <w:pPr>
        <w:numPr>
          <w:ilvl w:val="0"/>
          <w:numId w:val="1045"/>
        </w:numPr>
        <w:pStyle w:val="Compact"/>
      </w:pPr>
      <w:r>
        <w:rPr>
          <w:bCs/>
          <w:b/>
        </w:rPr>
        <w:t xml:space="preserve">Removal of food and fuel subsidies</w:t>
      </w:r>
      <w:r>
        <w:t xml:space="preserve"> </w:t>
      </w:r>
      <w:r>
        <w:t xml:space="preserve">increased the time and effort women spent managing household budgets and food provision, since women were typically responsible for stretching reduced household resources.</w:t>
      </w:r>
    </w:p>
    <w:p>
      <w:pPr>
        <w:numPr>
          <w:ilvl w:val="0"/>
          <w:numId w:val="1045"/>
        </w:numPr>
        <w:pStyle w:val="Compact"/>
      </w:pPr>
      <w:r>
        <w:rPr>
          <w:bCs/>
          <w:b/>
        </w:rPr>
        <w:t xml:space="preserve">Export-oriented growth strategies</w:t>
      </w:r>
      <w:r>
        <w:t xml:space="preserve"> </w:t>
      </w:r>
      <w:r>
        <w:t xml:space="preserve">increased demand for women’s cheap factory labour (as in the World System Theory analysis, Topic 26) even as public support services that could have eased women’s domestic burden were being cut, effectively increasing women’s total workload across both paid and unpaid spheres simultaneously.</w:t>
      </w:r>
    </w:p>
    <w:p>
      <w:pPr>
        <w:pStyle w:val="FirstParagraph"/>
      </w:pPr>
      <w:r>
        <w:rPr>
          <w:bCs/>
          <w:b/>
        </w:rPr>
        <w:t xml:space="preserve">Why this became a landmark feminist economics critique.</w:t>
      </w:r>
      <w:r>
        <w:t xml:space="preserve"> </w:t>
      </w:r>
      <w:r>
        <w:t xml:space="preserve">This body of research, associated particularly with economists like Diane Elson, was highly influential because it demonstrated with concrete empirical detail that macroeconomic policy is never actually gender-neutral — it has systematically different, and often more burdensome, effects on women — even though mainstream economic policy analysis at the time rarely considered gender at all.</w:t>
      </w:r>
    </w:p>
    <w:p>
      <w:pPr>
        <w:pStyle w:val="BodyText"/>
      </w:pPr>
      <w:r>
        <w:rPr>
          <w:bCs/>
          <w:b/>
        </w:rPr>
        <w:t xml:space="preserve">Contemporary relevance.</w:t>
      </w:r>
      <w:r>
        <w:t xml:space="preserve"> </w:t>
      </w:r>
      <w:r>
        <w:t xml:space="preserve">This critique remains directly relevant to Pakistan’s recurring IMF programmes, where similar debates continue about whether fiscal austerity conditions disproportionately burden women through cuts to public health and education spending and increases in the cost of living.</w:t>
      </w:r>
    </w:p>
    <w:p>
      <w:pPr>
        <w:pStyle w:val="BodyText"/>
      </w:pPr>
      <w:r>
        <w:rPr>
          <w:bCs/>
          <w:b/>
        </w:rPr>
        <w:t xml:space="preserve">Key Takeaways</w:t>
      </w:r>
    </w:p>
    <w:p>
      <w:pPr>
        <w:numPr>
          <w:ilvl w:val="0"/>
          <w:numId w:val="1046"/>
        </w:numPr>
        <w:pStyle w:val="Compact"/>
      </w:pPr>
      <w:r>
        <w:t xml:space="preserve">SAPs (1980s onward) required austerity, privatisation, and export orientation as loan conditions from the IMF/World Bank.</w:t>
      </w:r>
    </w:p>
    <w:p>
      <w:pPr>
        <w:numPr>
          <w:ilvl w:val="0"/>
          <w:numId w:val="1046"/>
        </w:numPr>
        <w:pStyle w:val="Compact"/>
      </w:pPr>
      <w:r>
        <w:t xml:space="preserve">Feminist economists (e.g., Diane Elson) showed SAPs systematically shifted burdens onto women through cuts to public services and rising unpaid care work.</w:t>
      </w:r>
    </w:p>
    <w:p>
      <w:pPr>
        <w:numPr>
          <w:ilvl w:val="0"/>
          <w:numId w:val="1046"/>
        </w:numPr>
        <w:pStyle w:val="Compact"/>
      </w:pPr>
      <w:r>
        <w:t xml:space="preserve">The critique remains directly relevant to contemporary IMF programmes in countries like Pakistan.</w:t>
      </w:r>
    </w:p>
    <w:bookmarkEnd w:id="55"/>
    <w:bookmarkStart w:id="56" w:name="globalization-and-gender"/>
    <w:p>
      <w:pPr>
        <w:pStyle w:val="Heading3"/>
      </w:pPr>
      <w:r>
        <w:t xml:space="preserve">33. Globalization and Gender</w:t>
      </w:r>
    </w:p>
    <w:p>
      <w:pPr>
        <w:pStyle w:val="FirstParagraph"/>
      </w:pPr>
      <w:r>
        <w:t xml:space="preserve">Globalization — the accelerating international integration of trade, capital, labour, and communication — has produced complex and sometimes contradictory effects on gender relations, which is why this topic requires a genuinely two-sided analysis rather than a one-directional</w:t>
      </w:r>
      <w:r>
        <w:t xml:space="preserve"> </w:t>
      </w:r>
      <w:r>
        <w:t xml:space="preserve">“</w:t>
      </w:r>
      <w:r>
        <w:t xml:space="preserve">good</w:t>
      </w:r>
      <w:r>
        <w:t xml:space="preserve">”</w:t>
      </w:r>
      <w:r>
        <w:t xml:space="preserve"> </w:t>
      </w:r>
      <w:r>
        <w:t xml:space="preserve">or</w:t>
      </w:r>
      <w:r>
        <w:t xml:space="preserve"> </w:t>
      </w:r>
      <w:r>
        <w:t xml:space="preserve">“</w:t>
      </w:r>
      <w:r>
        <w:t xml:space="preserve">bad</w:t>
      </w:r>
      <w:r>
        <w:t xml:space="preserve">”</w:t>
      </w:r>
      <w:r>
        <w:t xml:space="preserve"> </w:t>
      </w:r>
      <w:r>
        <w:t xml:space="preserve">verdict.</w:t>
      </w:r>
    </w:p>
    <w:p>
      <w:pPr>
        <w:pStyle w:val="BodyText"/>
      </w:pPr>
      <w:r>
        <w:rPr>
          <w:bCs/>
          <w:b/>
        </w:rPr>
        <w:t xml:space="preserve">Ways globalization has been argued to benefit women:</w:t>
      </w:r>
    </w:p>
    <w:p>
      <w:pPr>
        <w:numPr>
          <w:ilvl w:val="0"/>
          <w:numId w:val="1047"/>
        </w:numPr>
        <w:pStyle w:val="Compact"/>
      </w:pPr>
      <w:r>
        <w:rPr>
          <w:bCs/>
          <w:b/>
        </w:rPr>
        <w:t xml:space="preserve">Export-oriented manufacturing jobs</w:t>
      </w:r>
      <w:r>
        <w:t xml:space="preserve"> </w:t>
      </w:r>
      <w:r>
        <w:t xml:space="preserve">(garments, electronics) have drawn large numbers of women into paid employment in many developing countries, including Pakistan, giving some women independent income and greater household bargaining power for the first time, even though these jobs are frequently low-paid and precarious (linking back to Topics 26 and 32).</w:t>
      </w:r>
    </w:p>
    <w:p>
      <w:pPr>
        <w:numPr>
          <w:ilvl w:val="0"/>
          <w:numId w:val="1047"/>
        </w:numPr>
        <w:pStyle w:val="Compact"/>
      </w:pPr>
      <w:r>
        <w:rPr>
          <w:bCs/>
          <w:b/>
        </w:rPr>
        <w:t xml:space="preserve">Global information and communication technologies</w:t>
      </w:r>
      <w:r>
        <w:t xml:space="preserve"> </w:t>
      </w:r>
      <w:r>
        <w:t xml:space="preserve">have expanded women’s access to education, information about their legal rights, and networks with international and local women’s rights organisations, strengthening feminist advocacy and cross-border solidarity movements.</w:t>
      </w:r>
    </w:p>
    <w:p>
      <w:pPr>
        <w:numPr>
          <w:ilvl w:val="0"/>
          <w:numId w:val="1047"/>
        </w:numPr>
        <w:pStyle w:val="Compact"/>
      </w:pPr>
      <w:r>
        <w:rPr>
          <w:bCs/>
          <w:b/>
        </w:rPr>
        <w:t xml:space="preserve">Global norm diffusion</w:t>
      </w:r>
      <w:r>
        <w:t xml:space="preserve"> </w:t>
      </w:r>
      <w:r>
        <w:t xml:space="preserve">— international treaties and conferences (Topic 22) and global media exposure to different gender norms have pressured many governments, including Pakistan’s, to reform discriminatory laws and adopt international gender-equality standards.</w:t>
      </w:r>
    </w:p>
    <w:p>
      <w:pPr>
        <w:pStyle w:val="FirstParagraph"/>
      </w:pPr>
      <w:r>
        <w:rPr>
          <w:bCs/>
          <w:b/>
        </w:rPr>
        <w:t xml:space="preserve">Ways globalization has been argued to harm women:</w:t>
      </w:r>
    </w:p>
    <w:p>
      <w:pPr>
        <w:numPr>
          <w:ilvl w:val="0"/>
          <w:numId w:val="1048"/>
        </w:numPr>
        <w:pStyle w:val="Compact"/>
      </w:pPr>
      <w:r>
        <w:rPr>
          <w:bCs/>
          <w:b/>
        </w:rPr>
        <w:t xml:space="preserve">The</w:t>
      </w:r>
      <w:r>
        <w:rPr>
          <w:bCs/>
          <w:b/>
        </w:rPr>
        <w:t xml:space="preserve"> </w:t>
      </w:r>
      <w:r>
        <w:rPr>
          <w:bCs/>
          <w:b/>
        </w:rPr>
        <w:t xml:space="preserve">“</w:t>
      </w:r>
      <w:r>
        <w:rPr>
          <w:bCs/>
          <w:b/>
        </w:rPr>
        <w:t xml:space="preserve">race to the bottom</w:t>
      </w:r>
      <w:r>
        <w:rPr>
          <w:bCs/>
          <w:b/>
        </w:rPr>
        <w:t xml:space="preserve">”</w:t>
      </w:r>
      <w:r>
        <w:rPr>
          <w:bCs/>
          <w:b/>
        </w:rPr>
        <w:t xml:space="preserve"> </w:t>
      </w:r>
      <w:r>
        <w:rPr>
          <w:bCs/>
          <w:b/>
        </w:rPr>
        <w:t xml:space="preserve">in labour standards</w:t>
      </w:r>
      <w:r>
        <w:t xml:space="preserve">, where countries compete for foreign investment partly by offering cheap, poorly protected labour, has meant that much of the new employment available to women comes with low wages, minimal job security, and weak enforcement of labour rights.</w:t>
      </w:r>
    </w:p>
    <w:p>
      <w:pPr>
        <w:numPr>
          <w:ilvl w:val="0"/>
          <w:numId w:val="1048"/>
        </w:numPr>
        <w:pStyle w:val="Compact"/>
      </w:pPr>
      <w:r>
        <w:rPr>
          <w:bCs/>
          <w:b/>
        </w:rPr>
        <w:t xml:space="preserve">Global economic volatility</w:t>
      </w:r>
      <w:r>
        <w:t xml:space="preserve"> </w:t>
      </w:r>
      <w:r>
        <w:t xml:space="preserve">(financial crises, commodity price swings) disproportionately affects the informal and precarious jobs many women hold, with fewer protections than in the formal sector.</w:t>
      </w:r>
    </w:p>
    <w:p>
      <w:pPr>
        <w:numPr>
          <w:ilvl w:val="0"/>
          <w:numId w:val="1048"/>
        </w:numPr>
        <w:pStyle w:val="Compact"/>
      </w:pPr>
      <w:r>
        <w:rPr>
          <w:bCs/>
          <w:b/>
        </w:rPr>
        <w:t xml:space="preserve">Human trafficking and exploitative labour migration</w:t>
      </w:r>
      <w:r>
        <w:t xml:space="preserve">, a serious concern in gender-and-globalization literature, has expanded alongside globalization’s increased cross-border labour mobility, disproportionately victimising women and children in specific sectors such as domestic work and the sex trade.</w:t>
      </w:r>
    </w:p>
    <w:p>
      <w:pPr>
        <w:pStyle w:val="FirstParagraph"/>
      </w:pPr>
      <w:r>
        <w:rPr>
          <w:bCs/>
          <w:b/>
        </w:rPr>
        <w:t xml:space="preserve">Balanced conclusion for exam purposes.</w:t>
      </w:r>
      <w:r>
        <w:t xml:space="preserve"> </w:t>
      </w:r>
      <w:r>
        <w:t xml:space="preserve">The evidence does not support a single verdict; globalization has expanded some forms of women’s economic participation and rights awareness while simultaneously exposing many women to new forms of precarious labour and exploitation, and the actual outcome in a given country depends heavily on domestic labour law, enforcement capacity, and social protection systems.</w:t>
      </w:r>
    </w:p>
    <w:p>
      <w:pPr>
        <w:pStyle w:val="BodyText"/>
      </w:pPr>
      <w:r>
        <w:rPr>
          <w:bCs/>
          <w:b/>
        </w:rPr>
        <w:t xml:space="preserve">Key Takeaways</w:t>
      </w:r>
    </w:p>
    <w:p>
      <w:pPr>
        <w:numPr>
          <w:ilvl w:val="0"/>
          <w:numId w:val="1049"/>
        </w:numPr>
        <w:pStyle w:val="Compact"/>
      </w:pPr>
      <w:r>
        <w:t xml:space="preserve">Globalization has expanded women’s paid employment and rights awareness through export industries, ICT access, and international norm diffusion.</w:t>
      </w:r>
    </w:p>
    <w:p>
      <w:pPr>
        <w:numPr>
          <w:ilvl w:val="0"/>
          <w:numId w:val="1049"/>
        </w:numPr>
        <w:pStyle w:val="Compact"/>
      </w:pPr>
      <w:r>
        <w:t xml:space="preserve">It has also intensified precarious, poorly protected labour and cross-border exploitation, including trafficking.</w:t>
      </w:r>
    </w:p>
    <w:p>
      <w:pPr>
        <w:numPr>
          <w:ilvl w:val="0"/>
          <w:numId w:val="1049"/>
        </w:numPr>
        <w:pStyle w:val="Compact"/>
      </w:pPr>
      <w:r>
        <w:t xml:space="preserve">The net effect depends on domestic labour regulation and enforcement, not on globalization alone.</w:t>
      </w:r>
    </w:p>
    <w:bookmarkEnd w:id="56"/>
    <w:bookmarkEnd w:id="57"/>
    <w:bookmarkStart w:id="62" w:name="vi.-status-of-women-in-pakistan"/>
    <w:p>
      <w:pPr>
        <w:pStyle w:val="Heading2"/>
      </w:pPr>
      <w:r>
        <w:t xml:space="preserve">VI. Status of Women in Pakistan</w:t>
      </w:r>
    </w:p>
    <w:bookmarkStart w:id="58" w:name="womens-health-in-pakistan"/>
    <w:p>
      <w:pPr>
        <w:pStyle w:val="Heading3"/>
      </w:pPr>
      <w:r>
        <w:t xml:space="preserve">34. Women’s Health in Pakistan</w:t>
      </w:r>
    </w:p>
    <w:p>
      <w:pPr>
        <w:pStyle w:val="FirstParagraph"/>
      </w:pPr>
      <w:r>
        <w:t xml:space="preserve">Women’s health outcomes in Pakistan remain significantly worse than men’s on several key indicators, and understanding why requires looking at both direct healthcare access and the broader social determinants of health.</w:t>
      </w:r>
    </w:p>
    <w:p>
      <w:pPr>
        <w:pStyle w:val="BodyText"/>
      </w:pPr>
      <w:r>
        <w:rPr>
          <w:bCs/>
          <w:b/>
        </w:rPr>
        <w:t xml:space="preserve">Key indicators and challenges:</w:t>
      </w:r>
    </w:p>
    <w:p>
      <w:pPr>
        <w:numPr>
          <w:ilvl w:val="0"/>
          <w:numId w:val="1050"/>
        </w:numPr>
        <w:pStyle w:val="Compact"/>
      </w:pPr>
      <w:r>
        <w:rPr>
          <w:bCs/>
          <w:b/>
        </w:rPr>
        <w:t xml:space="preserve">Maternal mortality.</w:t>
      </w:r>
      <w:r>
        <w:t xml:space="preserve"> </w:t>
      </w:r>
      <w:r>
        <w:t xml:space="preserve">Pakistan has historically had one of the higher maternal mortality ratios in South Asia, reflecting limited access to skilled birth attendance, particularly in rural areas, alongside early marriage and closely spaced, high-parity pregnancies that increase health risk. While the ratio has declined over recent decades due to expanded health infrastructure and safe motherhood programmes, it remains a significant public health concern, with rural-urban and provincial disparities (Balochistan and rural Sindh generally faring worse than Punjab’s urban centres).</w:t>
      </w:r>
    </w:p>
    <w:p>
      <w:pPr>
        <w:numPr>
          <w:ilvl w:val="0"/>
          <w:numId w:val="1050"/>
        </w:numPr>
        <w:pStyle w:val="Compact"/>
      </w:pPr>
      <w:r>
        <w:rPr>
          <w:bCs/>
          <w:b/>
        </w:rPr>
        <w:t xml:space="preserve">Nutrition.</w:t>
      </w:r>
      <w:r>
        <w:t xml:space="preserve"> </w:t>
      </w:r>
      <w:r>
        <w:t xml:space="preserve">Cultural food-allocation practices in some households, where men and boys are served first or given priority portions, combined with the additional nutritional demands of frequent pregnancy and breastfeeding, contribute to higher rates of anaemia and malnutrition among women of reproductive age compared to men.</w:t>
      </w:r>
    </w:p>
    <w:p>
      <w:pPr>
        <w:numPr>
          <w:ilvl w:val="0"/>
          <w:numId w:val="1050"/>
        </w:numPr>
        <w:pStyle w:val="Compact"/>
      </w:pPr>
      <w:r>
        <w:rPr>
          <w:bCs/>
          <w:b/>
        </w:rPr>
        <w:t xml:space="preserve">Access barriers.</w:t>
      </w:r>
      <w:r>
        <w:t xml:space="preserve"> </w:t>
      </w:r>
      <w:r>
        <w:t xml:space="preserve">Women’s healthcare access is shaped by factors beyond clinical availability: the requirement in many households to seek a husband’s or elder’s permission before travelling to a clinic, the shortage of female healthcare providers in conservative rural settings where women may be reluctant to be examined by male doctors (a key rationale behind Pakistan’s Lady Health Worker Programme, launched in 1994 to bring community-based female health workers directly to households), and the financial cost of care in a largely out-of-pocket healthcare financing system.</w:t>
      </w:r>
    </w:p>
    <w:p>
      <w:pPr>
        <w:numPr>
          <w:ilvl w:val="0"/>
          <w:numId w:val="1050"/>
        </w:numPr>
        <w:pStyle w:val="Compact"/>
      </w:pPr>
      <w:r>
        <w:rPr>
          <w:bCs/>
          <w:b/>
        </w:rPr>
        <w:t xml:space="preserve">Reproductive health and family planning.</w:t>
      </w:r>
      <w:r>
        <w:t xml:space="preserve"> </w:t>
      </w:r>
      <w:r>
        <w:t xml:space="preserve">Access to contraception and family planning services remains limited by cultural attitudes, limited spousal communication about family planning, and uneven rural service availability, contributing to Pakistan’s continued high total fertility rate relative to regional peers.</w:t>
      </w:r>
    </w:p>
    <w:p>
      <w:pPr>
        <w:pStyle w:val="FirstParagraph"/>
      </w:pPr>
      <w:r>
        <w:rPr>
          <w:bCs/>
          <w:b/>
        </w:rPr>
        <w:t xml:space="preserve">Policy response.</w:t>
      </w:r>
      <w:r>
        <w:t xml:space="preserve"> </w:t>
      </w:r>
      <w:r>
        <w:t xml:space="preserve">The Lady Health Worker Programme is widely regarded as Pakistan’s most significant structural innovation addressing women’s health access, alongside the Benazir Income Support Programme’s health-linked conditional cash transfers and provincial maternal and newborn health programmes following the 18th Amendment’s devolution of health policy to the provinces.</w:t>
      </w:r>
    </w:p>
    <w:p>
      <w:pPr>
        <w:pStyle w:val="BodyText"/>
      </w:pPr>
      <w:r>
        <w:rPr>
          <w:bCs/>
          <w:b/>
        </w:rPr>
        <w:t xml:space="preserve">Key Takeaways</w:t>
      </w:r>
    </w:p>
    <w:p>
      <w:pPr>
        <w:numPr>
          <w:ilvl w:val="0"/>
          <w:numId w:val="1051"/>
        </w:numPr>
        <w:pStyle w:val="Compact"/>
      </w:pPr>
      <w:r>
        <w:t xml:space="preserve">Maternal mortality, anaemia, and reproductive-health access remain the central challenges, with significant rural-urban and provincial disparities.</w:t>
      </w:r>
    </w:p>
    <w:p>
      <w:pPr>
        <w:numPr>
          <w:ilvl w:val="0"/>
          <w:numId w:val="1051"/>
        </w:numPr>
        <w:pStyle w:val="Compact"/>
      </w:pPr>
      <w:r>
        <w:t xml:space="preserve">Access barriers include not only clinical availability but also permission norms, shortage of female providers, and cost.</w:t>
      </w:r>
    </w:p>
    <w:p>
      <w:pPr>
        <w:numPr>
          <w:ilvl w:val="0"/>
          <w:numId w:val="1051"/>
        </w:numPr>
        <w:pStyle w:val="Compact"/>
      </w:pPr>
      <w:r>
        <w:t xml:space="preserve">The Lady Health Worker Programme (1994) is the key structural policy response bringing care directly to underserved women.</w:t>
      </w:r>
    </w:p>
    <w:bookmarkEnd w:id="58"/>
    <w:bookmarkStart w:id="59" w:name="womens-education-in-pakistan"/>
    <w:p>
      <w:pPr>
        <w:pStyle w:val="Heading3"/>
      </w:pPr>
      <w:r>
        <w:t xml:space="preserve">35. Women’s Education in Pakistan</w:t>
      </w:r>
    </w:p>
    <w:p>
      <w:pPr>
        <w:pStyle w:val="FirstParagraph"/>
      </w:pPr>
      <w:r>
        <w:t xml:space="preserve">Pakistan has made measurable progress in girls’ education over recent decades but continues to show a persistent gender gap, particularly beyond the primary level and in rural areas.</w:t>
      </w:r>
    </w:p>
    <w:p>
      <w:pPr>
        <w:pStyle w:val="BodyText"/>
      </w:pPr>
      <w:r>
        <w:rPr>
          <w:bCs/>
          <w:b/>
        </w:rPr>
        <w:t xml:space="preserve">The scale of the gap.</w:t>
      </w:r>
      <w:r>
        <w:t xml:space="preserve"> </w:t>
      </w:r>
      <w:r>
        <w:t xml:space="preserve">Female literacy in Pakistan remains lower than male literacy nationally, with the gap widening further in rural areas and in provinces such as Balochistan, where girls’ school enrolment and completion rates are markedly lower than boys’. The gap widens progressively at each higher level of education — girls’ enrolment drops relative to boys’ most sharply at the transition from primary to secondary school.</w:t>
      </w:r>
    </w:p>
    <w:p>
      <w:pPr>
        <w:pStyle w:val="BodyText"/>
      </w:pPr>
      <w:r>
        <w:rPr>
          <w:bCs/>
          <w:b/>
        </w:rPr>
        <w:t xml:space="preserve">Causes of the gender gap in education:</w:t>
      </w:r>
    </w:p>
    <w:p>
      <w:pPr>
        <w:numPr>
          <w:ilvl w:val="0"/>
          <w:numId w:val="1052"/>
        </w:numPr>
        <w:pStyle w:val="Compact"/>
      </w:pPr>
      <w:r>
        <w:rPr>
          <w:bCs/>
          <w:b/>
        </w:rPr>
        <w:t xml:space="preserve">Distance and safety.</w:t>
      </w:r>
      <w:r>
        <w:t xml:space="preserve"> </w:t>
      </w:r>
      <w:r>
        <w:t xml:space="preserve">Because secondary schools are less densely distributed than primary schools, girls in rural areas often must travel further, and safety concerns about travelling alone or with male strangers lead many families to withdraw girls from school at the secondary transition even when they permit primary attendance.</w:t>
      </w:r>
    </w:p>
    <w:p>
      <w:pPr>
        <w:numPr>
          <w:ilvl w:val="0"/>
          <w:numId w:val="1052"/>
        </w:numPr>
        <w:pStyle w:val="Compact"/>
      </w:pPr>
      <w:r>
        <w:rPr>
          <w:bCs/>
          <w:b/>
        </w:rPr>
        <w:t xml:space="preserve">Early marriage.</w:t>
      </w:r>
      <w:r>
        <w:t xml:space="preserve"> </w:t>
      </w:r>
      <w:r>
        <w:t xml:space="preserve">In some communities, marriage is arranged for girls around or shortly after puberty, directly curtailing further schooling; child marriage remains illegal under Pakistani law (the Child Marriage Restraint Act and later provincial legislation) but continues in practice in some areas due to weak enforcement and social custom.</w:t>
      </w:r>
    </w:p>
    <w:p>
      <w:pPr>
        <w:numPr>
          <w:ilvl w:val="0"/>
          <w:numId w:val="1052"/>
        </w:numPr>
        <w:pStyle w:val="Compact"/>
      </w:pPr>
      <w:r>
        <w:rPr>
          <w:bCs/>
          <w:b/>
        </w:rPr>
        <w:t xml:space="preserve">Household labour demands and opportunity cost.</w:t>
      </w:r>
      <w:r>
        <w:t xml:space="preserve"> </w:t>
      </w:r>
      <w:r>
        <w:t xml:space="preserve">Families facing economic pressure may prioritise sons’ education, viewed as a future household income investment, over daughters’, particularly where daughters are expected to marry into another household and their education is seen (rightly or wrongly) as benefiting that other family rather than their own.</w:t>
      </w:r>
    </w:p>
    <w:p>
      <w:pPr>
        <w:numPr>
          <w:ilvl w:val="0"/>
          <w:numId w:val="1052"/>
        </w:numPr>
        <w:pStyle w:val="Compact"/>
      </w:pPr>
      <w:r>
        <w:rPr>
          <w:bCs/>
          <w:b/>
        </w:rPr>
        <w:t xml:space="preserve">Shortage of female teachers</w:t>
      </w:r>
      <w:r>
        <w:t xml:space="preserve">, especially in rural secondary schools, discourages families in conservative communities from sending daughters to schools staffed mainly by male teachers.</w:t>
      </w:r>
    </w:p>
    <w:p>
      <w:pPr>
        <w:numPr>
          <w:ilvl w:val="0"/>
          <w:numId w:val="1052"/>
        </w:numPr>
        <w:pStyle w:val="Compact"/>
      </w:pPr>
      <w:r>
        <w:rPr>
          <w:bCs/>
          <w:b/>
        </w:rPr>
        <w:t xml:space="preserve">Direct attacks on girls’ education</w:t>
      </w:r>
      <w:r>
        <w:t xml:space="preserve"> </w:t>
      </w:r>
      <w:r>
        <w:t xml:space="preserve">in some regions, most visibly the Pakistani Taliban’s campaign against girls’ schooling in Swat (the context for the attack on Malala Yousafzai, covered in Topic 49), represent an extreme but historically significant obstacle in specific areas.</w:t>
      </w:r>
    </w:p>
    <w:p>
      <w:pPr>
        <w:pStyle w:val="FirstParagraph"/>
      </w:pPr>
      <w:r>
        <w:rPr>
          <w:bCs/>
          <w:b/>
        </w:rPr>
        <w:t xml:space="preserve">Policy responses.</w:t>
      </w:r>
      <w:r>
        <w:t xml:space="preserve"> </w:t>
      </w:r>
      <w:r>
        <w:t xml:space="preserve">These include stipend and conditional cash transfer programmes specifically incentivising girls’ secondary enrolment (such as province-level girls’ stipend programmes), the recruitment of female teachers for rural schools, and school-security measures following targeted attacks on girls’ education.</w:t>
      </w:r>
    </w:p>
    <w:p>
      <w:pPr>
        <w:pStyle w:val="BodyText"/>
      </w:pPr>
      <w:r>
        <w:rPr>
          <w:bCs/>
          <w:b/>
        </w:rPr>
        <w:t xml:space="preserve">Key Takeaways</w:t>
      </w:r>
    </w:p>
    <w:p>
      <w:pPr>
        <w:numPr>
          <w:ilvl w:val="0"/>
          <w:numId w:val="1053"/>
        </w:numPr>
        <w:pStyle w:val="Compact"/>
      </w:pPr>
      <w:r>
        <w:t xml:space="preserve">Pakistan’s gender gap in education widens at the primary-to-secondary transition and is worse in rural areas and in Balochistan specifically.</w:t>
      </w:r>
    </w:p>
    <w:p>
      <w:pPr>
        <w:numPr>
          <w:ilvl w:val="0"/>
          <w:numId w:val="1053"/>
        </w:numPr>
        <w:pStyle w:val="Compact"/>
      </w:pPr>
      <w:r>
        <w:t xml:space="preserve">Key causes: distance/safety concerns, early marriage, household opportunity-cost calculations, and shortage of female teachers.</w:t>
      </w:r>
    </w:p>
    <w:p>
      <w:pPr>
        <w:numPr>
          <w:ilvl w:val="0"/>
          <w:numId w:val="1053"/>
        </w:numPr>
        <w:pStyle w:val="Compact"/>
      </w:pPr>
      <w:r>
        <w:t xml:space="preserve">Policy responses include girls’ stipend programmes, female teacher recruitment, and school-security measures in areas affected by direct attacks on girls’ education.</w:t>
      </w:r>
    </w:p>
    <w:bookmarkEnd w:id="59"/>
    <w:bookmarkStart w:id="60" w:name="womens-employment-in-pakistan"/>
    <w:p>
      <w:pPr>
        <w:pStyle w:val="Heading3"/>
      </w:pPr>
      <w:r>
        <w:t xml:space="preserve">36. Women’s Employment in Pakistan</w:t>
      </w:r>
    </w:p>
    <w:p>
      <w:pPr>
        <w:pStyle w:val="FirstParagraph"/>
      </w:pPr>
      <w:r>
        <w:t xml:space="preserve">Pakistan has one of the lowest rates of female labour-force participation in South Asia and among the lowest globally, a fact that international gender-gap indices consistently highlight as a key structural weakness.</w:t>
      </w:r>
    </w:p>
    <w:p>
      <w:pPr>
        <w:pStyle w:val="BodyText"/>
      </w:pPr>
      <w:r>
        <w:rPr>
          <w:bCs/>
          <w:b/>
        </w:rPr>
        <w:t xml:space="preserve">Key features of the employment gap:</w:t>
      </w:r>
    </w:p>
    <w:p>
      <w:pPr>
        <w:numPr>
          <w:ilvl w:val="0"/>
          <w:numId w:val="1054"/>
        </w:numPr>
        <w:pStyle w:val="Compact"/>
      </w:pPr>
      <w:r>
        <w:rPr>
          <w:bCs/>
          <w:b/>
        </w:rPr>
        <w:t xml:space="preserve">Low overall participation.</w:t>
      </w:r>
      <w:r>
        <w:t xml:space="preserve"> </w:t>
      </w:r>
      <w:r>
        <w:t xml:space="preserve">A large majority of working-age Pakistani women remain outside the formal recorded labour force, though this substantially undercounts women’s actual economic contribution, since much of women’s work — unpaid agricultural labour on family land, unpaid domestic and care work, and informal home-based piecework (such as embroidery or garment stitching) — is not captured in standard labour-force statistics.</w:t>
      </w:r>
    </w:p>
    <w:p>
      <w:pPr>
        <w:numPr>
          <w:ilvl w:val="0"/>
          <w:numId w:val="1054"/>
        </w:numPr>
        <w:pStyle w:val="Compact"/>
      </w:pPr>
      <w:r>
        <w:rPr>
          <w:bCs/>
          <w:b/>
        </w:rPr>
        <w:t xml:space="preserve">Occupational segregation.</w:t>
      </w:r>
      <w:r>
        <w:t xml:space="preserve"> </w:t>
      </w:r>
      <w:r>
        <w:t xml:space="preserve">Women who are formally employed are concentrated in a narrow range of sectors — education, healthcare/nursing, and certain segments of textiles and garments — with limited representation in higher-paid sectors such as finance, engineering, and senior management.</w:t>
      </w:r>
    </w:p>
    <w:p>
      <w:pPr>
        <w:numPr>
          <w:ilvl w:val="0"/>
          <w:numId w:val="1054"/>
        </w:numPr>
        <w:pStyle w:val="Compact"/>
      </w:pPr>
      <w:r>
        <w:rPr>
          <w:bCs/>
          <w:b/>
        </w:rPr>
        <w:t xml:space="preserve">The gender wage gap.</w:t>
      </w:r>
      <w:r>
        <w:t xml:space="preserve"> </w:t>
      </w:r>
      <w:r>
        <w:t xml:space="preserve">Even within the same sectors and comparable qualifications, women in Pakistan generally earn less than men, reflecting both direct wage discrimination and the concentration of women in lower-paid roles within each sector.</w:t>
      </w:r>
    </w:p>
    <w:p>
      <w:pPr>
        <w:numPr>
          <w:ilvl w:val="0"/>
          <w:numId w:val="1054"/>
        </w:numPr>
        <w:pStyle w:val="Compact"/>
      </w:pPr>
      <w:r>
        <w:rPr>
          <w:bCs/>
          <w:b/>
        </w:rPr>
        <w:t xml:space="preserve">Legal and workplace barriers.</w:t>
      </w:r>
      <w:r>
        <w:t xml:space="preserve"> </w:t>
      </w:r>
      <w:r>
        <w:t xml:space="preserve">Despite the Protection against Harassment of Women at the Workplace Act (2010), enforcement gaps, social stigma around reporting harassment, and limited availability of workplace facilities such as childcare and safe transport continue to constrain women’s willingness and ability to take up or remain in paid work.</w:t>
      </w:r>
    </w:p>
    <w:p>
      <w:pPr>
        <w:pStyle w:val="FirstParagraph"/>
      </w:pPr>
      <w:r>
        <w:rPr>
          <w:bCs/>
          <w:b/>
        </w:rPr>
        <w:t xml:space="preserve">Structural causes.</w:t>
      </w:r>
      <w:r>
        <w:t xml:space="preserve"> </w:t>
      </w:r>
      <w:r>
        <w:t xml:space="preserve">These outcomes connect directly to earlier theoretical topics: the sexual division of labour and unpaid domestic burden (Topic 14, Marxist feminism), restrictive social norms around breadwinner masculinity limiting men’s willingness to share domestic responsibilities (Topic 9), and mobility and safety restrictions rooted in prevailing gender norms.</w:t>
      </w:r>
    </w:p>
    <w:p>
      <w:pPr>
        <w:pStyle w:val="BodyText"/>
      </w:pPr>
      <w:r>
        <w:rPr>
          <w:bCs/>
          <w:b/>
        </w:rPr>
        <w:t xml:space="preserve">Policy responses and ongoing debate.</w:t>
      </w:r>
      <w:r>
        <w:t xml:space="preserve"> </w:t>
      </w:r>
      <w:r>
        <w:t xml:space="preserve">These include microfinance and women-targeted vocational training programmes, efforts to expand safe public transport (such as women-only bus services in some cities), and quota-based public-sector employment schemes, though debate continues about whether such targeted interventions can meaningfully shift participation without addressing the underlying unpaid-care burden and mobility restrictions.</w:t>
      </w:r>
    </w:p>
    <w:p>
      <w:pPr>
        <w:pStyle w:val="BodyText"/>
      </w:pPr>
      <w:r>
        <w:rPr>
          <w:bCs/>
          <w:b/>
        </w:rPr>
        <w:t xml:space="preserve">Key Takeaways</w:t>
      </w:r>
    </w:p>
    <w:p>
      <w:pPr>
        <w:numPr>
          <w:ilvl w:val="0"/>
          <w:numId w:val="1055"/>
        </w:numPr>
        <w:pStyle w:val="Compact"/>
      </w:pPr>
      <w:r>
        <w:t xml:space="preserve">Pakistan has among the lowest female labour-force participation rates globally, with substantial undercounting of unpaid and informal work.</w:t>
      </w:r>
    </w:p>
    <w:p>
      <w:pPr>
        <w:numPr>
          <w:ilvl w:val="0"/>
          <w:numId w:val="1055"/>
        </w:numPr>
        <w:pStyle w:val="Compact"/>
      </w:pPr>
      <w:r>
        <w:t xml:space="preserve">Occupational segregation and a persistent gender wage gap characterise formal female employment.</w:t>
      </w:r>
    </w:p>
    <w:p>
      <w:pPr>
        <w:numPr>
          <w:ilvl w:val="0"/>
          <w:numId w:val="1055"/>
        </w:numPr>
        <w:pStyle w:val="Compact"/>
      </w:pPr>
      <w:r>
        <w:t xml:space="preserve">Structural causes trace back to unpaid domestic labour burdens, breadwinner-masculinity norms, and mobility/safety restrictions.</w:t>
      </w:r>
    </w:p>
    <w:bookmarkEnd w:id="60"/>
    <w:bookmarkStart w:id="61" w:name="women-and-law-in-pakistan"/>
    <w:p>
      <w:pPr>
        <w:pStyle w:val="Heading3"/>
      </w:pPr>
      <w:r>
        <w:t xml:space="preserve">37. Women and Law in Pakistan</w:t>
      </w:r>
    </w:p>
    <w:p>
      <w:pPr>
        <w:pStyle w:val="FirstParagraph"/>
      </w:pPr>
      <w:r>
        <w:t xml:space="preserve">Pakistan’s legal framework regarding women’s rights is best understood as a layered and sometimes contested combination of constitutional guarantees, statutory law, and religiously derived law, with a significant history of reform and continuing debate.</w:t>
      </w:r>
    </w:p>
    <w:p>
      <w:pPr>
        <w:pStyle w:val="BodyText"/>
      </w:pPr>
      <w:r>
        <w:rPr>
          <w:bCs/>
          <w:b/>
        </w:rPr>
        <w:t xml:space="preserve">Constitutional guarantees.</w:t>
      </w:r>
      <w:r>
        <w:t xml:space="preserve"> </w:t>
      </w:r>
      <w:r>
        <w:t xml:space="preserve">The Constitution of Pakistan (1973) guarantees equality of citizens before law (Article 25) and explicitly permits the state to make special provisions for the protection of women and children, providing the constitutional basis for affirmative measures such as reserved legislative seats for women (Topic 43).</w:t>
      </w:r>
    </w:p>
    <w:p>
      <w:pPr>
        <w:pStyle w:val="BodyText"/>
      </w:pPr>
      <w:r>
        <w:rPr>
          <w:bCs/>
          <w:b/>
        </w:rPr>
        <w:t xml:space="preserve">Key legislative milestones (many already introduced in Topic 23, gathered here with legal specificity):</w:t>
      </w:r>
    </w:p>
    <w:p>
      <w:pPr>
        <w:numPr>
          <w:ilvl w:val="0"/>
          <w:numId w:val="1056"/>
        </w:numPr>
        <w:pStyle w:val="Compact"/>
      </w:pPr>
      <w:r>
        <w:t xml:space="preserve">The</w:t>
      </w:r>
      <w:r>
        <w:t xml:space="preserve"> </w:t>
      </w:r>
      <w:r>
        <w:rPr>
          <w:bCs/>
          <w:b/>
        </w:rPr>
        <w:t xml:space="preserve">Hudood Ordinances (1979)</w:t>
      </w:r>
      <w:r>
        <w:t xml:space="preserve"> </w:t>
      </w:r>
      <w:r>
        <w:t xml:space="preserve">remain historically central because of their controversial treatment of rape and adultery under one combined legal framework, and the</w:t>
      </w:r>
      <w:r>
        <w:t xml:space="preserve"> </w:t>
      </w:r>
      <w:r>
        <w:rPr>
          <w:bCs/>
          <w:b/>
        </w:rPr>
        <w:t xml:space="preserve">Protection of Women (Criminal Laws Amendment) Act, 2006</w:t>
      </w:r>
      <w:r>
        <w:t xml:space="preserve">, which substantially reformed this by moving rape prosecutions back under the ordinary Pakistan Penal Code framework, requiring a different evidentiary standard than the Hudood zina provisions had required.</w:t>
      </w:r>
    </w:p>
    <w:p>
      <w:pPr>
        <w:numPr>
          <w:ilvl w:val="0"/>
          <w:numId w:val="1056"/>
        </w:numPr>
        <w:pStyle w:val="Compact"/>
      </w:pPr>
      <w:r>
        <w:t xml:space="preserve">The</w:t>
      </w:r>
      <w:r>
        <w:t xml:space="preserve"> </w:t>
      </w:r>
      <w:r>
        <w:rPr>
          <w:bCs/>
          <w:b/>
        </w:rPr>
        <w:t xml:space="preserve">Protection against Harassment of Women at the Workplace Act, 2010</w:t>
      </w:r>
      <w:r>
        <w:t xml:space="preserve">, created a formal complaint and inquiry mechanism for workplace sexual harassment across public and private sector organisations.</w:t>
      </w:r>
    </w:p>
    <w:p>
      <w:pPr>
        <w:numPr>
          <w:ilvl w:val="0"/>
          <w:numId w:val="1056"/>
        </w:numPr>
        <w:pStyle w:val="Compact"/>
      </w:pPr>
      <w:r>
        <w:t xml:space="preserve">Provincial</w:t>
      </w:r>
      <w:r>
        <w:t xml:space="preserve"> </w:t>
      </w:r>
      <w:r>
        <w:rPr>
          <w:bCs/>
          <w:b/>
        </w:rPr>
        <w:t xml:space="preserve">domestic violence legislation</w:t>
      </w:r>
      <w:r>
        <w:t xml:space="preserve">, such as the Punjab Protection of Women against Violence Act (2016) and comparable laws in other provinces, created civil protection orders and support mechanisms for victims of domestic abuse, an area not comprehensively addressed by earlier criminal law.</w:t>
      </w:r>
    </w:p>
    <w:p>
      <w:pPr>
        <w:numPr>
          <w:ilvl w:val="0"/>
          <w:numId w:val="1056"/>
        </w:numPr>
        <w:pStyle w:val="Compact"/>
      </w:pPr>
      <w:r>
        <w:t xml:space="preserve">The</w:t>
      </w:r>
      <w:r>
        <w:t xml:space="preserve"> </w:t>
      </w:r>
      <w:r>
        <w:rPr>
          <w:bCs/>
          <w:b/>
        </w:rPr>
        <w:t xml:space="preserve">Anti-Honour Killing Laws (Criminal Laws Amendment) Act, 2016</w:t>
      </w:r>
      <w:r>
        <w:t xml:space="preserve">, closed a significant loophole in which victims’ families could</w:t>
      </w:r>
      <w:r>
        <w:t xml:space="preserve"> </w:t>
      </w:r>
      <w:r>
        <w:t xml:space="preserve">“</w:t>
      </w:r>
      <w:r>
        <w:t xml:space="preserve">forgive</w:t>
      </w:r>
      <w:r>
        <w:t xml:space="preserve">”</w:t>
      </w:r>
      <w:r>
        <w:t xml:space="preserve"> </w:t>
      </w:r>
      <w:r>
        <w:t xml:space="preserve">or reach a compensation settlement (qisas and diyat provisions) with the killer in cases of honour killing, which had previously often allowed perpetrators — sometimes the victim’s own family members who had also brought the case — to escape punishment.</w:t>
      </w:r>
    </w:p>
    <w:p>
      <w:pPr>
        <w:numPr>
          <w:ilvl w:val="0"/>
          <w:numId w:val="1056"/>
        </w:numPr>
        <w:pStyle w:val="Compact"/>
      </w:pPr>
      <w:r>
        <w:t xml:space="preserve">The</w:t>
      </w:r>
      <w:r>
        <w:t xml:space="preserve"> </w:t>
      </w:r>
      <w:r>
        <w:rPr>
          <w:bCs/>
          <w:b/>
        </w:rPr>
        <w:t xml:space="preserve">Zainab Alert, Response and Recovery Act, 2020</w:t>
      </w:r>
      <w:r>
        <w:t xml:space="preserve">, established a rapid-response mechanism for missing and abducted children following high-profile child sexual abuse and murder cases.</w:t>
      </w:r>
    </w:p>
    <w:p>
      <w:pPr>
        <w:pStyle w:val="FirstParagraph"/>
      </w:pPr>
      <w:r>
        <w:rPr>
          <w:bCs/>
          <w:b/>
        </w:rPr>
        <w:t xml:space="preserve">Ongoing tensions.</w:t>
      </w:r>
      <w:r>
        <w:t xml:space="preserve"> </w:t>
      </w:r>
      <w:r>
        <w:t xml:space="preserve">A recurring theme in Pakistani legal debate is the relationship between statutory reform and religiously grounded legal provisions, with reform efforts generally proceeding through arguments grounded in reformist Islamic jurisprudence (ijtihad) to establish that specific reforms are compatible with, rather than opposed to, Islamic legal principles, given the constitutional requirement (under the Objectives Resolution and later constitutional provisions) that laws conform to Islamic injunctions.</w:t>
      </w:r>
    </w:p>
    <w:p>
      <w:pPr>
        <w:pStyle w:val="BodyText"/>
      </w:pPr>
      <w:r>
        <w:rPr>
          <w:bCs/>
          <w:b/>
        </w:rPr>
        <w:t xml:space="preserve">Key Takeaways</w:t>
      </w:r>
    </w:p>
    <w:p>
      <w:pPr>
        <w:numPr>
          <w:ilvl w:val="0"/>
          <w:numId w:val="1057"/>
        </w:numPr>
        <w:pStyle w:val="Compact"/>
      </w:pPr>
      <w:r>
        <w:t xml:space="preserve">Pakistan’s legal framework combines constitutional equality guarantees, ordinary statutory law, and Islamic legal provisions, requiring reform to be argued within an Islamic jurisprudential framework as well as a rights framework.</w:t>
      </w:r>
    </w:p>
    <w:p>
      <w:pPr>
        <w:numPr>
          <w:ilvl w:val="0"/>
          <w:numId w:val="1057"/>
        </w:numPr>
        <w:pStyle w:val="Compact"/>
      </w:pPr>
      <w:r>
        <w:t xml:space="preserve">Key reforms: the 2006 Women’s Protection Act, 2010 Harassment Act, 2016 domestic violence and anti-honour-killing laws, and the 2020 Zainab Alert Act.</w:t>
      </w:r>
    </w:p>
    <w:p>
      <w:pPr>
        <w:numPr>
          <w:ilvl w:val="0"/>
          <w:numId w:val="1057"/>
        </w:numPr>
        <w:pStyle w:val="Compact"/>
      </w:pPr>
      <w:r>
        <w:t xml:space="preserve">The recurring tension is between statutory/constitutional equality provisions and religiously derived legal frameworks, requiring careful, jurisprudentially grounded reform strategies.</w:t>
      </w:r>
    </w:p>
    <w:bookmarkEnd w:id="61"/>
    <w:bookmarkEnd w:id="62"/>
    <w:bookmarkStart w:id="69" w:name="vii.-gender-and-governance"/>
    <w:p>
      <w:pPr>
        <w:pStyle w:val="Heading2"/>
      </w:pPr>
      <w:r>
        <w:t xml:space="preserve">VII. Gender and Governance</w:t>
      </w:r>
    </w:p>
    <w:bookmarkStart w:id="63" w:name="defining-governance"/>
    <w:p>
      <w:pPr>
        <w:pStyle w:val="Heading3"/>
      </w:pPr>
      <w:r>
        <w:t xml:space="preserve">38. Defining Governance</w:t>
      </w:r>
    </w:p>
    <w:p>
      <w:pPr>
        <w:pStyle w:val="FirstParagraph"/>
      </w:pPr>
      <w:r>
        <w:t xml:space="preserve">Governance refers to the processes, institutions, and norms through which authority is exercised in managing a country’s political, economic, and social affairs — encompassing not only formal government but also the rules, accountability mechanisms, and participation structures that determine how decisions are made and whose interests they serve.</w:t>
      </w:r>
    </w:p>
    <w:p>
      <w:pPr>
        <w:pStyle w:val="BodyText"/>
      </w:pPr>
      <w:r>
        <w:rPr>
          <w:bCs/>
          <w:b/>
        </w:rPr>
        <w:t xml:space="preserve">Why gender matters to governance analysis.</w:t>
      </w:r>
      <w:r>
        <w:t xml:space="preserve"> </w:t>
      </w:r>
      <w:r>
        <w:t xml:space="preserve">Traditional governance analysis (examining institutions like parliaments, bureaucracies, and courts) historically treated these institutions as gender-neutral structures, evaluated only by criteria like efficiency, transparency, and accountability. Gender-and-governance scholarship argues this is incomplete: because these institutions were historically built and staffed predominantly by men, and because they regulate matters (property, family law, criminal justice, budget allocation) that affect men and women differently, governance quality itself must be evaluated partly by how effectively it represents and serves women’s interests and enables women’s participation.</w:t>
      </w:r>
    </w:p>
    <w:p>
      <w:pPr>
        <w:pStyle w:val="BodyText"/>
      </w:pPr>
      <w:r>
        <w:rPr>
          <w:bCs/>
          <w:b/>
        </w:rPr>
        <w:t xml:space="preserve">Key dimensions of gender-responsive governance:</w:t>
      </w:r>
    </w:p>
    <w:p>
      <w:pPr>
        <w:numPr>
          <w:ilvl w:val="0"/>
          <w:numId w:val="1058"/>
        </w:numPr>
        <w:pStyle w:val="Compact"/>
      </w:pPr>
      <w:r>
        <w:rPr>
          <w:bCs/>
          <w:b/>
        </w:rPr>
        <w:t xml:space="preserve">Descriptive representation</w:t>
      </w:r>
      <w:r>
        <w:t xml:space="preserve"> </w:t>
      </w:r>
      <w:r>
        <w:t xml:space="preserve">— the actual presence of women in decision-making bodies (legislatures, judiciaries, senior bureaucracy), discussed in detail through Pakistan’s political quota system (Topics 39–43).</w:t>
      </w:r>
    </w:p>
    <w:p>
      <w:pPr>
        <w:numPr>
          <w:ilvl w:val="0"/>
          <w:numId w:val="1058"/>
        </w:numPr>
        <w:pStyle w:val="Compact"/>
      </w:pPr>
      <w:r>
        <w:rPr>
          <w:bCs/>
          <w:b/>
        </w:rPr>
        <w:t xml:space="preserve">Substantive representation</w:t>
      </w:r>
      <w:r>
        <w:t xml:space="preserve"> </w:t>
      </w:r>
      <w:r>
        <w:t xml:space="preserve">— whether women’s presence in these institutions translates into policies and decisions that actually address women’s interests and needs, which is a separate and not automatic question from mere descriptive presence (a legislature could have many women members without producing gender-responsive legislation, if those members do not prioritise or are not empowered to pursue gender issues).</w:t>
      </w:r>
    </w:p>
    <w:p>
      <w:pPr>
        <w:numPr>
          <w:ilvl w:val="0"/>
          <w:numId w:val="1058"/>
        </w:numPr>
        <w:pStyle w:val="Compact"/>
      </w:pPr>
      <w:r>
        <w:rPr>
          <w:bCs/>
          <w:b/>
        </w:rPr>
        <w:t xml:space="preserve">Gender-responsive budgeting</w:t>
      </w:r>
      <w:r>
        <w:t xml:space="preserve"> </w:t>
      </w:r>
      <w:r>
        <w:t xml:space="preserve">— the practice of analysing government budgets for their differential impact on men and women, and adjusting allocations accordingly, discussed as part of the mainstreaming strategy in Topics 4 and 31.</w:t>
      </w:r>
    </w:p>
    <w:p>
      <w:pPr>
        <w:numPr>
          <w:ilvl w:val="0"/>
          <w:numId w:val="1058"/>
        </w:numPr>
        <w:pStyle w:val="Compact"/>
      </w:pPr>
      <w:r>
        <w:rPr>
          <w:bCs/>
          <w:b/>
        </w:rPr>
        <w:t xml:space="preserve">Access to justice</w:t>
      </w:r>
      <w:r>
        <w:t xml:space="preserve"> </w:t>
      </w:r>
      <w:r>
        <w:t xml:space="preserve">— whether formal justice institutions (police, courts) are practically accessible and responsive to women, given documented barriers such as low numbers of female police officers, social stigma around reporting gender-based crimes, and slow judicial processes that discourage women from pursuing legal remedies.</w:t>
      </w:r>
    </w:p>
    <w:p>
      <w:pPr>
        <w:pStyle w:val="FirstParagraph"/>
      </w:pPr>
      <w:r>
        <w:rPr>
          <w:bCs/>
          <w:b/>
        </w:rPr>
        <w:t xml:space="preserve">Key Takeaways</w:t>
      </w:r>
    </w:p>
    <w:p>
      <w:pPr>
        <w:numPr>
          <w:ilvl w:val="0"/>
          <w:numId w:val="1059"/>
        </w:numPr>
        <w:pStyle w:val="Compact"/>
      </w:pPr>
      <w:r>
        <w:t xml:space="preserve">Governance is the set of institutions and processes exercising authority; gender-and-governance analysis evaluates how effectively these serve and represent women, not only their general efficiency.</w:t>
      </w:r>
    </w:p>
    <w:p>
      <w:pPr>
        <w:numPr>
          <w:ilvl w:val="0"/>
          <w:numId w:val="1059"/>
        </w:numPr>
        <w:pStyle w:val="Compact"/>
      </w:pPr>
      <w:r>
        <w:t xml:space="preserve">Descriptive representation (women’s presence) and substantive representation (actual policy responsiveness) are distinct and must both be assessed.</w:t>
      </w:r>
    </w:p>
    <w:p>
      <w:pPr>
        <w:numPr>
          <w:ilvl w:val="0"/>
          <w:numId w:val="1059"/>
        </w:numPr>
        <w:pStyle w:val="Compact"/>
      </w:pPr>
      <w:r>
        <w:t xml:space="preserve">Gender-responsive budgeting and accessible justice institutions are key practical dimensions of gender-responsive governance.</w:t>
      </w:r>
    </w:p>
    <w:bookmarkEnd w:id="63"/>
    <w:bookmarkStart w:id="64" w:name="womens-suffrage"/>
    <w:p>
      <w:pPr>
        <w:pStyle w:val="Heading3"/>
      </w:pPr>
      <w:r>
        <w:t xml:space="preserve">39. Women’s Suffrage</w:t>
      </w:r>
    </w:p>
    <w:p>
      <w:pPr>
        <w:pStyle w:val="FirstParagraph"/>
      </w:pPr>
      <w:r>
        <w:t xml:space="preserve">Women’s suffrage — the right to vote — is the foundational political right around which first-wave feminism organised (Topic 19), and its global spread provides an important comparative backdrop to Pakistan’s specific experience (Topic 40).</w:t>
      </w:r>
    </w:p>
    <w:p>
      <w:pPr>
        <w:pStyle w:val="BodyText"/>
      </w:pPr>
      <w:r>
        <w:rPr>
          <w:bCs/>
          <w:b/>
        </w:rPr>
        <w:t xml:space="preserve">Global pattern.</w:t>
      </w:r>
      <w:r>
        <w:t xml:space="preserve"> </w:t>
      </w:r>
      <w:r>
        <w:t xml:space="preserve">Suffrage was won in different countries at different times through the late nineteenth and twentieth centuries: New Zealand (1893) is usually credited as the first self-governing country to grant women full voting rights nationally; most Western European countries and the United States extended suffrage between the 1910s and 1920s; and many post-colonial states, including Pakistan, granted women’s suffrage as part of their founding constitutional frameworks at independence, rather than through a separate, later campaign, because suffrage had already become established as an expected feature of modern democratic constitutions by the mid-twentieth century.</w:t>
      </w:r>
    </w:p>
    <w:p>
      <w:pPr>
        <w:pStyle w:val="BodyText"/>
      </w:pPr>
      <w:r>
        <w:rPr>
          <w:bCs/>
          <w:b/>
        </w:rPr>
        <w:t xml:space="preserve">Pakistan’s specific case.</w:t>
      </w:r>
      <w:r>
        <w:t xml:space="preserve"> </w:t>
      </w:r>
      <w:r>
        <w:t xml:space="preserve">Women in Pakistan were granted the right to vote from the country’s founding in 1947, formalised in subsequent constitutions (1956, 1962, and the current 1973 Constitution), meaning Pakistan did not experience a prolonged separate suffrage campaign of the kind seen in Britain or the United States. However, formal suffrage rights and actual voting access have not always coincided in practice (Topic 40 examines this gap in detail).</w:t>
      </w:r>
    </w:p>
    <w:p>
      <w:pPr>
        <w:pStyle w:val="BodyText"/>
      </w:pPr>
      <w:r>
        <w:rPr>
          <w:bCs/>
          <w:b/>
        </w:rPr>
        <w:t xml:space="preserve">Why formal suffrage is necessary but not sufficient.</w:t>
      </w:r>
      <w:r>
        <w:t xml:space="preserve"> </w:t>
      </w:r>
      <w:r>
        <w:t xml:space="preserve">This topic sets up the crucial analytical distinction developed further in Topics 40–42: having the legal right to vote does not automatically mean women can exercise that right freely, or that women’s political interests are represented once they do vote, which is why suffrage must be studied alongside actual voter turnout, candidacy, and representation.</w:t>
      </w:r>
    </w:p>
    <w:p>
      <w:pPr>
        <w:pStyle w:val="BodyText"/>
      </w:pPr>
      <w:r>
        <w:rPr>
          <w:bCs/>
          <w:b/>
        </w:rPr>
        <w:t xml:space="preserve">Key Takeaways</w:t>
      </w:r>
    </w:p>
    <w:p>
      <w:pPr>
        <w:numPr>
          <w:ilvl w:val="0"/>
          <w:numId w:val="1060"/>
        </w:numPr>
        <w:pStyle w:val="Compact"/>
      </w:pPr>
      <w:r>
        <w:t xml:space="preserve">New Zealand (1893) was the first country to grant full national women’s suffrage; most Western suffrage was achieved between the 1910s–1920s.</w:t>
      </w:r>
    </w:p>
    <w:p>
      <w:pPr>
        <w:numPr>
          <w:ilvl w:val="0"/>
          <w:numId w:val="1060"/>
        </w:numPr>
        <w:pStyle w:val="Compact"/>
      </w:pPr>
      <w:r>
        <w:t xml:space="preserve">Pakistan granted women’s suffrage constitutionally from independence in 1947, without a prolonged separate suffrage campaign.</w:t>
      </w:r>
    </w:p>
    <w:p>
      <w:pPr>
        <w:numPr>
          <w:ilvl w:val="0"/>
          <w:numId w:val="1060"/>
        </w:numPr>
        <w:pStyle w:val="Compact"/>
      </w:pPr>
      <w:r>
        <w:t xml:space="preserve">Formal suffrage rights and actual, effective voting access are distinct — the latter is examined in the following topics.</w:t>
      </w:r>
    </w:p>
    <w:bookmarkEnd w:id="64"/>
    <w:bookmarkStart w:id="65" w:name="women-as-voters-in-pakistan"/>
    <w:p>
      <w:pPr>
        <w:pStyle w:val="Heading3"/>
      </w:pPr>
      <w:r>
        <w:t xml:space="preserve">40. Women as Voters in Pakistan</w:t>
      </w:r>
    </w:p>
    <w:p>
      <w:pPr>
        <w:pStyle w:val="FirstParagraph"/>
      </w:pPr>
      <w:r>
        <w:t xml:space="preserve">Despite constitutional voting rights since 1947 (Topic 39), women’s actual voter turnout and registration in Pakistan have historically lagged behind men’s, revealing a persistent gap between formal legal rights and effective political participation.</w:t>
      </w:r>
    </w:p>
    <w:p>
      <w:pPr>
        <w:pStyle w:val="BodyText"/>
      </w:pPr>
      <w:r>
        <w:rPr>
          <w:bCs/>
          <w:b/>
        </w:rPr>
        <w:t xml:space="preserve">Documented barriers to women’s voting:</w:t>
      </w:r>
    </w:p>
    <w:p>
      <w:pPr>
        <w:numPr>
          <w:ilvl w:val="0"/>
          <w:numId w:val="1061"/>
        </w:numPr>
        <w:pStyle w:val="Compact"/>
      </w:pPr>
      <w:r>
        <w:rPr>
          <w:bCs/>
          <w:b/>
        </w:rPr>
        <w:t xml:space="preserve">Registration gaps.</w:t>
      </w:r>
      <w:r>
        <w:t xml:space="preserve"> </w:t>
      </w:r>
      <w:r>
        <w:t xml:space="preserve">Historically, a significant number of eligible women were not registered on electoral rolls at all, particularly in conservative rural areas of Khyber Pakhtunkhwa, Balochistan, and parts of southern Punjab, due to families not registering female members, lack of national identity cards among women (itself linked to lower rates of formal documentation for women historically), and administrative gaps in voter-list compilation.</w:t>
      </w:r>
    </w:p>
    <w:p>
      <w:pPr>
        <w:numPr>
          <w:ilvl w:val="0"/>
          <w:numId w:val="1061"/>
        </w:numPr>
        <w:pStyle w:val="Compact"/>
      </w:pPr>
      <w:r>
        <w:rPr>
          <w:bCs/>
          <w:b/>
        </w:rPr>
        <w:t xml:space="preserve">Informal agreements to bar women from voting.</w:t>
      </w:r>
      <w:r>
        <w:t xml:space="preserve"> </w:t>
      </w:r>
      <w:r>
        <w:t xml:space="preserve">In some conservative constituencies, local political and tribal leaders have historically reached informal agreements among themselves to discourage or prevent women from voting at all — a practice the Election Commission of Pakistan has taken specific legal steps to address in recent election cycles, including provisions in the Elections Act, 2017, requiring a minimum threshold of women’s turnout (at least 10% of votes cast) for the result in a constituency to be considered valid, allowing the Commission to void results where women’s turnout falls below that mark due to deliberate exclusion.</w:t>
      </w:r>
    </w:p>
    <w:p>
      <w:pPr>
        <w:numPr>
          <w:ilvl w:val="0"/>
          <w:numId w:val="1061"/>
        </w:numPr>
        <w:pStyle w:val="Compact"/>
      </w:pPr>
      <w:r>
        <w:rPr>
          <w:bCs/>
          <w:b/>
        </w:rPr>
        <w:t xml:space="preserve">Mobility and social restrictions</w:t>
      </w:r>
      <w:r>
        <w:t xml:space="preserve"> </w:t>
      </w:r>
      <w:r>
        <w:t xml:space="preserve">on women travelling to polling stations without a male relative, and concerns about mixed-gender polling environments, have also historically depressed turnout in some areas, partly addressed through separate women’s polling booths and female polling staff.</w:t>
      </w:r>
    </w:p>
    <w:p>
      <w:pPr>
        <w:pStyle w:val="FirstParagraph"/>
      </w:pPr>
      <w:r>
        <w:rPr>
          <w:bCs/>
          <w:b/>
        </w:rPr>
        <w:t xml:space="preserve">Progress and remaining gaps.</w:t>
      </w:r>
      <w:r>
        <w:t xml:space="preserve"> </w:t>
      </w:r>
      <w:r>
        <w:t xml:space="preserve">Reforms including the CNIC (national identity card)-linked electoral roll system, targeted voter-registration drives for women, and the 10% turnout threshold have narrowed the gender gap in voter turnout in recent elections, though a measurable gap and localised exclusion practices persist in some constituencies.</w:t>
      </w:r>
    </w:p>
    <w:p>
      <w:pPr>
        <w:pStyle w:val="BodyText"/>
      </w:pPr>
      <w:r>
        <w:rPr>
          <w:bCs/>
          <w:b/>
        </w:rPr>
        <w:t xml:space="preserve">Key Takeaways</w:t>
      </w:r>
    </w:p>
    <w:p>
      <w:pPr>
        <w:numPr>
          <w:ilvl w:val="0"/>
          <w:numId w:val="1062"/>
        </w:numPr>
        <w:pStyle w:val="Compact"/>
      </w:pPr>
      <w:r>
        <w:t xml:space="preserve">Women’s voter registration and turnout have historically lagged men’s due to registration gaps, informal local exclusion agreements, and mobility/social restrictions.</w:t>
      </w:r>
    </w:p>
    <w:p>
      <w:pPr>
        <w:numPr>
          <w:ilvl w:val="0"/>
          <w:numId w:val="1062"/>
        </w:numPr>
        <w:pStyle w:val="Compact"/>
      </w:pPr>
      <w:r>
        <w:t xml:space="preserve">The Elections Act, 2017’s 10% minimum women’s turnout threshold is Pakistan’s key legal tool against deliberate exclusion of women voters.</w:t>
      </w:r>
    </w:p>
    <w:p>
      <w:pPr>
        <w:numPr>
          <w:ilvl w:val="0"/>
          <w:numId w:val="1062"/>
        </w:numPr>
        <w:pStyle w:val="Compact"/>
      </w:pPr>
      <w:r>
        <w:t xml:space="preserve">Reforms have narrowed but not eliminated the gender gap in effective voting access.</w:t>
      </w:r>
    </w:p>
    <w:bookmarkEnd w:id="65"/>
    <w:bookmarkStart w:id="66" w:name="women-as-candidates-in-pakistan"/>
    <w:p>
      <w:pPr>
        <w:pStyle w:val="Heading3"/>
      </w:pPr>
      <w:r>
        <w:t xml:space="preserve">41. Women as Candidates in Pakistan</w:t>
      </w:r>
    </w:p>
    <w:p>
      <w:pPr>
        <w:pStyle w:val="FirstParagraph"/>
      </w:pPr>
      <w:r>
        <w:t xml:space="preserve">Beyond voting, women’s representation as electoral candidates in Pakistan has historically been very limited on general (non-reserved) seats, revealing barriers distinct from those affecting voter turnout.</w:t>
      </w:r>
    </w:p>
    <w:p>
      <w:pPr>
        <w:pStyle w:val="BodyText"/>
      </w:pPr>
      <w:r>
        <w:rPr>
          <w:bCs/>
          <w:b/>
        </w:rPr>
        <w:t xml:space="preserve">Key barriers to women’s candidacy:</w:t>
      </w:r>
    </w:p>
    <w:p>
      <w:pPr>
        <w:numPr>
          <w:ilvl w:val="0"/>
          <w:numId w:val="1063"/>
        </w:numPr>
        <w:pStyle w:val="Compact"/>
      </w:pPr>
      <w:r>
        <w:rPr>
          <w:bCs/>
          <w:b/>
        </w:rPr>
        <w:t xml:space="preserve">Party nomination bias.</w:t>
      </w:r>
      <w:r>
        <w:t xml:space="preserve"> </w:t>
      </w:r>
      <w:r>
        <w:t xml:space="preserve">Political parties, which control candidate nomination for general seats, have historically nominated very few women for directly contested general seats, tending to view women candidates as less likely to win in a political culture where personal networks, land-based influence (biradari and tribal ties), and financial resources for campaigning — all areas where women typically have less access — heavily determine electability.</w:t>
      </w:r>
    </w:p>
    <w:p>
      <w:pPr>
        <w:numPr>
          <w:ilvl w:val="0"/>
          <w:numId w:val="1063"/>
        </w:numPr>
        <w:pStyle w:val="Compact"/>
      </w:pPr>
      <w:r>
        <w:rPr>
          <w:bCs/>
          <w:b/>
        </w:rPr>
        <w:t xml:space="preserve">Financial and resource barriers.</w:t>
      </w:r>
      <w:r>
        <w:t xml:space="preserve"> </w:t>
      </w:r>
      <w:r>
        <w:t xml:space="preserve">Election campaigning in Pakistan is expensive, and women candidates often have less independent access to campaign financing and party resources compared to male candidates, particularly those from established political families.</w:t>
      </w:r>
    </w:p>
    <w:p>
      <w:pPr>
        <w:numPr>
          <w:ilvl w:val="0"/>
          <w:numId w:val="1063"/>
        </w:numPr>
        <w:pStyle w:val="Compact"/>
      </w:pPr>
      <w:r>
        <w:rPr>
          <w:bCs/>
          <w:b/>
        </w:rPr>
        <w:t xml:space="preserve">Family and social gatekeeping.</w:t>
      </w:r>
      <w:r>
        <w:t xml:space="preserve"> </w:t>
      </w:r>
      <w:r>
        <w:t xml:space="preserve">Women’s entry into electoral politics is frequently mediated through family political dynasties — many prominent women politicians in Pakistan entered politics as members of established political families — rather than through independent grassroots political careers, which limits the pool of women able to access candidacy through other paths.</w:t>
      </w:r>
    </w:p>
    <w:p>
      <w:pPr>
        <w:numPr>
          <w:ilvl w:val="0"/>
          <w:numId w:val="1063"/>
        </w:numPr>
        <w:pStyle w:val="Compact"/>
      </w:pPr>
      <w:r>
        <w:rPr>
          <w:bCs/>
          <w:b/>
        </w:rPr>
        <w:t xml:space="preserve">The Elections Act, 2017, requirement</w:t>
      </w:r>
      <w:r>
        <w:t xml:space="preserve"> </w:t>
      </w:r>
      <w:r>
        <w:t xml:space="preserve">that political parties allocate at least 5% of their general-seat tickets to women candidates was introduced specifically to address the low nomination rate, though enforcement and the actual competitiveness of the constituencies women are nominated in (parties sometimes nominate women in seats they are unlikely to win) remain debated concerns.</w:t>
      </w:r>
    </w:p>
    <w:p>
      <w:pPr>
        <w:pStyle w:val="FirstParagraph"/>
      </w:pPr>
      <w:r>
        <w:rPr>
          <w:bCs/>
          <w:b/>
        </w:rPr>
        <w:t xml:space="preserve">Relationship to the reserved-seat system.</w:t>
      </w:r>
      <w:r>
        <w:t xml:space="preserve"> </w:t>
      </w:r>
      <w:r>
        <w:t xml:space="preserve">Because general-seat candidacy has remained so limited, the reserved-seat quota system (Topic 42) has functioned as the primary channel through which most women enter Pakistan’s legislatures, which is itself part of the debate about the quality and independence of women’s political representation.</w:t>
      </w:r>
    </w:p>
    <w:p>
      <w:pPr>
        <w:pStyle w:val="BodyText"/>
      </w:pPr>
      <w:r>
        <w:rPr>
          <w:bCs/>
          <w:b/>
        </w:rPr>
        <w:t xml:space="preserve">Key Takeaways</w:t>
      </w:r>
    </w:p>
    <w:p>
      <w:pPr>
        <w:numPr>
          <w:ilvl w:val="0"/>
          <w:numId w:val="1064"/>
        </w:numPr>
        <w:pStyle w:val="Compact"/>
      </w:pPr>
      <w:r>
        <w:t xml:space="preserve">Women’s candidacy on general (non-reserved) seats remains limited due to party nomination bias, financing barriers, and reliance on political-family networks.</w:t>
      </w:r>
    </w:p>
    <w:p>
      <w:pPr>
        <w:numPr>
          <w:ilvl w:val="0"/>
          <w:numId w:val="1064"/>
        </w:numPr>
        <w:pStyle w:val="Compact"/>
      </w:pPr>
      <w:r>
        <w:t xml:space="preserve">The Elections Act, 2017’s 5% women-candidate nomination requirement targets this gap, though enforcement quality is debated.</w:t>
      </w:r>
    </w:p>
    <w:p>
      <w:pPr>
        <w:numPr>
          <w:ilvl w:val="0"/>
          <w:numId w:val="1064"/>
        </w:numPr>
        <w:pStyle w:val="Compact"/>
      </w:pPr>
      <w:r>
        <w:t xml:space="preserve">Because general-seat candidacy remains low, reserved seats (quotas) remain the dominant channel for women’s legislative presence.</w:t>
      </w:r>
    </w:p>
    <w:bookmarkEnd w:id="66"/>
    <w:bookmarkStart w:id="67" w:name="women-as-representatives-in-pakistan"/>
    <w:p>
      <w:pPr>
        <w:pStyle w:val="Heading3"/>
      </w:pPr>
      <w:r>
        <w:t xml:space="preserve">42. Women as Representatives in Pakistan</w:t>
      </w:r>
    </w:p>
    <w:p>
      <w:pPr>
        <w:pStyle w:val="FirstParagraph"/>
      </w:pPr>
      <w:r>
        <w:t xml:space="preserve">Pakistan has used a reserved-seat quota system since 1956 (with the current system, based on proportional allocation according to each party’s share of general-seat votes, established under the Legal Framework Order of 2002 and continued under the Elections Act, 2017) to guarantee a minimum level of women’s representation in the National Assembly, provincial assemblies, and the Senate.</w:t>
      </w:r>
    </w:p>
    <w:p>
      <w:pPr>
        <w:pStyle w:val="BodyText"/>
      </w:pPr>
      <w:r>
        <w:rPr>
          <w:bCs/>
          <w:b/>
        </w:rPr>
        <w:t xml:space="preserve">How the system works.</w:t>
      </w:r>
      <w:r>
        <w:t xml:space="preserve"> </w:t>
      </w:r>
      <w:r>
        <w:t xml:space="preserve">Reserved seats are allocated to political parties in proportion to the number of general seats they win, and parties then nominate women (typically through party lists) to fill these seats, rather than these seats being directly contested through separate elections by voters.</w:t>
      </w:r>
    </w:p>
    <w:p>
      <w:pPr>
        <w:pStyle w:val="BodyText"/>
      </w:pPr>
      <w:r>
        <w:rPr>
          <w:bCs/>
          <w:b/>
        </w:rPr>
        <w:t xml:space="preserve">Strengths of the quota system.</w:t>
      </w:r>
      <w:r>
        <w:t xml:space="preserve"> </w:t>
      </w:r>
      <w:r>
        <w:t xml:space="preserve">It has substantially and measurably increased the raw number of women in Pakistan’s legislatures compared to what general-seat elections alone would produce, given the very low rate of women’s general-seat candidacy and success discussed in Topic 41, and it has created a pipeline of women with parliamentary experience, some of whom have subsequently won general seats or been appointed to ministerial or leadership positions.</w:t>
      </w:r>
    </w:p>
    <w:p>
      <w:pPr>
        <w:pStyle w:val="BodyText"/>
      </w:pPr>
      <w:r>
        <w:rPr>
          <w:bCs/>
          <w:b/>
        </w:rPr>
        <w:t xml:space="preserve">Substantive representation concerns.</w:t>
      </w:r>
      <w:r>
        <w:t xml:space="preserve"> </w:t>
      </w:r>
      <w:r>
        <w:t xml:space="preserve">Returning to the descriptive vs. substantive representation distinction (Topic 38), critics raise several concerns about reserved-seat representation specifically:</w:t>
      </w:r>
    </w:p>
    <w:p>
      <w:pPr>
        <w:numPr>
          <w:ilvl w:val="0"/>
          <w:numId w:val="1065"/>
        </w:numPr>
        <w:pStyle w:val="Compact"/>
      </w:pPr>
      <w:r>
        <w:t xml:space="preserve">Because reserved-seat women are nominated by party leadership rather than elected by a constituency, they may feel more accountable to the party leader who nominated them than to a specific electorate, potentially limiting their independence in pushing gender-related legislation that a party leadership does not prioritise.</w:t>
      </w:r>
    </w:p>
    <w:p>
      <w:pPr>
        <w:numPr>
          <w:ilvl w:val="0"/>
          <w:numId w:val="1065"/>
        </w:numPr>
        <w:pStyle w:val="Compact"/>
      </w:pPr>
      <w:r>
        <w:t xml:space="preserve">Reserved-seat women are sometimes perceived (fairly or unfairly) as less politically experienced or less independently powerful than general-seat members, affecting their influence within parliamentary committees and party structures.</w:t>
      </w:r>
    </w:p>
    <w:p>
      <w:pPr>
        <w:numPr>
          <w:ilvl w:val="0"/>
          <w:numId w:val="1065"/>
        </w:numPr>
        <w:pStyle w:val="Compact"/>
      </w:pPr>
      <w:r>
        <w:t xml:space="preserve">Nonetheless, research and parliamentary records show reserved-seat women parliamentarians have played a disproportionately active role in introducing and championing gender-related legislation (several of the laws discussed in Topics 23 and 37 were substantially advanced by reserved-seat women legislators), suggesting the quota does translate into meaningful substantive representation on gender issues specifically, even if broader independence concerns remain valid.</w:t>
      </w:r>
    </w:p>
    <w:p>
      <w:pPr>
        <w:pStyle w:val="FirstParagraph"/>
      </w:pPr>
      <w:r>
        <w:rPr>
          <w:bCs/>
          <w:b/>
        </w:rPr>
        <w:t xml:space="preserve">Key Takeaways</w:t>
      </w:r>
    </w:p>
    <w:p>
      <w:pPr>
        <w:numPr>
          <w:ilvl w:val="0"/>
          <w:numId w:val="1066"/>
        </w:numPr>
        <w:pStyle w:val="Compact"/>
      </w:pPr>
      <w:r>
        <w:t xml:space="preserve">Pakistan’s reserved-seat quota system (proportional party-based allocation since 2002) is the dominant mechanism for women’s legislative presence.</w:t>
      </w:r>
    </w:p>
    <w:p>
      <w:pPr>
        <w:numPr>
          <w:ilvl w:val="0"/>
          <w:numId w:val="1066"/>
        </w:numPr>
        <w:pStyle w:val="Compact"/>
      </w:pPr>
      <w:r>
        <w:t xml:space="preserve">It substantially increases descriptive representation given the low success rate of women on general seats.</w:t>
      </w:r>
    </w:p>
    <w:p>
      <w:pPr>
        <w:numPr>
          <w:ilvl w:val="0"/>
          <w:numId w:val="1066"/>
        </w:numPr>
        <w:pStyle w:val="Compact"/>
      </w:pPr>
      <w:r>
        <w:t xml:space="preserve">Substantive representation concerns exist regarding accountability to party leadership over constituents, but reserved-seat women have played an outsized role in advancing gender-related legislation specifically.</w:t>
      </w:r>
    </w:p>
    <w:bookmarkEnd w:id="67"/>
    <w:bookmarkStart w:id="68" w:name="impact-of-political-quotas-in-pakistan"/>
    <w:p>
      <w:pPr>
        <w:pStyle w:val="Heading3"/>
      </w:pPr>
      <w:r>
        <w:t xml:space="preserve">43. Impact of Political Quotas in Pakistan</w:t>
      </w:r>
    </w:p>
    <w:p>
      <w:pPr>
        <w:pStyle w:val="FirstParagraph"/>
      </w:pPr>
      <w:r>
        <w:t xml:space="preserve">This topic asks for an overall evaluation of the reserved-seat quota system’s actual impact, synthesising the descriptive and substantive representation threads developed in Topics 38, 41, and 42.</w:t>
      </w:r>
    </w:p>
    <w:p>
      <w:pPr>
        <w:pStyle w:val="BodyText"/>
      </w:pPr>
      <w:r>
        <w:rPr>
          <w:bCs/>
          <w:b/>
        </w:rPr>
        <w:t xml:space="preserve">Measurable positive impacts:</w:t>
      </w:r>
    </w:p>
    <w:p>
      <w:pPr>
        <w:numPr>
          <w:ilvl w:val="0"/>
          <w:numId w:val="1067"/>
        </w:numPr>
        <w:pStyle w:val="Compact"/>
      </w:pPr>
      <w:r>
        <w:t xml:space="preserve">A substantial and durable increase in the total number of women in Pakistan’s national and provincial legislatures compared to the pre-quota era or to what general-seat elections alone would produce.</w:t>
      </w:r>
    </w:p>
    <w:p>
      <w:pPr>
        <w:numPr>
          <w:ilvl w:val="0"/>
          <w:numId w:val="1067"/>
        </w:numPr>
        <w:pStyle w:val="Compact"/>
      </w:pPr>
      <w:r>
        <w:t xml:space="preserve">A documented role for reserved-seat women legislators in sponsoring and building cross-party support for landmark gender-related legislation (the 2010 Harassment Act, the 2016 domestic violence and anti-honour-killing laws, among others), demonstrating a real substantive policy effect, not merely symbolic representation.</w:t>
      </w:r>
    </w:p>
    <w:p>
      <w:pPr>
        <w:numPr>
          <w:ilvl w:val="0"/>
          <w:numId w:val="1067"/>
        </w:numPr>
        <w:pStyle w:val="Compact"/>
      </w:pPr>
      <w:r>
        <w:t xml:space="preserve">A</w:t>
      </w:r>
      <w:r>
        <w:t xml:space="preserve"> </w:t>
      </w:r>
      <w:r>
        <w:t xml:space="preserve">“</w:t>
      </w:r>
      <w:r>
        <w:t xml:space="preserve">role model</w:t>
      </w:r>
      <w:r>
        <w:t xml:space="preserve">”</w:t>
      </w:r>
      <w:r>
        <w:t xml:space="preserve"> </w:t>
      </w:r>
      <w:r>
        <w:t xml:space="preserve">or normalising effect, where the routine presence of women in parliament over multiple election cycles has gradually shifted public and political-class expectations about women’s capacity for political leadership, which can indirectly support more women choosing to enter politics through general seats as well.</w:t>
      </w:r>
    </w:p>
    <w:p>
      <w:pPr>
        <w:pStyle w:val="FirstParagraph"/>
      </w:pPr>
      <w:r>
        <w:rPr>
          <w:bCs/>
          <w:b/>
        </w:rPr>
        <w:t xml:space="preserve">Persistent limitations:</w:t>
      </w:r>
    </w:p>
    <w:p>
      <w:pPr>
        <w:numPr>
          <w:ilvl w:val="0"/>
          <w:numId w:val="1068"/>
        </w:numPr>
        <w:pStyle w:val="Compact"/>
      </w:pPr>
      <w:r>
        <w:t xml:space="preserve">The quota has not meaningfully increased women’s success on general seats, meaning women’s overall political power remains heavily concentrated in the reserved-seat channel rather than reflecting genuinely competitive electoral success.</w:t>
      </w:r>
    </w:p>
    <w:p>
      <w:pPr>
        <w:numPr>
          <w:ilvl w:val="0"/>
          <w:numId w:val="1068"/>
        </w:numPr>
        <w:pStyle w:val="Compact"/>
      </w:pPr>
      <w:r>
        <w:t xml:space="preserve">Reserved-seat members’ dependence on party leadership for nomination can limit their willingness to challenge their own party’s positions, including on gender issues where a party’s broader coalition (for instance, alliance with more socially conservative parties) creates political costs to pursuing certain reforms.</w:t>
      </w:r>
    </w:p>
    <w:p>
      <w:pPr>
        <w:numPr>
          <w:ilvl w:val="0"/>
          <w:numId w:val="1068"/>
        </w:numPr>
        <w:pStyle w:val="Compact"/>
      </w:pPr>
      <w:r>
        <w:t xml:space="preserve">Women’s substantive influence remains uneven across policy areas — strong specifically in gender-related legislation, but women parliamentarians remain underrepresented in powerful parliamentary committees dealing with finance, defence, and foreign affairs, limiting their influence over the broader national policy agenda.</w:t>
      </w:r>
    </w:p>
    <w:p>
      <w:pPr>
        <w:pStyle w:val="FirstParagraph"/>
      </w:pPr>
      <w:r>
        <w:rPr>
          <w:bCs/>
          <w:b/>
        </w:rPr>
        <w:t xml:space="preserve">Balanced conclusion.</w:t>
      </w:r>
      <w:r>
        <w:t xml:space="preserve"> </w:t>
      </w:r>
      <w:r>
        <w:t xml:space="preserve">The Pakistani case is frequently cited as evidence that quotas can meaningfully improve descriptive and even substantive representation on issues quotas were specifically designed to address (gender legislation), while not, by themselves, resolving the deeper structural barriers (party nomination bias, financing, political-family gatekeeping) that limit women’s independent political power more broadly.</w:t>
      </w:r>
    </w:p>
    <w:p>
      <w:pPr>
        <w:pStyle w:val="BodyText"/>
      </w:pPr>
      <w:r>
        <w:rPr>
          <w:bCs/>
          <w:b/>
        </w:rPr>
        <w:t xml:space="preserve">Key Takeaways</w:t>
      </w:r>
    </w:p>
    <w:p>
      <w:pPr>
        <w:numPr>
          <w:ilvl w:val="0"/>
          <w:numId w:val="1069"/>
        </w:numPr>
        <w:pStyle w:val="Compact"/>
      </w:pPr>
      <w:r>
        <w:t xml:space="preserve">Quotas have durably increased women’s legislative presence and produced real substantive gains in gender-related legislation specifically.</w:t>
      </w:r>
    </w:p>
    <w:p>
      <w:pPr>
        <w:numPr>
          <w:ilvl w:val="0"/>
          <w:numId w:val="1069"/>
        </w:numPr>
        <w:pStyle w:val="Compact"/>
      </w:pPr>
      <w:r>
        <w:t xml:space="preserve">They have not translated into comparable success for women on general seats, leaving women’s political power concentrated in the reserved-seat channel.</w:t>
      </w:r>
    </w:p>
    <w:p>
      <w:pPr>
        <w:numPr>
          <w:ilvl w:val="0"/>
          <w:numId w:val="1069"/>
        </w:numPr>
        <w:pStyle w:val="Compact"/>
      </w:pPr>
      <w:r>
        <w:t xml:space="preserve">The Pakistani case illustrates that quotas can achieve targeted substantive representation without resolving the deeper structural barriers to women’s broader political power.</w:t>
      </w:r>
    </w:p>
    <w:bookmarkEnd w:id="68"/>
    <w:bookmarkEnd w:id="69"/>
    <w:bookmarkStart w:id="74" w:name="viii.-gender-based-violence"/>
    <w:p>
      <w:pPr>
        <w:pStyle w:val="Heading2"/>
      </w:pPr>
      <w:r>
        <w:t xml:space="preserve">VIII. Gender-Based Violence</w:t>
      </w:r>
    </w:p>
    <w:bookmarkStart w:id="70" w:name="defining-gender-based-violence"/>
    <w:p>
      <w:pPr>
        <w:pStyle w:val="Heading3"/>
      </w:pPr>
      <w:r>
        <w:t xml:space="preserve">44. Defining Gender-Based Violence</w:t>
      </w:r>
    </w:p>
    <w:p>
      <w:pPr>
        <w:pStyle w:val="FirstParagraph"/>
      </w:pPr>
      <w:r>
        <w:t xml:space="preserve">Gender-based violence (GBV) is defined by the United Nations as any harmful act directed at an individual based on their gender, rooted in unequal power relations between genders, encompassing physical, sexual, psychological, and economic harm, whether occurring in public or private life.</w:t>
      </w:r>
    </w:p>
    <w:p>
      <w:pPr>
        <w:pStyle w:val="BodyText"/>
      </w:pPr>
      <w:r>
        <w:rPr>
          <w:bCs/>
          <w:b/>
        </w:rPr>
        <w:t xml:space="preserve">Why the definition specifies</w:t>
      </w:r>
      <w:r>
        <w:rPr>
          <w:bCs/>
          <w:b/>
        </w:rPr>
        <w:t xml:space="preserve"> </w:t>
      </w:r>
      <w:r>
        <w:rPr>
          <w:bCs/>
          <w:b/>
        </w:rPr>
        <w:t xml:space="preserve">“</w:t>
      </w:r>
      <w:r>
        <w:rPr>
          <w:bCs/>
          <w:b/>
        </w:rPr>
        <w:t xml:space="preserve">gender-based</w:t>
      </w:r>
      <w:r>
        <w:rPr>
          <w:bCs/>
          <w:b/>
        </w:rPr>
        <w:t xml:space="preserve">”</w:t>
      </w:r>
      <w:r>
        <w:rPr>
          <w:bCs/>
          <w:b/>
        </w:rPr>
        <w:t xml:space="preserve"> </w:t>
      </w:r>
      <w:r>
        <w:rPr>
          <w:bCs/>
          <w:b/>
        </w:rPr>
        <w:t xml:space="preserve">rather than simply</w:t>
      </w:r>
      <w:r>
        <w:rPr>
          <w:bCs/>
          <w:b/>
        </w:rPr>
        <w:t xml:space="preserve"> </w:t>
      </w:r>
      <w:r>
        <w:rPr>
          <w:bCs/>
          <w:b/>
        </w:rPr>
        <w:t xml:space="preserve">“</w:t>
      </w:r>
      <w:r>
        <w:rPr>
          <w:bCs/>
          <w:b/>
        </w:rPr>
        <w:t xml:space="preserve">violence against women.</w:t>
      </w:r>
      <w:r>
        <w:rPr>
          <w:bCs/>
          <w:b/>
        </w:rPr>
        <w:t xml:space="preserve">”</w:t>
      </w:r>
      <w:r>
        <w:t xml:space="preserve"> </w:t>
      </w:r>
      <w:r>
        <w:t xml:space="preserve">The gender-based framing emphasises that this violence is not random or incidental but is causally connected to gender inequality and gendered power structures — it is violence that specifically targets individuals</w:t>
      </w:r>
      <w:r>
        <w:t xml:space="preserve"> </w:t>
      </w:r>
      <w:r>
        <w:rPr>
          <w:iCs/>
          <w:i/>
        </w:rPr>
        <w:t xml:space="preserve">because of</w:t>
      </w:r>
      <w:r>
        <w:t xml:space="preserve"> </w:t>
      </w:r>
      <w:r>
        <w:t xml:space="preserve">their gender, and that is enabled by social norms that tolerate or excuse it (for example, norms treating domestic violence as a</w:t>
      </w:r>
      <w:r>
        <w:t xml:space="preserve"> </w:t>
      </w:r>
      <w:r>
        <w:t xml:space="preserve">“</w:t>
      </w:r>
      <w:r>
        <w:t xml:space="preserve">private family matter</w:t>
      </w:r>
      <w:r>
        <w:t xml:space="preserve">”</w:t>
      </w:r>
      <w:r>
        <w:t xml:space="preserve"> </w:t>
      </w:r>
      <w:r>
        <w:t xml:space="preserve">rather than a crime, or norms that blame victims of sexual violence for their own dress or behaviour). While GBV can affect people of any gender, the overwhelming majority of documented cases, and the framework’s origin, concern violence against women and girls.</w:t>
      </w:r>
    </w:p>
    <w:p>
      <w:pPr>
        <w:pStyle w:val="BodyText"/>
      </w:pPr>
      <w:r>
        <w:rPr>
          <w:bCs/>
          <w:b/>
        </w:rPr>
        <w:t xml:space="preserve">Categories of GBV:</w:t>
      </w:r>
    </w:p>
    <w:p>
      <w:pPr>
        <w:numPr>
          <w:ilvl w:val="0"/>
          <w:numId w:val="1070"/>
        </w:numPr>
        <w:pStyle w:val="Compact"/>
      </w:pPr>
      <w:r>
        <w:rPr>
          <w:bCs/>
          <w:b/>
        </w:rPr>
        <w:t xml:space="preserve">Physical violence</w:t>
      </w:r>
      <w:r>
        <w:t xml:space="preserve"> </w:t>
      </w:r>
      <w:r>
        <w:t xml:space="preserve">— including domestic/intimate partner violence, and extreme forms such as honour killings (Topic 37).</w:t>
      </w:r>
    </w:p>
    <w:p>
      <w:pPr>
        <w:numPr>
          <w:ilvl w:val="0"/>
          <w:numId w:val="1070"/>
        </w:numPr>
        <w:pStyle w:val="Compact"/>
      </w:pPr>
      <w:r>
        <w:rPr>
          <w:bCs/>
          <w:b/>
        </w:rPr>
        <w:t xml:space="preserve">Sexual violence</w:t>
      </w:r>
      <w:r>
        <w:t xml:space="preserve"> </w:t>
      </w:r>
      <w:r>
        <w:t xml:space="preserve">— including rape, sexual harassment (Topic 37’s Harassment Act), and forced marriage.</w:t>
      </w:r>
    </w:p>
    <w:p>
      <w:pPr>
        <w:numPr>
          <w:ilvl w:val="0"/>
          <w:numId w:val="1070"/>
        </w:numPr>
        <w:pStyle w:val="Compact"/>
      </w:pPr>
      <w:r>
        <w:rPr>
          <w:bCs/>
          <w:b/>
        </w:rPr>
        <w:t xml:space="preserve">Psychological/emotional violence</w:t>
      </w:r>
      <w:r>
        <w:t xml:space="preserve"> </w:t>
      </w:r>
      <w:r>
        <w:t xml:space="preserve">— including coercive control, threats, and verbal abuse within relationships.</w:t>
      </w:r>
    </w:p>
    <w:p>
      <w:pPr>
        <w:numPr>
          <w:ilvl w:val="0"/>
          <w:numId w:val="1070"/>
        </w:numPr>
        <w:pStyle w:val="Compact"/>
      </w:pPr>
      <w:r>
        <w:rPr>
          <w:bCs/>
          <w:b/>
        </w:rPr>
        <w:t xml:space="preserve">Economic violence</w:t>
      </w:r>
      <w:r>
        <w:t xml:space="preserve"> </w:t>
      </w:r>
      <w:r>
        <w:t xml:space="preserve">— including controlling a partner’s access to money, employment, or assets as a means of maintaining power over them.</w:t>
      </w:r>
    </w:p>
    <w:p>
      <w:pPr>
        <w:numPr>
          <w:ilvl w:val="0"/>
          <w:numId w:val="1070"/>
        </w:numPr>
        <w:pStyle w:val="Compact"/>
      </w:pPr>
      <w:r>
        <w:rPr>
          <w:bCs/>
          <w:b/>
        </w:rPr>
        <w:t xml:space="preserve">Structural/institutional violence</w:t>
      </w:r>
      <w:r>
        <w:t xml:space="preserve"> </w:t>
      </w:r>
      <w:r>
        <w:t xml:space="preserve">— a broader category (developed in Topic 46) referring to harm produced by discriminatory laws, institutions, or systemic neglect, rather than a direct individual physical act.</w:t>
      </w:r>
    </w:p>
    <w:p>
      <w:pPr>
        <w:pStyle w:val="FirstParagraph"/>
      </w:pPr>
      <w:r>
        <w:rPr>
          <w:bCs/>
          <w:b/>
        </w:rPr>
        <w:t xml:space="preserve">Why definitional clarity matters for policy.</w:t>
      </w:r>
      <w:r>
        <w:t xml:space="preserve"> </w:t>
      </w:r>
      <w:r>
        <w:t xml:space="preserve">How broadly or narrowly GBV is legally defined directly determines what protections victims can access — for example, whether marital rape is recognised as a crime, or whether psychological abuse alone (without physical violence) qualifies a victim for a protection order under laws like the Punjab Protection of Women against Violence Act, 2016 (Topic 37), which does explicitly include psychological abuse within its definition.</w:t>
      </w:r>
    </w:p>
    <w:p>
      <w:pPr>
        <w:pStyle w:val="BodyText"/>
      </w:pPr>
      <w:r>
        <w:rPr>
          <w:bCs/>
          <w:b/>
        </w:rPr>
        <w:t xml:space="preserve">Key Takeaways</w:t>
      </w:r>
    </w:p>
    <w:p>
      <w:pPr>
        <w:numPr>
          <w:ilvl w:val="0"/>
          <w:numId w:val="1071"/>
        </w:numPr>
        <w:pStyle w:val="Compact"/>
      </w:pPr>
      <w:r>
        <w:t xml:space="preserve">GBV is violence rooted in and enabled by unequal gender power relations, not incidental violence that happens to involve a person of a particular gender.</w:t>
      </w:r>
    </w:p>
    <w:p>
      <w:pPr>
        <w:numPr>
          <w:ilvl w:val="0"/>
          <w:numId w:val="1071"/>
        </w:numPr>
        <w:pStyle w:val="Compact"/>
      </w:pPr>
      <w:r>
        <w:t xml:space="preserve">It spans physical, sexual, psychological, economic, and structural/institutional categories.</w:t>
      </w:r>
    </w:p>
    <w:p>
      <w:pPr>
        <w:numPr>
          <w:ilvl w:val="0"/>
          <w:numId w:val="1071"/>
        </w:numPr>
        <w:pStyle w:val="Compact"/>
      </w:pPr>
      <w:r>
        <w:t xml:space="preserve">Legal definitions of GBV directly determine what protections are practically available to victims.</w:t>
      </w:r>
    </w:p>
    <w:bookmarkEnd w:id="70"/>
    <w:bookmarkStart w:id="71" w:name="theories-of-violence-against-women"/>
    <w:p>
      <w:pPr>
        <w:pStyle w:val="Heading3"/>
      </w:pPr>
      <w:r>
        <w:t xml:space="preserve">45. Theories of Violence Against Women</w:t>
      </w:r>
    </w:p>
    <w:p>
      <w:pPr>
        <w:pStyle w:val="FirstParagraph"/>
      </w:pPr>
      <w:r>
        <w:t xml:space="preserve">Several theoretical frameworks compete to explain why violence against women occurs and persists, each drawing on the broader feminist theories studied earlier in this subject.</w:t>
      </w:r>
    </w:p>
    <w:p>
      <w:pPr>
        <w:numPr>
          <w:ilvl w:val="0"/>
          <w:numId w:val="1072"/>
        </w:numPr>
        <w:pStyle w:val="Compact"/>
      </w:pPr>
      <w:r>
        <w:rPr>
          <w:bCs/>
          <w:b/>
        </w:rPr>
        <w:t xml:space="preserve">Radical feminist theory</w:t>
      </w:r>
      <w:r>
        <w:t xml:space="preserve"> </w:t>
      </w:r>
      <w:r>
        <w:t xml:space="preserve">(Topic 13) explains violence against women as a direct mechanism of patriarchal control — men’s use or threat of violence functions to maintain male dominance over women’s bodies, movement, and decision-making, making violence not an aberration within patriarchy but one of its core enforcing mechanisms.</w:t>
      </w:r>
    </w:p>
    <w:p>
      <w:pPr>
        <w:numPr>
          <w:ilvl w:val="0"/>
          <w:numId w:val="1072"/>
        </w:numPr>
        <w:pStyle w:val="Compact"/>
      </w:pPr>
      <w:r>
        <w:rPr>
          <w:bCs/>
          <w:b/>
        </w:rPr>
        <w:t xml:space="preserve">Social learning theory</w:t>
      </w:r>
      <w:r>
        <w:t xml:space="preserve"> </w:t>
      </w:r>
      <w:r>
        <w:t xml:space="preserve">explains violence through intergenerational transmission — children who witness domestic violence or are raised in households normalising aggressive control over women are statistically more likely to reproduce these patterns themselves as adults, whether as perpetrators or as accepting victims, because violence is learned as an expected feature of relationships during formative development.</w:t>
      </w:r>
    </w:p>
    <w:p>
      <w:pPr>
        <w:numPr>
          <w:ilvl w:val="0"/>
          <w:numId w:val="1072"/>
        </w:numPr>
        <w:pStyle w:val="Compact"/>
      </w:pPr>
      <w:r>
        <w:rPr>
          <w:bCs/>
          <w:b/>
        </w:rPr>
        <w:t xml:space="preserve">Resource theory</w:t>
      </w:r>
      <w:r>
        <w:t xml:space="preserve"> </w:t>
      </w:r>
      <w:r>
        <w:t xml:space="preserve">argues that violence functions as a compensatory means of control used disproportionately by men who lack other legitimate sources of power or status (such as income or social standing) within the relationship — when a man cannot assert authority through economic provision or social status, he may be more likely to resort to violence as an alternative means of maintaining dominance, which helps explain (though does not excuse) patterns linking economic stress and unemployment to elevated domestic violence risk.</w:t>
      </w:r>
    </w:p>
    <w:p>
      <w:pPr>
        <w:numPr>
          <w:ilvl w:val="0"/>
          <w:numId w:val="1072"/>
        </w:numPr>
        <w:pStyle w:val="Compact"/>
      </w:pPr>
      <w:r>
        <w:rPr>
          <w:bCs/>
          <w:b/>
        </w:rPr>
        <w:t xml:space="preserve">Structural/systems theory</w:t>
      </w:r>
      <w:r>
        <w:t xml:space="preserve"> </w:t>
      </w:r>
      <w:r>
        <w:t xml:space="preserve">places less emphasis on individual perpetrator psychology and more on how entire social systems — weak law enforcement, social stigma against reporting, lack of shelters and economic alternatives for victims to leave abusive situations — create conditions in which violence can occur repeatedly with limited consequence for perpetrators.</w:t>
      </w:r>
    </w:p>
    <w:p>
      <w:pPr>
        <w:pStyle w:val="FirstParagraph"/>
      </w:pPr>
      <w:r>
        <w:rPr>
          <w:bCs/>
          <w:b/>
        </w:rPr>
        <w:t xml:space="preserve">Why using multiple theories together produces the strongest analysis.</w:t>
      </w:r>
      <w:r>
        <w:t xml:space="preserve"> </w:t>
      </w:r>
      <w:r>
        <w:t xml:space="preserve">No single theory fully explains all instances of gender-based violence; a complete analytical answer draws on radical feminist theory to explain violence’s function within patriarchy, social learning theory to explain intergenerational transmission, resource theory to explain individual-level triggers, and structural theory to explain why violence persists at a societal scale despite legal prohibition.</w:t>
      </w:r>
    </w:p>
    <w:p>
      <w:pPr>
        <w:pStyle w:val="BodyText"/>
      </w:pPr>
      <w:r>
        <w:rPr>
          <w:bCs/>
          <w:b/>
        </w:rPr>
        <w:t xml:space="preserve">Key Takeaways</w:t>
      </w:r>
    </w:p>
    <w:p>
      <w:pPr>
        <w:numPr>
          <w:ilvl w:val="0"/>
          <w:numId w:val="1073"/>
        </w:numPr>
        <w:pStyle w:val="Compact"/>
      </w:pPr>
      <w:r>
        <w:t xml:space="preserve">Radical feminist theory frames violence as a mechanism of patriarchal control; social learning theory explains intergenerational transmission; resource theory links violence to compensatory control where other status sources are absent; structural theory explains societal persistence via weak enforcement and lack of victim alternatives.</w:t>
      </w:r>
    </w:p>
    <w:p>
      <w:pPr>
        <w:numPr>
          <w:ilvl w:val="0"/>
          <w:numId w:val="1073"/>
        </w:numPr>
        <w:pStyle w:val="Compact"/>
      </w:pPr>
      <w:r>
        <w:t xml:space="preserve">These theories are complementary rather than mutually exclusive, and strong analysis draws on multiple frameworks together.</w:t>
      </w:r>
    </w:p>
    <w:bookmarkEnd w:id="71"/>
    <w:bookmarkStart w:id="72" w:name="structural-and-direct-violence"/>
    <w:p>
      <w:pPr>
        <w:pStyle w:val="Heading3"/>
      </w:pPr>
      <w:r>
        <w:t xml:space="preserve">46. Structural and Direct Violence</w:t>
      </w:r>
    </w:p>
    <w:p>
      <w:pPr>
        <w:pStyle w:val="FirstParagraph"/>
      </w:pPr>
      <w:r>
        <w:t xml:space="preserve">This topic draws on peace-studies scholar Johan Galtung’s influential distinction between direct and structural violence, which is directly applicable to gender analysis.</w:t>
      </w:r>
    </w:p>
    <w:p>
      <w:pPr>
        <w:pStyle w:val="BodyText"/>
      </w:pPr>
      <w:r>
        <w:rPr>
          <w:bCs/>
          <w:b/>
        </w:rPr>
        <w:t xml:space="preserve">Direct violence</w:t>
      </w:r>
      <w:r>
        <w:t xml:space="preserve"> </w:t>
      </w:r>
      <w:r>
        <w:t xml:space="preserve">refers to specific, identifiable, intentional acts of harm carried out by an identifiable perpetrator against an identifiable victim — a beating, a rape, a killing — where cause and effect, and responsibility, are relatively clear and traceable to a specific actor and moment.</w:t>
      </w:r>
    </w:p>
    <w:p>
      <w:pPr>
        <w:pStyle w:val="BodyText"/>
      </w:pPr>
      <w:r>
        <w:rPr>
          <w:bCs/>
          <w:b/>
        </w:rPr>
        <w:t xml:space="preserve">Structural violence</w:t>
      </w:r>
      <w:r>
        <w:t xml:space="preserve"> </w:t>
      </w:r>
      <w:r>
        <w:t xml:space="preserve">refers to harm produced not by any single identifiable violent act, but by the ordinary, unequal functioning of social, economic, and political structures themselves — for example, a woman dying in childbirth because the healthcare system systematically underfunds maternal health services in her region, or girls’ life chances being permanently limited because the education system structurally under-serves rural areas where they live. No single person can be pointed to as</w:t>
      </w:r>
      <w:r>
        <w:t xml:space="preserve"> </w:t>
      </w:r>
      <w:r>
        <w:t xml:space="preserve">“</w:t>
      </w:r>
      <w:r>
        <w:t xml:space="preserve">the perpetrator</w:t>
      </w:r>
      <w:r>
        <w:t xml:space="preserve">”</w:t>
      </w:r>
      <w:r>
        <w:t xml:space="preserve"> </w:t>
      </w:r>
      <w:r>
        <w:t xml:space="preserve">in these cases, yet the harm is real, patterned, and connects directly to structures shaped by gender inequality (health policy, education policy, budget priorities).</w:t>
      </w:r>
    </w:p>
    <w:p>
      <w:pPr>
        <w:pStyle w:val="BodyText"/>
      </w:pPr>
      <w:r>
        <w:rPr>
          <w:bCs/>
          <w:b/>
        </w:rPr>
        <w:t xml:space="preserve">Why this distinction matters analytically.</w:t>
      </w:r>
      <w:r>
        <w:t xml:space="preserve"> </w:t>
      </w:r>
      <w:r>
        <w:t xml:space="preserve">It expands the definition of gender-based violence (Topic 44) beyond specific criminal acts to include the ongoing, less visible harm produced by discriminatory institutions and unequal resource allocation — connecting this topic directly back to the structural adjustment and development critiques of Topics 27, 30, and 32, which showed how economic and institutional structures can systematically disadvantage women without any single identifiable perpetrator.</w:t>
      </w:r>
    </w:p>
    <w:p>
      <w:pPr>
        <w:pStyle w:val="BodyText"/>
      </w:pPr>
      <w:r>
        <w:rPr>
          <w:bCs/>
          <w:b/>
        </w:rPr>
        <w:t xml:space="preserve">A further related concept: cultural violence.</w:t>
      </w:r>
      <w:r>
        <w:t xml:space="preserve"> </w:t>
      </w:r>
      <w:r>
        <w:t xml:space="preserve">Galtung also identified</w:t>
      </w:r>
      <w:r>
        <w:t xml:space="preserve"> </w:t>
      </w:r>
      <w:r>
        <w:t xml:space="preserve">“</w:t>
      </w:r>
      <w:r>
        <w:t xml:space="preserve">cultural violence</w:t>
      </w:r>
      <w:r>
        <w:t xml:space="preserve">”</w:t>
      </w:r>
      <w:r>
        <w:t xml:space="preserve"> </w:t>
      </w:r>
      <w:r>
        <w:t xml:space="preserve">— the norms, ideologies, and belief systems (religious interpretation, tradition, media representation) that are used to justify or legitimise both direct and structural violence, making them appear normal, deserved, or unavoidable rather than a wrong requiring correction (for example, cultural narratives that blame victims of sexual violence for their own dress or behaviour, which function to excuse and perpetuate direct violence).</w:t>
      </w:r>
    </w:p>
    <w:p>
      <w:pPr>
        <w:pStyle w:val="BodyText"/>
      </w:pPr>
      <w:r>
        <w:rPr>
          <w:bCs/>
          <w:b/>
        </w:rPr>
        <w:t xml:space="preserve">Key Takeaways</w:t>
      </w:r>
    </w:p>
    <w:p>
      <w:pPr>
        <w:numPr>
          <w:ilvl w:val="0"/>
          <w:numId w:val="1074"/>
        </w:numPr>
        <w:pStyle w:val="Compact"/>
      </w:pPr>
      <w:r>
        <w:t xml:space="preserve">Direct violence = identifiable perpetrator, specific violent act; structural violence = harm from unequal institutional/economic arrangements without a single identifiable perpetrator.</w:t>
      </w:r>
    </w:p>
    <w:p>
      <w:pPr>
        <w:numPr>
          <w:ilvl w:val="0"/>
          <w:numId w:val="1074"/>
        </w:numPr>
        <w:pStyle w:val="Compact"/>
      </w:pPr>
      <w:r>
        <w:t xml:space="preserve">Structural violence connects gender-based violence analysis to broader development and policy critiques (Topics 27, 30, 32).</w:t>
      </w:r>
    </w:p>
    <w:p>
      <w:pPr>
        <w:numPr>
          <w:ilvl w:val="0"/>
          <w:numId w:val="1074"/>
        </w:numPr>
        <w:pStyle w:val="Compact"/>
      </w:pPr>
      <w:r>
        <w:t xml:space="preserve">Galtung’s third category, cultural violence, refers to norms and ideologies that legitimise and excuse both direct and structural violence.</w:t>
      </w:r>
    </w:p>
    <w:bookmarkEnd w:id="72"/>
    <w:bookmarkStart w:id="73" w:name="Xc3eb885144b6159f56387a8ecaba2510683120b"/>
    <w:p>
      <w:pPr>
        <w:pStyle w:val="Heading3"/>
      </w:pPr>
      <w:r>
        <w:t xml:space="preserve">47. Strategies to Eliminate Violence Against Women</w:t>
      </w:r>
    </w:p>
    <w:p>
      <w:pPr>
        <w:pStyle w:val="FirstParagraph"/>
      </w:pPr>
      <w:r>
        <w:t xml:space="preserve">Effective responses to gender-based violence typically operate at multiple levels simultaneously, since (as Topics 45–46 show) violence has multiple, overlapping causes that no single intervention can address alone.</w:t>
      </w:r>
    </w:p>
    <w:p>
      <w:pPr>
        <w:pStyle w:val="BodyText"/>
      </w:pPr>
      <w:r>
        <w:rPr>
          <w:bCs/>
          <w:b/>
        </w:rPr>
        <w:t xml:space="preserve">Legal and justice-system strategies:</w:t>
      </w:r>
      <w:r>
        <w:t xml:space="preserve"> </w:t>
      </w:r>
      <w:r>
        <w:t xml:space="preserve">enacting and effectively enforcing specific criminal and civil laws against domestic violence, sexual harassment, and honour-based violence (Topic 37); establishing dedicated women’s police stations and increasing the number of female police officers and prosecutors to reduce reporting barriers; ensuring courts have clear, victim-sensitive procedures (for example, allowing testimony via video link to reduce trauma) so that reporting a crime does not itself become a further source of harm.</w:t>
      </w:r>
    </w:p>
    <w:p>
      <w:pPr>
        <w:pStyle w:val="BodyText"/>
      </w:pPr>
      <w:r>
        <w:rPr>
          <w:bCs/>
          <w:b/>
        </w:rPr>
        <w:t xml:space="preserve">Service-provision strategies:</w:t>
      </w:r>
      <w:r>
        <w:t xml:space="preserve"> </w:t>
      </w:r>
      <w:r>
        <w:t xml:space="preserve">establishing shelters (Dar-ul-Amans in Pakistan’s provincial system) offering safe housing for women fleeing violence; providing legal aid and counselling services; establishing helplines for immediate crisis support; and ensuring healthcare providers are trained to identify and appropriately respond to signs of abuse.</w:t>
      </w:r>
    </w:p>
    <w:p>
      <w:pPr>
        <w:pStyle w:val="BodyText"/>
      </w:pPr>
      <w:r>
        <w:rPr>
          <w:bCs/>
          <w:b/>
        </w:rPr>
        <w:t xml:space="preserve">Economic empowerment strategies:</w:t>
      </w:r>
      <w:r>
        <w:t xml:space="preserve"> </w:t>
      </w:r>
      <w:r>
        <w:t xml:space="preserve">given resource theory’s insight (Topic 45) that economic dependency limits a victim’s ability to leave an abusive situation, strategies that expand women’s independent access to income, property rights, and employment directly reduce one major barrier to escaping violence, even though economic independence alone does not eliminate the underlying causes of violence.</w:t>
      </w:r>
    </w:p>
    <w:p>
      <w:pPr>
        <w:pStyle w:val="BodyText"/>
      </w:pPr>
      <w:r>
        <w:rPr>
          <w:bCs/>
          <w:b/>
        </w:rPr>
        <w:t xml:space="preserve">Prevention through social and cultural change:</w:t>
      </w:r>
      <w:r>
        <w:t xml:space="preserve"> </w:t>
      </w:r>
      <w:r>
        <w:t xml:space="preserve">school-based programmes addressing gender norms and healthy relationships from an early age (targeting the intergenerational transmission mechanism identified by social learning theory in Topic 45); media and public-awareness campaigns challenging victim-blaming cultural narratives (Topic 46’s</w:t>
      </w:r>
      <w:r>
        <w:t xml:space="preserve"> </w:t>
      </w:r>
      <w:r>
        <w:t xml:space="preserve">“</w:t>
      </w:r>
      <w:r>
        <w:t xml:space="preserve">cultural violence</w:t>
      </w:r>
      <w:r>
        <w:t xml:space="preserve">”</w:t>
      </w:r>
      <w:r>
        <w:t xml:space="preserve">); and community-based engagement with religious and community leaders to build local social consensus against practices such as honour-based violence, which has proven more effective in many contexts than purely externally imposed legal reform alone.</w:t>
      </w:r>
    </w:p>
    <w:p>
      <w:pPr>
        <w:pStyle w:val="BodyText"/>
      </w:pPr>
      <w:r>
        <w:rPr>
          <w:bCs/>
          <w:b/>
        </w:rPr>
        <w:t xml:space="preserve">Why a multi-pronged approach is necessary.</w:t>
      </w:r>
      <w:r>
        <w:t xml:space="preserve"> </w:t>
      </w:r>
      <w:r>
        <w:t xml:space="preserve">Because violence is produced by patriarchal power structures (radical feminist theory), learned behaviour (social learning theory), resource imbalances (resource theory), and weak institutions (structural theory) simultaneously, an effective strategy must include law, services, economic empowerment, and cultural change together — addressing only one dimension (for example, passing a law without training police to enforce it, or providing shelters without addressing the economic dependency that makes leaving difficult) tends to produce limited results.</w:t>
      </w:r>
    </w:p>
    <w:p>
      <w:pPr>
        <w:pStyle w:val="BodyText"/>
      </w:pPr>
      <w:r>
        <w:rPr>
          <w:bCs/>
          <w:b/>
        </w:rPr>
        <w:t xml:space="preserve">Key Takeaways</w:t>
      </w:r>
    </w:p>
    <w:p>
      <w:pPr>
        <w:numPr>
          <w:ilvl w:val="0"/>
          <w:numId w:val="1075"/>
        </w:numPr>
        <w:pStyle w:val="Compact"/>
      </w:pPr>
      <w:r>
        <w:t xml:space="preserve">Effective anti-GBV strategy operates across legal enforcement, service provision (shelters, helplines, legal aid), economic empowerment, and cultural/social prevention simultaneously.</w:t>
      </w:r>
    </w:p>
    <w:p>
      <w:pPr>
        <w:numPr>
          <w:ilvl w:val="0"/>
          <w:numId w:val="1075"/>
        </w:numPr>
        <w:pStyle w:val="Compact"/>
      </w:pPr>
      <w:r>
        <w:t xml:space="preserve">Economic empowerment strategies directly address the dependency barrier identified by resource theory (Topic 45).</w:t>
      </w:r>
    </w:p>
    <w:p>
      <w:pPr>
        <w:numPr>
          <w:ilvl w:val="0"/>
          <w:numId w:val="1075"/>
        </w:numPr>
        <w:pStyle w:val="Compact"/>
      </w:pPr>
      <w:r>
        <w:t xml:space="preserve">A multi-pronged approach is necessary because violence has multiple overlapping causes; single-dimension interventions tend to underperform.</w:t>
      </w:r>
    </w:p>
    <w:bookmarkEnd w:id="73"/>
    <w:bookmarkEnd w:id="74"/>
    <w:bookmarkStart w:id="78" w:name="ix.-case-studies"/>
    <w:p>
      <w:pPr>
        <w:pStyle w:val="Heading2"/>
      </w:pPr>
      <w:r>
        <w:t xml:space="preserve">IX. Case Studies</w:t>
      </w:r>
    </w:p>
    <w:bookmarkStart w:id="75" w:name="mukhtaran-mai"/>
    <w:p>
      <w:pPr>
        <w:pStyle w:val="Heading3"/>
      </w:pPr>
      <w:r>
        <w:t xml:space="preserve">48. Mukhtaran Mai</w:t>
      </w:r>
    </w:p>
    <w:p>
      <w:pPr>
        <w:pStyle w:val="FirstParagraph"/>
      </w:pPr>
      <w:r>
        <w:t xml:space="preserve">Mukhtaran Mai (also spelled Mukhtar Mai) became one of Pakistan’s most internationally recognised gender-based violence cases after she was gang-raped in June 2002 in Meerwala, a village in Punjab’s Muzaffargarh district, on the order of a tribal council (panchayat/jirga) as a form of retributive</w:t>
      </w:r>
      <w:r>
        <w:t xml:space="preserve"> </w:t>
      </w:r>
      <w:r>
        <w:t xml:space="preserve">“</w:t>
      </w:r>
      <w:r>
        <w:t xml:space="preserve">honour</w:t>
      </w:r>
      <w:r>
        <w:t xml:space="preserve">”</w:t>
      </w:r>
      <w:r>
        <w:t xml:space="preserve"> </w:t>
      </w:r>
      <w:r>
        <w:t xml:space="preserve">punishment, following an accusation (later found baseless) against her younger brother.</w:t>
      </w:r>
    </w:p>
    <w:p>
      <w:pPr>
        <w:pStyle w:val="BodyText"/>
      </w:pPr>
      <w:r>
        <w:rPr>
          <w:bCs/>
          <w:b/>
        </w:rPr>
        <w:t xml:space="preserve">Why the case became internationally significant.</w:t>
      </w:r>
      <w:r>
        <w:t xml:space="preserve"> </w:t>
      </w:r>
      <w:r>
        <w:t xml:space="preserve">Rather than following the common social expectation that a rape survivor should remain silent or, in extreme cases, be pressured toward suicide to preserve family</w:t>
      </w:r>
      <w:r>
        <w:t xml:space="preserve"> </w:t>
      </w:r>
      <w:r>
        <w:t xml:space="preserve">“</w:t>
      </w:r>
      <w:r>
        <w:t xml:space="preserve">honour,</w:t>
      </w:r>
      <w:r>
        <w:t xml:space="preserve">”</w:t>
      </w:r>
      <w:r>
        <w:t xml:space="preserve"> </w:t>
      </w:r>
      <w:r>
        <w:t xml:space="preserve">Mukhtaran Mai publicly pursued legal action against her attackers, an act of defiance that drew massive domestic and international media attention and made her case a landmark reference point in Pakistani discourse on honour-based violence and tribal/informal justice systems (jirgas) operating in parallel to, and sometimes in direct conflict with, formal state law.</w:t>
      </w:r>
    </w:p>
    <w:p>
      <w:pPr>
        <w:pStyle w:val="BodyText"/>
      </w:pPr>
      <w:r>
        <w:rPr>
          <w:bCs/>
          <w:b/>
        </w:rPr>
        <w:t xml:space="preserve">Legal trajectory and its significance.</w:t>
      </w:r>
      <w:r>
        <w:t xml:space="preserve"> </w:t>
      </w:r>
      <w:r>
        <w:t xml:space="preserve">The case went through a long, complex legal process — an initial conviction of several accused, a subsequent acquittal of most defendants by the Lahore High Court, and an eventual Supreme Court review — that highlighted serious, systemic weaknesses in Pakistan’s handling of sexual violence cases: evidentiary difficulties, the influence of local power structures on witness testimony and case handling, and the slow pace of the justice system, which in this closely watched case took years to reach a final resolution that many observers considered inadequate relative to the crime.</w:t>
      </w:r>
    </w:p>
    <w:p>
      <w:pPr>
        <w:pStyle w:val="BodyText"/>
      </w:pPr>
      <w:r>
        <w:rPr>
          <w:bCs/>
          <w:b/>
        </w:rPr>
        <w:t xml:space="preserve">Subsequent activism.</w:t>
      </w:r>
      <w:r>
        <w:t xml:space="preserve"> </w:t>
      </w:r>
      <w:r>
        <w:t xml:space="preserve">Mukhtaran Mai used the compensation and international attention she received to establish schools (including for girls) in her home area and founded the Mukhtar Mai Women’s Welfare Organisation, converting her personal case into an ongoing platform for local women’s education and support services — an example of survivor-led activism rather than only victim status.</w:t>
      </w:r>
    </w:p>
    <w:p>
      <w:pPr>
        <w:pStyle w:val="BodyText"/>
      </w:pPr>
      <w:r>
        <w:rPr>
          <w:bCs/>
          <w:b/>
        </w:rPr>
        <w:t xml:space="preserve">Why this case matters for exam purposes.</w:t>
      </w:r>
      <w:r>
        <w:t xml:space="preserve"> </w:t>
      </w:r>
      <w:r>
        <w:t xml:space="preserve">It illustrates several themes studied earlier in concrete form: the tension between informal tribal justice systems (jirgas) and formal state law (Topic 37), the</w:t>
      </w:r>
      <w:r>
        <w:t xml:space="preserve"> </w:t>
      </w:r>
      <w:r>
        <w:t xml:space="preserve">“</w:t>
      </w:r>
      <w:r>
        <w:t xml:space="preserve">cultural violence</w:t>
      </w:r>
      <w:r>
        <w:t xml:space="preserve">”</w:t>
      </w:r>
      <w:r>
        <w:t xml:space="preserve"> </w:t>
      </w:r>
      <w:r>
        <w:t xml:space="preserve">narratives that initially framed the case as a matter of family honour rather than crime (Topic 46), and the practical weaknesses in Pakistan’s justice-system response to gender-based violence (Topic 47).</w:t>
      </w:r>
    </w:p>
    <w:p>
      <w:pPr>
        <w:pStyle w:val="BodyText"/>
      </w:pPr>
      <w:r>
        <w:rPr>
          <w:bCs/>
          <w:b/>
        </w:rPr>
        <w:t xml:space="preserve">Key Takeaways</w:t>
      </w:r>
    </w:p>
    <w:p>
      <w:pPr>
        <w:numPr>
          <w:ilvl w:val="0"/>
          <w:numId w:val="1076"/>
        </w:numPr>
        <w:pStyle w:val="Compact"/>
      </w:pPr>
      <w:r>
        <w:t xml:space="preserve">Mukhtaran Mai (2002, Meerwala, Punjab) was gang-raped on a tribal council’s order as honour-based retribution; she broke social expectation by publicly pursuing legal action.</w:t>
      </w:r>
    </w:p>
    <w:p>
      <w:pPr>
        <w:numPr>
          <w:ilvl w:val="0"/>
          <w:numId w:val="1076"/>
        </w:numPr>
        <w:pStyle w:val="Compact"/>
      </w:pPr>
      <w:r>
        <w:t xml:space="preserve">The case’s prolonged, ultimately unsatisfying legal outcome exposed systemic weaknesses in Pakistan’s justice-system handling of sexual violence.</w:t>
      </w:r>
    </w:p>
    <w:p>
      <w:pPr>
        <w:numPr>
          <w:ilvl w:val="0"/>
          <w:numId w:val="1076"/>
        </w:numPr>
        <w:pStyle w:val="Compact"/>
      </w:pPr>
      <w:r>
        <w:t xml:space="preserve">Her subsequent establishment of schools and a women’s welfare organisation exemplifies survivor-led activism beyond the legal case itself.</w:t>
      </w:r>
    </w:p>
    <w:bookmarkEnd w:id="75"/>
    <w:bookmarkStart w:id="76" w:name="malala-yousafzai"/>
    <w:p>
      <w:pPr>
        <w:pStyle w:val="Heading3"/>
      </w:pPr>
      <w:r>
        <w:t xml:space="preserve">49. Malala Yousafzai</w:t>
      </w:r>
    </w:p>
    <w:p>
      <w:pPr>
        <w:pStyle w:val="FirstParagraph"/>
      </w:pPr>
      <w:r>
        <w:t xml:space="preserve">Malala Yousafzai became internationally known as an advocate for girls’ education after surviving an assassination attempt by the Pakistani Taliban (Tehrik-i-Taliban Pakistan) in October 2012, when she was shot on a school bus in Mingora, in Swat district, in direct retaliation for her public advocacy for girls’ right to education during the period of Taliban control over the Swat Valley.</w:t>
      </w:r>
    </w:p>
    <w:p>
      <w:pPr>
        <w:pStyle w:val="BodyText"/>
      </w:pPr>
      <w:r>
        <w:rPr>
          <w:bCs/>
          <w:b/>
        </w:rPr>
        <w:t xml:space="preserve">Background to the attack.</w:t>
      </w:r>
      <w:r>
        <w:t xml:space="preserve"> </w:t>
      </w:r>
      <w:r>
        <w:t xml:space="preserve">Beginning around 2009, the Pakistani Taliban imposed a ban on girls’ education in Swat as part of a broader campaign to enforce their interpretation of Islamic governance, destroying hundreds of schools. Malala, then a schoolgirl, gained initial public attention by anonymously blogging for the BBC Urdu service about life under this ban and the importance of girls’ education, later becoming more publicly identified as an advocate as the Pakistani military campaign regained control of the valley.</w:t>
      </w:r>
    </w:p>
    <w:p>
      <w:pPr>
        <w:pStyle w:val="BodyText"/>
      </w:pPr>
      <w:r>
        <w:rPr>
          <w:bCs/>
          <w:b/>
        </w:rPr>
        <w:t xml:space="preserve">International response and advocacy.</w:t>
      </w:r>
      <w:r>
        <w:t xml:space="preserve"> </w:t>
      </w:r>
      <w:r>
        <w:t xml:space="preserve">Following the attack, Malala was evacuated for medical treatment to the United Kingdom, where she recovered and continued her advocacy on a global platform, co-founding the Malala Fund (with her father, Ziauddin Yousafzai) to support girls’ education globally, and becoming the youngest-ever Nobel Peace Prize laureate in 2014, shared with Indian children’s rights activist Kailash Satyarthi.</w:t>
      </w:r>
    </w:p>
    <w:p>
      <w:pPr>
        <w:pStyle w:val="BodyText"/>
      </w:pPr>
      <w:r>
        <w:rPr>
          <w:bCs/>
          <w:b/>
        </w:rPr>
        <w:t xml:space="preserve">Domestic reception, important for balanced analysis.</w:t>
      </w:r>
      <w:r>
        <w:t xml:space="preserve"> </w:t>
      </w:r>
      <w:r>
        <w:t xml:space="preserve">While Malala received overwhelming international recognition, her reception within Pakistan has been notably more divided: alongside widespread admiration and support, she has also faced significant domestic criticism and, in some segments of public opinion, conspiracy theories questioning the attack’s authenticity or suggesting she is being used as a tool of Western interests against Pakistan — a divide that itself illustrates the genuine tension in Pakistani society between global human-rights framing of girls’ education and more locally rooted political suspicion of internationally amplified narratives about Pakistan.</w:t>
      </w:r>
    </w:p>
    <w:p>
      <w:pPr>
        <w:pStyle w:val="BodyText"/>
      </w:pPr>
      <w:r>
        <w:rPr>
          <w:bCs/>
          <w:b/>
        </w:rPr>
        <w:t xml:space="preserve">Why this case matters for exam purposes.</w:t>
      </w:r>
      <w:r>
        <w:t xml:space="preserve"> </w:t>
      </w:r>
      <w:r>
        <w:t xml:space="preserve">It concretely illustrates the direct-violence dimension of resistance to girls’ education discussed in Topic 35, demonstrates international advocacy’s capacity to sustain a domestic issue on a global policy agenda (contributing to increased global funding attention to girls’ education), and provides a clear example for discussing the gap between international and domestic reception of a gender-rights icon, a nuance examiners often look for beyond a purely celebratory account.</w:t>
      </w:r>
    </w:p>
    <w:p>
      <w:pPr>
        <w:pStyle w:val="BodyText"/>
      </w:pPr>
      <w:r>
        <w:rPr>
          <w:bCs/>
          <w:b/>
        </w:rPr>
        <w:t xml:space="preserve">Key Takeaways</w:t>
      </w:r>
    </w:p>
    <w:p>
      <w:pPr>
        <w:numPr>
          <w:ilvl w:val="0"/>
          <w:numId w:val="1077"/>
        </w:numPr>
        <w:pStyle w:val="Compact"/>
      </w:pPr>
      <w:r>
        <w:t xml:space="preserve">Malala Yousafzai survived a 2012 Pakistani Taliban assassination attempt after advocating for girls’ education during the Taliban’s Swat Valley school ban.</w:t>
      </w:r>
    </w:p>
    <w:p>
      <w:pPr>
        <w:numPr>
          <w:ilvl w:val="0"/>
          <w:numId w:val="1077"/>
        </w:numPr>
        <w:pStyle w:val="Compact"/>
      </w:pPr>
      <w:r>
        <w:t xml:space="preserve">She became the youngest Nobel Peace Prize laureate (2014) and co-founded the Malala Fund for global girls’ education advocacy.</w:t>
      </w:r>
    </w:p>
    <w:p>
      <w:pPr>
        <w:numPr>
          <w:ilvl w:val="0"/>
          <w:numId w:val="1077"/>
        </w:numPr>
        <w:pStyle w:val="Compact"/>
      </w:pPr>
      <w:r>
        <w:t xml:space="preserve">Her domestic reception in Pakistan is notably more divided than her international reception — an important nuance for balanced analysis.</w:t>
      </w:r>
    </w:p>
    <w:bookmarkEnd w:id="76"/>
    <w:bookmarkStart w:id="77" w:name="sharmeen-obaid-chinoy"/>
    <w:p>
      <w:pPr>
        <w:pStyle w:val="Heading3"/>
      </w:pPr>
      <w:r>
        <w:t xml:space="preserve">50. Sharmeen Obaid-Chinoy</w:t>
      </w:r>
    </w:p>
    <w:p>
      <w:pPr>
        <w:pStyle w:val="FirstParagraph"/>
      </w:pPr>
      <w:r>
        <w:t xml:space="preserve">Sharmeen Obaid-Chinoy is a Pakistani documentary filmmaker and journalist whose work has repeatedly used investigative documentary film as a medium to expose gender-based violence and injustice in Pakistan to both domestic and international audiences, most significantly through her Academy Award-winning documentary</w:t>
      </w:r>
      <w:r>
        <w:t xml:space="preserve"> </w:t>
      </w:r>
      <w:r>
        <w:rPr>
          <w:iCs/>
          <w:i/>
        </w:rPr>
        <w:t xml:space="preserve">Saving Face</w:t>
      </w:r>
      <w:r>
        <w:t xml:space="preserve"> </w:t>
      </w:r>
      <w:r>
        <w:t xml:space="preserve">(2012, co-directed with Daniel Junge), which examined acid-attack violence against women in Pakistan and the reconstructive surgical and legal efforts to support survivors, and her second Academy Award-winning film,</w:t>
      </w:r>
      <w:r>
        <w:t xml:space="preserve"> </w:t>
      </w:r>
      <w:r>
        <w:rPr>
          <w:iCs/>
          <w:i/>
        </w:rPr>
        <w:t xml:space="preserve">A Girl in the River: The Price of Forgiveness</w:t>
      </w:r>
      <w:r>
        <w:t xml:space="preserve"> </w:t>
      </w:r>
      <w:r>
        <w:t xml:space="preserve">(2015), which examined honour killing and, notably, the legal loophole (the ability of a victim’s family to</w:t>
      </w:r>
      <w:r>
        <w:t xml:space="preserve"> </w:t>
      </w:r>
      <w:r>
        <w:t xml:space="preserve">“</w:t>
      </w:r>
      <w:r>
        <w:t xml:space="preserve">forgive</w:t>
      </w:r>
      <w:r>
        <w:t xml:space="preserve">”</w:t>
      </w:r>
      <w:r>
        <w:t xml:space="preserve"> </w:t>
      </w:r>
      <w:r>
        <w:t xml:space="preserve">the perpetrator, discussed in Topic 37) that had allowed many honour-killing perpetrators to escape punishment.</w:t>
      </w:r>
    </w:p>
    <w:p>
      <w:pPr>
        <w:pStyle w:val="BodyText"/>
      </w:pPr>
      <w:r>
        <w:rPr>
          <w:bCs/>
          <w:b/>
        </w:rPr>
        <w:t xml:space="preserve">Direct policy impact.</w:t>
      </w:r>
      <w:r>
        <w:t xml:space="preserve"> </w:t>
      </w:r>
      <w:r>
        <w:rPr>
          <w:iCs/>
          <w:i/>
        </w:rPr>
        <w:t xml:space="preserve">A Girl in the River</w:t>
      </w:r>
      <w:r>
        <w:t xml:space="preserve"> </w:t>
      </w:r>
      <w:r>
        <w:t xml:space="preserve">is a rare and notable example of a documentary film directly influencing legislative change: following the film’s release and the international attention it generated, Pakistani Prime Minister Nawaz Sharif publicly announced intent to close the legal loophole it exposed, and the film is widely credited by observers as having contributed significant political momentum toward the passage of the Anti-Honour Killing Laws (Criminal Laws Amendment) Act, 2016 (Topic 37), which closed exactly this loophole.</w:t>
      </w:r>
    </w:p>
    <w:p>
      <w:pPr>
        <w:pStyle w:val="BodyText"/>
      </w:pPr>
      <w:r>
        <w:rPr>
          <w:bCs/>
          <w:b/>
        </w:rPr>
        <w:t xml:space="preserve">Significance as a case study.</w:t>
      </w:r>
      <w:r>
        <w:t xml:space="preserve"> </w:t>
      </w:r>
      <w:r>
        <w:t xml:space="preserve">Obaid-Chinoy’s work illustrates a distinct mechanism of social and legal change from the direct activism (Women’s Action Forum, Topic 23) and survivor-led activism (Mukhtaran Mai, Topic 48) discussed elsewhere in this subject: the use of investigative media and international documentary platforms to generate the public attention and international pressure that can accelerate domestic legislative reform, illustrating the media/cultural dimension of feminist strategy alongside legal, economic, and grassroots-organisational strategies.</w:t>
      </w:r>
    </w:p>
    <w:p>
      <w:pPr>
        <w:pStyle w:val="BodyText"/>
      </w:pPr>
      <w:r>
        <w:rPr>
          <w:bCs/>
          <w:b/>
        </w:rPr>
        <w:t xml:space="preserve">A note for balanced evaluation.</w:t>
      </w:r>
      <w:r>
        <w:t xml:space="preserve"> </w:t>
      </w:r>
      <w:r>
        <w:t xml:space="preserve">As with Malala Yousafzai’s case (Topic 49), Obaid-Chinoy’s international acclaim and her documentaries’ focus on some of Pakistan’s most difficult social problems has generated a similar pattern of domestic debate, with some critics arguing that such films can reinforce narrow or reductive international perceptions of Pakistan, while others emphasise the concrete, traceable legislative impact her work has achieved as justification for this style of advocacy.</w:t>
      </w:r>
    </w:p>
    <w:p>
      <w:pPr>
        <w:pStyle w:val="BodyText"/>
      </w:pPr>
      <w:r>
        <w:rPr>
          <w:bCs/>
          <w:b/>
        </w:rPr>
        <w:t xml:space="preserve">Key Takeaways</w:t>
      </w:r>
    </w:p>
    <w:p>
      <w:pPr>
        <w:numPr>
          <w:ilvl w:val="0"/>
          <w:numId w:val="1078"/>
        </w:numPr>
        <w:pStyle w:val="Compact"/>
      </w:pPr>
      <w:r>
        <w:t xml:space="preserve">Sharmeen Obaid-Chinoy is a two-time Academy Award-winning Pakistani documentary filmmaker whose films</w:t>
      </w:r>
      <w:r>
        <w:t xml:space="preserve"> </w:t>
      </w:r>
      <w:r>
        <w:rPr>
          <w:iCs/>
          <w:i/>
        </w:rPr>
        <w:t xml:space="preserve">Saving Face</w:t>
      </w:r>
      <w:r>
        <w:t xml:space="preserve"> </w:t>
      </w:r>
      <w:r>
        <w:t xml:space="preserve">(2012) and</w:t>
      </w:r>
      <w:r>
        <w:t xml:space="preserve"> </w:t>
      </w:r>
      <w:r>
        <w:rPr>
          <w:iCs/>
          <w:i/>
        </w:rPr>
        <w:t xml:space="preserve">A Girl in the River</w:t>
      </w:r>
      <w:r>
        <w:t xml:space="preserve"> </w:t>
      </w:r>
      <w:r>
        <w:t xml:space="preserve">(2015) exposed acid violence and the honour-killing</w:t>
      </w:r>
      <w:r>
        <w:t xml:space="preserve"> </w:t>
      </w:r>
      <w:r>
        <w:t xml:space="preserve">“</w:t>
      </w:r>
      <w:r>
        <w:t xml:space="preserve">forgiveness</w:t>
      </w:r>
      <w:r>
        <w:t xml:space="preserve">”</w:t>
      </w:r>
      <w:r>
        <w:t xml:space="preserve"> </w:t>
      </w:r>
      <w:r>
        <w:t xml:space="preserve">loophole.</w:t>
      </w:r>
    </w:p>
    <w:p>
      <w:pPr>
        <w:numPr>
          <w:ilvl w:val="0"/>
          <w:numId w:val="1078"/>
        </w:numPr>
        <w:pStyle w:val="Compact"/>
      </w:pPr>
      <w:r>
        <w:rPr>
          <w:iCs/>
          <w:i/>
        </w:rPr>
        <w:t xml:space="preserve">A Girl in the River</w:t>
      </w:r>
      <w:r>
        <w:t xml:space="preserve"> </w:t>
      </w:r>
      <w:r>
        <w:t xml:space="preserve">is credited with generating direct political momentum toward the 2016 Anti-Honour Killing Laws Act, illustrating media-driven legislative impact.</w:t>
      </w:r>
    </w:p>
    <w:p>
      <w:pPr>
        <w:numPr>
          <w:ilvl w:val="0"/>
          <w:numId w:val="1078"/>
        </w:numPr>
        <w:pStyle w:val="Compact"/>
      </w:pPr>
      <w:r>
        <w:t xml:space="preserve">Her case illustrates a media/documentary-based mechanism of feminist advocacy, alongside legal, grassroots, and survivor-led strategies discussed elsewhere in this subject; her international acclaim has generated similar domestic reception debates as Malala’s case.</w:t>
      </w:r>
    </w:p>
    <w:bookmarkEnd w:id="77"/>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2026-09-20T19:20:21Z</dcterms:created>
  <dcterms:modified xsi:type="dcterms:W3CDTF">2026-09-20T19:20:21Z</dcterms:modified>
</cp:coreProperties>
</file>

<file path=docProps/custom.xml><?xml version="1.0" encoding="utf-8"?>
<Properties xmlns="http://schemas.openxmlformats.org/officeDocument/2006/custom-properties" xmlns:vt="http://schemas.openxmlformats.org/officeDocument/2006/docPropsVTypes"/>
</file>