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Group III Optional Subjects - Expanded Master Study Resource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9767c1512e2302a0135501c637d6eb258a232ea"/>
    <w:p>
      <w:pPr>
        <w:pStyle w:val="Heading1"/>
      </w:pPr>
      <w:r>
        <w:rPr>
          <w:rStyle w:val="SectionNumber"/>
        </w:rPr>
        <w:t xml:space="preserve">1</w:t>
      </w:r>
      <w:r>
        <w:tab/>
      </w:r>
      <w:r>
        <w:t xml:space="preserve">Group III Optional Subjects — Expanded Master Study Resource</w:t>
      </w:r>
    </w:p>
    <w:p>
      <w:pPr>
        <w:pStyle w:val="FirstParagraph"/>
      </w:pPr>
      <w:r>
        <w:rPr>
          <w:iCs/>
          <w:i/>
        </w:rPr>
        <w:t xml:space="preserve">A comprehensive, expanded crash course covering all four Group III optional subjects: Business Administration, Public Administration, Governance &amp; Public Policies, and Town Planning &amp; Urban Management.</w:t>
      </w:r>
    </w:p>
    <w:bookmarkEnd w:id="20"/>
    <w:bookmarkStart w:id="22" w:name="business-administration"/>
    <w:p>
      <w:pPr>
        <w:pStyle w:val="Heading1"/>
      </w:pPr>
      <w:r>
        <w:rPr>
          <w:rStyle w:val="SectionNumber"/>
        </w:rPr>
        <w:t xml:space="preserve">2</w:t>
      </w:r>
      <w:r>
        <w:tab/>
      </w:r>
      <w:r>
        <w:t xml:space="preserve">Business Administration</w:t>
      </w:r>
    </w:p>
    <w:p>
      <w:pPr>
        <w:pStyle w:val="FirstParagraph"/>
      </w:pPr>
      <w:r>
        <w:rPr>
          <w:iCs/>
          <w:i/>
        </w:rPr>
        <w:t xml:space="preserve">CSS/PMS Group III Optional Subject — Code 22, 100 marks</w:t>
      </w:r>
    </w:p>
    <w:bookmarkStart w:id="21" w:name="introduction-to-the-subject"/>
    <w:p>
      <w:pPr>
        <w:pStyle w:val="Heading2"/>
      </w:pPr>
      <w:r>
        <w:rPr>
          <w:rStyle w:val="SectionNumber"/>
        </w:rPr>
        <w:t xml:space="preserve">2.1</w:t>
      </w:r>
      <w:r>
        <w:tab/>
      </w:r>
      <w:r>
        <w:t xml:space="preserve">Introduction to the Subject</w:t>
      </w:r>
    </w:p>
    <w:p>
      <w:pPr>
        <w:pStyle w:val="FirstParagraph"/>
      </w:pPr>
      <w:r>
        <w:t xml:space="preserve">Business Administration is the study of how an organization is planned, staffed, financed, operated, and marketed so that it can achieve its purpose efficiently and effectively. The subject is built from five connected pillars, each answering a different question about how an enterprise functions:</w:t>
      </w:r>
    </w:p>
    <w:p>
      <w:pPr>
        <w:numPr>
          <w:ilvl w:val="0"/>
          <w:numId w:val="1001"/>
        </w:numPr>
        <w:pStyle w:val="Compact"/>
      </w:pPr>
      <w:r>
        <w:rPr>
          <w:bCs/>
          <w:b/>
        </w:rPr>
        <w:t xml:space="preserve">Management</w:t>
      </w:r>
      <w:r>
        <w:t xml:space="preserve"> </w:t>
      </w:r>
      <w:r>
        <w:t xml:space="preserve">answers</w:t>
      </w:r>
      <w:r>
        <w:t xml:space="preserve"> </w:t>
      </w:r>
      <w:r>
        <w:rPr>
          <w:iCs/>
          <w:i/>
        </w:rPr>
        <w:t xml:space="preserve">who decides, and how?</w:t>
      </w:r>
      <w:r>
        <w:t xml:space="preserve"> </w:t>
      </w:r>
      <w:r>
        <w:t xml:space="preserve">— it is the process of planning, organizing, leading, and controlling people and resources toward common goals.</w:t>
      </w:r>
    </w:p>
    <w:p>
      <w:pPr>
        <w:numPr>
          <w:ilvl w:val="0"/>
          <w:numId w:val="1001"/>
        </w:numPr>
        <w:pStyle w:val="Compact"/>
      </w:pPr>
      <w:r>
        <w:rPr>
          <w:bCs/>
          <w:b/>
        </w:rPr>
        <w:t xml:space="preserve">Human Resource Management (HRM)</w:t>
      </w:r>
      <w:r>
        <w:t xml:space="preserve"> </w:t>
      </w:r>
      <w:r>
        <w:t xml:space="preserve">answers</w:t>
      </w:r>
      <w:r>
        <w:t xml:space="preserve"> </w:t>
      </w:r>
      <w:r>
        <w:rPr>
          <w:iCs/>
          <w:i/>
        </w:rPr>
        <w:t xml:space="preserve">who does the work, and how are they managed?</w:t>
      </w:r>
      <w:r>
        <w:t xml:space="preserve"> </w:t>
      </w:r>
      <w:r>
        <w:t xml:space="preserve">— it covers acquiring, developing, motivating, and retaining the people who carry out the organization’s plans.</w:t>
      </w:r>
    </w:p>
    <w:p>
      <w:pPr>
        <w:numPr>
          <w:ilvl w:val="0"/>
          <w:numId w:val="1001"/>
        </w:numPr>
        <w:pStyle w:val="Compact"/>
      </w:pPr>
      <w:r>
        <w:rPr>
          <w:bCs/>
          <w:b/>
        </w:rPr>
        <w:t xml:space="preserve">Financial Management</w:t>
      </w:r>
      <w:r>
        <w:t xml:space="preserve"> </w:t>
      </w:r>
      <w:r>
        <w:t xml:space="preserve">answers</w:t>
      </w:r>
      <w:r>
        <w:t xml:space="preserve"> </w:t>
      </w:r>
      <w:r>
        <w:rPr>
          <w:iCs/>
          <w:i/>
        </w:rPr>
        <w:t xml:space="preserve">where does the money come from, and where does it go?</w:t>
      </w:r>
      <w:r>
        <w:t xml:space="preserve"> </w:t>
      </w:r>
      <w:r>
        <w:t xml:space="preserve">— it covers raising capital, valuing it over time, and deciding which investments and financing choices create value for owners.</w:t>
      </w:r>
    </w:p>
    <w:p>
      <w:pPr>
        <w:numPr>
          <w:ilvl w:val="0"/>
          <w:numId w:val="1001"/>
        </w:numPr>
        <w:pStyle w:val="Compact"/>
      </w:pPr>
      <w:r>
        <w:rPr>
          <w:bCs/>
          <w:b/>
        </w:rPr>
        <w:t xml:space="preserve">Operations and Supply Chain Management</w:t>
      </w:r>
      <w:r>
        <w:t xml:space="preserve"> </w:t>
      </w:r>
      <w:r>
        <w:t xml:space="preserve">answers</w:t>
      </w:r>
      <w:r>
        <w:t xml:space="preserve"> </w:t>
      </w:r>
      <w:r>
        <w:rPr>
          <w:iCs/>
          <w:i/>
        </w:rPr>
        <w:t xml:space="preserve">how is the work actually done, and how do materials and information flow?</w:t>
      </w:r>
      <w:r>
        <w:t xml:space="preserve"> </w:t>
      </w:r>
      <w:r>
        <w:t xml:space="preserve">— it covers designing processes, managing capacity and inventory, and coordinating the network of suppliers and distributors that gets a product or service to the customer.</w:t>
      </w:r>
    </w:p>
    <w:p>
      <w:pPr>
        <w:numPr>
          <w:ilvl w:val="0"/>
          <w:numId w:val="1001"/>
        </w:numPr>
        <w:pStyle w:val="Compact"/>
      </w:pPr>
      <w:r>
        <w:rPr>
          <w:bCs/>
          <w:b/>
        </w:rPr>
        <w:t xml:space="preserve">Marketing</w:t>
      </w:r>
      <w:r>
        <w:t xml:space="preserve"> </w:t>
      </w:r>
      <w:r>
        <w:t xml:space="preserve">answers</w:t>
      </w:r>
      <w:r>
        <w:t xml:space="preserve"> </w:t>
      </w:r>
      <w:r>
        <w:rPr>
          <w:iCs/>
          <w:i/>
        </w:rPr>
        <w:t xml:space="preserve">who is the customer, and how is value created and communicated to them?</w:t>
      </w:r>
      <w:r>
        <w:t xml:space="preserve"> </w:t>
      </w:r>
      <w:r>
        <w:t xml:space="preserve">— it covers understanding needs, designing offerings, pricing them, and communicating and delivering value.</w:t>
      </w:r>
    </w:p>
    <w:p>
      <w:pPr>
        <w:pStyle w:val="FirstParagraph"/>
      </w:pPr>
      <w:r>
        <w:t xml:space="preserve">These five pillars are not independent silos. A pricing decision (Marketing) affects cash flow (Finance); a capacity decision (Operations) affects hiring needs (HRM); a strategic decision (Management) sets the direction that every other function must support. Throughout this chapter, cross-references point out where one pillar’s decision constrains or enables another’s.</w:t>
      </w:r>
    </w:p>
    <w:p>
      <w:pPr>
        <w:pStyle w:val="BodyText"/>
      </w:pPr>
      <w:r>
        <w:rPr>
          <w:bCs/>
          <w:b/>
        </w:rPr>
        <w:t xml:space="preserve">How to use this chapter:</w:t>
      </w:r>
      <w:r>
        <w:t xml:space="preserve"> </w:t>
      </w:r>
      <w:r>
        <w:t xml:space="preserve">Read Management first, since its vocabulary (planning, organizing, leading, controlling; strategy; structure) is used throughout the other four pillars. Then HRM and Marketing, which are conceptually lighter and build intuition. Save Financial Management’s numerical topics (time value of money, CAPM, WACC, capital budgeting) for last, once you are comfortable with the underlying logic of</w:t>
      </w:r>
      <w:r>
        <w:t xml:space="preserve"> </w:t>
      </w:r>
      <w:r>
        <w:t xml:space="preserve">“</w:t>
      </w:r>
      <w:r>
        <w:t xml:space="preserve">value</w:t>
      </w:r>
      <w:r>
        <w:t xml:space="preserve">”</w:t>
      </w:r>
      <w:r>
        <w:t xml:space="preserve"> </w:t>
      </w:r>
      <w:r>
        <w:t xml:space="preserve">and</w:t>
      </w:r>
      <w:r>
        <w:t xml:space="preserve"> </w:t>
      </w:r>
      <w:r>
        <w:t xml:space="preserve">“</w:t>
      </w:r>
      <w:r>
        <w:t xml:space="preserve">return</w:t>
      </w:r>
      <w:r>
        <w:t xml:space="preserve">”</w:t>
      </w:r>
      <w:r>
        <w:t xml:space="preserve"> </w:t>
      </w:r>
      <w:r>
        <w:t xml:space="preserve">introduced earlier in the chapter, and expect to need worked practice, not just reading, for those topics.</w:t>
      </w:r>
    </w:p>
    <w:p>
      <w:pPr>
        <w:pStyle w:val="BodyText"/>
      </w:pPr>
      <w:r>
        <w:rPr>
          <w:bCs/>
          <w:b/>
        </w:rPr>
        <w:t xml:space="preserve">Foundational reading:</w:t>
      </w:r>
      <w:r>
        <w:t xml:space="preserve"> </w:t>
      </w:r>
      <w:r>
        <w:t xml:space="preserve">Richard L. Daft’s</w:t>
      </w:r>
      <w:r>
        <w:t xml:space="preserve"> </w:t>
      </w:r>
      <w:r>
        <w:rPr>
          <w:iCs/>
          <w:i/>
        </w:rPr>
        <w:t xml:space="preserve">Management</w:t>
      </w:r>
      <w:r>
        <w:t xml:space="preserve">, Stephen P. Robbins and Mary Coulter’s</w:t>
      </w:r>
      <w:r>
        <w:t xml:space="preserve"> </w:t>
      </w:r>
      <w:r>
        <w:rPr>
          <w:iCs/>
          <w:i/>
        </w:rPr>
        <w:t xml:space="preserve">Management</w:t>
      </w:r>
      <w:r>
        <w:t xml:space="preserve">, Gary Dessler’s</w:t>
      </w:r>
      <w:r>
        <w:t xml:space="preserve"> </w:t>
      </w:r>
      <w:r>
        <w:rPr>
          <w:iCs/>
          <w:i/>
        </w:rPr>
        <w:t xml:space="preserve">Human Resource Management</w:t>
      </w:r>
      <w:r>
        <w:t xml:space="preserve">, Ross, Westerfield &amp; Jordan’s</w:t>
      </w:r>
      <w:r>
        <w:t xml:space="preserve"> </w:t>
      </w:r>
      <w:r>
        <w:rPr>
          <w:iCs/>
          <w:i/>
        </w:rPr>
        <w:t xml:space="preserve">Essentials of Corporate Finance</w:t>
      </w:r>
      <w:r>
        <w:t xml:space="preserve">, Heizer &amp; Render’s</w:t>
      </w:r>
      <w:r>
        <w:t xml:space="preserve"> </w:t>
      </w:r>
      <w:r>
        <w:rPr>
          <w:iCs/>
          <w:i/>
        </w:rPr>
        <w:t xml:space="preserve">Operations Management</w:t>
      </w:r>
      <w:r>
        <w:t xml:space="preserve">, Chopra &amp; Meindl’s</w:t>
      </w:r>
      <w:r>
        <w:t xml:space="preserve"> </w:t>
      </w:r>
      <w:r>
        <w:rPr>
          <w:iCs/>
          <w:i/>
        </w:rPr>
        <w:t xml:space="preserve">Supply Chain Management</w:t>
      </w:r>
      <w:r>
        <w:t xml:space="preserve">, and Kotler &amp; Armstrong’s</w:t>
      </w:r>
      <w:r>
        <w:t xml:space="preserve"> </w:t>
      </w:r>
      <w:r>
        <w:rPr>
          <w:iCs/>
          <w:i/>
        </w:rPr>
        <w:t xml:space="preserve">Principles of Marketing</w:t>
      </w:r>
      <w:r>
        <w:t xml:space="preserve"> </w:t>
      </w:r>
      <w:r>
        <w:t xml:space="preserve">are the standard textbooks behind this syllabus. Use them as reference works to deepen a specific concept, not as a cover-to-cover reading obligation — the official FPSC syllabus, not any one textbook’s table of contents, is the actual checklist for the exam.</w:t>
      </w:r>
    </w:p>
    <w:p>
      <w:r>
        <w:pict>
          <v:rect style="width:0;height:1.5pt" o:hralign="center" o:hrstd="t" o:hr="t"/>
        </w:pict>
      </w:r>
    </w:p>
    <w:bookmarkEnd w:id="21"/>
    <w:bookmarkEnd w:id="22"/>
    <w:bookmarkStart w:id="54" w:name="i.-management"/>
    <w:p>
      <w:pPr>
        <w:pStyle w:val="Heading1"/>
      </w:pPr>
      <w:r>
        <w:rPr>
          <w:rStyle w:val="SectionNumber"/>
        </w:rPr>
        <w:t xml:space="preserve">3</w:t>
      </w:r>
      <w:r>
        <w:tab/>
      </w:r>
      <w:r>
        <w:t xml:space="preserve">I. Management</w:t>
      </w:r>
    </w:p>
    <w:bookmarkStart w:id="23" w:name="what-this-unit-is-about"/>
    <w:p>
      <w:pPr>
        <w:pStyle w:val="Heading2"/>
      </w:pPr>
      <w:r>
        <w:rPr>
          <w:rStyle w:val="SectionNumber"/>
        </w:rPr>
        <w:t xml:space="preserve">3.1</w:t>
      </w:r>
      <w:r>
        <w:tab/>
      </w:r>
      <w:r>
        <w:t xml:space="preserve">What This Unit Is About</w:t>
      </w:r>
    </w:p>
    <w:p>
      <w:pPr>
        <w:pStyle w:val="FirstParagraph"/>
      </w:pPr>
      <w:r>
        <w:t xml:space="preserve">Management is the process of getting organizational work done through four connected activities — planning, organizing, leading, and controlling — applied to people, money, materials, and information. Every other unit in this subject assumes this vocabulary: when Financial Management talks about</w:t>
      </w:r>
      <w:r>
        <w:t xml:space="preserve"> </w:t>
      </w:r>
      <w:r>
        <w:t xml:space="preserve">“</w:t>
      </w:r>
      <w:r>
        <w:t xml:space="preserve">capital budgeting decisions,</w:t>
      </w:r>
      <w:r>
        <w:t xml:space="preserve">”</w:t>
      </w:r>
      <w:r>
        <w:t xml:space="preserve"> </w:t>
      </w:r>
      <w:r>
        <w:t xml:space="preserve">it is really talking about a planning decision; when Marketing talks about</w:t>
      </w:r>
      <w:r>
        <w:t xml:space="preserve"> </w:t>
      </w:r>
      <w:r>
        <w:t xml:space="preserve">“</w:t>
      </w:r>
      <w:r>
        <w:t xml:space="preserve">managing distribution channels,</w:t>
      </w:r>
      <w:r>
        <w:t xml:space="preserve">”</w:t>
      </w:r>
      <w:r>
        <w:t xml:space="preserve"> </w:t>
      </w:r>
      <w:r>
        <w:t xml:space="preserve">it is really talking about an organizing decision. Getting comfortable with the language of this unit therefore pays off across the whole paper.</w:t>
      </w:r>
    </w:p>
    <w:p>
      <w:pPr>
        <w:pStyle w:val="BodyText"/>
      </w:pPr>
      <w:r>
        <w:t xml:space="preserve">The unit itself moves through a logical sequence: it starts by defining what an organization and a manager actually are, then breaks down what managers do day to day (the four functions, Mintzberg’s roles, the skills mix), then looks outward at the environment managers must respond to, then looks at how managers plan and decide, then at how a whole organization sets long-term direction (strategy) and shapes itself structurally to carry that direction out, and finally at the human side of leading people through change, leadership, and motivation.</w:t>
      </w:r>
    </w:p>
    <w:bookmarkEnd w:id="23"/>
    <w:bookmarkStart w:id="27" w:name="Xb82dd981eac41873f6898220ea7cf93744eb5c5"/>
    <w:p>
      <w:pPr>
        <w:pStyle w:val="Heading2"/>
      </w:pPr>
      <w:r>
        <w:rPr>
          <w:rStyle w:val="SectionNumber"/>
        </w:rPr>
        <w:t xml:space="preserve">3.2</w:t>
      </w:r>
      <w:r>
        <w:tab/>
      </w:r>
      <w:r>
        <w:t xml:space="preserve">Defining Organization, Management, and Management in Organizations</w:t>
      </w:r>
    </w:p>
    <w:bookmarkStart w:id="24" w:name="what-an-organization-is"/>
    <w:p>
      <w:pPr>
        <w:pStyle w:val="Heading3"/>
      </w:pPr>
      <w:r>
        <w:rPr>
          <w:rStyle w:val="SectionNumber"/>
        </w:rPr>
        <w:t xml:space="preserve">3.2.1</w:t>
      </w:r>
      <w:r>
        <w:tab/>
      </w:r>
      <w:r>
        <w:t xml:space="preserve">What an organization is</w:t>
      </w:r>
    </w:p>
    <w:p>
      <w:pPr>
        <w:pStyle w:val="FirstParagraph"/>
      </w:pPr>
      <w:r>
        <w:t xml:space="preserve">An</w:t>
      </w:r>
      <w:r>
        <w:t xml:space="preserve"> </w:t>
      </w:r>
      <w:r>
        <w:rPr>
          <w:bCs/>
          <w:b/>
        </w:rPr>
        <w:t xml:space="preserve">organization</w:t>
      </w:r>
      <w:r>
        <w:t xml:space="preserve"> </w:t>
      </w:r>
      <w:r>
        <w:t xml:space="preserve">is a deliberately coordinated social unit, composed of two or more people, that functions on a relatively continuous basis to achieve a common goal or set of goals. Four elements are packed into that definition, and each one matters for later topics:</w:t>
      </w:r>
    </w:p>
    <w:p>
      <w:pPr>
        <w:numPr>
          <w:ilvl w:val="0"/>
          <w:numId w:val="1002"/>
        </w:numPr>
        <w:pStyle w:val="Compact"/>
      </w:pPr>
      <w:r>
        <w:rPr>
          <w:bCs/>
          <w:b/>
        </w:rPr>
        <w:t xml:space="preserve">A distinct purpose.</w:t>
      </w:r>
      <w:r>
        <w:t xml:space="preserve"> </w:t>
      </w:r>
      <w:r>
        <w:t xml:space="preserve">Without a goal, there is nothing to coordinate toward — this is why every later planning and strategy topic starts from</w:t>
      </w:r>
      <w:r>
        <w:t xml:space="preserve"> </w:t>
      </w:r>
      <w:r>
        <w:t xml:space="preserve">“</w:t>
      </w:r>
      <w:r>
        <w:t xml:space="preserve">what is the organization trying to achieve?</w:t>
      </w:r>
      <w:r>
        <w:t xml:space="preserve">”</w:t>
      </w:r>
    </w:p>
    <w:p>
      <w:pPr>
        <w:numPr>
          <w:ilvl w:val="0"/>
          <w:numId w:val="1002"/>
        </w:numPr>
        <w:pStyle w:val="Compact"/>
      </w:pPr>
      <w:r>
        <w:rPr>
          <w:bCs/>
          <w:b/>
        </w:rPr>
        <w:t xml:space="preserve">People.</w:t>
      </w:r>
      <w:r>
        <w:t xml:space="preserve"> </w:t>
      </w:r>
      <w:r>
        <w:t xml:space="preserve">An organization is fundamentally social; one person working alone is not an organization in this sense, because there is no one to coordinate with.</w:t>
      </w:r>
    </w:p>
    <w:p>
      <w:pPr>
        <w:numPr>
          <w:ilvl w:val="0"/>
          <w:numId w:val="1002"/>
        </w:numPr>
        <w:pStyle w:val="Compact"/>
      </w:pPr>
      <w:r>
        <w:rPr>
          <w:bCs/>
          <w:b/>
        </w:rPr>
        <w:t xml:space="preserve">A deliberate structure.</w:t>
      </w:r>
      <w:r>
        <w:t xml:space="preserve"> </w:t>
      </w:r>
      <w:r>
        <w:t xml:space="preserve">Work is divided among people (division of labour) and some formal system of roles, authority, and reporting relationships exists — this is the seed of the later topic on organizational structure and design.</w:t>
      </w:r>
    </w:p>
    <w:p>
      <w:pPr>
        <w:numPr>
          <w:ilvl w:val="0"/>
          <w:numId w:val="1002"/>
        </w:numPr>
        <w:pStyle w:val="Compact"/>
      </w:pPr>
      <w:r>
        <w:rPr>
          <w:bCs/>
          <w:b/>
        </w:rPr>
        <w:t xml:space="preserve">Continuity.</w:t>
      </w:r>
      <w:r>
        <w:t xml:space="preserve"> </w:t>
      </w:r>
      <w:r>
        <w:t xml:space="preserve">An organization persists beyond any single transaction or project, which is why it needs ongoing management rather than a one-time decision.</w:t>
      </w:r>
    </w:p>
    <w:p>
      <w:pPr>
        <w:pStyle w:val="FirstParagraph"/>
      </w:pPr>
      <w:r>
        <w:t xml:space="preserve">It is useful to separate the</w:t>
      </w:r>
      <w:r>
        <w:t xml:space="preserve"> </w:t>
      </w:r>
      <w:r>
        <w:rPr>
          <w:bCs/>
          <w:b/>
        </w:rPr>
        <w:t xml:space="preserve">formal organization</w:t>
      </w:r>
      <w:r>
        <w:t xml:space="preserve"> </w:t>
      </w:r>
      <w:r>
        <w:t xml:space="preserve">— the official structure of roles, rules, and authority shown on an organization chart — from the</w:t>
      </w:r>
      <w:r>
        <w:t xml:space="preserve"> </w:t>
      </w:r>
      <w:r>
        <w:rPr>
          <w:bCs/>
          <w:b/>
        </w:rPr>
        <w:t xml:space="preserve">informal organization</w:t>
      </w:r>
      <w:r>
        <w:t xml:space="preserve">: the unofficial relationships, communication networks, and group norms that also shape how work actually gets done. A new manager who reads only the organization chart and ignores the informal network will misunderstand why some instructions are followed quickly and others are quietly resisted.</w:t>
      </w:r>
    </w:p>
    <w:bookmarkEnd w:id="24"/>
    <w:bookmarkStart w:id="25" w:name="what-management-is"/>
    <w:p>
      <w:pPr>
        <w:pStyle w:val="Heading3"/>
      </w:pPr>
      <w:r>
        <w:rPr>
          <w:rStyle w:val="SectionNumber"/>
        </w:rPr>
        <w:t xml:space="preserve">3.2.2</w:t>
      </w:r>
      <w:r>
        <w:tab/>
      </w:r>
      <w:r>
        <w:t xml:space="preserve">What management is</w:t>
      </w:r>
    </w:p>
    <w:p>
      <w:pPr>
        <w:pStyle w:val="FirstParagraph"/>
      </w:pPr>
      <w:r>
        <w:rPr>
          <w:bCs/>
          <w:b/>
        </w:rPr>
        <w:t xml:space="preserve">Management</w:t>
      </w:r>
      <w:r>
        <w:t xml:space="preserve"> </w:t>
      </w:r>
      <w:r>
        <w:t xml:space="preserve">is the process of coordinating and overseeing the work activities of others so that their activities are completed efficiently and effectively. Two words in that sentence carry almost all of the exam-relevant content:</w:t>
      </w:r>
    </w:p>
    <w:p>
      <w:pPr>
        <w:numPr>
          <w:ilvl w:val="0"/>
          <w:numId w:val="1003"/>
        </w:numPr>
        <w:pStyle w:val="Compact"/>
      </w:pPr>
      <w:r>
        <w:rPr>
          <w:bCs/>
          <w:b/>
        </w:rPr>
        <w:t xml:space="preserve">Efficiency</w:t>
      </w:r>
      <w:r>
        <w:t xml:space="preserve"> </w:t>
      </w:r>
      <w:r>
        <w:t xml:space="preserve">means getting the most output from the least input —</w:t>
      </w:r>
      <w:r>
        <w:t xml:space="preserve"> </w:t>
      </w:r>
      <w:r>
        <w:t xml:space="preserve">“</w:t>
      </w:r>
      <w:r>
        <w:t xml:space="preserve">doing things right.</w:t>
      </w:r>
      <w:r>
        <w:t xml:space="preserve">”</w:t>
      </w:r>
      <w:r>
        <w:t xml:space="preserve"> </w:t>
      </w:r>
      <w:r>
        <w:t xml:space="preserve">A factory that produces the same output with less wasted material or labour has become more efficient.</w:t>
      </w:r>
    </w:p>
    <w:p>
      <w:pPr>
        <w:numPr>
          <w:ilvl w:val="0"/>
          <w:numId w:val="1003"/>
        </w:numPr>
        <w:pStyle w:val="Compact"/>
      </w:pPr>
      <w:r>
        <w:rPr>
          <w:bCs/>
          <w:b/>
        </w:rPr>
        <w:t xml:space="preserve">Effectiveness</w:t>
      </w:r>
      <w:r>
        <w:t xml:space="preserve"> </w:t>
      </w:r>
      <w:r>
        <w:t xml:space="preserve">means completing activities so that organizational goals are attained —</w:t>
      </w:r>
      <w:r>
        <w:t xml:space="preserve"> </w:t>
      </w:r>
      <w:r>
        <w:t xml:space="preserve">“</w:t>
      </w:r>
      <w:r>
        <w:t xml:space="preserve">doing the right things.</w:t>
      </w:r>
      <w:r>
        <w:t xml:space="preserve">”</w:t>
      </w:r>
      <w:r>
        <w:t xml:space="preserve"> </w:t>
      </w:r>
      <w:r>
        <w:t xml:space="preserve">A factory that produces exactly the product the market wants, even if some resources are used loosely, is being effective.</w:t>
      </w:r>
    </w:p>
    <w:p>
      <w:pPr>
        <w:pStyle w:val="FirstParagraph"/>
      </w:pPr>
      <w:r>
        <w:t xml:space="preserve">Management aims for both together. A manager who is highly efficient but ineffective (perfectly optimizing production of a product nobody wants) has failed just as clearly as one who is effective but wildly inefficient (delivering what the market wants at ruinous cost). Peter Drucker’s well-known distinction —</w:t>
      </w:r>
      <w:r>
        <w:t xml:space="preserve"> </w:t>
      </w:r>
      <w:r>
        <w:t xml:space="preserve">“</w:t>
      </w:r>
      <w:r>
        <w:t xml:space="preserve">efficiency is doing things right; effectiveness is doing the right things</w:t>
      </w:r>
      <w:r>
        <w:t xml:space="preserve">”</w:t>
      </w:r>
      <w:r>
        <w:t xml:space="preserve"> </w:t>
      </w:r>
      <w:r>
        <w:t xml:space="preserve">— is worth memorizing in exactly that phrasing, since examiners often test it directly.</w:t>
      </w:r>
    </w:p>
    <w:bookmarkEnd w:id="25"/>
    <w:bookmarkStart w:id="26" w:name="Xa211719812094fca5d3c8d8d450a11956b7a066"/>
    <w:p>
      <w:pPr>
        <w:pStyle w:val="Heading3"/>
      </w:pPr>
      <w:r>
        <w:rPr>
          <w:rStyle w:val="SectionNumber"/>
        </w:rPr>
        <w:t xml:space="preserve">3.2.3</w:t>
      </w:r>
      <w:r>
        <w:tab/>
      </w:r>
      <w:r>
        <w:t xml:space="preserve">Management in organizations: who is a manager?</w:t>
      </w:r>
    </w:p>
    <w:p>
      <w:pPr>
        <w:pStyle w:val="FirstParagraph"/>
      </w:pPr>
      <w:r>
        <w:t xml:space="preserve">A</w:t>
      </w:r>
      <w:r>
        <w:t xml:space="preserve"> </w:t>
      </w:r>
      <w:r>
        <w:rPr>
          <w:bCs/>
          <w:b/>
        </w:rPr>
        <w:t xml:space="preserve">manager</w:t>
      </w:r>
      <w:r>
        <w:t xml:space="preserve"> </w:t>
      </w:r>
      <w:r>
        <w:t xml:space="preserve">is someone who coordinates and oversees the work of other people so that organizational goals can be accomplished. Managers are commonly classified by level:</w:t>
      </w:r>
    </w:p>
    <w:p>
      <w:pPr>
        <w:numPr>
          <w:ilvl w:val="0"/>
          <w:numId w:val="1004"/>
        </w:numPr>
        <w:pStyle w:val="Compact"/>
      </w:pPr>
      <w:r>
        <w:rPr>
          <w:bCs/>
          <w:b/>
        </w:rPr>
        <w:t xml:space="preserve">First-line (supervisory) managers</w:t>
      </w:r>
      <w:r>
        <w:t xml:space="preserve"> </w:t>
      </w:r>
      <w:r>
        <w:t xml:space="preserve">manage the work of non-managerial employees directly involved in producing the organization’s product or service — a shift supervisor on a factory floor, for example.</w:t>
      </w:r>
    </w:p>
    <w:p>
      <w:pPr>
        <w:numPr>
          <w:ilvl w:val="0"/>
          <w:numId w:val="1004"/>
        </w:numPr>
        <w:pStyle w:val="Compact"/>
      </w:pPr>
      <w:r>
        <w:rPr>
          <w:bCs/>
          <w:b/>
        </w:rPr>
        <w:t xml:space="preserve">Middle managers</w:t>
      </w:r>
      <w:r>
        <w:t xml:space="preserve"> </w:t>
      </w:r>
      <w:r>
        <w:t xml:space="preserve">manage the work of first-line managers, translating top management’s broad strategy into departmental plans.</w:t>
      </w:r>
    </w:p>
    <w:p>
      <w:pPr>
        <w:numPr>
          <w:ilvl w:val="0"/>
          <w:numId w:val="1004"/>
        </w:numPr>
        <w:pStyle w:val="Compact"/>
      </w:pPr>
      <w:r>
        <w:rPr>
          <w:bCs/>
          <w:b/>
        </w:rPr>
        <w:t xml:space="preserve">Top managers</w:t>
      </w:r>
      <w:r>
        <w:t xml:space="preserve"> </w:t>
      </w:r>
      <w:r>
        <w:t xml:space="preserve">are responsible for making organization-wide decisions and establishing plans and goals that affect the entire organization — a CEO or managing director.</w:t>
      </w:r>
    </w:p>
    <w:p>
      <w:pPr>
        <w:pStyle w:val="FirstParagraph"/>
      </w:pPr>
      <w:r>
        <w:rPr>
          <w:bCs/>
          <w:b/>
        </w:rPr>
        <w:t xml:space="preserve">Key takeaways</w:t>
      </w:r>
    </w:p>
    <w:p>
      <w:pPr>
        <w:numPr>
          <w:ilvl w:val="0"/>
          <w:numId w:val="1005"/>
        </w:numPr>
        <w:pStyle w:val="Compact"/>
      </w:pPr>
      <w:r>
        <w:t xml:space="preserve">An organization needs purpose, people, deliberate structure, and continuity; both its formal chart and its informal networks shape how work gets done.</w:t>
      </w:r>
    </w:p>
    <w:p>
      <w:pPr>
        <w:numPr>
          <w:ilvl w:val="0"/>
          <w:numId w:val="1005"/>
        </w:numPr>
        <w:pStyle w:val="Compact"/>
      </w:pPr>
      <w:r>
        <w:t xml:space="preserve">Management is judged on both efficiency (doing things right, minimizing waste) and effectiveness (doing the right things, achieving goals) — high performance requires both together.</w:t>
      </w:r>
    </w:p>
    <w:p>
      <w:pPr>
        <w:numPr>
          <w:ilvl w:val="0"/>
          <w:numId w:val="1005"/>
        </w:numPr>
        <w:pStyle w:val="Compact"/>
      </w:pPr>
      <w:r>
        <w:t xml:space="preserve">Managers are layered into first-line, middle, and top levels, each translating direction from above into more specific action below.</w:t>
      </w:r>
    </w:p>
    <w:bookmarkEnd w:id="26"/>
    <w:bookmarkEnd w:id="27"/>
    <w:bookmarkStart w:id="31" w:name="X8651e5e6afe896cf2cab9df9b7499dfafef8e03"/>
    <w:p>
      <w:pPr>
        <w:pStyle w:val="Heading2"/>
      </w:pPr>
      <w:r>
        <w:rPr>
          <w:rStyle w:val="SectionNumber"/>
        </w:rPr>
        <w:t xml:space="preserve">3.3</w:t>
      </w:r>
      <w:r>
        <w:tab/>
      </w:r>
      <w:r>
        <w:t xml:space="preserve">The Four Management Functions, Managerial Roles, and Managerial Skills</w:t>
      </w:r>
    </w:p>
    <w:bookmarkStart w:id="28" w:name="the-four-functions"/>
    <w:p>
      <w:pPr>
        <w:pStyle w:val="Heading3"/>
      </w:pPr>
      <w:r>
        <w:rPr>
          <w:rStyle w:val="SectionNumber"/>
        </w:rPr>
        <w:t xml:space="preserve">3.3.1</w:t>
      </w:r>
      <w:r>
        <w:tab/>
      </w:r>
      <w:r>
        <w:t xml:space="preserve">The four functions</w:t>
      </w:r>
    </w:p>
    <w:p>
      <w:pPr>
        <w:pStyle w:val="FirstParagraph"/>
      </w:pPr>
      <w:r>
        <w:t xml:space="preserve">Henri Fayol’s classic framework, still the backbone of how management is taught, groups everything a manager does into four functions:</w:t>
      </w:r>
    </w:p>
    <w:p>
      <w:pPr>
        <w:numPr>
          <w:ilvl w:val="0"/>
          <w:numId w:val="1006"/>
        </w:numPr>
        <w:pStyle w:val="Compact"/>
      </w:pPr>
      <w:r>
        <w:rPr>
          <w:bCs/>
          <w:b/>
        </w:rPr>
        <w:t xml:space="preserve">Planning</w:t>
      </w:r>
      <w:r>
        <w:t xml:space="preserve"> </w:t>
      </w:r>
      <w:r>
        <w:t xml:space="preserve">means defining goals, establishing an overall strategy for achieving them, and developing a comprehensive hierarchy of plans to integrate and coordinate activities. Planning answers</w:t>
      </w:r>
      <w:r>
        <w:t xml:space="preserve"> </w:t>
      </w:r>
      <w:r>
        <w:t xml:space="preserve">“</w:t>
      </w:r>
      <w:r>
        <w:t xml:space="preserve">where are we going, and how do we get there?</w:t>
      </w:r>
      <w:r>
        <w:t xml:space="preserve">”</w:t>
      </w:r>
      <w:r>
        <w:t xml:space="preserve"> </w:t>
      </w:r>
      <w:r>
        <w:t xml:space="preserve">before any resources are committed.</w:t>
      </w:r>
    </w:p>
    <w:p>
      <w:pPr>
        <w:numPr>
          <w:ilvl w:val="0"/>
          <w:numId w:val="1006"/>
        </w:numPr>
        <w:pStyle w:val="Compact"/>
      </w:pPr>
      <w:r>
        <w:rPr>
          <w:bCs/>
          <w:b/>
        </w:rPr>
        <w:t xml:space="preserve">Organizing</w:t>
      </w:r>
      <w:r>
        <w:t xml:space="preserve"> </w:t>
      </w:r>
      <w:r>
        <w:t xml:space="preserve">means arranging and structuring work to accomplish an organization’s goals — deciding what tasks are to be done, who is to do them, how tasks are to be grouped, who reports to whom, and where decisions are to be made. Organizing turns a plan into an assignable structure of jobs and authority.</w:t>
      </w:r>
    </w:p>
    <w:p>
      <w:pPr>
        <w:numPr>
          <w:ilvl w:val="0"/>
          <w:numId w:val="1006"/>
        </w:numPr>
        <w:pStyle w:val="Compact"/>
      </w:pPr>
      <w:r>
        <w:rPr>
          <w:bCs/>
          <w:b/>
        </w:rPr>
        <w:t xml:space="preserve">Leading</w:t>
      </w:r>
      <w:r>
        <w:t xml:space="preserve"> </w:t>
      </w:r>
      <w:r>
        <w:t xml:space="preserve">means working with and through people to accomplish goals — motivating subordinates, influencing individuals or teams as they work, selecting the most effective communication channels, and resolving conflicts. Leading is the function most concerned with the human, interpersonal side of getting work done, as distinct from the structural side (organizing).</w:t>
      </w:r>
    </w:p>
    <w:p>
      <w:pPr>
        <w:numPr>
          <w:ilvl w:val="0"/>
          <w:numId w:val="1006"/>
        </w:numPr>
        <w:pStyle w:val="Compact"/>
      </w:pPr>
      <w:r>
        <w:rPr>
          <w:bCs/>
          <w:b/>
        </w:rPr>
        <w:t xml:space="preserve">Controlling</w:t>
      </w:r>
      <w:r>
        <w:t xml:space="preserve"> </w:t>
      </w:r>
      <w:r>
        <w:t xml:space="preserve">means monitoring activities to ensure they are being accomplished as planned and correcting any significant deviations. Controlling closes the loop back to planning: actual performance is compared against the goals set during planning, and gaps trigger either corrective action or a revision of the plan itself.</w:t>
      </w:r>
    </w:p>
    <w:p>
      <w:pPr>
        <w:pStyle w:val="FirstParagraph"/>
      </w:pPr>
      <w:r>
        <w:t xml:space="preserve">These four functions are not a rigid one-time sequence performed once at the start of a project; they operate continuously and iteratively — a manager plans, then as work proceeds organizes and re-organizes, leads throughout, and controls constantly, feeding control information back into future planning.</w:t>
      </w:r>
    </w:p>
    <w:bookmarkEnd w:id="28"/>
    <w:bookmarkStart w:id="29" w:name="mintzbergs-managerial-roles"/>
    <w:p>
      <w:pPr>
        <w:pStyle w:val="Heading3"/>
      </w:pPr>
      <w:r>
        <w:rPr>
          <w:rStyle w:val="SectionNumber"/>
        </w:rPr>
        <w:t xml:space="preserve">3.3.2</w:t>
      </w:r>
      <w:r>
        <w:tab/>
      </w:r>
      <w:r>
        <w:t xml:space="preserve">Mintzberg’s managerial roles</w:t>
      </w:r>
    </w:p>
    <w:p>
      <w:pPr>
        <w:pStyle w:val="FirstParagraph"/>
      </w:pPr>
      <w:r>
        <w:t xml:space="preserve">Henry Mintzberg, based on direct observation of practising managers, argued that what managers actually spend their time on is better captured by ten roles grouped into three categories, rather than by the tidy four functions above:</w:t>
      </w:r>
    </w:p>
    <w:p>
      <w:pPr>
        <w:numPr>
          <w:ilvl w:val="0"/>
          <w:numId w:val="1007"/>
        </w:numPr>
        <w:pStyle w:val="Compact"/>
      </w:pPr>
      <w:r>
        <w:rPr>
          <w:bCs/>
          <w:b/>
        </w:rPr>
        <w:t xml:space="preserve">Interpersonal roles</w:t>
      </w:r>
      <w:r>
        <w:t xml:space="preserve"> </w:t>
      </w:r>
      <w:r>
        <w:t xml:space="preserve">— figurehead (performing ceremonial and symbolic duties), leader (motivating and directing subordinates), and liaison (maintaining a network of contacts outside one’s own unit).</w:t>
      </w:r>
    </w:p>
    <w:p>
      <w:pPr>
        <w:numPr>
          <w:ilvl w:val="0"/>
          <w:numId w:val="1007"/>
        </w:numPr>
        <w:pStyle w:val="Compact"/>
      </w:pPr>
      <w:r>
        <w:rPr>
          <w:bCs/>
          <w:b/>
        </w:rPr>
        <w:t xml:space="preserve">Informational roles</w:t>
      </w:r>
      <w:r>
        <w:t xml:space="preserve"> </w:t>
      </w:r>
      <w:r>
        <w:t xml:space="preserve">— monitor (seeking and receiving information to understand the organization and its environment), disseminator (transmitting information received from outsiders or subordinates to other members), and spokesperson (transmitting information to outsiders on the organization’s plans, policies, and results).</w:t>
      </w:r>
    </w:p>
    <w:p>
      <w:pPr>
        <w:numPr>
          <w:ilvl w:val="0"/>
          <w:numId w:val="1007"/>
        </w:numPr>
        <w:pStyle w:val="Compact"/>
      </w:pPr>
      <w:r>
        <w:rPr>
          <w:bCs/>
          <w:b/>
        </w:rPr>
        <w:t xml:space="preserve">Decisional roles</w:t>
      </w:r>
      <w:r>
        <w:t xml:space="preserve"> </w:t>
      </w:r>
      <w:r>
        <w:t xml:space="preserve">— entrepreneur (initiating and overseeing new projects to improve performance), disturbance handler (taking corrective action when the organization faces unexpected difficulties), resource allocator (deciding where organizational resources are directed), and negotiator (representing the organization in major negotiations).</w:t>
      </w:r>
    </w:p>
    <w:p>
      <w:pPr>
        <w:pStyle w:val="FirstParagraph"/>
      </w:pPr>
      <w:r>
        <w:t xml:space="preserve">The functions and the roles are not competing theories so much as two different lenses on the same job: the four functions describe the</w:t>
      </w:r>
      <w:r>
        <w:t xml:space="preserve"> </w:t>
      </w:r>
      <w:r>
        <w:rPr>
          <w:iCs/>
          <w:i/>
        </w:rPr>
        <w:t xml:space="preserve">purpose</w:t>
      </w:r>
      <w:r>
        <w:t xml:space="preserve"> </w:t>
      </w:r>
      <w:r>
        <w:t xml:space="preserve">of managerial activity, while Mintzberg’s roles describe the</w:t>
      </w:r>
      <w:r>
        <w:t xml:space="preserve"> </w:t>
      </w:r>
      <w:r>
        <w:rPr>
          <w:iCs/>
          <w:i/>
        </w:rPr>
        <w:t xml:space="preserve">observed behaviour</w:t>
      </w:r>
      <w:r>
        <w:t xml:space="preserve"> </w:t>
      </w:r>
      <w:r>
        <w:t xml:space="preserve">through which managers actually carry out that purpose.</w:t>
      </w:r>
    </w:p>
    <w:bookmarkEnd w:id="29"/>
    <w:bookmarkStart w:id="30" w:name="managerial-skills"/>
    <w:p>
      <w:pPr>
        <w:pStyle w:val="Heading3"/>
      </w:pPr>
      <w:r>
        <w:rPr>
          <w:rStyle w:val="SectionNumber"/>
        </w:rPr>
        <w:t xml:space="preserve">3.3.3</w:t>
      </w:r>
      <w:r>
        <w:tab/>
      </w:r>
      <w:r>
        <w:t xml:space="preserve">Managerial skills</w:t>
      </w:r>
    </w:p>
    <w:p>
      <w:pPr>
        <w:pStyle w:val="FirstParagraph"/>
      </w:pPr>
      <w:r>
        <w:t xml:space="preserve">Robert Katz identified three essential skill categories, and — importantly for the exam — the relative importance of each shifts as a manager rises through the organizational levels:</w:t>
      </w:r>
    </w:p>
    <w:p>
      <w:pPr>
        <w:numPr>
          <w:ilvl w:val="0"/>
          <w:numId w:val="1008"/>
        </w:numPr>
        <w:pStyle w:val="Compact"/>
      </w:pPr>
      <w:r>
        <w:rPr>
          <w:bCs/>
          <w:b/>
        </w:rPr>
        <w:t xml:space="preserve">Technical skills</w:t>
      </w:r>
      <w:r>
        <w:t xml:space="preserve"> </w:t>
      </w:r>
      <w:r>
        <w:t xml:space="preserve">are the job-specific knowledge and proficiency needed to perform specialized tasks — most critical for first-line managers, who are closest to the actual technical work.</w:t>
      </w:r>
    </w:p>
    <w:p>
      <w:pPr>
        <w:numPr>
          <w:ilvl w:val="0"/>
          <w:numId w:val="1008"/>
        </w:numPr>
        <w:pStyle w:val="Compact"/>
      </w:pPr>
      <w:r>
        <w:rPr>
          <w:bCs/>
          <w:b/>
        </w:rPr>
        <w:t xml:space="preserve">Human skills</w:t>
      </w:r>
      <w:r>
        <w:t xml:space="preserve"> </w:t>
      </w:r>
      <w:r>
        <w:t xml:space="preserve">are the ability to work well with other people, individually and in groups — important at every level, since all managers deal with people, but especially central at middle levels where coordination across units is constant.</w:t>
      </w:r>
    </w:p>
    <w:p>
      <w:pPr>
        <w:numPr>
          <w:ilvl w:val="0"/>
          <w:numId w:val="1008"/>
        </w:numPr>
        <w:pStyle w:val="Compact"/>
      </w:pPr>
      <w:r>
        <w:rPr>
          <w:bCs/>
          <w:b/>
        </w:rPr>
        <w:t xml:space="preserve">Conceptual skills</w:t>
      </w:r>
      <w:r>
        <w:t xml:space="preserve"> </w:t>
      </w:r>
      <w:r>
        <w:t xml:space="preserve">are the ability to think and conceptualize about abstract and complex situations — to see the organization as a whole and understand how its parts relate to each other and to the wider environment. These become most critical at the top, where decisions involve the entire organization’s long-term direction.</w:t>
      </w:r>
    </w:p>
    <w:p>
      <w:pPr>
        <w:pStyle w:val="FirstParagraph"/>
      </w:pPr>
      <w:r>
        <w:t xml:space="preserve">A useful way to remember the shift: technical skills matter most</w:t>
      </w:r>
      <w:r>
        <w:t xml:space="preserve"> </w:t>
      </w:r>
      <w:r>
        <w:t xml:space="preserve">“</w:t>
      </w:r>
      <w:r>
        <w:t xml:space="preserve">close to the ground,</w:t>
      </w:r>
      <w:r>
        <w:t xml:space="preserve">”</w:t>
      </w:r>
      <w:r>
        <w:t xml:space="preserve"> </w:t>
      </w:r>
      <w:r>
        <w:t xml:space="preserve">conceptual skills matter most</w:t>
      </w:r>
      <w:r>
        <w:t xml:space="preserve"> </w:t>
      </w:r>
      <w:r>
        <w:t xml:space="preserve">“</w:t>
      </w:r>
      <w:r>
        <w:t xml:space="preserve">at altitude,</w:t>
      </w:r>
      <w:r>
        <w:t xml:space="preserve">”</w:t>
      </w:r>
      <w:r>
        <w:t xml:space="preserve"> </w:t>
      </w:r>
      <w:r>
        <w:t xml:space="preserve">and human skills matter throughout because management is, at every level, fundamentally a social activity.</w:t>
      </w:r>
    </w:p>
    <w:p>
      <w:pPr>
        <w:pStyle w:val="BodyText"/>
      </w:pPr>
      <w:r>
        <w:rPr>
          <w:bCs/>
          <w:b/>
        </w:rPr>
        <w:t xml:space="preserve">Key takeaways</w:t>
      </w:r>
    </w:p>
    <w:p>
      <w:pPr>
        <w:numPr>
          <w:ilvl w:val="0"/>
          <w:numId w:val="1009"/>
        </w:numPr>
        <w:pStyle w:val="Compact"/>
      </w:pPr>
      <w:r>
        <w:t xml:space="preserve">The four functions — planning, organizing, leading, controlling — describe the continuous, iterative purpose of managerial work, with controlling feeding back into future planning.</w:t>
      </w:r>
    </w:p>
    <w:p>
      <w:pPr>
        <w:numPr>
          <w:ilvl w:val="0"/>
          <w:numId w:val="1009"/>
        </w:numPr>
        <w:pStyle w:val="Compact"/>
      </w:pPr>
      <w:r>
        <w:t xml:space="preserve">Mintzberg’s ten roles (interpersonal, informational, decisional) describe the same job from the angle of observed day-to-day behaviour rather than abstract purpose.</w:t>
      </w:r>
    </w:p>
    <w:p>
      <w:pPr>
        <w:numPr>
          <w:ilvl w:val="0"/>
          <w:numId w:val="1009"/>
        </w:numPr>
        <w:pStyle w:val="Compact"/>
      </w:pPr>
      <w:r>
        <w:t xml:space="preserve">Katz’s three skills — technical, human, conceptual — are all needed, but their relative weight shifts: technical matters most at the first-line level, conceptual matters most at the top, human skill matters throughout.</w:t>
      </w:r>
    </w:p>
    <w:bookmarkEnd w:id="30"/>
    <w:bookmarkEnd w:id="31"/>
    <w:bookmarkStart w:id="36" w:name="X878771eaa37c9ef50d979d61e8ea9da3305c02a"/>
    <w:p>
      <w:pPr>
        <w:pStyle w:val="Heading2"/>
      </w:pPr>
      <w:r>
        <w:rPr>
          <w:rStyle w:val="SectionNumber"/>
        </w:rPr>
        <w:t xml:space="preserve">3.4</w:t>
      </w:r>
      <w:r>
        <w:tab/>
      </w:r>
      <w:r>
        <w:t xml:space="preserve">The Organizational Internal and External Environment</w:t>
      </w:r>
    </w:p>
    <w:bookmarkStart w:id="32" w:name="why-the-environment-matters"/>
    <w:p>
      <w:pPr>
        <w:pStyle w:val="Heading3"/>
      </w:pPr>
      <w:r>
        <w:rPr>
          <w:rStyle w:val="SectionNumber"/>
        </w:rPr>
        <w:t xml:space="preserve">3.4.1</w:t>
      </w:r>
      <w:r>
        <w:tab/>
      </w:r>
      <w:r>
        <w:t xml:space="preserve">Why the environment matters</w:t>
      </w:r>
    </w:p>
    <w:p>
      <w:pPr>
        <w:pStyle w:val="FirstParagraph"/>
      </w:pPr>
      <w:r>
        <w:t xml:space="preserve">No organization exists in isolation. Everything a manager plans, organizes, leads, and controls happens inside a context that both constrains and creates opportunity — this context is the organizational</w:t>
      </w:r>
      <w:r>
        <w:t xml:space="preserve"> </w:t>
      </w:r>
      <w:r>
        <w:rPr>
          <w:bCs/>
          <w:b/>
        </w:rPr>
        <w:t xml:space="preserve">environment</w:t>
      </w:r>
      <w:r>
        <w:t xml:space="preserve">, conventionally split into an internal and an external component.</w:t>
      </w:r>
    </w:p>
    <w:bookmarkEnd w:id="32"/>
    <w:bookmarkStart w:id="33" w:name="the-internal-environment"/>
    <w:p>
      <w:pPr>
        <w:pStyle w:val="Heading3"/>
      </w:pPr>
      <w:r>
        <w:rPr>
          <w:rStyle w:val="SectionNumber"/>
        </w:rPr>
        <w:t xml:space="preserve">3.4.2</w:t>
      </w:r>
      <w:r>
        <w:tab/>
      </w:r>
      <w:r>
        <w:t xml:space="preserve">The internal environment</w:t>
      </w:r>
    </w:p>
    <w:p>
      <w:pPr>
        <w:pStyle w:val="FirstParagraph"/>
      </w:pPr>
      <w:r>
        <w:t xml:space="preserve">The internal environment consists of factors inside the organization’s own boundary that managers have comparatively direct influence over:</w:t>
      </w:r>
    </w:p>
    <w:p>
      <w:pPr>
        <w:numPr>
          <w:ilvl w:val="0"/>
          <w:numId w:val="1010"/>
        </w:numPr>
        <w:pStyle w:val="Compact"/>
      </w:pPr>
      <w:r>
        <w:rPr>
          <w:bCs/>
          <w:b/>
        </w:rPr>
        <w:t xml:space="preserve">Organizational culture</w:t>
      </w:r>
      <w:r>
        <w:t xml:space="preserve"> </w:t>
      </w:r>
      <w:r>
        <w:t xml:space="preserve">— the shared values, beliefs, and norms that influence how employees act, often described as</w:t>
      </w:r>
      <w:r>
        <w:t xml:space="preserve"> </w:t>
      </w:r>
      <w:r>
        <w:t xml:space="preserve">“</w:t>
      </w:r>
      <w:r>
        <w:t xml:space="preserve">how things are done around here.</w:t>
      </w:r>
      <w:r>
        <w:t xml:space="preserve">”</w:t>
      </w:r>
      <w:r>
        <w:t xml:space="preserve"> </w:t>
      </w:r>
      <w:r>
        <w:t xml:space="preserve">Culture is powerful precisely because it is often unwritten, yet it shapes decisions as strongly as formal policy.</w:t>
      </w:r>
    </w:p>
    <w:p>
      <w:pPr>
        <w:numPr>
          <w:ilvl w:val="0"/>
          <w:numId w:val="1010"/>
        </w:numPr>
        <w:pStyle w:val="Compact"/>
      </w:pPr>
      <w:r>
        <w:rPr>
          <w:bCs/>
          <w:b/>
        </w:rPr>
        <w:t xml:space="preserve">Structure</w:t>
      </w:r>
      <w:r>
        <w:t xml:space="preserve"> </w:t>
      </w:r>
      <w:r>
        <w:t xml:space="preserve">— the formal arrangement of jobs and reporting relationships (developed further in the structure and design topic below).</w:t>
      </w:r>
    </w:p>
    <w:p>
      <w:pPr>
        <w:numPr>
          <w:ilvl w:val="0"/>
          <w:numId w:val="1010"/>
        </w:numPr>
        <w:pStyle w:val="Compact"/>
      </w:pPr>
      <w:r>
        <w:rPr>
          <w:bCs/>
          <w:b/>
        </w:rPr>
        <w:t xml:space="preserve">Resources</w:t>
      </w:r>
      <w:r>
        <w:t xml:space="preserve"> </w:t>
      </w:r>
      <w:r>
        <w:t xml:space="preserve">— the financial, physical, human, and informational assets the organization has to work with.</w:t>
      </w:r>
    </w:p>
    <w:p>
      <w:pPr>
        <w:numPr>
          <w:ilvl w:val="0"/>
          <w:numId w:val="1010"/>
        </w:numPr>
        <w:pStyle w:val="Compact"/>
      </w:pPr>
      <w:r>
        <w:rPr>
          <w:bCs/>
          <w:b/>
        </w:rPr>
        <w:t xml:space="preserve">Employees</w:t>
      </w:r>
      <w:r>
        <w:t xml:space="preserve"> </w:t>
      </w:r>
      <w:r>
        <w:t xml:space="preserve">— their skills, motivation, and the informal relationships among them.</w:t>
      </w:r>
    </w:p>
    <w:bookmarkEnd w:id="33"/>
    <w:bookmarkStart w:id="34" w:name="the-external-environment"/>
    <w:p>
      <w:pPr>
        <w:pStyle w:val="Heading3"/>
      </w:pPr>
      <w:r>
        <w:rPr>
          <w:rStyle w:val="SectionNumber"/>
        </w:rPr>
        <w:t xml:space="preserve">3.4.3</w:t>
      </w:r>
      <w:r>
        <w:tab/>
      </w:r>
      <w:r>
        <w:t xml:space="preserve">The external environment</w:t>
      </w:r>
    </w:p>
    <w:p>
      <w:pPr>
        <w:pStyle w:val="FirstParagraph"/>
      </w:pPr>
      <w:r>
        <w:t xml:space="preserve">The external environment consists of forces outside the organization’s boundary that it typically cannot control directly, and must instead monitor and adapt to. It is useful to distinguish two layers:</w:t>
      </w:r>
    </w:p>
    <w:p>
      <w:pPr>
        <w:numPr>
          <w:ilvl w:val="0"/>
          <w:numId w:val="1011"/>
        </w:numPr>
        <w:pStyle w:val="Compact"/>
      </w:pPr>
      <w:r>
        <w:rPr>
          <w:bCs/>
          <w:b/>
        </w:rPr>
        <w:t xml:space="preserve">The specific (task) environment</w:t>
      </w:r>
      <w:r>
        <w:t xml:space="preserve"> </w:t>
      </w:r>
      <w:r>
        <w:t xml:space="preserve">includes the parties an organization directly interacts with and that directly affect its ability to achieve goals — customers, suppliers, competitors, and pressure groups/regulators specific to its industry.</w:t>
      </w:r>
    </w:p>
    <w:p>
      <w:pPr>
        <w:numPr>
          <w:ilvl w:val="0"/>
          <w:numId w:val="1011"/>
        </w:numPr>
        <w:pStyle w:val="Compact"/>
      </w:pPr>
      <w:r>
        <w:rPr>
          <w:bCs/>
          <w:b/>
        </w:rPr>
        <w:t xml:space="preserve">The general environment</w:t>
      </w:r>
      <w:r>
        <w:t xml:space="preserve"> </w:t>
      </w:r>
      <w:r>
        <w:t xml:space="preserve">includes broader conditions that may not have an immediate day-to-day effect but shape the context for everyone in the economy — economic conditions, technological trends, socio-cultural trends, demographic trends, political/legal conditions, and global conditions. A useful mnemonic for scanning the general environment is</w:t>
      </w:r>
      <w:r>
        <w:t xml:space="preserve"> </w:t>
      </w:r>
      <w:r>
        <w:rPr>
          <w:bCs/>
          <w:b/>
        </w:rPr>
        <w:t xml:space="preserve">PESTEL</w:t>
      </w:r>
      <w:r>
        <w:t xml:space="preserve">: Political, Economic, Social, Technological, Environmental, and Legal.</w:t>
      </w:r>
    </w:p>
    <w:bookmarkEnd w:id="34"/>
    <w:bookmarkStart w:id="35" w:name="X402a63ffc2358ca85fc61af7ef08ce815555a4f"/>
    <w:p>
      <w:pPr>
        <w:pStyle w:val="Heading3"/>
      </w:pPr>
      <w:r>
        <w:rPr>
          <w:rStyle w:val="SectionNumber"/>
        </w:rPr>
        <w:t xml:space="preserve">3.4.4</w:t>
      </w:r>
      <w:r>
        <w:tab/>
      </w:r>
      <w:r>
        <w:t xml:space="preserve">Environmental uncertainty and how managers respond</w:t>
      </w:r>
    </w:p>
    <w:p>
      <w:pPr>
        <w:pStyle w:val="FirstParagraph"/>
      </w:pPr>
      <w:r>
        <w:t xml:space="preserve">The practical exam-relevant point is not simply</w:t>
      </w:r>
      <w:r>
        <w:t xml:space="preserve"> </w:t>
      </w:r>
      <w:r>
        <w:t xml:space="preserve">“</w:t>
      </w:r>
      <w:r>
        <w:t xml:space="preserve">list the environmental factors,</w:t>
      </w:r>
      <w:r>
        <w:t xml:space="preserve">”</w:t>
      </w:r>
      <w:r>
        <w:t xml:space="preserve"> </w:t>
      </w:r>
      <w:r>
        <w:t xml:space="preserve">but explain</w:t>
      </w:r>
      <w:r>
        <w:t xml:space="preserve"> </w:t>
      </w:r>
      <w:r>
        <w:rPr>
          <w:bCs/>
          <w:b/>
        </w:rPr>
        <w:t xml:space="preserve">why</w:t>
      </w:r>
      <w:r>
        <w:t xml:space="preserve"> </w:t>
      </w:r>
      <w:r>
        <w:t xml:space="preserve">managers care: environmental uncertainty (a combination of environmental complexity — how many and how different are the elements — and environmental dynamism — how fast those elements change) determines how much active scanning, forecasting, and flexibility a manager must build into planning. A stable, simple environment (few competitors, slow-changing technology) allows fairly rigid long-term plans; a complex, dynamic environment (many competitors, rapid technological change) forces managers toward shorter planning horizons, more frequent environmental scanning, and organizational structures flexible enough to adapt quickly — a theme picked up again under</w:t>
      </w:r>
      <w:r>
        <w:t xml:space="preserve"> </w:t>
      </w:r>
      <w:r>
        <w:t xml:space="preserve">“</w:t>
      </w:r>
      <w:r>
        <w:t xml:space="preserve">Designing Adaptive Organizations</w:t>
      </w:r>
      <w:r>
        <w:t xml:space="preserve">”</w:t>
      </w:r>
      <w:r>
        <w:t xml:space="preserve"> </w:t>
      </w:r>
      <w:r>
        <w:t xml:space="preserve">below.</w:t>
      </w:r>
    </w:p>
    <w:p>
      <w:pPr>
        <w:pStyle w:val="BodyText"/>
      </w:pPr>
      <w:r>
        <w:rPr>
          <w:bCs/>
          <w:b/>
        </w:rPr>
        <w:t xml:space="preserve">Key takeaways</w:t>
      </w:r>
    </w:p>
    <w:p>
      <w:pPr>
        <w:numPr>
          <w:ilvl w:val="0"/>
          <w:numId w:val="1012"/>
        </w:numPr>
        <w:pStyle w:val="Compact"/>
      </w:pPr>
      <w:r>
        <w:t xml:space="preserve">The internal environment (culture, structure, resources, employees) is comparatively controllable; the external environment (task environment plus the broader PESTEL forces) is not, and must instead be monitored and adapted to.</w:t>
      </w:r>
    </w:p>
    <w:p>
      <w:pPr>
        <w:numPr>
          <w:ilvl w:val="0"/>
          <w:numId w:val="1012"/>
        </w:numPr>
        <w:pStyle w:val="Compact"/>
      </w:pPr>
      <w:r>
        <w:t xml:space="preserve">Environmental uncertainty — a function of complexity and dynamism — is the key variable: more uncertainty pushes managers toward shorter planning horizons, continuous scanning, and more flexible structures.</w:t>
      </w:r>
    </w:p>
    <w:p>
      <w:pPr>
        <w:numPr>
          <w:ilvl w:val="0"/>
          <w:numId w:val="1012"/>
        </w:numPr>
        <w:pStyle w:val="Compact"/>
      </w:pPr>
      <w:r>
        <w:t xml:space="preserve">The practical question managers ask is never just</w:t>
      </w:r>
      <w:r>
        <w:t xml:space="preserve"> </w:t>
      </w:r>
      <w:r>
        <w:t xml:space="preserve">“</w:t>
      </w:r>
      <w:r>
        <w:t xml:space="preserve">what is changing?</w:t>
      </w:r>
      <w:r>
        <w:t xml:space="preserve">”</w:t>
      </w:r>
      <w:r>
        <w:t xml:space="preserve"> </w:t>
      </w:r>
      <w:r>
        <w:t xml:space="preserve">but</w:t>
      </w:r>
      <w:r>
        <w:t xml:space="preserve"> </w:t>
      </w:r>
      <w:r>
        <w:t xml:space="preserve">“</w:t>
      </w:r>
      <w:r>
        <w:t xml:space="preserve">how will this change affect our goals, costs, people, or customers, and what should we do differently as a result?</w:t>
      </w:r>
      <w:r>
        <w:t xml:space="preserve">”</w:t>
      </w:r>
    </w:p>
    <w:bookmarkEnd w:id="35"/>
    <w:bookmarkEnd w:id="36"/>
    <w:bookmarkStart w:id="40" w:name="X6ad5c95015c943ed9f06d9117765548ad9efc22"/>
    <w:p>
      <w:pPr>
        <w:pStyle w:val="Heading2"/>
      </w:pPr>
      <w:r>
        <w:rPr>
          <w:rStyle w:val="SectionNumber"/>
        </w:rPr>
        <w:t xml:space="preserve">3.5</w:t>
      </w:r>
      <w:r>
        <w:tab/>
      </w:r>
      <w:r>
        <w:t xml:space="preserve">Management Planning, Goal Setting, and Decision Making</w:t>
      </w:r>
    </w:p>
    <w:bookmarkStart w:id="37" w:name="planning-and-its-purpose"/>
    <w:p>
      <w:pPr>
        <w:pStyle w:val="Heading3"/>
      </w:pPr>
      <w:r>
        <w:rPr>
          <w:rStyle w:val="SectionNumber"/>
        </w:rPr>
        <w:t xml:space="preserve">3.5.1</w:t>
      </w:r>
      <w:r>
        <w:tab/>
      </w:r>
      <w:r>
        <w:t xml:space="preserve">Planning and its purpose</w:t>
      </w:r>
    </w:p>
    <w:p>
      <w:pPr>
        <w:pStyle w:val="FirstParagraph"/>
      </w:pPr>
      <w:r>
        <w:t xml:space="preserve">Planning is the management function that involves defining an organization’s goals, establishing an overall strategy for achieving those goals, and developing plans to integrate and coordinate organizational work. Planning gives direction, reduces the impact of change by forcing managers to anticipate it, minimizes waste and redundancy, and sets the standards later used for controlling.</w:t>
      </w:r>
    </w:p>
    <w:p>
      <w:pPr>
        <w:pStyle w:val="BodyText"/>
      </w:pPr>
      <w:r>
        <w:t xml:space="preserve">Plans differ along several dimensions worth distinguishing clearly:</w:t>
      </w:r>
    </w:p>
    <w:p>
      <w:pPr>
        <w:numPr>
          <w:ilvl w:val="0"/>
          <w:numId w:val="1013"/>
        </w:numPr>
        <w:pStyle w:val="Compact"/>
      </w:pPr>
      <w:r>
        <w:rPr>
          <w:bCs/>
          <w:b/>
        </w:rPr>
        <w:t xml:space="preserve">Breadth</w:t>
      </w:r>
      <w:r>
        <w:t xml:space="preserve">: strategic plans apply to the entire organization and set broad, long-term goals; operational plans specify the details of how overall goals are to be achieved.</w:t>
      </w:r>
    </w:p>
    <w:p>
      <w:pPr>
        <w:numPr>
          <w:ilvl w:val="0"/>
          <w:numId w:val="1013"/>
        </w:numPr>
        <w:pStyle w:val="Compact"/>
      </w:pPr>
      <w:r>
        <w:rPr>
          <w:bCs/>
          <w:b/>
        </w:rPr>
        <w:t xml:space="preserve">Time frame</w:t>
      </w:r>
      <w:r>
        <w:t xml:space="preserve">: long-term plans typically extend beyond three years; short-term plans cover one year or less.</w:t>
      </w:r>
    </w:p>
    <w:p>
      <w:pPr>
        <w:numPr>
          <w:ilvl w:val="0"/>
          <w:numId w:val="1013"/>
        </w:numPr>
        <w:pStyle w:val="Compact"/>
      </w:pPr>
      <w:r>
        <w:rPr>
          <w:bCs/>
          <w:b/>
        </w:rPr>
        <w:t xml:space="preserve">Specificity</w:t>
      </w:r>
      <w:r>
        <w:t xml:space="preserve">: specific plans are clearly defined and leave no room for interpretation; directional plans set out general guidelines and provide flexibility, at the cost of clarity.</w:t>
      </w:r>
    </w:p>
    <w:p>
      <w:pPr>
        <w:numPr>
          <w:ilvl w:val="0"/>
          <w:numId w:val="1013"/>
        </w:numPr>
        <w:pStyle w:val="Compact"/>
      </w:pPr>
      <w:r>
        <w:rPr>
          <w:bCs/>
          <w:b/>
        </w:rPr>
        <w:t xml:space="preserve">Frequency of use</w:t>
      </w:r>
      <w:r>
        <w:t xml:space="preserve">: single-use plans are designed for a one-time, non-repeating situation (a specific project); standing plans are ongoing and provide guidance for repeatedly performed activities (a policy or procedure).</w:t>
      </w:r>
    </w:p>
    <w:bookmarkEnd w:id="37"/>
    <w:bookmarkStart w:id="38" w:name="goal-setting"/>
    <w:p>
      <w:pPr>
        <w:pStyle w:val="Heading3"/>
      </w:pPr>
      <w:r>
        <w:rPr>
          <w:rStyle w:val="SectionNumber"/>
        </w:rPr>
        <w:t xml:space="preserve">3.5.2</w:t>
      </w:r>
      <w:r>
        <w:tab/>
      </w:r>
      <w:r>
        <w:t xml:space="preserve">Goal setting</w:t>
      </w:r>
    </w:p>
    <w:p>
      <w:pPr>
        <w:pStyle w:val="FirstParagraph"/>
      </w:pPr>
      <w:r>
        <w:t xml:space="preserve">Goals are the desired outcomes toward which plans are directed. Well-designed goals are typically described using the</w:t>
      </w:r>
      <w:r>
        <w:t xml:space="preserve"> </w:t>
      </w:r>
      <w:r>
        <w:rPr>
          <w:bCs/>
          <w:b/>
        </w:rPr>
        <w:t xml:space="preserve">SMART</w:t>
      </w:r>
      <w:r>
        <w:t xml:space="preserve"> </w:t>
      </w:r>
      <w:r>
        <w:t xml:space="preserve">criteria — Specific, Measurable, Attainable, Relevant, and Time-bound — because a vague goal (</w:t>
      </w:r>
      <w:r>
        <w:t xml:space="preserve">“</w:t>
      </w:r>
      <w:r>
        <w:t xml:space="preserve">improve customer service</w:t>
      </w:r>
      <w:r>
        <w:t xml:space="preserve">”</w:t>
      </w:r>
      <w:r>
        <w:t xml:space="preserve">) cannot reliably guide action or be checked during controlling, while a SMART goal (</w:t>
      </w:r>
      <w:r>
        <w:t xml:space="preserve">“</w:t>
      </w:r>
      <w:r>
        <w:t xml:space="preserve">reduce average customer complaint resolution time to under 24 hours within the next two quarters</w:t>
      </w:r>
      <w:r>
        <w:t xml:space="preserve">”</w:t>
      </w:r>
      <w:r>
        <w:t xml:space="preserve">) can.</w:t>
      </w:r>
    </w:p>
    <w:p>
      <w:pPr>
        <w:pStyle w:val="BodyText"/>
      </w:pPr>
      <w:r>
        <w:t xml:space="preserve">Two broad approaches to setting goals are contrasted in the syllabus:</w:t>
      </w:r>
    </w:p>
    <w:p>
      <w:pPr>
        <w:numPr>
          <w:ilvl w:val="0"/>
          <w:numId w:val="1014"/>
        </w:numPr>
        <w:pStyle w:val="Compact"/>
      </w:pPr>
      <w:r>
        <w:rPr>
          <w:bCs/>
          <w:b/>
        </w:rPr>
        <w:t xml:space="preserve">Traditional goal setting</w:t>
      </w:r>
      <w:r>
        <w:t xml:space="preserve">, in which goals are set at the top and then broken down into subgoals for each organizational level — a</w:t>
      </w:r>
      <w:r>
        <w:t xml:space="preserve"> </w:t>
      </w:r>
      <w:r>
        <w:t xml:space="preserve">“</w:t>
      </w:r>
      <w:r>
        <w:t xml:space="preserve">cascade</w:t>
      </w:r>
      <w:r>
        <w:t xml:space="preserve">”</w:t>
      </w:r>
      <w:r>
        <w:t xml:space="preserve"> </w:t>
      </w:r>
      <w:r>
        <w:t xml:space="preserve">that can lose meaning or urgency as it moves down through several layers if lower-level managers interpret the goal loosely.</w:t>
      </w:r>
    </w:p>
    <w:p>
      <w:pPr>
        <w:numPr>
          <w:ilvl w:val="0"/>
          <w:numId w:val="1014"/>
        </w:numPr>
        <w:pStyle w:val="Compact"/>
      </w:pPr>
      <w:r>
        <w:rPr>
          <w:bCs/>
          <w:b/>
        </w:rPr>
        <w:t xml:space="preserve">Management by Objectives (MBO)</w:t>
      </w:r>
      <w:r>
        <w:t xml:space="preserve">, a process in which specific performance goals are jointly determined by employees and their managers, progress toward the goals is periodically reviewed, and rewards are allocated based on that progress. MBO is designed to overcome the</w:t>
      </w:r>
      <w:r>
        <w:t xml:space="preserve"> </w:t>
      </w:r>
      <w:r>
        <w:t xml:space="preserve">“</w:t>
      </w:r>
      <w:r>
        <w:t xml:space="preserve">lost in translation</w:t>
      </w:r>
      <w:r>
        <w:t xml:space="preserve">”</w:t>
      </w:r>
      <w:r>
        <w:t xml:space="preserve"> </w:t>
      </w:r>
      <w:r>
        <w:t xml:space="preserve">problem of the traditional cascade by making goal-setting a joint, negotiated process at every level rather than a one-way instruction downward.</w:t>
      </w:r>
    </w:p>
    <w:bookmarkEnd w:id="38"/>
    <w:bookmarkStart w:id="39" w:name="decision-making"/>
    <w:p>
      <w:pPr>
        <w:pStyle w:val="Heading3"/>
      </w:pPr>
      <w:r>
        <w:rPr>
          <w:rStyle w:val="SectionNumber"/>
        </w:rPr>
        <w:t xml:space="preserve">3.5.3</w:t>
      </w:r>
      <w:r>
        <w:tab/>
      </w:r>
      <w:r>
        <w:t xml:space="preserve">Decision making</w:t>
      </w:r>
    </w:p>
    <w:p>
      <w:pPr>
        <w:pStyle w:val="FirstParagraph"/>
      </w:pPr>
      <w:r>
        <w:t xml:space="preserve">A decision is a choice made from two or more alternatives, and decision making is the process of identifying problems and opportunities and then resolving them. The</w:t>
      </w:r>
      <w:r>
        <w:t xml:space="preserve"> </w:t>
      </w:r>
      <w:r>
        <w:rPr>
          <w:bCs/>
          <w:b/>
        </w:rPr>
        <w:t xml:space="preserve">rational decision-making model</w:t>
      </w:r>
      <w:r>
        <w:t xml:space="preserve"> </w:t>
      </w:r>
      <w:r>
        <w:t xml:space="preserve">describes an idealized, step-by-step process:</w:t>
      </w:r>
    </w:p>
    <w:p>
      <w:pPr>
        <w:numPr>
          <w:ilvl w:val="0"/>
          <w:numId w:val="1015"/>
        </w:numPr>
        <w:pStyle w:val="Compact"/>
      </w:pPr>
      <w:r>
        <w:t xml:space="preserve">Identify the problem — the discrepancy between an existing and a desired state of affairs.</w:t>
      </w:r>
    </w:p>
    <w:p>
      <w:pPr>
        <w:numPr>
          <w:ilvl w:val="0"/>
          <w:numId w:val="1015"/>
        </w:numPr>
        <w:pStyle w:val="Compact"/>
      </w:pPr>
      <w:r>
        <w:t xml:space="preserve">Identify the decision criteria — the factors relevant to resolving the problem.</w:t>
      </w:r>
    </w:p>
    <w:p>
      <w:pPr>
        <w:numPr>
          <w:ilvl w:val="0"/>
          <w:numId w:val="1015"/>
        </w:numPr>
        <w:pStyle w:val="Compact"/>
      </w:pPr>
      <w:r>
        <w:t xml:space="preserve">Allocate weights to the criteria, reflecting their relative importance.</w:t>
      </w:r>
    </w:p>
    <w:p>
      <w:pPr>
        <w:numPr>
          <w:ilvl w:val="0"/>
          <w:numId w:val="1015"/>
        </w:numPr>
        <w:pStyle w:val="Compact"/>
      </w:pPr>
      <w:r>
        <w:t xml:space="preserve">Develop a set of alternatives that could resolve the problem.</w:t>
      </w:r>
    </w:p>
    <w:p>
      <w:pPr>
        <w:numPr>
          <w:ilvl w:val="0"/>
          <w:numId w:val="1015"/>
        </w:numPr>
        <w:pStyle w:val="Compact"/>
      </w:pPr>
      <w:r>
        <w:t xml:space="preserve">Analyze each alternative against the weighted criteria.</w:t>
      </w:r>
    </w:p>
    <w:p>
      <w:pPr>
        <w:numPr>
          <w:ilvl w:val="0"/>
          <w:numId w:val="1015"/>
        </w:numPr>
        <w:pStyle w:val="Compact"/>
      </w:pPr>
      <w:r>
        <w:t xml:space="preserve">Select the alternative with the highest total score.</w:t>
      </w:r>
    </w:p>
    <w:p>
      <w:pPr>
        <w:numPr>
          <w:ilvl w:val="0"/>
          <w:numId w:val="1015"/>
        </w:numPr>
        <w:pStyle w:val="Compact"/>
      </w:pPr>
      <w:r>
        <w:t xml:space="preserve">Implement the chosen alternative.</w:t>
      </w:r>
    </w:p>
    <w:p>
      <w:pPr>
        <w:numPr>
          <w:ilvl w:val="0"/>
          <w:numId w:val="1015"/>
        </w:numPr>
        <w:pStyle w:val="Compact"/>
      </w:pPr>
      <w:r>
        <w:t xml:space="preserve">Evaluate the decision’s outcome, to see whether the problem was actually resolved.</w:t>
      </w:r>
    </w:p>
    <w:p>
      <w:pPr>
        <w:pStyle w:val="FirstParagraph"/>
      </w:pPr>
      <w:r>
        <w:t xml:space="preserve">In practice, managers rarely follow this fully rational process, because of</w:t>
      </w:r>
      <w:r>
        <w:t xml:space="preserve"> </w:t>
      </w:r>
      <w:r>
        <w:rPr>
          <w:bCs/>
          <w:b/>
        </w:rPr>
        <w:t xml:space="preserve">bounded rationality</w:t>
      </w:r>
      <w:r>
        <w:t xml:space="preserve"> </w:t>
      </w:r>
      <w:r>
        <w:t xml:space="preserve">— the idea (associated with Herbert Simon) that decision-makers are limited by incomplete information, cognitive limitations, and time pressure, and so tend to construct simplified models that extract the essential features of problems without capturing their full complexity. Bounded rationality typically leads to</w:t>
      </w:r>
      <w:r>
        <w:t xml:space="preserve"> </w:t>
      </w:r>
      <w:r>
        <w:rPr>
          <w:bCs/>
          <w:b/>
        </w:rPr>
        <w:t xml:space="preserve">satisficing</w:t>
      </w:r>
      <w:r>
        <w:t xml:space="preserve"> </w:t>
      </w:r>
      <w:r>
        <w:t xml:space="preserve">— accepting the first alternative that is</w:t>
      </w:r>
      <w:r>
        <w:t xml:space="preserve"> </w:t>
      </w:r>
      <w:r>
        <w:t xml:space="preserve">“</w:t>
      </w:r>
      <w:r>
        <w:t xml:space="preserve">good enough</w:t>
      </w:r>
      <w:r>
        <w:t xml:space="preserve">”</w:t>
      </w:r>
      <w:r>
        <w:t xml:space="preserve"> </w:t>
      </w:r>
      <w:r>
        <w:t xml:space="preserve">against the criteria, rather than continuing to search for the theoretically optimal one.</w:t>
      </w:r>
    </w:p>
    <w:p>
      <w:pPr>
        <w:pStyle w:val="BodyText"/>
      </w:pPr>
      <w:r>
        <w:t xml:space="preserve">Decisions are also usefully classified by the nature of the problem they respond to:</w:t>
      </w:r>
    </w:p>
    <w:p>
      <w:pPr>
        <w:numPr>
          <w:ilvl w:val="0"/>
          <w:numId w:val="1016"/>
        </w:numPr>
        <w:pStyle w:val="Compact"/>
      </w:pPr>
      <w:r>
        <w:rPr>
          <w:bCs/>
          <w:b/>
        </w:rPr>
        <w:t xml:space="preserve">Programmed decisions</w:t>
      </w:r>
      <w:r>
        <w:t xml:space="preserve"> </w:t>
      </w:r>
      <w:r>
        <w:t xml:space="preserve">are repetitive and can be handled by a routine approach — an existing policy or procedure already tells the manager what to do (for example, how to process a standard leave application).</w:t>
      </w:r>
    </w:p>
    <w:p>
      <w:pPr>
        <w:numPr>
          <w:ilvl w:val="0"/>
          <w:numId w:val="1016"/>
        </w:numPr>
        <w:pStyle w:val="Compact"/>
      </w:pPr>
      <w:r>
        <w:rPr>
          <w:bCs/>
          <w:b/>
        </w:rPr>
        <w:t xml:space="preserve">Non-programmed decisions</w:t>
      </w:r>
      <w:r>
        <w:t xml:space="preserve"> </w:t>
      </w:r>
      <w:r>
        <w:t xml:space="preserve">are unique, non-recurring, and require a custom-made solution, because no existing rule fully fits the novel situation (for example, how to respond to a sudden, unprecedented product-safety crisis).</w:t>
      </w:r>
    </w:p>
    <w:p>
      <w:pPr>
        <w:pStyle w:val="FirstParagraph"/>
      </w:pPr>
      <w:r>
        <w:t xml:space="preserve">Managers are also affected by decision-making conditions that describe how much is known in advance:</w:t>
      </w:r>
      <w:r>
        <w:t xml:space="preserve"> </w:t>
      </w:r>
      <w:r>
        <w:rPr>
          <w:bCs/>
          <w:b/>
        </w:rPr>
        <w:t xml:space="preserve">certainty</w:t>
      </w:r>
      <w:r>
        <w:t xml:space="preserve"> </w:t>
      </w:r>
      <w:r>
        <w:t xml:space="preserve">(the outcome of each alternative is known in advance),</w:t>
      </w:r>
      <w:r>
        <w:t xml:space="preserve"> </w:t>
      </w:r>
      <w:r>
        <w:rPr>
          <w:bCs/>
          <w:b/>
        </w:rPr>
        <w:t xml:space="preserve">risk</w:t>
      </w:r>
      <w:r>
        <w:t xml:space="preserve"> </w:t>
      </w:r>
      <w:r>
        <w:t xml:space="preserve">(outcomes are not certain, but probabilities can be reasonably estimated), and</w:t>
      </w:r>
      <w:r>
        <w:t xml:space="preserve"> </w:t>
      </w:r>
      <w:r>
        <w:rPr>
          <w:bCs/>
          <w:b/>
        </w:rPr>
        <w:t xml:space="preserve">uncertainty</w:t>
      </w:r>
      <w:r>
        <w:t xml:space="preserve"> </w:t>
      </w:r>
      <w:r>
        <w:t xml:space="preserve">(the decision-maker has neither certainty about outcomes nor even reliable probability estimates to work with).</w:t>
      </w:r>
    </w:p>
    <w:p>
      <w:pPr>
        <w:pStyle w:val="BodyText"/>
      </w:pPr>
      <w:r>
        <w:rPr>
          <w:bCs/>
          <w:b/>
        </w:rPr>
        <w:t xml:space="preserve">Key takeaways</w:t>
      </w:r>
    </w:p>
    <w:p>
      <w:pPr>
        <w:numPr>
          <w:ilvl w:val="0"/>
          <w:numId w:val="1017"/>
        </w:numPr>
        <w:pStyle w:val="Compact"/>
      </w:pPr>
      <w:r>
        <w:t xml:space="preserve">Plans vary by breadth (strategic vs. operational), time frame, specificity (specific vs. directional), and frequency (single-use vs. standing) — matching the plan type to the situation is itself a managerial skill.</w:t>
      </w:r>
    </w:p>
    <w:p>
      <w:pPr>
        <w:numPr>
          <w:ilvl w:val="0"/>
          <w:numId w:val="1017"/>
        </w:numPr>
        <w:pStyle w:val="Compact"/>
      </w:pPr>
      <w:r>
        <w:t xml:space="preserve">SMART goals can be tracked and controlled against; MBO tries to fix the</w:t>
      </w:r>
      <w:r>
        <w:t xml:space="preserve"> </w:t>
      </w:r>
      <w:r>
        <w:t xml:space="preserve">“</w:t>
      </w:r>
      <w:r>
        <w:t xml:space="preserve">lost in translation</w:t>
      </w:r>
      <w:r>
        <w:t xml:space="preserve">”</w:t>
      </w:r>
      <w:r>
        <w:t xml:space="preserve"> </w:t>
      </w:r>
      <w:r>
        <w:t xml:space="preserve">weakness of a top-down goal cascade by making goal-setting a joint process.</w:t>
      </w:r>
    </w:p>
    <w:p>
      <w:pPr>
        <w:numPr>
          <w:ilvl w:val="0"/>
          <w:numId w:val="1017"/>
        </w:numPr>
        <w:pStyle w:val="Compact"/>
      </w:pPr>
      <w:r>
        <w:t xml:space="preserve">The rational decision-making model is an eight-step ideal; bounded rationality and satisficing describe how managers actually decide under real limits of information, cognition, and time. Decisions also vary by type (programmed vs. non-programmed) and by the certainty, risk, or uncertainty of the conditions surrounding them.</w:t>
      </w:r>
    </w:p>
    <w:bookmarkEnd w:id="39"/>
    <w:bookmarkEnd w:id="40"/>
    <w:bookmarkStart w:id="43" w:name="the-strategic-management-process"/>
    <w:p>
      <w:pPr>
        <w:pStyle w:val="Heading2"/>
      </w:pPr>
      <w:r>
        <w:rPr>
          <w:rStyle w:val="SectionNumber"/>
        </w:rPr>
        <w:t xml:space="preserve">3.6</w:t>
      </w:r>
      <w:r>
        <w:tab/>
      </w:r>
      <w:r>
        <w:t xml:space="preserve">The Strategic Management Process</w:t>
      </w:r>
    </w:p>
    <w:bookmarkStart w:id="41" w:name="why-strategy-matters"/>
    <w:p>
      <w:pPr>
        <w:pStyle w:val="Heading3"/>
      </w:pPr>
      <w:r>
        <w:rPr>
          <w:rStyle w:val="SectionNumber"/>
        </w:rPr>
        <w:t xml:space="preserve">3.6.1</w:t>
      </w:r>
      <w:r>
        <w:tab/>
      </w:r>
      <w:r>
        <w:t xml:space="preserve">Why strategy matters</w:t>
      </w:r>
    </w:p>
    <w:p>
      <w:pPr>
        <w:pStyle w:val="FirstParagraph"/>
      </w:pPr>
      <w:r>
        <w:t xml:space="preserve">Strategy is the set of managerial decisions and actions that determine the long-run performance of an organization. It is the mechanism by which an organization translates its overall purpose into a coherent, sustained pattern of choices about which markets to compete in and how to compete in them.</w:t>
      </w:r>
    </w:p>
    <w:bookmarkEnd w:id="41"/>
    <w:bookmarkStart w:id="42" w:name="Xf8cab5f19b6a3afc7c98b24f46bf1147fc4adfe"/>
    <w:p>
      <w:pPr>
        <w:pStyle w:val="Heading3"/>
      </w:pPr>
      <w:r>
        <w:rPr>
          <w:rStyle w:val="SectionNumber"/>
        </w:rPr>
        <w:t xml:space="preserve">3.6.2</w:t>
      </w:r>
      <w:r>
        <w:tab/>
      </w:r>
      <w:r>
        <w:t xml:space="preserve">The strategic management process, step by step</w:t>
      </w:r>
    </w:p>
    <w:p>
      <w:pPr>
        <w:numPr>
          <w:ilvl w:val="0"/>
          <w:numId w:val="1018"/>
        </w:numPr>
      </w:pPr>
      <w:r>
        <w:rPr>
          <w:bCs/>
          <w:b/>
        </w:rPr>
        <w:t xml:space="preserve">Identify the organization’s current mission, goals, and strategies.</w:t>
      </w:r>
      <w:r>
        <w:t xml:space="preserve"> </w:t>
      </w:r>
      <w:r>
        <w:t xml:space="preserve">The mission is a statement of an organization’s purpose — why it exists.</w:t>
      </w:r>
    </w:p>
    <w:p>
      <w:pPr>
        <w:numPr>
          <w:ilvl w:val="0"/>
          <w:numId w:val="1018"/>
        </w:numPr>
      </w:pPr>
      <w:r>
        <w:rPr>
          <w:bCs/>
          <w:b/>
        </w:rPr>
        <w:t xml:space="preserve">Conduct an external analysis.</w:t>
      </w:r>
      <w:r>
        <w:t xml:space="preserve"> </w:t>
      </w:r>
      <w:r>
        <w:t xml:space="preserve">Managers scan the general and specific (task) environments (the same environment discussed above) to identify opportunities (positive external trends) and threats (negative external trends).</w:t>
      </w:r>
    </w:p>
    <w:p>
      <w:pPr>
        <w:numPr>
          <w:ilvl w:val="0"/>
          <w:numId w:val="1018"/>
        </w:numPr>
      </w:pPr>
      <w:r>
        <w:rPr>
          <w:bCs/>
          <w:b/>
        </w:rPr>
        <w:t xml:space="preserve">Conduct an internal analysis.</w:t>
      </w:r>
      <w:r>
        <w:t xml:space="preserve"> </w:t>
      </w:r>
      <w:r>
        <w:t xml:space="preserve">Managers assess the organization’s resources, capabilities, and core competencies (activities the organization does particularly well) to identify strengths (things it does well relative to competitors) and weaknesses (things it does poorly or lacks).</w:t>
      </w:r>
    </w:p>
    <w:p>
      <w:pPr>
        <w:numPr>
          <w:ilvl w:val="0"/>
          <w:numId w:val="1000"/>
        </w:numPr>
      </w:pPr>
      <w:r>
        <w:t xml:space="preserve">Steps 2 and 3 together are commonly summarized as</w:t>
      </w:r>
      <w:r>
        <w:t xml:space="preserve"> </w:t>
      </w:r>
      <w:r>
        <w:rPr>
          <w:bCs/>
          <w:b/>
        </w:rPr>
        <w:t xml:space="preserve">SWOT analysis</w:t>
      </w:r>
      <w:r>
        <w:t xml:space="preserve"> </w:t>
      </w:r>
      <w:r>
        <w:t xml:space="preserve">— Strengths, Weaknesses, Opportunities, Threats — matching internal capability against external conditions.</w:t>
      </w:r>
    </w:p>
    <w:p>
      <w:pPr>
        <w:numPr>
          <w:ilvl w:val="0"/>
          <w:numId w:val="1018"/>
        </w:numPr>
      </w:pPr>
      <w:r>
        <w:rPr>
          <w:bCs/>
          <w:b/>
        </w:rPr>
        <w:t xml:space="preserve">Formulate strategies.</w:t>
      </w:r>
      <w:r>
        <w:t xml:space="preserve"> </w:t>
      </w:r>
      <w:r>
        <w:t xml:space="preserve">Strategies are developed at three levels:</w:t>
      </w:r>
      <w:r>
        <w:t xml:space="preserve"> </w:t>
      </w:r>
      <w:r>
        <w:rPr>
          <w:bCs/>
          <w:b/>
        </w:rPr>
        <w:t xml:space="preserve">corporate-level</w:t>
      </w:r>
      <w:r>
        <w:t xml:space="preserve"> </w:t>
      </w:r>
      <w:r>
        <w:t xml:space="preserve">strategy answers</w:t>
      </w:r>
      <w:r>
        <w:t xml:space="preserve"> </w:t>
      </w:r>
      <w:r>
        <w:t xml:space="preserve">“</w:t>
      </w:r>
      <w:r>
        <w:t xml:space="preserve">what businesses should we be in?</w:t>
      </w:r>
      <w:r>
        <w:t xml:space="preserve">”</w:t>
      </w:r>
      <w:r>
        <w:t xml:space="preserve">;</w:t>
      </w:r>
      <w:r>
        <w:t xml:space="preserve"> </w:t>
      </w:r>
      <w:r>
        <w:rPr>
          <w:bCs/>
          <w:b/>
        </w:rPr>
        <w:t xml:space="preserve">business-level (competitive)</w:t>
      </w:r>
      <w:r>
        <w:t xml:space="preserve"> </w:t>
      </w:r>
      <w:r>
        <w:t xml:space="preserve">strategy answers</w:t>
      </w:r>
      <w:r>
        <w:t xml:space="preserve"> </w:t>
      </w:r>
      <w:r>
        <w:t xml:space="preserve">“</w:t>
      </w:r>
      <w:r>
        <w:t xml:space="preserve">how should we compete in each of those businesses?</w:t>
      </w:r>
      <w:r>
        <w:t xml:space="preserve">”</w:t>
      </w:r>
      <w:r>
        <w:t xml:space="preserve">;</w:t>
      </w:r>
      <w:r>
        <w:t xml:space="preserve"> </w:t>
      </w:r>
      <w:r>
        <w:rPr>
          <w:bCs/>
          <w:b/>
        </w:rPr>
        <w:t xml:space="preserve">functional-level</w:t>
      </w:r>
      <w:r>
        <w:t xml:space="preserve"> </w:t>
      </w:r>
      <w:r>
        <w:t xml:space="preserve">strategy answers</w:t>
      </w:r>
      <w:r>
        <w:t xml:space="preserve"> </w:t>
      </w:r>
      <w:r>
        <w:t xml:space="preserve">“</w:t>
      </w:r>
      <w:r>
        <w:t xml:space="preserve">how does each department (marketing, operations, finance) support the business-level strategy?</w:t>
      </w:r>
      <w:r>
        <w:t xml:space="preserve">”</w:t>
      </w:r>
      <w:r>
        <w:t xml:space="preserve"> </w:t>
      </w:r>
      <w:r>
        <w:t xml:space="preserve">At the business level, Michael Porter’s generic strategies frame the central choice:</w:t>
      </w:r>
      <w:r>
        <w:t xml:space="preserve"> </w:t>
      </w:r>
      <w:r>
        <w:rPr>
          <w:bCs/>
          <w:b/>
        </w:rPr>
        <w:t xml:space="preserve">cost leadership</w:t>
      </w:r>
      <w:r>
        <w:t xml:space="preserve"> </w:t>
      </w:r>
      <w:r>
        <w:t xml:space="preserve">(being the lowest-cost producer in an industry),</w:t>
      </w:r>
      <w:r>
        <w:t xml:space="preserve"> </w:t>
      </w:r>
      <w:r>
        <w:rPr>
          <w:bCs/>
          <w:b/>
        </w:rPr>
        <w:t xml:space="preserve">differentiation</w:t>
      </w:r>
      <w:r>
        <w:t xml:space="preserve"> </w:t>
      </w:r>
      <w:r>
        <w:t xml:space="preserve">(offering unique products/services valued by customers, allowing a premium price), or</w:t>
      </w:r>
      <w:r>
        <w:t xml:space="preserve"> </w:t>
      </w:r>
      <w:r>
        <w:rPr>
          <w:bCs/>
          <w:b/>
        </w:rPr>
        <w:t xml:space="preserve">focus</w:t>
      </w:r>
      <w:r>
        <w:t xml:space="preserve"> </w:t>
      </w:r>
      <w:r>
        <w:t xml:space="preserve">(concentrating on a narrow market segment and pursuing either a cost or differentiation advantage within that segment specifically).</w:t>
      </w:r>
    </w:p>
    <w:p>
      <w:pPr>
        <w:numPr>
          <w:ilvl w:val="0"/>
          <w:numId w:val="1018"/>
        </w:numPr>
      </w:pPr>
      <w:r>
        <w:rPr>
          <w:bCs/>
          <w:b/>
        </w:rPr>
        <w:t xml:space="preserve">Implement strategies.</w:t>
      </w:r>
      <w:r>
        <w:t xml:space="preserve"> </w:t>
      </w:r>
      <w:r>
        <w:t xml:space="preserve">A strategy is only as good as the organization’s ability to execute it — this is where strategy connects directly to the later topics on organizational structure and change management, since structure and culture must be aligned with the chosen strategy.</w:t>
      </w:r>
    </w:p>
    <w:p>
      <w:pPr>
        <w:numPr>
          <w:ilvl w:val="0"/>
          <w:numId w:val="1018"/>
        </w:numPr>
      </w:pPr>
      <w:r>
        <w:rPr>
          <w:bCs/>
          <w:b/>
        </w:rPr>
        <w:t xml:space="preserve">Evaluate results.</w:t>
      </w:r>
      <w:r>
        <w:t xml:space="preserve"> </w:t>
      </w:r>
      <w:r>
        <w:t xml:space="preserve">How effective have the strategies been, and what adjustments are needed? This closes the loop, feeding back into a revised mission/goals/strategy statement, making strategic management an ongoing cycle rather than a one-time plan.</w:t>
      </w:r>
    </w:p>
    <w:p>
      <w:pPr>
        <w:pStyle w:val="FirstParagraph"/>
      </w:pPr>
      <w:r>
        <w:rPr>
          <w:bCs/>
          <w:b/>
        </w:rPr>
        <w:t xml:space="preserve">Key takeaways</w:t>
      </w:r>
    </w:p>
    <w:p>
      <w:pPr>
        <w:numPr>
          <w:ilvl w:val="0"/>
          <w:numId w:val="1019"/>
        </w:numPr>
        <w:pStyle w:val="Compact"/>
      </w:pPr>
      <w:r>
        <w:t xml:space="preserve">Strategic management is a continuous six-step cycle: assess current mission and strategy → external analysis (opportunities/threats) → internal analysis (strengths/weaknesses) → formulate strategy at corporate, business, and functional levels → implement → evaluate and feed back.</w:t>
      </w:r>
    </w:p>
    <w:p>
      <w:pPr>
        <w:numPr>
          <w:ilvl w:val="0"/>
          <w:numId w:val="1019"/>
        </w:numPr>
        <w:pStyle w:val="Compact"/>
      </w:pPr>
      <w:r>
        <w:t xml:space="preserve">SWOT analysis is simply the combination of the external and internal analysis steps — do not treat it as a separate, unrelated technique.</w:t>
      </w:r>
    </w:p>
    <w:p>
      <w:pPr>
        <w:numPr>
          <w:ilvl w:val="0"/>
          <w:numId w:val="1019"/>
        </w:numPr>
        <w:pStyle w:val="Compact"/>
      </w:pPr>
      <w:r>
        <w:t xml:space="preserve">Porter’s three generic business-level strategies (cost leadership, differentiation, focus) describe the fundamental choices about</w:t>
      </w:r>
      <w:r>
        <w:t xml:space="preserve"> </w:t>
      </w:r>
      <w:r>
        <w:rPr>
          <w:iCs/>
          <w:i/>
        </w:rPr>
        <w:t xml:space="preserve">how</w:t>
      </w:r>
      <w:r>
        <w:t xml:space="preserve"> </w:t>
      </w:r>
      <w:r>
        <w:t xml:space="preserve">to compete once</w:t>
      </w:r>
      <w:r>
        <w:t xml:space="preserve"> </w:t>
      </w:r>
      <w:r>
        <w:rPr>
          <w:iCs/>
          <w:i/>
        </w:rPr>
        <w:t xml:space="preserve">which businesses to be in</w:t>
      </w:r>
      <w:r>
        <w:t xml:space="preserve"> </w:t>
      </w:r>
      <w:r>
        <w:t xml:space="preserve">has been decided at the corporate level.</w:t>
      </w:r>
    </w:p>
    <w:bookmarkEnd w:id="42"/>
    <w:bookmarkEnd w:id="43"/>
    <w:bookmarkStart w:id="46" w:name="Xea311bbc03d3a61602492b760db1c3275309c76"/>
    <w:p>
      <w:pPr>
        <w:pStyle w:val="Heading2"/>
      </w:pPr>
      <w:r>
        <w:rPr>
          <w:rStyle w:val="SectionNumber"/>
        </w:rPr>
        <w:t xml:space="preserve">3.7</w:t>
      </w:r>
      <w:r>
        <w:tab/>
      </w:r>
      <w:r>
        <w:t xml:space="preserve">Developing Organizational Structure and Design</w:t>
      </w:r>
    </w:p>
    <w:bookmarkStart w:id="44" w:name="X9516fd488a9f775bed58813c377178698338b90"/>
    <w:p>
      <w:pPr>
        <w:pStyle w:val="Heading3"/>
      </w:pPr>
      <w:r>
        <w:rPr>
          <w:rStyle w:val="SectionNumber"/>
        </w:rPr>
        <w:t xml:space="preserve">3.7.1</w:t>
      </w:r>
      <w:r>
        <w:tab/>
      </w:r>
      <w:r>
        <w:t xml:space="preserve">Organizational structure: the building blocks</w:t>
      </w:r>
    </w:p>
    <w:p>
      <w:pPr>
        <w:pStyle w:val="FirstParagraph"/>
      </w:pPr>
      <w:r>
        <w:t xml:space="preserve">Organizational structure is the formal arrangement of jobs within an organization. Organizational design is the process managers use to develop or change that structure. Six key elements are traditionally used to describe and design a structure:</w:t>
      </w:r>
    </w:p>
    <w:p>
      <w:pPr>
        <w:numPr>
          <w:ilvl w:val="0"/>
          <w:numId w:val="1020"/>
        </w:numPr>
        <w:pStyle w:val="Compact"/>
      </w:pPr>
      <w:r>
        <w:rPr>
          <w:bCs/>
          <w:b/>
        </w:rPr>
        <w:t xml:space="preserve">Work specialization</w:t>
      </w:r>
      <w:r>
        <w:t xml:space="preserve"> </w:t>
      </w:r>
      <w:r>
        <w:t xml:space="preserve">— the degree to which tasks are subdivided into separate jobs (division of labour). High specialization can raise efficiency through repetition and focus, but excessive specialization can cause boredom, fatigue, and disengagement — a trade-off worth stating explicitly in an exam answer.</w:t>
      </w:r>
    </w:p>
    <w:p>
      <w:pPr>
        <w:numPr>
          <w:ilvl w:val="0"/>
          <w:numId w:val="1020"/>
        </w:numPr>
        <w:pStyle w:val="Compact"/>
      </w:pPr>
      <w:r>
        <w:rPr>
          <w:bCs/>
          <w:b/>
        </w:rPr>
        <w:t xml:space="preserve">Departmentalization</w:t>
      </w:r>
      <w:r>
        <w:t xml:space="preserve"> </w:t>
      </w:r>
      <w:r>
        <w:t xml:space="preserve">— the basis by which jobs are grouped together, commonly by function (grouping by activity performed, e.g., marketing, finance), by product, by geography, by process, or by customer.</w:t>
      </w:r>
    </w:p>
    <w:p>
      <w:pPr>
        <w:numPr>
          <w:ilvl w:val="0"/>
          <w:numId w:val="1020"/>
        </w:numPr>
        <w:pStyle w:val="Compact"/>
      </w:pPr>
      <w:r>
        <w:rPr>
          <w:bCs/>
          <w:b/>
        </w:rPr>
        <w:t xml:space="preserve">Chain of command</w:t>
      </w:r>
      <w:r>
        <w:t xml:space="preserve"> </w:t>
      </w:r>
      <w:r>
        <w:t xml:space="preserve">— the continuous line of authority that extends from upper organizational levels to the lowest levels, clarifying who reports to whom.</w:t>
      </w:r>
    </w:p>
    <w:p>
      <w:pPr>
        <w:numPr>
          <w:ilvl w:val="0"/>
          <w:numId w:val="1020"/>
        </w:numPr>
        <w:pStyle w:val="Compact"/>
      </w:pPr>
      <w:r>
        <w:rPr>
          <w:bCs/>
          <w:b/>
        </w:rPr>
        <w:t xml:space="preserve">Span of control</w:t>
      </w:r>
      <w:r>
        <w:t xml:space="preserve"> </w:t>
      </w:r>
      <w:r>
        <w:t xml:space="preserve">— the number of employees a manager can efficiently and effectively direct; wider spans are efficient (fewer managers needed) but only work well when subordinates are well-trained and tasks are relatively similar and routine.</w:t>
      </w:r>
    </w:p>
    <w:p>
      <w:pPr>
        <w:numPr>
          <w:ilvl w:val="0"/>
          <w:numId w:val="1020"/>
        </w:numPr>
        <w:pStyle w:val="Compact"/>
      </w:pPr>
      <w:r>
        <w:rPr>
          <w:bCs/>
          <w:b/>
        </w:rPr>
        <w:t xml:space="preserve">Centralization and decentralization</w:t>
      </w:r>
      <w:r>
        <w:t xml:space="preserve"> </w:t>
      </w:r>
      <w:r>
        <w:t xml:space="preserve">— centralization is the degree to which decision-making is concentrated at a single point (typically top management); decentralization pushes decision-making authority down toward lower levels, closer to where the relevant information and action actually occur.</w:t>
      </w:r>
    </w:p>
    <w:p>
      <w:pPr>
        <w:numPr>
          <w:ilvl w:val="0"/>
          <w:numId w:val="1020"/>
        </w:numPr>
        <w:pStyle w:val="Compact"/>
      </w:pPr>
      <w:r>
        <w:rPr>
          <w:bCs/>
          <w:b/>
        </w:rPr>
        <w:t xml:space="preserve">Formalization</w:t>
      </w:r>
      <w:r>
        <w:t xml:space="preserve"> </w:t>
      </w:r>
      <w:r>
        <w:t xml:space="preserve">— the degree to which jobs are standardized and the extent to which employee behaviour is guided by rules and procedures.</w:t>
      </w:r>
    </w:p>
    <w:bookmarkEnd w:id="44"/>
    <w:bookmarkStart w:id="45" w:name="common-organizational-designs"/>
    <w:p>
      <w:pPr>
        <w:pStyle w:val="Heading3"/>
      </w:pPr>
      <w:r>
        <w:rPr>
          <w:rStyle w:val="SectionNumber"/>
        </w:rPr>
        <w:t xml:space="preserve">3.7.2</w:t>
      </w:r>
      <w:r>
        <w:tab/>
      </w:r>
      <w:r>
        <w:t xml:space="preserve">Common organizational designs</w:t>
      </w:r>
    </w:p>
    <w:p>
      <w:pPr>
        <w:numPr>
          <w:ilvl w:val="0"/>
          <w:numId w:val="1021"/>
        </w:numPr>
        <w:pStyle w:val="Compact"/>
      </w:pPr>
      <w:r>
        <w:rPr>
          <w:bCs/>
          <w:b/>
        </w:rPr>
        <w:t xml:space="preserve">Simple structure</w:t>
      </w:r>
      <w:r>
        <w:t xml:space="preserve"> </w:t>
      </w:r>
      <w:r>
        <w:t xml:space="preserve">— low departmentalization, wide spans of control, centralized authority; typical of small, young organizations.</w:t>
      </w:r>
    </w:p>
    <w:p>
      <w:pPr>
        <w:numPr>
          <w:ilvl w:val="0"/>
          <w:numId w:val="1021"/>
        </w:numPr>
        <w:pStyle w:val="Compact"/>
      </w:pPr>
      <w:r>
        <w:rPr>
          <w:bCs/>
          <w:b/>
        </w:rPr>
        <w:t xml:space="preserve">Functional structure</w:t>
      </w:r>
      <w:r>
        <w:t xml:space="preserve"> </w:t>
      </w:r>
      <w:r>
        <w:t xml:space="preserve">— departmentalization by function; efficient for a single-product or narrow-line business but can create silos that make cross-functional coordination difficult.</w:t>
      </w:r>
    </w:p>
    <w:p>
      <w:pPr>
        <w:numPr>
          <w:ilvl w:val="0"/>
          <w:numId w:val="1021"/>
        </w:numPr>
        <w:pStyle w:val="Compact"/>
      </w:pPr>
      <w:r>
        <w:rPr>
          <w:bCs/>
          <w:b/>
        </w:rPr>
        <w:t xml:space="preserve">Divisional structure</w:t>
      </w:r>
      <w:r>
        <w:t xml:space="preserve"> </w:t>
      </w:r>
      <w:r>
        <w:t xml:space="preserve">— made up of separate, semi-autonomous units or divisions, typically organized around products, geographies, or customer groups, each with fairly self-contained functional specialists; suits large, diversified organizations, at the cost of duplicating resources across divisions.</w:t>
      </w:r>
    </w:p>
    <w:p>
      <w:pPr>
        <w:pStyle w:val="FirstParagraph"/>
      </w:pPr>
      <w:r>
        <w:rPr>
          <w:bCs/>
          <w:b/>
        </w:rPr>
        <w:t xml:space="preserve">Key takeaways</w:t>
      </w:r>
    </w:p>
    <w:p>
      <w:pPr>
        <w:numPr>
          <w:ilvl w:val="0"/>
          <w:numId w:val="1022"/>
        </w:numPr>
        <w:pStyle w:val="Compact"/>
      </w:pPr>
      <w:r>
        <w:t xml:space="preserve">Structure is built from six elements — work specialization, departmentalization, chain of command, span of control, centralization/decentralization, and formalization — and every structural design question is really a question of how to combine these six.</w:t>
      </w:r>
    </w:p>
    <w:p>
      <w:pPr>
        <w:numPr>
          <w:ilvl w:val="0"/>
          <w:numId w:val="1022"/>
        </w:numPr>
        <w:pStyle w:val="Compact"/>
      </w:pPr>
      <w:r>
        <w:t xml:space="preserve">The choice between functional and divisional structure trades efficiency and coordination (functional) against responsiveness and accountability per product/market (divisional).</w:t>
      </w:r>
    </w:p>
    <w:p>
      <w:pPr>
        <w:numPr>
          <w:ilvl w:val="0"/>
          <w:numId w:val="1022"/>
        </w:numPr>
        <w:pStyle w:val="Compact"/>
      </w:pPr>
      <w:r>
        <w:t xml:space="preserve">Structure should follow strategy: a structure well-suited to a stable, single-product business will not automatically suit a diversified, fast-changing one.</w:t>
      </w:r>
    </w:p>
    <w:bookmarkEnd w:id="45"/>
    <w:bookmarkEnd w:id="46"/>
    <w:bookmarkStart w:id="47" w:name="designing-adaptive-organizations"/>
    <w:p>
      <w:pPr>
        <w:pStyle w:val="Heading2"/>
      </w:pPr>
      <w:r>
        <w:rPr>
          <w:rStyle w:val="SectionNumber"/>
        </w:rPr>
        <w:t xml:space="preserve">3.8</w:t>
      </w:r>
      <w:r>
        <w:tab/>
      </w:r>
      <w:r>
        <w:t xml:space="preserve">Designing Adaptive Organizations</w:t>
      </w:r>
    </w:p>
    <w:p>
      <w:pPr>
        <w:pStyle w:val="FirstParagraph"/>
      </w:pPr>
      <w:r>
        <w:t xml:space="preserve">Building on the basic structural elements above, this topic addresses how structure changes when the environment is uncertain and fast-moving (recall the discussion of environmental uncertainty above).</w:t>
      </w:r>
    </w:p>
    <w:p>
      <w:pPr>
        <w:numPr>
          <w:ilvl w:val="0"/>
          <w:numId w:val="1023"/>
        </w:numPr>
        <w:pStyle w:val="Compact"/>
      </w:pPr>
      <w:r>
        <w:rPr>
          <w:bCs/>
          <w:b/>
        </w:rPr>
        <w:t xml:space="preserve">Mechanistic organizations</w:t>
      </w:r>
      <w:r>
        <w:t xml:space="preserve"> </w:t>
      </w:r>
      <w:r>
        <w:t xml:space="preserve">are rigid and tightly controlled structures — high formalization, high centralization, narrow spans, extensive departmentalization — that work well in stable, predictable environments where efficiency through standardization is the priority.</w:t>
      </w:r>
    </w:p>
    <w:p>
      <w:pPr>
        <w:numPr>
          <w:ilvl w:val="0"/>
          <w:numId w:val="1023"/>
        </w:numPr>
        <w:pStyle w:val="Compact"/>
      </w:pPr>
      <w:r>
        <w:rPr>
          <w:bCs/>
          <w:b/>
        </w:rPr>
        <w:t xml:space="preserve">Organic organizations</w:t>
      </w:r>
      <w:r>
        <w:t xml:space="preserve"> </w:t>
      </w:r>
      <w:r>
        <w:t xml:space="preserve">are highly adaptive and flexible structures — low formalization, decentralized decision-making, wide information-sharing — that work well in dynamic, uncertain environments where the organization must respond quickly to unexpected change.</w:t>
      </w:r>
    </w:p>
    <w:p>
      <w:pPr>
        <w:numPr>
          <w:ilvl w:val="0"/>
          <w:numId w:val="1023"/>
        </w:numPr>
        <w:pStyle w:val="Compact"/>
      </w:pPr>
      <w:r>
        <w:rPr>
          <w:bCs/>
          <w:b/>
        </w:rPr>
        <w:t xml:space="preserve">Contingency thinking</w:t>
      </w:r>
      <w:r>
        <w:t xml:space="preserve"> </w:t>
      </w:r>
      <w:r>
        <w:t xml:space="preserve">ties this together: there is no single best structure; the right structure is</w:t>
      </w:r>
      <w:r>
        <w:t xml:space="preserve"> </w:t>
      </w:r>
      <w:r>
        <w:rPr>
          <w:iCs/>
          <w:i/>
        </w:rPr>
        <w:t xml:space="preserve">contingent</w:t>
      </w:r>
      <w:r>
        <w:t xml:space="preserve"> </w:t>
      </w:r>
      <w:r>
        <w:t xml:space="preserve">on the organization’s strategy, size, technology, and — as emphasized here — the degree of environmental uncertainty it faces. This is the structural expression of the same idea introduced when discussing environmental uncertainty above.</w:t>
      </w:r>
    </w:p>
    <w:p>
      <w:pPr>
        <w:pStyle w:val="FirstParagraph"/>
      </w:pPr>
      <w:r>
        <w:t xml:space="preserve">Contemporary adaptive designs mentioned in the syllabus include the</w:t>
      </w:r>
      <w:r>
        <w:t xml:space="preserve"> </w:t>
      </w:r>
      <w:r>
        <w:rPr>
          <w:bCs/>
          <w:b/>
        </w:rPr>
        <w:t xml:space="preserve">team structure</w:t>
      </w:r>
      <w:r>
        <w:t xml:space="preserve">, where the entire organization is made up of work teams that coordinate directly rather than through a rigid hierarchy, and the</w:t>
      </w:r>
      <w:r>
        <w:t xml:space="preserve"> </w:t>
      </w:r>
      <w:r>
        <w:rPr>
          <w:bCs/>
          <w:b/>
        </w:rPr>
        <w:t xml:space="preserve">boundaryless organization</w:t>
      </w:r>
      <w:r>
        <w:t xml:space="preserve">, which seeks to eliminate internal (across departments) and external (with suppliers/customers) barriers to coordination — often enabled by information technology.</w:t>
      </w:r>
    </w:p>
    <w:p>
      <w:pPr>
        <w:pStyle w:val="BodyText"/>
      </w:pPr>
      <w:r>
        <w:rPr>
          <w:bCs/>
          <w:b/>
        </w:rPr>
        <w:t xml:space="preserve">Key takeaways</w:t>
      </w:r>
    </w:p>
    <w:p>
      <w:pPr>
        <w:numPr>
          <w:ilvl w:val="0"/>
          <w:numId w:val="1024"/>
        </w:numPr>
        <w:pStyle w:val="Compact"/>
      </w:pPr>
      <w:r>
        <w:t xml:space="preserve">Mechanistic structures suit stable environments (efficiency through standardization); organic structures suit dynamic environments (agility through decentralization).</w:t>
      </w:r>
    </w:p>
    <w:p>
      <w:pPr>
        <w:numPr>
          <w:ilvl w:val="0"/>
          <w:numId w:val="1024"/>
        </w:numPr>
        <w:pStyle w:val="Compact"/>
      </w:pPr>
      <w:r>
        <w:t xml:space="preserve">Contingency theory holds that structural choice should follow the organization’s actual situation — its environment, strategy, size, and technology — rather than any single ideal blueprint.</w:t>
      </w:r>
    </w:p>
    <w:p>
      <w:pPr>
        <w:numPr>
          <w:ilvl w:val="0"/>
          <w:numId w:val="1024"/>
        </w:numPr>
        <w:pStyle w:val="Compact"/>
      </w:pPr>
      <w:r>
        <w:t xml:space="preserve">Team-based and boundaryless designs are practical responses to high uncertainty, reducing the coordination cost of a rigid hierarchy.</w:t>
      </w:r>
    </w:p>
    <w:bookmarkEnd w:id="47"/>
    <w:bookmarkStart w:id="50" w:name="managing-change-and-innovation"/>
    <w:p>
      <w:pPr>
        <w:pStyle w:val="Heading2"/>
      </w:pPr>
      <w:r>
        <w:rPr>
          <w:rStyle w:val="SectionNumber"/>
        </w:rPr>
        <w:t xml:space="preserve">3.9</w:t>
      </w:r>
      <w:r>
        <w:tab/>
      </w:r>
      <w:r>
        <w:t xml:space="preserve">Managing Change and Innovation</w:t>
      </w:r>
    </w:p>
    <w:bookmarkStart w:id="48" w:name="forces-for-and-resistance-to-change"/>
    <w:p>
      <w:pPr>
        <w:pStyle w:val="Heading3"/>
      </w:pPr>
      <w:r>
        <w:rPr>
          <w:rStyle w:val="SectionNumber"/>
        </w:rPr>
        <w:t xml:space="preserve">3.9.1</w:t>
      </w:r>
      <w:r>
        <w:tab/>
      </w:r>
      <w:r>
        <w:t xml:space="preserve">Forces for and resistance to change</w:t>
      </w:r>
    </w:p>
    <w:p>
      <w:pPr>
        <w:pStyle w:val="FirstParagraph"/>
      </w:pPr>
      <w:r>
        <w:t xml:space="preserve">Organizations face constant pressure to change from both external forces (the environmental factors already discussed) and internal forces (a new strategy, a shift in the workforce, new equipment, changing employee attitudes). Employees commonly resist change for a set of well-documented reasons: uncertainty about the effects of the change, fear of losing something already valued (status, income, established routines), or a belief that the change is inconsistent with existing organizational goals and interests.</w:t>
      </w:r>
    </w:p>
    <w:p>
      <w:pPr>
        <w:pStyle w:val="BodyText"/>
      </w:pPr>
      <w:r>
        <w:rPr>
          <w:bCs/>
          <w:b/>
        </w:rPr>
        <w:t xml:space="preserve">Lewin’s three-step model</w:t>
      </w:r>
      <w:r>
        <w:t xml:space="preserve"> </w:t>
      </w:r>
      <w:r>
        <w:t xml:space="preserve">provides the classic framework for managing planned change:</w:t>
      </w:r>
    </w:p>
    <w:p>
      <w:pPr>
        <w:numPr>
          <w:ilvl w:val="0"/>
          <w:numId w:val="1025"/>
        </w:numPr>
        <w:pStyle w:val="Compact"/>
      </w:pPr>
      <w:r>
        <w:rPr>
          <w:bCs/>
          <w:b/>
        </w:rPr>
        <w:t xml:space="preserve">Unfreezing</w:t>
      </w:r>
      <w:r>
        <w:t xml:space="preserve"> </w:t>
      </w:r>
      <w:r>
        <w:t xml:space="preserve">— the status quo must be disturbed before old behaviour can be discarded; this often means making the need for change vivid and legitimate to those affected.</w:t>
      </w:r>
    </w:p>
    <w:p>
      <w:pPr>
        <w:numPr>
          <w:ilvl w:val="0"/>
          <w:numId w:val="1025"/>
        </w:numPr>
        <w:pStyle w:val="Compact"/>
      </w:pPr>
      <w:r>
        <w:rPr>
          <w:bCs/>
          <w:b/>
        </w:rPr>
        <w:t xml:space="preserve">Movement</w:t>
      </w:r>
      <w:r>
        <w:t xml:space="preserve"> </w:t>
      </w:r>
      <w:r>
        <w:t xml:space="preserve">— the actual change to a new state takes place, as employees are guided through the new processes, structures, or behaviours.</w:t>
      </w:r>
    </w:p>
    <w:p>
      <w:pPr>
        <w:numPr>
          <w:ilvl w:val="0"/>
          <w:numId w:val="1025"/>
        </w:numPr>
        <w:pStyle w:val="Compact"/>
      </w:pPr>
      <w:r>
        <w:rPr>
          <w:bCs/>
          <w:b/>
        </w:rPr>
        <w:t xml:space="preserve">Refreezing</w:t>
      </w:r>
      <w:r>
        <w:t xml:space="preserve"> </w:t>
      </w:r>
      <w:r>
        <w:t xml:space="preserve">— the new state must be reinforced (through supportive structures, culture, and reward systems) so the organization does not simply drift back to the old status quo once the initial pressure for change eases.</w:t>
      </w:r>
    </w:p>
    <w:bookmarkEnd w:id="48"/>
    <w:bookmarkStart w:id="49" w:name="innovation-and-its-exploitation"/>
    <w:p>
      <w:pPr>
        <w:pStyle w:val="Heading3"/>
      </w:pPr>
      <w:r>
        <w:rPr>
          <w:rStyle w:val="SectionNumber"/>
        </w:rPr>
        <w:t xml:space="preserve">3.9.2</w:t>
      </w:r>
      <w:r>
        <w:tab/>
      </w:r>
      <w:r>
        <w:t xml:space="preserve">Innovation and its exploitation</w:t>
      </w:r>
    </w:p>
    <w:p>
      <w:pPr>
        <w:pStyle w:val="FirstParagraph"/>
      </w:pPr>
      <w:r>
        <w:t xml:space="preserve">Innovation is the process of taking a creative idea and turning it into a useful product, service, or method of operation. It is useful to distinguish invention (creating a new idea) from innovation (successfully applying that idea to create value), and to note that an organization’s ability to</w:t>
      </w:r>
      <w:r>
        <w:t xml:space="preserve"> </w:t>
      </w:r>
      <w:r>
        <w:rPr>
          <w:iCs/>
          <w:i/>
        </w:rPr>
        <w:t xml:space="preserve">exploit</w:t>
      </w:r>
      <w:r>
        <w:t xml:space="preserve"> </w:t>
      </w:r>
      <w:r>
        <w:t xml:space="preserve">creativity — turning ideas into actual products or process improvements — is what ultimately determines competitive advantage, not creativity in isolation.</w:t>
      </w:r>
    </w:p>
    <w:p>
      <w:pPr>
        <w:pStyle w:val="BodyText"/>
      </w:pPr>
      <w:r>
        <w:rPr>
          <w:bCs/>
          <w:b/>
        </w:rPr>
        <w:t xml:space="preserve">Key takeaways</w:t>
      </w:r>
    </w:p>
    <w:p>
      <w:pPr>
        <w:numPr>
          <w:ilvl w:val="0"/>
          <w:numId w:val="1026"/>
        </w:numPr>
        <w:pStyle w:val="Compact"/>
      </w:pPr>
      <w:r>
        <w:t xml:space="preserve">Resistance to change typically stems from uncertainty, fear of loss, or perceived misalignment with existing goals — effective change management addresses these root causes rather than simply overriding resistance.</w:t>
      </w:r>
    </w:p>
    <w:p>
      <w:pPr>
        <w:numPr>
          <w:ilvl w:val="0"/>
          <w:numId w:val="1026"/>
        </w:numPr>
        <w:pStyle w:val="Compact"/>
      </w:pPr>
      <w:r>
        <w:t xml:space="preserve">Lewin’s three-step model — unfreeze, move, refreeze — highlights that change is not complete once the new behaviour appears; it must be actively reinforced or the organization risks reverting.</w:t>
      </w:r>
    </w:p>
    <w:p>
      <w:pPr>
        <w:numPr>
          <w:ilvl w:val="0"/>
          <w:numId w:val="1026"/>
        </w:numPr>
        <w:pStyle w:val="Compact"/>
      </w:pPr>
      <w:r>
        <w:t xml:space="preserve">Innovation is the successful application of a creative idea to create value; organizations succeed not merely by generating ideas but by systematically exploiting them.</w:t>
      </w:r>
    </w:p>
    <w:bookmarkEnd w:id="49"/>
    <w:bookmarkEnd w:id="50"/>
    <w:bookmarkStart w:id="53" w:name="leadership-and-motivation"/>
    <w:p>
      <w:pPr>
        <w:pStyle w:val="Heading2"/>
      </w:pPr>
      <w:r>
        <w:rPr>
          <w:rStyle w:val="SectionNumber"/>
        </w:rPr>
        <w:t xml:space="preserve">3.10</w:t>
      </w:r>
      <w:r>
        <w:tab/>
      </w:r>
      <w:r>
        <w:t xml:space="preserve">Leadership and Motivation</w:t>
      </w:r>
    </w:p>
    <w:bookmarkStart w:id="51" w:name="leadership"/>
    <w:p>
      <w:pPr>
        <w:pStyle w:val="Heading3"/>
      </w:pPr>
      <w:r>
        <w:rPr>
          <w:rStyle w:val="SectionNumber"/>
        </w:rPr>
        <w:t xml:space="preserve">3.10.1</w:t>
      </w:r>
      <w:r>
        <w:tab/>
      </w:r>
      <w:r>
        <w:t xml:space="preserve">Leadership</w:t>
      </w:r>
    </w:p>
    <w:p>
      <w:pPr>
        <w:pStyle w:val="FirstParagraph"/>
      </w:pPr>
      <w:r>
        <w:t xml:space="preserve">Leadership is the ability to influence a group toward the achievement of a vision or set of goals — a capacity distinct from formal managerial authority, since one can be a manager without being an effective leader, and vice versa. Major theoretical traditions covered by the syllabus include:</w:t>
      </w:r>
    </w:p>
    <w:p>
      <w:pPr>
        <w:numPr>
          <w:ilvl w:val="0"/>
          <w:numId w:val="1027"/>
        </w:numPr>
        <w:pStyle w:val="Compact"/>
      </w:pPr>
      <w:r>
        <w:rPr>
          <w:bCs/>
          <w:b/>
        </w:rPr>
        <w:t xml:space="preserve">Trait theories</w:t>
      </w:r>
      <w:r>
        <w:t xml:space="preserve">, which sought to identify a fixed set of personal qualities (drive, self-confidence, honesty) that distinguish leaders from non-leaders — now understood to be, at best, a partial explanation, since traits alone do not guarantee effective leadership without the right situational fit.</w:t>
      </w:r>
    </w:p>
    <w:p>
      <w:pPr>
        <w:numPr>
          <w:ilvl w:val="0"/>
          <w:numId w:val="1027"/>
        </w:numPr>
        <w:pStyle w:val="Compact"/>
      </w:pPr>
      <w:r>
        <w:rPr>
          <w:bCs/>
          <w:b/>
        </w:rPr>
        <w:t xml:space="preserve">Behavioural theories</w:t>
      </w:r>
      <w:r>
        <w:t xml:space="preserve">, which shifted attention from</w:t>
      </w:r>
      <w:r>
        <w:t xml:space="preserve"> </w:t>
      </w:r>
      <w:r>
        <w:rPr>
          <w:iCs/>
          <w:i/>
        </w:rPr>
        <w:t xml:space="preserve">who leaders are</w:t>
      </w:r>
      <w:r>
        <w:t xml:space="preserve"> </w:t>
      </w:r>
      <w:r>
        <w:t xml:space="preserve">to</w:t>
      </w:r>
      <w:r>
        <w:t xml:space="preserve"> </w:t>
      </w:r>
      <w:r>
        <w:rPr>
          <w:iCs/>
          <w:i/>
        </w:rPr>
        <w:t xml:space="preserve">what leaders do</w:t>
      </w:r>
      <w:r>
        <w:t xml:space="preserve"> </w:t>
      </w:r>
      <w:r>
        <w:t xml:space="preserve">— most notably distinguishing task-oriented behaviour (structuring work and defining roles) from people-oriented (consideration) behaviour, and studying how these combine.</w:t>
      </w:r>
    </w:p>
    <w:p>
      <w:pPr>
        <w:numPr>
          <w:ilvl w:val="0"/>
          <w:numId w:val="1027"/>
        </w:numPr>
        <w:pStyle w:val="Compact"/>
      </w:pPr>
      <w:r>
        <w:rPr>
          <w:bCs/>
          <w:b/>
        </w:rPr>
        <w:t xml:space="preserve">Contingency theories</w:t>
      </w:r>
      <w:r>
        <w:t xml:space="preserve"> </w:t>
      </w:r>
      <w:r>
        <w:t xml:space="preserve">(such as Fiedler’s model), which argue that a leadership style’s effectiveness depends on the situation — matching a task-oriented or relationship-oriented leader to situations that are more or less favourable for that style, rather than assuming one style is universally best.</w:t>
      </w:r>
    </w:p>
    <w:p>
      <w:pPr>
        <w:numPr>
          <w:ilvl w:val="0"/>
          <w:numId w:val="1027"/>
        </w:numPr>
        <w:pStyle w:val="Compact"/>
      </w:pPr>
      <w:r>
        <w:rPr>
          <w:bCs/>
          <w:b/>
        </w:rPr>
        <w:t xml:space="preserve">Contemporary approaches</w:t>
      </w:r>
      <w:r>
        <w:t xml:space="preserve">, including</w:t>
      </w:r>
      <w:r>
        <w:t xml:space="preserve"> </w:t>
      </w:r>
      <w:r>
        <w:rPr>
          <w:bCs/>
          <w:b/>
        </w:rPr>
        <w:t xml:space="preserve">transactional leadership</w:t>
      </w:r>
      <w:r>
        <w:t xml:space="preserve"> </w:t>
      </w:r>
      <w:r>
        <w:t xml:space="preserve">(leading primarily through the exchange of rewards for performance and correction of deviations) and</w:t>
      </w:r>
      <w:r>
        <w:t xml:space="preserve"> </w:t>
      </w:r>
      <w:r>
        <w:rPr>
          <w:bCs/>
          <w:b/>
        </w:rPr>
        <w:t xml:space="preserve">transformational leadership</w:t>
      </w:r>
      <w:r>
        <w:t xml:space="preserve"> </w:t>
      </w:r>
      <w:r>
        <w:t xml:space="preserve">(inspiring followers to transcend their own self-interest for the good of the organization, through a compelling vision and personal example) — the latter is generally associated with stronger, more sustained follower commitment.</w:t>
      </w:r>
    </w:p>
    <w:bookmarkEnd w:id="51"/>
    <w:bookmarkStart w:id="52" w:name="motivation"/>
    <w:p>
      <w:pPr>
        <w:pStyle w:val="Heading3"/>
      </w:pPr>
      <w:r>
        <w:rPr>
          <w:rStyle w:val="SectionNumber"/>
        </w:rPr>
        <w:t xml:space="preserve">3.10.2</w:t>
      </w:r>
      <w:r>
        <w:tab/>
      </w:r>
      <w:r>
        <w:t xml:space="preserve">Motivation</w:t>
      </w:r>
    </w:p>
    <w:p>
      <w:pPr>
        <w:pStyle w:val="FirstParagraph"/>
      </w:pPr>
      <w:r>
        <w:t xml:space="preserve">Motivation refers to the processes that account for an individual’s intensity, direction, and persistence of effort toward attaining a goal. The syllabus’s core theories are best remembered in two families:</w:t>
      </w:r>
    </w:p>
    <w:p>
      <w:pPr>
        <w:numPr>
          <w:ilvl w:val="0"/>
          <w:numId w:val="1028"/>
        </w:numPr>
        <w:pStyle w:val="Compact"/>
      </w:pPr>
      <w:r>
        <w:rPr>
          <w:bCs/>
          <w:b/>
        </w:rPr>
        <w:t xml:space="preserve">Content theories</w:t>
      </w:r>
      <w:r>
        <w:t xml:space="preserve"> </w:t>
      </w:r>
      <w:r>
        <w:t xml:space="preserve">ask</w:t>
      </w:r>
      <w:r>
        <w:t xml:space="preserve"> </w:t>
      </w:r>
      <w:r>
        <w:rPr>
          <w:iCs/>
          <w:i/>
        </w:rPr>
        <w:t xml:space="preserve">what</w:t>
      </w:r>
      <w:r>
        <w:t xml:space="preserve"> </w:t>
      </w:r>
      <w:r>
        <w:t xml:space="preserve">motivates people.</w:t>
      </w:r>
      <w:r>
        <w:t xml:space="preserve"> </w:t>
      </w:r>
      <w:r>
        <w:rPr>
          <w:bCs/>
          <w:b/>
        </w:rPr>
        <w:t xml:space="preserve">Maslow’s hierarchy of needs</w:t>
      </w:r>
      <w:r>
        <w:t xml:space="preserve"> </w:t>
      </w:r>
      <w:r>
        <w:t xml:space="preserve">proposes five need levels (physiological, safety, social, esteem, self-actualization), arguing that lower needs must be substantially satisfied before higher ones become motivating.</w:t>
      </w:r>
      <w:r>
        <w:t xml:space="preserve"> </w:t>
      </w:r>
      <w:r>
        <w:rPr>
          <w:bCs/>
          <w:b/>
        </w:rPr>
        <w:t xml:space="preserve">Herzberg’s two-factor theory</w:t>
      </w:r>
      <w:r>
        <w:t xml:space="preserve"> </w:t>
      </w:r>
      <w:r>
        <w:t xml:space="preserve">distinguishes</w:t>
      </w:r>
      <w:r>
        <w:t xml:space="preserve"> </w:t>
      </w:r>
      <w:r>
        <w:rPr>
          <w:bCs/>
          <w:b/>
        </w:rPr>
        <w:t xml:space="preserve">hygiene factors</w:t>
      </w:r>
      <w:r>
        <w:t xml:space="preserve"> </w:t>
      </w:r>
      <w:r>
        <w:t xml:space="preserve">(salary, working conditions, company policy — their absence causes dissatisfaction, but their presence does not itself motivate) from</w:t>
      </w:r>
      <w:r>
        <w:t xml:space="preserve"> </w:t>
      </w:r>
      <w:r>
        <w:rPr>
          <w:bCs/>
          <w:b/>
        </w:rPr>
        <w:t xml:space="preserve">motivators</w:t>
      </w:r>
      <w:r>
        <w:t xml:space="preserve"> </w:t>
      </w:r>
      <w:r>
        <w:t xml:space="preserve">(achievement, recognition, responsibility — whose presence genuinely drives higher performance and satisfaction). The practical implication of Herzberg’s theory is important: simply improving hygiene factors (a bigger office, better pay alone) removes dissatisfaction but does not, by itself, increase motivation — true motivation requires attention to the job’s intrinsic content.</w:t>
      </w:r>
    </w:p>
    <w:p>
      <w:pPr>
        <w:numPr>
          <w:ilvl w:val="0"/>
          <w:numId w:val="1028"/>
        </w:numPr>
        <w:pStyle w:val="Compact"/>
      </w:pPr>
      <w:r>
        <w:rPr>
          <w:bCs/>
          <w:b/>
        </w:rPr>
        <w:t xml:space="preserve">Process theories</w:t>
      </w:r>
      <w:r>
        <w:t xml:space="preserve"> </w:t>
      </w:r>
      <w:r>
        <w:t xml:space="preserve">ask</w:t>
      </w:r>
      <w:r>
        <w:t xml:space="preserve"> </w:t>
      </w:r>
      <w:r>
        <w:rPr>
          <w:iCs/>
          <w:i/>
        </w:rPr>
        <w:t xml:space="preserve">how</w:t>
      </w:r>
      <w:r>
        <w:t xml:space="preserve"> </w:t>
      </w:r>
      <w:r>
        <w:t xml:space="preserve">motivation happens.</w:t>
      </w:r>
      <w:r>
        <w:t xml:space="preserve"> </w:t>
      </w:r>
      <w:r>
        <w:rPr>
          <w:bCs/>
          <w:b/>
        </w:rPr>
        <w:t xml:space="preserve">Vroom’s expectancy theory</w:t>
      </w:r>
      <w:r>
        <w:t xml:space="preserve"> </w:t>
      </w:r>
      <w:r>
        <w:t xml:space="preserve">argues that an individual’s motivation to act in a certain way depends on the strength of the expectation that the act will be followed by a given outcome, and on the attractiveness of that outcome to the individual — captured in the relationship between</w:t>
      </w:r>
      <w:r>
        <w:t xml:space="preserve"> </w:t>
      </w:r>
      <w:r>
        <w:rPr>
          <w:iCs/>
          <w:i/>
        </w:rPr>
        <w:t xml:space="preserve">effort → performance</w:t>
      </w:r>
      <w:r>
        <w:t xml:space="preserve">,</w:t>
      </w:r>
      <w:r>
        <w:t xml:space="preserve"> </w:t>
      </w:r>
      <w:r>
        <w:rPr>
          <w:iCs/>
          <w:i/>
        </w:rPr>
        <w:t xml:space="preserve">performance → reward</w:t>
      </w:r>
      <w:r>
        <w:t xml:space="preserve">, and the</w:t>
      </w:r>
      <w:r>
        <w:t xml:space="preserve"> </w:t>
      </w:r>
      <w:r>
        <w:rPr>
          <w:iCs/>
          <w:i/>
        </w:rPr>
        <w:t xml:space="preserve">value of the reward</w:t>
      </w:r>
      <w:r>
        <w:t xml:space="preserve">. If an employee doubts that effort will actually lead to good performance (poor training, inadequate resources), or that good performance will actually be rewarded (an unfair or arbitrary appraisal system), motivation collapses regardless of how attractive the reward itself might be.</w:t>
      </w:r>
    </w:p>
    <w:p>
      <w:pPr>
        <w:pStyle w:val="FirstParagraph"/>
      </w:pPr>
      <w:r>
        <w:rPr>
          <w:bCs/>
          <w:b/>
        </w:rPr>
        <w:t xml:space="preserve">Key takeaways</w:t>
      </w:r>
    </w:p>
    <w:p>
      <w:pPr>
        <w:numPr>
          <w:ilvl w:val="0"/>
          <w:numId w:val="1029"/>
        </w:numPr>
        <w:pStyle w:val="Compact"/>
      </w:pPr>
      <w:r>
        <w:t xml:space="preserve">Leadership theory has evolved from asking</w:t>
      </w:r>
      <w:r>
        <w:t xml:space="preserve"> </w:t>
      </w:r>
      <w:r>
        <w:t xml:space="preserve">“</w:t>
      </w:r>
      <w:r>
        <w:t xml:space="preserve">what traits do leaders have?</w:t>
      </w:r>
      <w:r>
        <w:t xml:space="preserve">”</w:t>
      </w:r>
      <w:r>
        <w:t xml:space="preserve"> </w:t>
      </w:r>
      <w:r>
        <w:t xml:space="preserve">to</w:t>
      </w:r>
      <w:r>
        <w:t xml:space="preserve"> </w:t>
      </w:r>
      <w:r>
        <w:t xml:space="preserve">“</w:t>
      </w:r>
      <w:r>
        <w:t xml:space="preserve">what do leaders do?</w:t>
      </w:r>
      <w:r>
        <w:t xml:space="preserve">”</w:t>
      </w:r>
      <w:r>
        <w:t xml:space="preserve"> </w:t>
      </w:r>
      <w:r>
        <w:t xml:space="preserve">to</w:t>
      </w:r>
      <w:r>
        <w:t xml:space="preserve"> </w:t>
      </w:r>
      <w:r>
        <w:t xml:space="preserve">“</w:t>
      </w:r>
      <w:r>
        <w:t xml:space="preserve">which style fits which situation?</w:t>
      </w:r>
      <w:r>
        <w:t xml:space="preserve">”</w:t>
      </w:r>
      <w:r>
        <w:t xml:space="preserve"> </w:t>
      </w:r>
      <w:r>
        <w:t xml:space="preserve">to today’s emphasis on transformational leadership, which builds commitment through vision rather than transaction alone.</w:t>
      </w:r>
    </w:p>
    <w:p>
      <w:pPr>
        <w:numPr>
          <w:ilvl w:val="0"/>
          <w:numId w:val="1029"/>
        </w:numPr>
        <w:pStyle w:val="Compact"/>
      </w:pPr>
      <w:r>
        <w:t xml:space="preserve">Content theories (Maslow, Herzberg) explain</w:t>
      </w:r>
      <w:r>
        <w:t xml:space="preserve"> </w:t>
      </w:r>
      <w:r>
        <w:rPr>
          <w:iCs/>
          <w:i/>
        </w:rPr>
        <w:t xml:space="preserve">what</w:t>
      </w:r>
      <w:r>
        <w:t xml:space="preserve"> </w:t>
      </w:r>
      <w:r>
        <w:t xml:space="preserve">people need; process theories (Vroom) explain</w:t>
      </w:r>
      <w:r>
        <w:t xml:space="preserve"> </w:t>
      </w:r>
      <w:r>
        <w:rPr>
          <w:iCs/>
          <w:i/>
        </w:rPr>
        <w:t xml:space="preserve">how</w:t>
      </w:r>
      <w:r>
        <w:t xml:space="preserve"> </w:t>
      </w:r>
      <w:r>
        <w:t xml:space="preserve">the link between effort, performance, and reward determines whether that need actually translates into motivated behaviour.</w:t>
      </w:r>
    </w:p>
    <w:p>
      <w:pPr>
        <w:numPr>
          <w:ilvl w:val="0"/>
          <w:numId w:val="1029"/>
        </w:numPr>
        <w:pStyle w:val="Compact"/>
      </w:pPr>
      <w:r>
        <w:t xml:space="preserve">Herzberg’s key practical insight — that hygiene factors prevent dissatisfaction but do not themselves motivate — is one of the most exam-relevant single points in this entire unit.</w:t>
      </w:r>
    </w:p>
    <w:p>
      <w:r>
        <w:pict>
          <v:rect style="width:0;height:1.5pt" o:hralign="center" o:hrstd="t" o:hr="t"/>
        </w:pict>
      </w:r>
    </w:p>
    <w:bookmarkEnd w:id="52"/>
    <w:bookmarkEnd w:id="53"/>
    <w:bookmarkEnd w:id="54"/>
    <w:bookmarkStart w:id="67" w:name="ii.-human-resource-management"/>
    <w:p>
      <w:pPr>
        <w:pStyle w:val="Heading1"/>
      </w:pPr>
      <w:r>
        <w:rPr>
          <w:rStyle w:val="SectionNumber"/>
        </w:rPr>
        <w:t xml:space="preserve">4</w:t>
      </w:r>
      <w:r>
        <w:tab/>
      </w:r>
      <w:r>
        <w:t xml:space="preserve">II. Human Resource Management</w:t>
      </w:r>
    </w:p>
    <w:bookmarkStart w:id="55" w:name="what-this-unit-is-about-1"/>
    <w:p>
      <w:pPr>
        <w:pStyle w:val="Heading2"/>
      </w:pPr>
      <w:r>
        <w:rPr>
          <w:rStyle w:val="SectionNumber"/>
        </w:rPr>
        <w:t xml:space="preserve">4.1</w:t>
      </w:r>
      <w:r>
        <w:tab/>
      </w:r>
      <w:r>
        <w:t xml:space="preserve">What This Unit Is About</w:t>
      </w:r>
    </w:p>
    <w:p>
      <w:pPr>
        <w:pStyle w:val="FirstParagraph"/>
      </w:pPr>
      <w:r>
        <w:t xml:space="preserve">Human Resource Management (HRM) treats employees as a strategic organizational resource — not merely as a cost of production — and covers the full</w:t>
      </w:r>
      <w:r>
        <w:t xml:space="preserve"> </w:t>
      </w:r>
      <w:r>
        <w:t xml:space="preserve">“</w:t>
      </w:r>
      <w:r>
        <w:t xml:space="preserve">employee life cycle</w:t>
      </w:r>
      <w:r>
        <w:t xml:space="preserve">”</w:t>
      </w:r>
      <w:r>
        <w:t xml:space="preserve">: analysing jobs, forecasting how many people with what skills will be needed, recruiting and selecting them, training and developing them, managing and appraising their performance, paying and rewarding them, treating them fairly, and managing the collective relationship between employees, their representatives, and management. Each topic below is a stage in that same connected cycle, so it is worth reading them in sequence rather than as isolated definitions.</w:t>
      </w:r>
    </w:p>
    <w:bookmarkEnd w:id="55"/>
    <w:bookmarkStart w:id="56" w:name="Xb9accbe1d329edd147fd5885fce2edbb2937cd4"/>
    <w:p>
      <w:pPr>
        <w:pStyle w:val="Heading2"/>
      </w:pPr>
      <w:r>
        <w:rPr>
          <w:rStyle w:val="SectionNumber"/>
        </w:rPr>
        <w:t xml:space="preserve">4.2</w:t>
      </w:r>
      <w:r>
        <w:tab/>
      </w:r>
      <w:r>
        <w:t xml:space="preserve">The Role of HRM in Organizational Performance</w:t>
      </w:r>
    </w:p>
    <w:p>
      <w:pPr>
        <w:pStyle w:val="FirstParagraph"/>
      </w:pPr>
      <w:r>
        <w:t xml:space="preserve">HRM’s strategic contribution is to ensure the organization has the workforce capabilities and behaviours needed to execute its strategy — in other words, HRM exists to serve the same strategic goals discussed under Management above, not as a separate, purely administrative function. This role is captured in the idea that people are a source of</w:t>
      </w:r>
      <w:r>
        <w:t xml:space="preserve"> </w:t>
      </w:r>
      <w:r>
        <w:rPr>
          <w:bCs/>
          <w:b/>
        </w:rPr>
        <w:t xml:space="preserve">sustained competitive advantage</w:t>
      </w:r>
      <w:r>
        <w:t xml:space="preserve"> </w:t>
      </w:r>
      <w:r>
        <w:t xml:space="preserve">when the skills and commitment they bring are valuable, rare, difficult to imitate, and well-organized by the firm’s systems — the same logic Porter’s generic strategies apply to markets, applied instead to the workforce itself.</w:t>
      </w:r>
    </w:p>
    <w:p>
      <w:pPr>
        <w:pStyle w:val="BodyText"/>
      </w:pPr>
      <w:r>
        <w:t xml:space="preserve">It is important to state a claim carefully here, because it is easy to overreach: HRM contributes to productivity, quality, retention, and organizational culture, but it does not single-handedly determine organizational performance — strategy, market conditions, operations, and finance all interact with HR outcomes. A well-designed HR system creates the conditions (capable, motivated, well-organized people) under which good strategy can actually be executed; it cannot substitute for a flawed strategy or a hostile market.</w:t>
      </w:r>
    </w:p>
    <w:bookmarkEnd w:id="56"/>
    <w:bookmarkStart w:id="57" w:name="functions-of-hrm"/>
    <w:p>
      <w:pPr>
        <w:pStyle w:val="Heading2"/>
      </w:pPr>
      <w:r>
        <w:rPr>
          <w:rStyle w:val="SectionNumber"/>
        </w:rPr>
        <w:t xml:space="preserve">4.3</w:t>
      </w:r>
      <w:r>
        <w:tab/>
      </w:r>
      <w:r>
        <w:t xml:space="preserve">Functions of HRM</w:t>
      </w:r>
    </w:p>
    <w:p>
      <w:pPr>
        <w:pStyle w:val="FirstParagraph"/>
      </w:pPr>
      <w:r>
        <w:t xml:space="preserve">The core HRM functions — job analysis, workforce planning, recruitment, selection, training, performance management, compensation, employee relations, health and safety, and legal compliance — are best understood as a connected sequence rather than a checklist of unrelated definitions:</w:t>
      </w:r>
    </w:p>
    <w:p>
      <w:pPr>
        <w:numPr>
          <w:ilvl w:val="0"/>
          <w:numId w:val="1030"/>
        </w:numPr>
        <w:pStyle w:val="Compact"/>
      </w:pPr>
      <w:r>
        <w:rPr>
          <w:bCs/>
          <w:b/>
        </w:rPr>
        <w:t xml:space="preserve">Job analysis</w:t>
      </w:r>
      <w:r>
        <w:t xml:space="preserve"> </w:t>
      </w:r>
      <w:r>
        <w:t xml:space="preserve">establishes</w:t>
      </w:r>
      <w:r>
        <w:t xml:space="preserve"> </w:t>
      </w:r>
      <w:r>
        <w:rPr>
          <w:iCs/>
          <w:i/>
        </w:rPr>
        <w:t xml:space="preserve">what the job actually requires</w:t>
      </w:r>
      <w:r>
        <w:t xml:space="preserve"> </w:t>
      </w:r>
      <w:r>
        <w:t xml:space="preserve">before anything else can be planned.</w:t>
      </w:r>
    </w:p>
    <w:p>
      <w:pPr>
        <w:numPr>
          <w:ilvl w:val="0"/>
          <w:numId w:val="1030"/>
        </w:numPr>
        <w:pStyle w:val="Compact"/>
      </w:pPr>
      <w:r>
        <w:rPr>
          <w:bCs/>
          <w:b/>
        </w:rPr>
        <w:t xml:space="preserve">Workforce planning</w:t>
      </w:r>
      <w:r>
        <w:t xml:space="preserve"> </w:t>
      </w:r>
      <w:r>
        <w:t xml:space="preserve">uses that requirement to estimate</w:t>
      </w:r>
      <w:r>
        <w:t xml:space="preserve"> </w:t>
      </w:r>
      <w:r>
        <w:rPr>
          <w:iCs/>
          <w:i/>
        </w:rPr>
        <w:t xml:space="preserve">how many people, with what qualifications</w:t>
      </w:r>
      <w:r>
        <w:t xml:space="preserve">, will be needed.</w:t>
      </w:r>
    </w:p>
    <w:p>
      <w:pPr>
        <w:numPr>
          <w:ilvl w:val="0"/>
          <w:numId w:val="1030"/>
        </w:numPr>
        <w:pStyle w:val="Compact"/>
      </w:pPr>
      <w:r>
        <w:rPr>
          <w:bCs/>
          <w:b/>
        </w:rPr>
        <w:t xml:space="preserve">Recruitment and selection</w:t>
      </w:r>
      <w:r>
        <w:t xml:space="preserve"> </w:t>
      </w:r>
      <w:r>
        <w:t xml:space="preserve">fill that need with the right people.</w:t>
      </w:r>
    </w:p>
    <w:p>
      <w:pPr>
        <w:numPr>
          <w:ilvl w:val="0"/>
          <w:numId w:val="1030"/>
        </w:numPr>
        <w:pStyle w:val="Compact"/>
      </w:pPr>
      <w:r>
        <w:rPr>
          <w:bCs/>
          <w:b/>
        </w:rPr>
        <w:t xml:space="preserve">Training and development</w:t>
      </w:r>
      <w:r>
        <w:t xml:space="preserve"> </w:t>
      </w:r>
      <w:r>
        <w:t xml:space="preserve">build the capability those people need to perform well and grow.</w:t>
      </w:r>
    </w:p>
    <w:p>
      <w:pPr>
        <w:numPr>
          <w:ilvl w:val="0"/>
          <w:numId w:val="1030"/>
        </w:numPr>
        <w:pStyle w:val="Compact"/>
      </w:pPr>
      <w:r>
        <w:rPr>
          <w:bCs/>
          <w:b/>
        </w:rPr>
        <w:t xml:space="preserve">Performance management and compensation</w:t>
      </w:r>
      <w:r>
        <w:t xml:space="preserve"> </w:t>
      </w:r>
      <w:r>
        <w:t xml:space="preserve">sustain and reward that performance.</w:t>
      </w:r>
    </w:p>
    <w:p>
      <w:pPr>
        <w:numPr>
          <w:ilvl w:val="0"/>
          <w:numId w:val="1030"/>
        </w:numPr>
        <w:pStyle w:val="Compact"/>
      </w:pPr>
      <w:r>
        <w:rPr>
          <w:bCs/>
          <w:b/>
        </w:rPr>
        <w:t xml:space="preserve">Employee relations, health and safety, and compliance</w:t>
      </w:r>
      <w:r>
        <w:t xml:space="preserve"> </w:t>
      </w:r>
      <w:r>
        <w:t xml:space="preserve">maintain a fair, safe, and legally sound employment relationship throughout.</w:t>
      </w:r>
    </w:p>
    <w:p>
      <w:pPr>
        <w:pStyle w:val="FirstParagraph"/>
      </w:pPr>
      <w:r>
        <w:t xml:space="preserve">Each of the following topics develops one link in this chain in more depth.</w:t>
      </w:r>
    </w:p>
    <w:bookmarkEnd w:id="57"/>
    <w:bookmarkStart w:id="58" w:name="job-analysis-process-and-methods"/>
    <w:p>
      <w:pPr>
        <w:pStyle w:val="Heading2"/>
      </w:pPr>
      <w:r>
        <w:rPr>
          <w:rStyle w:val="SectionNumber"/>
        </w:rPr>
        <w:t xml:space="preserve">4.4</w:t>
      </w:r>
      <w:r>
        <w:tab/>
      </w:r>
      <w:r>
        <w:t xml:space="preserve">Job Analysis: Process and Methods</w:t>
      </w:r>
    </w:p>
    <w:p>
      <w:pPr>
        <w:pStyle w:val="FirstParagraph"/>
      </w:pPr>
      <w:r>
        <w:t xml:space="preserve">Job analysis is the systematic process of collecting information about a job’s tasks, responsibilities, required knowledge and skills, and working conditions — it studies the</w:t>
      </w:r>
      <w:r>
        <w:t xml:space="preserve"> </w:t>
      </w:r>
      <w:r>
        <w:rPr>
          <w:bCs/>
          <w:b/>
        </w:rPr>
        <w:t xml:space="preserve">job itself</w:t>
      </w:r>
      <w:r>
        <w:t xml:space="preserve">, not the performance of the particular person currently holding it (that distinction, though it sounds subtle, is frequently tested: job analysis is not performance appraisal).</w:t>
      </w:r>
    </w:p>
    <w:p>
      <w:pPr>
        <w:pStyle w:val="BodyText"/>
      </w:pPr>
      <w:r>
        <w:t xml:space="preserve">Job analysis has two standard outputs:</w:t>
      </w:r>
    </w:p>
    <w:p>
      <w:pPr>
        <w:numPr>
          <w:ilvl w:val="0"/>
          <w:numId w:val="1031"/>
        </w:numPr>
        <w:pStyle w:val="Compact"/>
      </w:pPr>
      <w:r>
        <w:t xml:space="preserve">A</w:t>
      </w:r>
      <w:r>
        <w:t xml:space="preserve"> </w:t>
      </w:r>
      <w:r>
        <w:rPr>
          <w:bCs/>
          <w:b/>
        </w:rPr>
        <w:t xml:space="preserve">job description</w:t>
      </w:r>
      <w:r>
        <w:t xml:space="preserve"> </w:t>
      </w:r>
      <w:r>
        <w:t xml:space="preserve">— a written statement of what the job holder actually does, how, and why, along with the working conditions.</w:t>
      </w:r>
    </w:p>
    <w:p>
      <w:pPr>
        <w:numPr>
          <w:ilvl w:val="0"/>
          <w:numId w:val="1031"/>
        </w:numPr>
        <w:pStyle w:val="Compact"/>
      </w:pPr>
      <w:r>
        <w:t xml:space="preserve">A</w:t>
      </w:r>
      <w:r>
        <w:t xml:space="preserve"> </w:t>
      </w:r>
      <w:r>
        <w:rPr>
          <w:bCs/>
          <w:b/>
        </w:rPr>
        <w:t xml:space="preserve">job specification</w:t>
      </w:r>
      <w:r>
        <w:t xml:space="preserve"> </w:t>
      </w:r>
      <w:r>
        <w:t xml:space="preserve">— a statement of the minimum acceptable qualifications (knowledge, skills, abilities, education, experience) a person needs to perform the job.</w:t>
      </w:r>
    </w:p>
    <w:p>
      <w:pPr>
        <w:pStyle w:val="FirstParagraph"/>
      </w:pPr>
      <w:r>
        <w:t xml:space="preserve">Common data-collection methods include</w:t>
      </w:r>
      <w:r>
        <w:t xml:space="preserve"> </w:t>
      </w:r>
      <w:r>
        <w:rPr>
          <w:bCs/>
          <w:b/>
        </w:rPr>
        <w:t xml:space="preserve">observation</w:t>
      </w:r>
      <w:r>
        <w:t xml:space="preserve"> </w:t>
      </w:r>
      <w:r>
        <w:t xml:space="preserve">(watching the job being performed — useful for physical, observable work, less useful for mental or highly variable work),</w:t>
      </w:r>
      <w:r>
        <w:t xml:space="preserve"> </w:t>
      </w:r>
      <w:r>
        <w:rPr>
          <w:bCs/>
          <w:b/>
        </w:rPr>
        <w:t xml:space="preserve">interviews</w:t>
      </w:r>
      <w:r>
        <w:t xml:space="preserve"> </w:t>
      </w:r>
      <w:r>
        <w:t xml:space="preserve">(with job holders and their supervisors),</w:t>
      </w:r>
      <w:r>
        <w:t xml:space="preserve"> </w:t>
      </w:r>
      <w:r>
        <w:rPr>
          <w:bCs/>
          <w:b/>
        </w:rPr>
        <w:t xml:space="preserve">questionnaires</w:t>
      </w:r>
      <w:r>
        <w:t xml:space="preserve"> </w:t>
      </w:r>
      <w:r>
        <w:t xml:space="preserve">(structured instruments completed by many job holders, allowing broader coverage), and</w:t>
      </w:r>
      <w:r>
        <w:t xml:space="preserve"> </w:t>
      </w:r>
      <w:r>
        <w:rPr>
          <w:bCs/>
          <w:b/>
        </w:rPr>
        <w:t xml:space="preserve">work diaries/logs</w:t>
      </w:r>
      <w:r>
        <w:t xml:space="preserve"> </w:t>
      </w:r>
      <w:r>
        <w:t xml:space="preserve">(job holders record their own activities over a period, useful for capturing infrequent tasks that a one-time observation might miss). In practice, organizations usually combine two or more methods, since each has different blind spots.</w:t>
      </w:r>
    </w:p>
    <w:p>
      <w:pPr>
        <w:pStyle w:val="BodyText"/>
      </w:pPr>
      <w:r>
        <w:rPr>
          <w:bCs/>
          <w:b/>
        </w:rPr>
        <w:t xml:space="preserve">Why it matters downstream:</w:t>
      </w:r>
      <w:r>
        <w:t xml:space="preserve"> </w:t>
      </w:r>
      <w:r>
        <w:t xml:space="preserve">every later HR function depends on job analysis being done well — recruitment advertisements are written from the job specification, selection criteria are drawn from it, training needs are identified against it, and even pay grades (below) are set partly by comparing the relative demands of different jobs, which is only possible once those demands have been properly analysed.</w:t>
      </w:r>
    </w:p>
    <w:bookmarkEnd w:id="58"/>
    <w:bookmarkStart w:id="59" w:name="planning-and-forecasting-personnel-needs"/>
    <w:p>
      <w:pPr>
        <w:pStyle w:val="Heading2"/>
      </w:pPr>
      <w:r>
        <w:rPr>
          <w:rStyle w:val="SectionNumber"/>
        </w:rPr>
        <w:t xml:space="preserve">4.5</w:t>
      </w:r>
      <w:r>
        <w:tab/>
      </w:r>
      <w:r>
        <w:t xml:space="preserve">Planning and Forecasting Personnel Needs</w:t>
      </w:r>
    </w:p>
    <w:p>
      <w:pPr>
        <w:pStyle w:val="FirstParagraph"/>
      </w:pPr>
      <w:r>
        <w:t xml:space="preserve">Workforce (human resource) planning is the process of estimating how many employees, with what skills, the organization will need in the future, and ensuring that supply will meet that demand. It has two forecasting sides:</w:t>
      </w:r>
    </w:p>
    <w:p>
      <w:pPr>
        <w:numPr>
          <w:ilvl w:val="0"/>
          <w:numId w:val="1032"/>
        </w:numPr>
        <w:pStyle w:val="Compact"/>
      </w:pPr>
      <w:r>
        <w:rPr>
          <w:bCs/>
          <w:b/>
        </w:rPr>
        <w:t xml:space="preserve">Demand forecasting</w:t>
      </w:r>
      <w:r>
        <w:t xml:space="preserve"> </w:t>
      </w:r>
      <w:r>
        <w:t xml:space="preserve">estimates the number and type of jobs the organization will need to fill in the future, based on business plans, expected growth, technology changes, and productivity trends.</w:t>
      </w:r>
    </w:p>
    <w:p>
      <w:pPr>
        <w:numPr>
          <w:ilvl w:val="0"/>
          <w:numId w:val="1032"/>
        </w:numPr>
        <w:pStyle w:val="Compact"/>
      </w:pPr>
      <w:r>
        <w:rPr>
          <w:bCs/>
          <w:b/>
        </w:rPr>
        <w:t xml:space="preserve">Supply forecasting</w:t>
      </w:r>
      <w:r>
        <w:t xml:space="preserve"> </w:t>
      </w:r>
      <w:r>
        <w:t xml:space="preserve">estimates what talent will actually be available to fill that demand — internally (through succession planning, internal promotion pipelines, and skills inventories of current staff) and externally (the state of the labour market for the relevant skills).</w:t>
      </w:r>
    </w:p>
    <w:p>
      <w:pPr>
        <w:pStyle w:val="FirstParagraph"/>
      </w:pPr>
      <w:r>
        <w:t xml:space="preserve">Comparing demand and supply forecasts reveals a</w:t>
      </w:r>
      <w:r>
        <w:t xml:space="preserve"> </w:t>
      </w:r>
      <w:r>
        <w:rPr>
          <w:bCs/>
          <w:b/>
        </w:rPr>
        <w:t xml:space="preserve">gap</w:t>
      </w:r>
      <w:r>
        <w:t xml:space="preserve">, and the gap’s direction dictates the appropriate HR response: a projected</w:t>
      </w:r>
      <w:r>
        <w:t xml:space="preserve"> </w:t>
      </w:r>
      <w:r>
        <w:rPr>
          <w:bCs/>
          <w:b/>
        </w:rPr>
        <w:t xml:space="preserve">shortage</w:t>
      </w:r>
      <w:r>
        <w:t xml:space="preserve"> </w:t>
      </w:r>
      <w:r>
        <w:t xml:space="preserve">(demand exceeds supply) triggers recruitment, training investment, or succession planning; a projected</w:t>
      </w:r>
      <w:r>
        <w:t xml:space="preserve"> </w:t>
      </w:r>
      <w:r>
        <w:rPr>
          <w:bCs/>
          <w:b/>
        </w:rPr>
        <w:t xml:space="preserve">surplus</w:t>
      </w:r>
      <w:r>
        <w:t xml:space="preserve"> </w:t>
      </w:r>
      <w:r>
        <w:t xml:space="preserve">(supply exceeds demand) triggers options such as hiring freezes, redeployment, early retirement schemes, or — as a last resort — workforce reduction.</w:t>
      </w:r>
      <w:r>
        <w:t xml:space="preserve"> </w:t>
      </w:r>
      <w:r>
        <w:rPr>
          <w:bCs/>
          <w:b/>
        </w:rPr>
        <w:t xml:space="preserve">Succession planning</w:t>
      </w:r>
      <w:r>
        <w:t xml:space="preserve"> </w:t>
      </w:r>
      <w:r>
        <w:t xml:space="preserve">specifically prepares identified internal candidates to fill key future vacancies, reducing the organization’s dependence on external hiring for critical roles.</w:t>
      </w:r>
    </w:p>
    <w:bookmarkEnd w:id="59"/>
    <w:bookmarkStart w:id="60" w:name="recruitment-and-selection"/>
    <w:p>
      <w:pPr>
        <w:pStyle w:val="Heading2"/>
      </w:pPr>
      <w:r>
        <w:rPr>
          <w:rStyle w:val="SectionNumber"/>
        </w:rPr>
        <w:t xml:space="preserve">4.6</w:t>
      </w:r>
      <w:r>
        <w:tab/>
      </w:r>
      <w:r>
        <w:t xml:space="preserve">Recruitment and Selection</w:t>
      </w:r>
    </w:p>
    <w:p>
      <w:pPr>
        <w:pStyle w:val="FirstParagraph"/>
      </w:pPr>
      <w:r>
        <w:rPr>
          <w:bCs/>
          <w:b/>
        </w:rPr>
        <w:t xml:space="preserve">Recruitment</w:t>
      </w:r>
      <w:r>
        <w:t xml:space="preserve"> </w:t>
      </w:r>
      <w:r>
        <w:t xml:space="preserve">is the process of attracting a pool of qualified applicants;</w:t>
      </w:r>
      <w:r>
        <w:t xml:space="preserve"> </w:t>
      </w:r>
      <w:r>
        <w:rPr>
          <w:bCs/>
          <w:b/>
        </w:rPr>
        <w:t xml:space="preserve">selection</w:t>
      </w:r>
      <w:r>
        <w:t xml:space="preserve"> </w:t>
      </w:r>
      <w:r>
        <w:t xml:space="preserve">is the subsequent process of choosing the most suitable candidate(s) from that pool. Keeping this distinction sharp is one of the most commonly tested points in this unit: recruitment builds the pool, selection narrows it.</w:t>
      </w:r>
    </w:p>
    <w:p>
      <w:pPr>
        <w:pStyle w:val="BodyText"/>
      </w:pPr>
      <w:r>
        <w:rPr>
          <w:bCs/>
          <w:b/>
        </w:rPr>
        <w:t xml:space="preserve">Recruitment sources</w:t>
      </w:r>
      <w:r>
        <w:t xml:space="preserve"> </w:t>
      </w:r>
      <w:r>
        <w:t xml:space="preserve">are commonly split into:</w:t>
      </w:r>
    </w:p>
    <w:p>
      <w:pPr>
        <w:numPr>
          <w:ilvl w:val="0"/>
          <w:numId w:val="1033"/>
        </w:numPr>
        <w:pStyle w:val="Compact"/>
      </w:pPr>
      <w:r>
        <w:rPr>
          <w:bCs/>
          <w:b/>
        </w:rPr>
        <w:t xml:space="preserve">Internal recruitment</w:t>
      </w:r>
      <w:r>
        <w:t xml:space="preserve"> </w:t>
      </w:r>
      <w:r>
        <w:t xml:space="preserve">— filling vacancies from within, through promotion or transfer. Advantages include higher motivation (employees see a genuine career path), better information about the candidate’s actual track record, and continuity; the main disadvantage is a narrower pool that may miss fresh external perspectives and skills.</w:t>
      </w:r>
    </w:p>
    <w:p>
      <w:pPr>
        <w:numPr>
          <w:ilvl w:val="0"/>
          <w:numId w:val="1033"/>
        </w:numPr>
        <w:pStyle w:val="Compact"/>
      </w:pPr>
      <w:r>
        <w:rPr>
          <w:bCs/>
          <w:b/>
        </w:rPr>
        <w:t xml:space="preserve">External recruitment</w:t>
      </w:r>
      <w:r>
        <w:t xml:space="preserve"> </w:t>
      </w:r>
      <w:r>
        <w:t xml:space="preserve">— filling vacancies from outside the organization. Advantages include access to a wider talent pool and new skills/perspectives; disadvantages include higher cost, longer onboarding, and the greater uncertainty of hiring someone without an internal track record.</w:t>
      </w:r>
    </w:p>
    <w:p>
      <w:pPr>
        <w:pStyle w:val="FirstParagraph"/>
      </w:pPr>
      <w:r>
        <w:rPr>
          <w:bCs/>
          <w:b/>
        </w:rPr>
        <w:t xml:space="preserve">Selection methods</w:t>
      </w:r>
      <w:r>
        <w:t xml:space="preserve"> </w:t>
      </w:r>
      <w:r>
        <w:t xml:space="preserve">typically include application screening, employment tests (cognitive ability, personality, job-sample/work-simulation tests), structured or unstructured interviews, and reference/background checks. Whatever combination of methods is used, good selection practice requires three properties:</w:t>
      </w:r>
    </w:p>
    <w:p>
      <w:pPr>
        <w:numPr>
          <w:ilvl w:val="0"/>
          <w:numId w:val="1034"/>
        </w:numPr>
        <w:pStyle w:val="Compact"/>
      </w:pPr>
      <w:r>
        <w:rPr>
          <w:bCs/>
          <w:b/>
        </w:rPr>
        <w:t xml:space="preserve">Reliability</w:t>
      </w:r>
      <w:r>
        <w:t xml:space="preserve"> </w:t>
      </w:r>
      <w:r>
        <w:t xml:space="preserve">— the method produces consistent results (the same candidate would score similarly if re-tested under similar conditions).</w:t>
      </w:r>
    </w:p>
    <w:p>
      <w:pPr>
        <w:numPr>
          <w:ilvl w:val="0"/>
          <w:numId w:val="1034"/>
        </w:numPr>
        <w:pStyle w:val="Compact"/>
      </w:pPr>
      <w:r>
        <w:rPr>
          <w:bCs/>
          <w:b/>
        </w:rPr>
        <w:t xml:space="preserve">Validity</w:t>
      </w:r>
      <w:r>
        <w:t xml:space="preserve"> </w:t>
      </w:r>
      <w:r>
        <w:t xml:space="preserve">— the method actually measures what it claims to measure, and predicts actual job performance (a method can be perfectly reliable yet invalid if it consistently measures the wrong thing).</w:t>
      </w:r>
    </w:p>
    <w:p>
      <w:pPr>
        <w:numPr>
          <w:ilvl w:val="0"/>
          <w:numId w:val="1034"/>
        </w:numPr>
        <w:pStyle w:val="Compact"/>
      </w:pPr>
      <w:r>
        <w:rPr>
          <w:bCs/>
          <w:b/>
        </w:rPr>
        <w:t xml:space="preserve">Fairness/job-relatedness</w:t>
      </w:r>
      <w:r>
        <w:t xml:space="preserve"> </w:t>
      </w:r>
      <w:r>
        <w:t xml:space="preserve">— criteria and methods are directly tied to job requirements (drawn from the job analysis above) and applied consistently to all candidates, without discrimination unrelated to job performance.</w:t>
      </w:r>
    </w:p>
    <w:bookmarkEnd w:id="60"/>
    <w:bookmarkStart w:id="61" w:name="training-and-development"/>
    <w:p>
      <w:pPr>
        <w:pStyle w:val="Heading2"/>
      </w:pPr>
      <w:r>
        <w:rPr>
          <w:rStyle w:val="SectionNumber"/>
        </w:rPr>
        <w:t xml:space="preserve">4.7</w:t>
      </w:r>
      <w:r>
        <w:tab/>
      </w:r>
      <w:r>
        <w:t xml:space="preserve">Training and Development</w:t>
      </w:r>
    </w:p>
    <w:p>
      <w:pPr>
        <w:pStyle w:val="FirstParagraph"/>
      </w:pPr>
      <w:r>
        <w:rPr>
          <w:bCs/>
          <w:b/>
        </w:rPr>
        <w:t xml:space="preserve">Training</w:t>
      </w:r>
      <w:r>
        <w:t xml:space="preserve"> </w:t>
      </w:r>
      <w:r>
        <w:t xml:space="preserve">improves the skills and knowledge needed for an employee’s</w:t>
      </w:r>
      <w:r>
        <w:t xml:space="preserve"> </w:t>
      </w:r>
      <w:r>
        <w:rPr>
          <w:iCs/>
          <w:i/>
        </w:rPr>
        <w:t xml:space="preserve">current</w:t>
      </w:r>
      <w:r>
        <w:t xml:space="preserve"> </w:t>
      </w:r>
      <w:r>
        <w:t xml:space="preserve">job;</w:t>
      </w:r>
      <w:r>
        <w:t xml:space="preserve"> </w:t>
      </w:r>
      <w:r>
        <w:rPr>
          <w:bCs/>
          <w:b/>
        </w:rPr>
        <w:t xml:space="preserve">development</w:t>
      </w:r>
      <w:r>
        <w:t xml:space="preserve"> </w:t>
      </w:r>
      <w:r>
        <w:t xml:space="preserve">prepares an employee for</w:t>
      </w:r>
      <w:r>
        <w:t xml:space="preserve"> </w:t>
      </w:r>
      <w:r>
        <w:rPr>
          <w:iCs/>
          <w:i/>
        </w:rPr>
        <w:t xml:space="preserve">broader or future</w:t>
      </w:r>
      <w:r>
        <w:t xml:space="preserve"> </w:t>
      </w:r>
      <w:r>
        <w:t xml:space="preserve">responsibilities — the distinction is essentially about time horizon and scope, not about method.</w:t>
      </w:r>
    </w:p>
    <w:p>
      <w:pPr>
        <w:pStyle w:val="BodyText"/>
      </w:pPr>
      <w:r>
        <w:t xml:space="preserve">A sound training cycle has four stages:</w:t>
      </w:r>
    </w:p>
    <w:p>
      <w:pPr>
        <w:numPr>
          <w:ilvl w:val="0"/>
          <w:numId w:val="1035"/>
        </w:numPr>
        <w:pStyle w:val="Compact"/>
      </w:pPr>
      <w:r>
        <w:rPr>
          <w:bCs/>
          <w:b/>
        </w:rPr>
        <w:t xml:space="preserve">Needs assessment</w:t>
      </w:r>
      <w:r>
        <w:t xml:space="preserve"> </w:t>
      </w:r>
      <w:r>
        <w:t xml:space="preserve">— identifying the actual gap between required and current performance/skills (often surfacing at three levels: organizational needs, task needs, and individual needs).</w:t>
      </w:r>
    </w:p>
    <w:p>
      <w:pPr>
        <w:numPr>
          <w:ilvl w:val="0"/>
          <w:numId w:val="1035"/>
        </w:numPr>
        <w:pStyle w:val="Compact"/>
      </w:pPr>
      <w:r>
        <w:rPr>
          <w:bCs/>
          <w:b/>
        </w:rPr>
        <w:t xml:space="preserve">Design</w:t>
      </w:r>
      <w:r>
        <w:t xml:space="preserve"> </w:t>
      </w:r>
      <w:r>
        <w:t xml:space="preserve">— setting clear learning objectives and selecting appropriate content and methods.</w:t>
      </w:r>
    </w:p>
    <w:p>
      <w:pPr>
        <w:numPr>
          <w:ilvl w:val="0"/>
          <w:numId w:val="1035"/>
        </w:numPr>
        <w:pStyle w:val="Compact"/>
      </w:pPr>
      <w:r>
        <w:rPr>
          <w:bCs/>
          <w:b/>
        </w:rPr>
        <w:t xml:space="preserve">Delivery</w:t>
      </w:r>
      <w:r>
        <w:t xml:space="preserve"> </w:t>
      </w:r>
      <w:r>
        <w:t xml:space="preserve">— via</w:t>
      </w:r>
      <w:r>
        <w:t xml:space="preserve"> </w:t>
      </w:r>
      <w:r>
        <w:rPr>
          <w:bCs/>
          <w:b/>
        </w:rPr>
        <w:t xml:space="preserve">on-the-job methods</w:t>
      </w:r>
      <w:r>
        <w:t xml:space="preserve"> </w:t>
      </w:r>
      <w:r>
        <w:t xml:space="preserve">(job rotation, coaching, understudy assignments — learning embedded directly in real work) or</w:t>
      </w:r>
      <w:r>
        <w:t xml:space="preserve"> </w:t>
      </w:r>
      <w:r>
        <w:rPr>
          <w:bCs/>
          <w:b/>
        </w:rPr>
        <w:t xml:space="preserve">off-the-job methods</w:t>
      </w:r>
      <w:r>
        <w:t xml:space="preserve"> </w:t>
      </w:r>
      <w:r>
        <w:t xml:space="preserve">(classroom instruction, simulations, case studies — learning removed from the immediate production pressure of the actual job).</w:t>
      </w:r>
    </w:p>
    <w:p>
      <w:pPr>
        <w:numPr>
          <w:ilvl w:val="0"/>
          <w:numId w:val="1035"/>
        </w:numPr>
        <w:pStyle w:val="Compact"/>
      </w:pPr>
      <w:r>
        <w:rPr>
          <w:bCs/>
          <w:b/>
        </w:rPr>
        <w:t xml:space="preserve">Evaluation</w:t>
      </w:r>
      <w:r>
        <w:t xml:space="preserve"> </w:t>
      </w:r>
      <w:r>
        <w:t xml:space="preserve">— checking not only whether learning occurred, but whether it actually</w:t>
      </w:r>
      <w:r>
        <w:t xml:space="preserve"> </w:t>
      </w:r>
      <w:r>
        <w:rPr>
          <w:iCs/>
          <w:i/>
        </w:rPr>
        <w:t xml:space="preserve">transferred</w:t>
      </w:r>
      <w:r>
        <w:t xml:space="preserve"> </w:t>
      </w:r>
      <w:r>
        <w:t xml:space="preserve">to improved workplace performance (a common training failure is measuring only classroom test scores, missing whether the new skill is genuinely used back on the job).</w:t>
      </w:r>
    </w:p>
    <w:bookmarkEnd w:id="61"/>
    <w:bookmarkStart w:id="62" w:name="performance-management-and-appraisal"/>
    <w:p>
      <w:pPr>
        <w:pStyle w:val="Heading2"/>
      </w:pPr>
      <w:r>
        <w:rPr>
          <w:rStyle w:val="SectionNumber"/>
        </w:rPr>
        <w:t xml:space="preserve">4.8</w:t>
      </w:r>
      <w:r>
        <w:tab/>
      </w:r>
      <w:r>
        <w:t xml:space="preserve">Performance Management and Appraisal</w:t>
      </w:r>
    </w:p>
    <w:p>
      <w:pPr>
        <w:pStyle w:val="FirstParagraph"/>
      </w:pPr>
      <w:r>
        <w:rPr>
          <w:bCs/>
          <w:b/>
        </w:rPr>
        <w:t xml:space="preserve">Performance management</w:t>
      </w:r>
      <w:r>
        <w:t xml:space="preserve"> </w:t>
      </w:r>
      <w:r>
        <w:t xml:space="preserve">is the continuous, ongoing system of setting expectations, monitoring progress, providing feedback, and supporting improvement throughout the year.</w:t>
      </w:r>
      <w:r>
        <w:t xml:space="preserve"> </w:t>
      </w:r>
      <w:r>
        <w:rPr>
          <w:bCs/>
          <w:b/>
        </w:rPr>
        <w:t xml:space="preserve">Appraisal</w:t>
      </w:r>
      <w:r>
        <w:t xml:space="preserve"> </w:t>
      </w:r>
      <w:r>
        <w:t xml:space="preserve">is the formal, periodic review that sits</w:t>
      </w:r>
      <w:r>
        <w:t xml:space="preserve"> </w:t>
      </w:r>
      <w:r>
        <w:rPr>
          <w:iCs/>
          <w:i/>
        </w:rPr>
        <w:t xml:space="preserve">within</w:t>
      </w:r>
      <w:r>
        <w:t xml:space="preserve"> </w:t>
      </w:r>
      <w:r>
        <w:t xml:space="preserve">that larger continuous process — an important distinction, since organizations that treat the annual appraisal meeting as the</w:t>
      </w:r>
      <w:r>
        <w:t xml:space="preserve"> </w:t>
      </w:r>
      <w:r>
        <w:rPr>
          <w:iCs/>
          <w:i/>
        </w:rPr>
        <w:t xml:space="preserve">entirety</w:t>
      </w:r>
      <w:r>
        <w:t xml:space="preserve"> </w:t>
      </w:r>
      <w:r>
        <w:t xml:space="preserve">of performance management typically see weaker results than those that maintain ongoing feedback and use the formal appraisal as one checkpoint among several.</w:t>
      </w:r>
    </w:p>
    <w:p>
      <w:pPr>
        <w:pStyle w:val="BodyText"/>
      </w:pPr>
      <w:r>
        <w:t xml:space="preserve">Common</w:t>
      </w:r>
      <w:r>
        <w:t xml:space="preserve"> </w:t>
      </w:r>
      <w:r>
        <w:rPr>
          <w:bCs/>
          <w:b/>
        </w:rPr>
        <w:t xml:space="preserve">rating errors</w:t>
      </w:r>
      <w:r>
        <w:t xml:space="preserve"> </w:t>
      </w:r>
      <w:r>
        <w:t xml:space="preserve">to be aware of when evaluating (or critiquing) an appraisal system include:</w:t>
      </w:r>
    </w:p>
    <w:p>
      <w:pPr>
        <w:numPr>
          <w:ilvl w:val="0"/>
          <w:numId w:val="1036"/>
        </w:numPr>
        <w:pStyle w:val="Compact"/>
      </w:pPr>
      <w:r>
        <w:rPr>
          <w:bCs/>
          <w:b/>
        </w:rPr>
        <w:t xml:space="preserve">Halo effect</w:t>
      </w:r>
      <w:r>
        <w:t xml:space="preserve"> </w:t>
      </w:r>
      <w:r>
        <w:t xml:space="preserve">— letting one positive trait (or one negative trait, sometimes called the</w:t>
      </w:r>
      <w:r>
        <w:t xml:space="preserve"> </w:t>
      </w:r>
      <w:r>
        <w:t xml:space="preserve">“</w:t>
      </w:r>
      <w:r>
        <w:t xml:space="preserve">horn effect</w:t>
      </w:r>
      <w:r>
        <w:t xml:space="preserve">”</w:t>
      </w:r>
      <w:r>
        <w:t xml:space="preserve">) colour the rating of unrelated dimensions.</w:t>
      </w:r>
    </w:p>
    <w:p>
      <w:pPr>
        <w:numPr>
          <w:ilvl w:val="0"/>
          <w:numId w:val="1036"/>
        </w:numPr>
        <w:pStyle w:val="Compact"/>
      </w:pPr>
      <w:r>
        <w:rPr>
          <w:bCs/>
          <w:b/>
        </w:rPr>
        <w:t xml:space="preserve">Leniency or severity bias</w:t>
      </w:r>
      <w:r>
        <w:t xml:space="preserve"> </w:t>
      </w:r>
      <w:r>
        <w:t xml:space="preserve">— a rater’s general tendency to rate everyone too generously or too harshly, regardless of actual performance differences.</w:t>
      </w:r>
    </w:p>
    <w:p>
      <w:pPr>
        <w:numPr>
          <w:ilvl w:val="0"/>
          <w:numId w:val="1036"/>
        </w:numPr>
        <w:pStyle w:val="Compact"/>
      </w:pPr>
      <w:r>
        <w:rPr>
          <w:bCs/>
          <w:b/>
        </w:rPr>
        <w:t xml:space="preserve">Central tendency</w:t>
      </w:r>
      <w:r>
        <w:t xml:space="preserve"> </w:t>
      </w:r>
      <w:r>
        <w:t xml:space="preserve">— rating everyone near the middle of the scale, avoiding the extremes even when performance genuinely varies.</w:t>
      </w:r>
    </w:p>
    <w:p>
      <w:pPr>
        <w:numPr>
          <w:ilvl w:val="0"/>
          <w:numId w:val="1036"/>
        </w:numPr>
        <w:pStyle w:val="Compact"/>
      </w:pPr>
      <w:r>
        <w:rPr>
          <w:bCs/>
          <w:b/>
        </w:rPr>
        <w:t xml:space="preserve">Recency bias</w:t>
      </w:r>
      <w:r>
        <w:t xml:space="preserve"> </w:t>
      </w:r>
      <w:r>
        <w:t xml:space="preserve">— over-weighting recent events (good or bad) at the expense of performance across the whole review period.</w:t>
      </w:r>
    </w:p>
    <w:bookmarkEnd w:id="62"/>
    <w:bookmarkStart w:id="63" w:name="establishing-strategic-pay-plans"/>
    <w:p>
      <w:pPr>
        <w:pStyle w:val="Heading2"/>
      </w:pPr>
      <w:r>
        <w:rPr>
          <w:rStyle w:val="SectionNumber"/>
        </w:rPr>
        <w:t xml:space="preserve">4.9</w:t>
      </w:r>
      <w:r>
        <w:tab/>
      </w:r>
      <w:r>
        <w:t xml:space="preserve">Establishing Strategic Pay Plans</w:t>
      </w:r>
    </w:p>
    <w:p>
      <w:pPr>
        <w:pStyle w:val="FirstParagraph"/>
      </w:pPr>
      <w:r>
        <w:t xml:space="preserve">A strategic pay plan aligns compensation with job value, market conditions, individual/team skills, and organizational objectives. Two comparisons anchor a sound pay structure:</w:t>
      </w:r>
    </w:p>
    <w:p>
      <w:pPr>
        <w:numPr>
          <w:ilvl w:val="0"/>
          <w:numId w:val="1037"/>
        </w:numPr>
        <w:pStyle w:val="Compact"/>
      </w:pPr>
      <w:r>
        <w:rPr>
          <w:bCs/>
          <w:b/>
        </w:rPr>
        <w:t xml:space="preserve">Internal equity</w:t>
      </w:r>
      <w:r>
        <w:t xml:space="preserve"> </w:t>
      </w:r>
      <w:r>
        <w:t xml:space="preserve">— whether jobs are paid fairly</w:t>
      </w:r>
      <w:r>
        <w:t xml:space="preserve"> </w:t>
      </w:r>
      <w:r>
        <w:rPr>
          <w:iCs/>
          <w:i/>
        </w:rPr>
        <w:t xml:space="preserve">relative to one another</w:t>
      </w:r>
      <w:r>
        <w:t xml:space="preserve"> </w:t>
      </w:r>
      <w:r>
        <w:t xml:space="preserve">within the organization, typically established through</w:t>
      </w:r>
      <w:r>
        <w:t xml:space="preserve"> </w:t>
      </w:r>
      <w:r>
        <w:rPr>
          <w:bCs/>
          <w:b/>
        </w:rPr>
        <w:t xml:space="preserve">job evaluation</w:t>
      </w:r>
      <w:r>
        <w:t xml:space="preserve"> </w:t>
      </w:r>
      <w:r>
        <w:t xml:space="preserve">(a systematic process of comparing jobs’ relative worth, often using factors such as skill, effort, responsibility, and working conditions) that produces pay grades and ranges.</w:t>
      </w:r>
    </w:p>
    <w:p>
      <w:pPr>
        <w:numPr>
          <w:ilvl w:val="0"/>
          <w:numId w:val="1037"/>
        </w:numPr>
        <w:pStyle w:val="Compact"/>
      </w:pPr>
      <w:r>
        <w:rPr>
          <w:bCs/>
          <w:b/>
        </w:rPr>
        <w:t xml:space="preserve">External competitiveness</w:t>
      </w:r>
      <w:r>
        <w:t xml:space="preserve"> </w:t>
      </w:r>
      <w:r>
        <w:t xml:space="preserve">— whether pay is fair</w:t>
      </w:r>
      <w:r>
        <w:t xml:space="preserve"> </w:t>
      </w:r>
      <w:r>
        <w:rPr>
          <w:iCs/>
          <w:i/>
        </w:rPr>
        <w:t xml:space="preserve">relative to the labour market</w:t>
      </w:r>
      <w:r>
        <w:t xml:space="preserve"> </w:t>
      </w:r>
      <w:r>
        <w:t xml:space="preserve">outside the organization, typically assessed through market pay surveys.</w:t>
      </w:r>
    </w:p>
    <w:p>
      <w:pPr>
        <w:pStyle w:val="FirstParagraph"/>
      </w:pPr>
      <w:r>
        <w:t xml:space="preserve">A workable pay system has to simultaneously satisfy motivation (rewarding performance and effort), fairness (both internal and external), affordability (what the organization can sustainably pay), and legal compliance (minimum wage and non-discrimination requirements) — these four goals frequently pull in different directions, and much of the practical difficulty of compensation design lies in balancing them.</w:t>
      </w:r>
    </w:p>
    <w:bookmarkEnd w:id="63"/>
    <w:bookmarkStart w:id="64" w:name="compensation-and-benefits"/>
    <w:p>
      <w:pPr>
        <w:pStyle w:val="Heading2"/>
      </w:pPr>
      <w:r>
        <w:rPr>
          <w:rStyle w:val="SectionNumber"/>
        </w:rPr>
        <w:t xml:space="preserve">4.10</w:t>
      </w:r>
      <w:r>
        <w:tab/>
      </w:r>
      <w:r>
        <w:t xml:space="preserve">Compensation and Benefits</w:t>
      </w:r>
    </w:p>
    <w:p>
      <w:pPr>
        <w:pStyle w:val="FirstParagraph"/>
      </w:pPr>
      <w:r>
        <w:t xml:space="preserve">Compensation is usefully split into three components:</w:t>
      </w:r>
      <w:r>
        <w:t xml:space="preserve"> </w:t>
      </w:r>
      <w:r>
        <w:rPr>
          <w:bCs/>
          <w:b/>
        </w:rPr>
        <w:t xml:space="preserve">base pay</w:t>
      </w:r>
      <w:r>
        <w:t xml:space="preserve"> </w:t>
      </w:r>
      <w:r>
        <w:t xml:space="preserve">(compensates the job itself, drawn from the pay structure above),</w:t>
      </w:r>
      <w:r>
        <w:t xml:space="preserve"> </w:t>
      </w:r>
      <w:r>
        <w:rPr>
          <w:bCs/>
          <w:b/>
        </w:rPr>
        <w:t xml:space="preserve">incentives</w:t>
      </w:r>
      <w:r>
        <w:t xml:space="preserve"> </w:t>
      </w:r>
      <w:r>
        <w:t xml:space="preserve">(link some portion of reward directly to results or behaviour — bonuses, commissions, profit-sharing), and</w:t>
      </w:r>
      <w:r>
        <w:t xml:space="preserve"> </w:t>
      </w:r>
      <w:r>
        <w:rPr>
          <w:bCs/>
          <w:b/>
        </w:rPr>
        <w:t xml:space="preserve">benefits</w:t>
      </w:r>
      <w:r>
        <w:t xml:space="preserve"> </w:t>
      </w:r>
      <w:r>
        <w:t xml:space="preserve">(indirect, non-cash rewards such as leave, health insurance, and retirement contributions). The design questions are the same as above: does the total package sustain motivation, remain internally and externally fair, stay affordable, and comply with applicable law and policy?</w:t>
      </w:r>
    </w:p>
    <w:bookmarkEnd w:id="64"/>
    <w:bookmarkStart w:id="65" w:name="X425dfe9cf62fd7d406bc2d4cc3a7017b5c1d746"/>
    <w:p>
      <w:pPr>
        <w:pStyle w:val="Heading2"/>
      </w:pPr>
      <w:r>
        <w:rPr>
          <w:rStyle w:val="SectionNumber"/>
        </w:rPr>
        <w:t xml:space="preserve">4.11</w:t>
      </w:r>
      <w:r>
        <w:tab/>
      </w:r>
      <w:r>
        <w:t xml:space="preserve">Ethics, Justice, and Fair Treatment in HR Management</w:t>
      </w:r>
    </w:p>
    <w:p>
      <w:pPr>
        <w:pStyle w:val="FirstParagraph"/>
      </w:pPr>
      <w:r>
        <w:t xml:space="preserve">Ethical HR practice rests on consistent rules, due process, privacy, non-discrimination, and respectful treatment. The syllabus specifically asks for three forms of</w:t>
      </w:r>
      <w:r>
        <w:t xml:space="preserve"> </w:t>
      </w:r>
      <w:r>
        <w:rPr>
          <w:bCs/>
          <w:b/>
        </w:rPr>
        <w:t xml:space="preserve">organizational justice</w:t>
      </w:r>
      <w:r>
        <w:t xml:space="preserve">, and distinguishing them cleanly is a frequently tested point:</w:t>
      </w:r>
    </w:p>
    <w:p>
      <w:pPr>
        <w:numPr>
          <w:ilvl w:val="0"/>
          <w:numId w:val="1038"/>
        </w:numPr>
        <w:pStyle w:val="Compact"/>
      </w:pPr>
      <w:r>
        <w:rPr>
          <w:bCs/>
          <w:b/>
        </w:rPr>
        <w:t xml:space="preserve">Distributive justice</w:t>
      </w:r>
      <w:r>
        <w:t xml:space="preserve"> </w:t>
      </w:r>
      <w:r>
        <w:t xml:space="preserve">— is the</w:t>
      </w:r>
      <w:r>
        <w:t xml:space="preserve"> </w:t>
      </w:r>
      <w:r>
        <w:rPr>
          <w:iCs/>
          <w:i/>
        </w:rPr>
        <w:t xml:space="preserve">outcome</w:t>
      </w:r>
      <w:r>
        <w:t xml:space="preserve"> </w:t>
      </w:r>
      <w:r>
        <w:t xml:space="preserve">itself fair (was the pay raise, promotion, or disciplinary action itself a fair one)?</w:t>
      </w:r>
    </w:p>
    <w:p>
      <w:pPr>
        <w:numPr>
          <w:ilvl w:val="0"/>
          <w:numId w:val="1038"/>
        </w:numPr>
        <w:pStyle w:val="Compact"/>
      </w:pPr>
      <w:r>
        <w:rPr>
          <w:bCs/>
          <w:b/>
        </w:rPr>
        <w:t xml:space="preserve">Procedural justice</w:t>
      </w:r>
      <w:r>
        <w:t xml:space="preserve"> </w:t>
      </w:r>
      <w:r>
        <w:t xml:space="preserve">— was the</w:t>
      </w:r>
      <w:r>
        <w:t xml:space="preserve"> </w:t>
      </w:r>
      <w:r>
        <w:rPr>
          <w:iCs/>
          <w:i/>
        </w:rPr>
        <w:t xml:space="preserve">process</w:t>
      </w:r>
      <w:r>
        <w:t xml:space="preserve"> </w:t>
      </w:r>
      <w:r>
        <w:t xml:space="preserve">used to reach that outcome fair (were consistent, transparent criteria applied, and was the affected employee given a genuine opportunity to be heard)?</w:t>
      </w:r>
    </w:p>
    <w:p>
      <w:pPr>
        <w:numPr>
          <w:ilvl w:val="0"/>
          <w:numId w:val="1038"/>
        </w:numPr>
        <w:pStyle w:val="Compact"/>
      </w:pPr>
      <w:r>
        <w:rPr>
          <w:bCs/>
          <w:b/>
        </w:rPr>
        <w:t xml:space="preserve">Interactional justice</w:t>
      </w:r>
      <w:r>
        <w:t xml:space="preserve"> </w:t>
      </w:r>
      <w:r>
        <w:t xml:space="preserve">— was the person</w:t>
      </w:r>
      <w:r>
        <w:t xml:space="preserve"> </w:t>
      </w:r>
      <w:r>
        <w:rPr>
          <w:iCs/>
          <w:i/>
        </w:rPr>
        <w:t xml:space="preserve">treated</w:t>
      </w:r>
      <w:r>
        <w:t xml:space="preserve"> </w:t>
      </w:r>
      <w:r>
        <w:t xml:space="preserve">with dignity, respect, and given an adequate explanation, independent of the outcome or the process used to reach it?</w:t>
      </w:r>
    </w:p>
    <w:p>
      <w:pPr>
        <w:pStyle w:val="FirstParagraph"/>
      </w:pPr>
      <w:r>
        <w:t xml:space="preserve">A useful example that separates all three: an employee denied a promotion (an outcome that may or may not be distributively fair) might still feel the</w:t>
      </w:r>
      <w:r>
        <w:t xml:space="preserve"> </w:t>
      </w:r>
      <w:r>
        <w:rPr>
          <w:iCs/>
          <w:i/>
        </w:rPr>
        <w:t xml:space="preserve">process</w:t>
      </w:r>
      <w:r>
        <w:t xml:space="preserve"> </w:t>
      </w:r>
      <w:r>
        <w:t xml:space="preserve">was fair if clear, consistent criteria were applied to all candidates, and might still feel</w:t>
      </w:r>
      <w:r>
        <w:t xml:space="preserve"> </w:t>
      </w:r>
      <w:r>
        <w:rPr>
          <w:iCs/>
          <w:i/>
        </w:rPr>
        <w:t xml:space="preserve">treated</w:t>
      </w:r>
      <w:r>
        <w:t xml:space="preserve"> </w:t>
      </w:r>
      <w:r>
        <w:t xml:space="preserve">with respect if the decision was explained to them honestly and courteously — showing that these three forms of justice can genuinely vary independently of one another, and a manager can get two right while failing the third.</w:t>
      </w:r>
    </w:p>
    <w:bookmarkEnd w:id="65"/>
    <w:bookmarkStart w:id="66" w:name="Xb3b4d6ac87731de3177b2e230a154a8c7a6f693"/>
    <w:p>
      <w:pPr>
        <w:pStyle w:val="Heading2"/>
      </w:pPr>
      <w:r>
        <w:rPr>
          <w:rStyle w:val="SectionNumber"/>
        </w:rPr>
        <w:t xml:space="preserve">4.12</w:t>
      </w:r>
      <w:r>
        <w:tab/>
      </w:r>
      <w:r>
        <w:t xml:space="preserve">Labor Relations and Collective Bargaining</w:t>
      </w:r>
    </w:p>
    <w:p>
      <w:pPr>
        <w:pStyle w:val="FirstParagraph"/>
      </w:pPr>
      <w:r>
        <w:t xml:space="preserve">Labour relations concern the ongoing relationship among employees, their representative unions (where they exist), and management.</w:t>
      </w:r>
      <w:r>
        <w:t xml:space="preserve"> </w:t>
      </w:r>
      <w:r>
        <w:rPr>
          <w:bCs/>
          <w:b/>
        </w:rPr>
        <w:t xml:space="preserve">Collective bargaining</w:t>
      </w:r>
      <w:r>
        <w:t xml:space="preserve"> </w:t>
      </w:r>
      <w:r>
        <w:t xml:space="preserve">is the structured negotiation process between employee representatives and management over terms and conditions of employment — wages, hours, working conditions, and grievance procedures. Beyond bargaining itself, the broader labour-relations relationship also includes</w:t>
      </w:r>
      <w:r>
        <w:t xml:space="preserve"> </w:t>
      </w:r>
      <w:r>
        <w:rPr>
          <w:bCs/>
          <w:b/>
        </w:rPr>
        <w:t xml:space="preserve">representation</w:t>
      </w:r>
      <w:r>
        <w:t xml:space="preserve"> </w:t>
      </w:r>
      <w:r>
        <w:t xml:space="preserve">(how employee interests are formally voiced),</w:t>
      </w:r>
      <w:r>
        <w:t xml:space="preserve"> </w:t>
      </w:r>
      <w:r>
        <w:rPr>
          <w:bCs/>
          <w:b/>
        </w:rPr>
        <w:t xml:space="preserve">grievance handling</w:t>
      </w:r>
      <w:r>
        <w:t xml:space="preserve"> </w:t>
      </w:r>
      <w:r>
        <w:t xml:space="preserve">(a formal procedure for raising and resolving individual employee complaints), and</w:t>
      </w:r>
      <w:r>
        <w:t xml:space="preserve"> </w:t>
      </w:r>
      <w:r>
        <w:rPr>
          <w:bCs/>
          <w:b/>
        </w:rPr>
        <w:t xml:space="preserve">dispute resolution</w:t>
      </w:r>
      <w:r>
        <w:t xml:space="preserve"> </w:t>
      </w:r>
      <w:r>
        <w:t xml:space="preserve">mechanisms (mediation, conciliation, arbitration) for when negotiation reaches an impasse. The key underlying distinction is between</w:t>
      </w:r>
      <w:r>
        <w:t xml:space="preserve"> </w:t>
      </w:r>
      <w:r>
        <w:rPr>
          <w:bCs/>
          <w:b/>
        </w:rPr>
        <w:t xml:space="preserve">individual employee relations</w:t>
      </w:r>
      <w:r>
        <w:t xml:space="preserve"> </w:t>
      </w:r>
      <w:r>
        <w:t xml:space="preserve">(the relationship and terms negotiated one employee at a time, typically through an individual employment contract) and</w:t>
      </w:r>
      <w:r>
        <w:t xml:space="preserve"> </w:t>
      </w:r>
      <w:r>
        <w:rPr>
          <w:bCs/>
          <w:b/>
        </w:rPr>
        <w:t xml:space="preserve">collective employee relations</w:t>
      </w:r>
      <w:r>
        <w:t xml:space="preserve"> </w:t>
      </w:r>
      <w:r>
        <w:t xml:space="preserve">(terms negotiated jointly on behalf of a group of employees through their representatives) — most modern labour law and much of this topic exists precisely because the collective and individual channels can produce different bargaining power and different outcomes.</w:t>
      </w:r>
    </w:p>
    <w:p>
      <w:pPr>
        <w:pStyle w:val="BodyText"/>
      </w:pPr>
      <w:r>
        <w:rPr>
          <w:bCs/>
          <w:b/>
        </w:rPr>
        <w:t xml:space="preserve">Key takeaways for the HRM unit</w:t>
      </w:r>
    </w:p>
    <w:p>
      <w:pPr>
        <w:numPr>
          <w:ilvl w:val="0"/>
          <w:numId w:val="1039"/>
        </w:numPr>
        <w:pStyle w:val="Compact"/>
      </w:pPr>
      <w:r>
        <w:t xml:space="preserve">HRM is a connected life-cycle (analyse → plan → recruit/select → train/develop → manage performance → compensate → maintain fair, lawful relations), not a set of unrelated topics — most exam questions reward showing how one stage feeds the next.</w:t>
      </w:r>
    </w:p>
    <w:p>
      <w:pPr>
        <w:numPr>
          <w:ilvl w:val="0"/>
          <w:numId w:val="1039"/>
        </w:numPr>
        <w:pStyle w:val="Compact"/>
      </w:pPr>
      <w:r>
        <w:t xml:space="preserve">Several near-identical-sounding pairs are deliberately tested for the ability to distinguish them: recruitment vs. selection, training vs. development, performance management vs. appraisal, and distributive vs. procedural vs. interactional justice.</w:t>
      </w:r>
    </w:p>
    <w:p>
      <w:pPr>
        <w:numPr>
          <w:ilvl w:val="0"/>
          <w:numId w:val="1039"/>
        </w:numPr>
        <w:pStyle w:val="Compact"/>
      </w:pPr>
      <w:r>
        <w:t xml:space="preserve">Good HR practice is judged by reliability, validity, and fairness in selection; by consistent, well-designed cycles in training and appraisal; and by balancing motivation, equity, affordability, and legal compliance in compensation.</w:t>
      </w:r>
    </w:p>
    <w:p>
      <w:r>
        <w:pict>
          <v:rect style="width:0;height:1.5pt" o:hralign="center" o:hrstd="t" o:hr="t"/>
        </w:pict>
      </w:r>
    </w:p>
    <w:bookmarkEnd w:id="66"/>
    <w:bookmarkEnd w:id="67"/>
    <w:bookmarkStart w:id="83" w:name="iii.-financial-management"/>
    <w:p>
      <w:pPr>
        <w:pStyle w:val="Heading1"/>
      </w:pPr>
      <w:r>
        <w:rPr>
          <w:rStyle w:val="SectionNumber"/>
        </w:rPr>
        <w:t xml:space="preserve">5</w:t>
      </w:r>
      <w:r>
        <w:tab/>
      </w:r>
      <w:r>
        <w:t xml:space="preserve">III. Financial Management</w:t>
      </w:r>
    </w:p>
    <w:bookmarkStart w:id="68" w:name="what-this-unit-is-about-2"/>
    <w:p>
      <w:pPr>
        <w:pStyle w:val="Heading2"/>
      </w:pPr>
      <w:r>
        <w:rPr>
          <w:rStyle w:val="SectionNumber"/>
        </w:rPr>
        <w:t xml:space="preserve">5.1</w:t>
      </w:r>
      <w:r>
        <w:tab/>
      </w:r>
      <w:r>
        <w:t xml:space="preserve">What This Unit Is About</w:t>
      </w:r>
    </w:p>
    <w:p>
      <w:pPr>
        <w:pStyle w:val="FirstParagraph"/>
      </w:pPr>
      <w:r>
        <w:t xml:space="preserve">Financial Management is the most numerical part of the syllabus. It is built around three connected decisions that every organization must continually make:</w:t>
      </w:r>
    </w:p>
    <w:p>
      <w:pPr>
        <w:numPr>
          <w:ilvl w:val="0"/>
          <w:numId w:val="1040"/>
        </w:numPr>
        <w:pStyle w:val="Compact"/>
      </w:pPr>
      <w:r>
        <w:rPr>
          <w:bCs/>
          <w:b/>
        </w:rPr>
        <w:t xml:space="preserve">The investment decision</w:t>
      </w:r>
      <w:r>
        <w:t xml:space="preserve"> </w:t>
      </w:r>
      <w:r>
        <w:t xml:space="preserve">— what real assets (projects, equipment, ventures) should the organization put money into?</w:t>
      </w:r>
    </w:p>
    <w:p>
      <w:pPr>
        <w:numPr>
          <w:ilvl w:val="0"/>
          <w:numId w:val="1040"/>
        </w:numPr>
        <w:pStyle w:val="Compact"/>
      </w:pPr>
      <w:r>
        <w:rPr>
          <w:bCs/>
          <w:b/>
        </w:rPr>
        <w:t xml:space="preserve">The financing decision</w:t>
      </w:r>
      <w:r>
        <w:t xml:space="preserve"> </w:t>
      </w:r>
      <w:r>
        <w:t xml:space="preserve">— how should those investments be paid for (debt, equity, retained earnings)?</w:t>
      </w:r>
    </w:p>
    <w:p>
      <w:pPr>
        <w:numPr>
          <w:ilvl w:val="0"/>
          <w:numId w:val="1040"/>
        </w:numPr>
        <w:pStyle w:val="Compact"/>
      </w:pPr>
      <w:r>
        <w:rPr>
          <w:bCs/>
          <w:b/>
        </w:rPr>
        <w:t xml:space="preserve">The working-capital/payout decision</w:t>
      </w:r>
      <w:r>
        <w:t xml:space="preserve"> </w:t>
      </w:r>
      <w:r>
        <w:t xml:space="preserve">— how should day-to-day cash be managed, and how much should be returned to owners versus reinvested?</w:t>
      </w:r>
    </w:p>
    <w:p>
      <w:pPr>
        <w:pStyle w:val="FirstParagraph"/>
      </w:pPr>
      <w:r>
        <w:t xml:space="preserve">A useful distinction to state at the outset:</w:t>
      </w:r>
      <w:r>
        <w:t xml:space="preserve"> </w:t>
      </w:r>
      <w:r>
        <w:rPr>
          <w:bCs/>
          <w:b/>
        </w:rPr>
        <w:t xml:space="preserve">accounting</w:t>
      </w:r>
      <w:r>
        <w:t xml:space="preserve"> </w:t>
      </w:r>
      <w:r>
        <w:t xml:space="preserve">records and reports what has already happened to an organization’s finances;</w:t>
      </w:r>
      <w:r>
        <w:t xml:space="preserve"> </w:t>
      </w:r>
      <w:r>
        <w:rPr>
          <w:bCs/>
          <w:b/>
        </w:rPr>
        <w:t xml:space="preserve">finance</w:t>
      </w:r>
      <w:r>
        <w:t xml:space="preserve"> </w:t>
      </w:r>
      <w:r>
        <w:t xml:space="preserve">uses that information (plus estimates of the future) to make forward-looking decisions about value, risk, investment, and funding. Every numerical topic in this unit — time value of money, CAPM, WACC, capital budgeting — is really a tool for making one of the three decisions above more rigorously.</w:t>
      </w:r>
    </w:p>
    <w:bookmarkEnd w:id="68"/>
    <w:bookmarkStart w:id="69" w:name="Xd16bc4045a42ecc119cda89caa34ec619bdf3b8"/>
    <w:p>
      <w:pPr>
        <w:pStyle w:val="Heading2"/>
      </w:pPr>
      <w:r>
        <w:rPr>
          <w:rStyle w:val="SectionNumber"/>
        </w:rPr>
        <w:t xml:space="preserve">5.2</w:t>
      </w:r>
      <w:r>
        <w:tab/>
      </w:r>
      <w:r>
        <w:t xml:space="preserve">Overview of Financial Management and Financial Markets</w:t>
      </w:r>
    </w:p>
    <w:p>
      <w:pPr>
        <w:pStyle w:val="FirstParagraph"/>
      </w:pPr>
      <w:r>
        <w:t xml:space="preserve">Financial management revolves around the three questions just introduced: what to invest in, how to finance it, and how to manage cash and distributions. Two further distinctions matter for vocabulary throughout this unit:</w:t>
      </w:r>
    </w:p>
    <w:p>
      <w:pPr>
        <w:numPr>
          <w:ilvl w:val="0"/>
          <w:numId w:val="1041"/>
        </w:numPr>
        <w:pStyle w:val="Compact"/>
      </w:pPr>
      <w:r>
        <w:rPr>
          <w:bCs/>
          <w:b/>
        </w:rPr>
        <w:t xml:space="preserve">Real assets vs. financial assets.</w:t>
      </w:r>
      <w:r>
        <w:t xml:space="preserve"> </w:t>
      </w:r>
      <w:r>
        <w:t xml:space="preserve">Real assets are productive assets — physical (machinery, buildings) or intangible (patents, brand value) — that actually generate goods, services, or cash flow. Financial assets are claims on those real assets or on income streams — shares (equity claims) and bonds (debt claims) are the two most common examples.</w:t>
      </w:r>
    </w:p>
    <w:p>
      <w:pPr>
        <w:numPr>
          <w:ilvl w:val="0"/>
          <w:numId w:val="1041"/>
        </w:numPr>
        <w:pStyle w:val="Compact"/>
      </w:pPr>
      <w:r>
        <w:rPr>
          <w:bCs/>
          <w:b/>
        </w:rPr>
        <w:t xml:space="preserve">Money markets vs. capital markets.</w:t>
      </w:r>
      <w:r>
        <w:t xml:space="preserve"> </w:t>
      </w:r>
      <w:r>
        <w:t xml:space="preserve">Money markets handle short-term financial claims (typically maturities under one year) — used mainly for managing short-term liquidity. Capital markets handle longer-term debt and equity — used for financing long-term investment.</w:t>
      </w:r>
    </w:p>
    <w:p>
      <w:pPr>
        <w:numPr>
          <w:ilvl w:val="0"/>
          <w:numId w:val="1041"/>
        </w:numPr>
        <w:pStyle w:val="Compact"/>
      </w:pPr>
      <w:r>
        <w:rPr>
          <w:bCs/>
          <w:b/>
        </w:rPr>
        <w:t xml:space="preserve">Primary vs. secondary markets.</w:t>
      </w:r>
      <w:r>
        <w:t xml:space="preserve"> </w:t>
      </w:r>
      <w:r>
        <w:t xml:space="preserve">A primary market is where new securities are issued for the first time (a company raising fresh capital); a secondary market is where existing securities are subsequently traded among investors (a stock exchange). This distinction matters because a company only receives cash from a primary issuance — secondary-market trading afterward changes who owns the security, not how much cash the issuing company has.</w:t>
      </w:r>
    </w:p>
    <w:bookmarkEnd w:id="69"/>
    <w:bookmarkStart w:id="70" w:name="X569151f25cf9a1037e9caad059e6e2e762f019f"/>
    <w:p>
      <w:pPr>
        <w:pStyle w:val="Heading2"/>
      </w:pPr>
      <w:r>
        <w:rPr>
          <w:rStyle w:val="SectionNumber"/>
        </w:rPr>
        <w:t xml:space="preserve">5.3</w:t>
      </w:r>
      <w:r>
        <w:tab/>
      </w:r>
      <w:r>
        <w:t xml:space="preserve">Organizational Goals and Shareholder Wealth Maximization</w:t>
      </w:r>
    </w:p>
    <w:p>
      <w:pPr>
        <w:pStyle w:val="FirstParagraph"/>
      </w:pPr>
      <w:r>
        <w:t xml:space="preserve">The standard financial objective assumed throughout this unit is to</w:t>
      </w:r>
      <w:r>
        <w:t xml:space="preserve"> </w:t>
      </w:r>
      <w:r>
        <w:rPr>
          <w:bCs/>
          <w:b/>
        </w:rPr>
        <w:t xml:space="preserve">maximize the value of owners’ wealth</w:t>
      </w:r>
      <w:r>
        <w:t xml:space="preserve"> </w:t>
      </w:r>
      <w:r>
        <w:t xml:space="preserve">(shareholder wealth maximization) rather than simply maximizing a single period’s accounting profit. This distinction matters for three reasons that are worth stating explicitly:</w:t>
      </w:r>
    </w:p>
    <w:p>
      <w:pPr>
        <w:numPr>
          <w:ilvl w:val="0"/>
          <w:numId w:val="1042"/>
        </w:numPr>
        <w:pStyle w:val="Compact"/>
      </w:pPr>
      <w:r>
        <w:rPr>
          <w:bCs/>
          <w:b/>
        </w:rPr>
        <w:t xml:space="preserve">Timing.</w:t>
      </w:r>
      <w:r>
        <w:t xml:space="preserve"> </w:t>
      </w:r>
      <w:r>
        <w:t xml:space="preserve">Wealth maximization explicitly considers</w:t>
      </w:r>
      <w:r>
        <w:t xml:space="preserve"> </w:t>
      </w:r>
      <w:r>
        <w:rPr>
          <w:iCs/>
          <w:i/>
        </w:rPr>
        <w:t xml:space="preserve">when</w:t>
      </w:r>
      <w:r>
        <w:t xml:space="preserve"> </w:t>
      </w:r>
      <w:r>
        <w:t xml:space="preserve">cash flows occur — a rupee received today is worth more than a rupee received years from now (the entire logic behind time value of money, below) — while accounting profit for a single period ignores the timing of cash flows beyond that period.</w:t>
      </w:r>
    </w:p>
    <w:p>
      <w:pPr>
        <w:numPr>
          <w:ilvl w:val="0"/>
          <w:numId w:val="1042"/>
        </w:numPr>
        <w:pStyle w:val="Compact"/>
      </w:pPr>
      <w:r>
        <w:rPr>
          <w:bCs/>
          <w:b/>
        </w:rPr>
        <w:t xml:space="preserve">Risk.</w:t>
      </w:r>
      <w:r>
        <w:t xml:space="preserve"> </w:t>
      </w:r>
      <w:r>
        <w:t xml:space="preserve">Wealth maximization accounts for the riskiness of future cash flows, discounting riskier cash flows more heavily; simple profit measures do not adjust for risk at all.</w:t>
      </w:r>
    </w:p>
    <w:p>
      <w:pPr>
        <w:numPr>
          <w:ilvl w:val="0"/>
          <w:numId w:val="1042"/>
        </w:numPr>
        <w:pStyle w:val="Compact"/>
      </w:pPr>
      <w:r>
        <w:rPr>
          <w:bCs/>
          <w:b/>
        </w:rPr>
        <w:t xml:space="preserve">Short-termism.</w:t>
      </w:r>
      <w:r>
        <w:t xml:space="preserve"> </w:t>
      </w:r>
      <w:r>
        <w:t xml:space="preserve">A manager focused narrowly on maximizing this year’s reported profit might cut valuable long-term investment (research, maintenance, staff training) to boost the current number — actions that could</w:t>
      </w:r>
      <w:r>
        <w:t xml:space="preserve"> </w:t>
      </w:r>
      <w:r>
        <w:rPr>
          <w:iCs/>
          <w:i/>
        </w:rPr>
        <w:t xml:space="preserve">reduce</w:t>
      </w:r>
      <w:r>
        <w:t xml:space="preserve"> </w:t>
      </w:r>
      <w:r>
        <w:t xml:space="preserve">long-run shareholder wealth even while temporarily inflating short-run profit. Wealth maximization is meant to correct for exactly this distortion.</w:t>
      </w:r>
    </w:p>
    <w:p>
      <w:pPr>
        <w:pStyle w:val="FirstParagraph"/>
      </w:pPr>
      <w:r>
        <w:t xml:space="preserve">Legal and ethical constraints bound this objective in practice: financial managers do not maximize wealth by any means available, but within the law and accepted ethical norms — a point regularly emphasized in this unit’s applied questions.</w:t>
      </w:r>
    </w:p>
    <w:bookmarkEnd w:id="70"/>
    <w:bookmarkStart w:id="74" w:name="time-value-of-money"/>
    <w:p>
      <w:pPr>
        <w:pStyle w:val="Heading2"/>
      </w:pPr>
      <w:r>
        <w:rPr>
          <w:rStyle w:val="SectionNumber"/>
        </w:rPr>
        <w:t xml:space="preserve">5.4</w:t>
      </w:r>
      <w:r>
        <w:tab/>
      </w:r>
      <w:r>
        <w:t xml:space="preserve">Time Value of Money</w:t>
      </w:r>
    </w:p>
    <w:bookmarkStart w:id="71" w:name="the-core-idea"/>
    <w:p>
      <w:pPr>
        <w:pStyle w:val="Heading3"/>
      </w:pPr>
      <w:r>
        <w:rPr>
          <w:rStyle w:val="SectionNumber"/>
        </w:rPr>
        <w:t xml:space="preserve">5.4.1</w:t>
      </w:r>
      <w:r>
        <w:tab/>
      </w:r>
      <w:r>
        <w:t xml:space="preserve">The core idea</w:t>
      </w:r>
    </w:p>
    <w:p>
      <w:pPr>
        <w:pStyle w:val="FirstParagraph"/>
      </w:pPr>
      <w:r>
        <w:t xml:space="preserve">A rupee available today is not equivalent to a rupee available in the future, for two reasons: money available now can be invested to earn a return (the</w:t>
      </w:r>
      <w:r>
        <w:t xml:space="preserve"> </w:t>
      </w:r>
      <w:r>
        <w:rPr>
          <w:bCs/>
          <w:b/>
        </w:rPr>
        <w:t xml:space="preserve">opportunity cost</w:t>
      </w:r>
      <w:r>
        <w:t xml:space="preserve"> </w:t>
      </w:r>
      <w:r>
        <w:t xml:space="preserve">of waiting), and a future amount carries some uncertainty (the receipt might not actually occur as promised). Time value of money (TVM) is the set of tools used to make cash flows occurring at different times comparable.</w:t>
      </w:r>
    </w:p>
    <w:bookmarkEnd w:id="71"/>
    <w:bookmarkStart w:id="72" w:name="the-two-core-formulas"/>
    <w:p>
      <w:pPr>
        <w:pStyle w:val="Heading3"/>
      </w:pPr>
      <w:r>
        <w:rPr>
          <w:rStyle w:val="SectionNumber"/>
        </w:rPr>
        <w:t xml:space="preserve">5.4.2</w:t>
      </w:r>
      <w:r>
        <w:tab/>
      </w:r>
      <w:r>
        <w:t xml:space="preserve">The two core formulas</w:t>
      </w:r>
    </w:p>
    <w:p>
      <w:pPr>
        <w:numPr>
          <w:ilvl w:val="0"/>
          <w:numId w:val="1043"/>
        </w:numPr>
        <w:pStyle w:val="Compact"/>
      </w:pPr>
      <w:r>
        <w:rPr>
          <w:bCs/>
          <w:b/>
        </w:rPr>
        <w:t xml:space="preserve">Future Value:</w:t>
      </w:r>
      <w:r>
        <w:t xml:space="preserve"> </w:t>
      </w:r>
      <w:r>
        <w:t xml:space="preserve">FV = PV × (1 + r)ⁿ — moves a present amount</w:t>
      </w:r>
      <w:r>
        <w:t xml:space="preserve"> </w:t>
      </w:r>
      <w:r>
        <w:rPr>
          <w:iCs/>
          <w:i/>
        </w:rPr>
        <w:t xml:space="preserve">forward</w:t>
      </w:r>
      <w:r>
        <w:t xml:space="preserve"> </w:t>
      </w:r>
      <w:r>
        <w:t xml:space="preserve">in time by compounding it at rate</w:t>
      </w:r>
      <w:r>
        <w:t xml:space="preserve"> </w:t>
      </w:r>
      <w:r>
        <w:rPr>
          <w:iCs/>
          <w:i/>
        </w:rPr>
        <w:t xml:space="preserve">r</w:t>
      </w:r>
      <w:r>
        <w:t xml:space="preserve"> </w:t>
      </w:r>
      <w:r>
        <w:t xml:space="preserve">for</w:t>
      </w:r>
      <w:r>
        <w:t xml:space="preserve"> </w:t>
      </w:r>
      <w:r>
        <w:rPr>
          <w:iCs/>
          <w:i/>
        </w:rPr>
        <w:t xml:space="preserve">n</w:t>
      </w:r>
      <w:r>
        <w:t xml:space="preserve"> </w:t>
      </w:r>
      <w:r>
        <w:t xml:space="preserve">periods.</w:t>
      </w:r>
    </w:p>
    <w:p>
      <w:pPr>
        <w:numPr>
          <w:ilvl w:val="0"/>
          <w:numId w:val="1043"/>
        </w:numPr>
        <w:pStyle w:val="Compact"/>
      </w:pPr>
      <w:r>
        <w:rPr>
          <w:bCs/>
          <w:b/>
        </w:rPr>
        <w:t xml:space="preserve">Present Value:</w:t>
      </w:r>
      <w:r>
        <w:t xml:space="preserve"> </w:t>
      </w:r>
      <w:r>
        <w:t xml:space="preserve">PV = FV / (1 + r)ⁿ — moves a future amount</w:t>
      </w:r>
      <w:r>
        <w:t xml:space="preserve"> </w:t>
      </w:r>
      <w:r>
        <w:rPr>
          <w:iCs/>
          <w:i/>
        </w:rPr>
        <w:t xml:space="preserve">backward</w:t>
      </w:r>
      <w:r>
        <w:t xml:space="preserve"> </w:t>
      </w:r>
      <w:r>
        <w:t xml:space="preserve">in time by discounting it at rate</w:t>
      </w:r>
      <w:r>
        <w:t xml:space="preserve"> </w:t>
      </w:r>
      <w:r>
        <w:rPr>
          <w:iCs/>
          <w:i/>
        </w:rPr>
        <w:t xml:space="preserve">r</w:t>
      </w:r>
      <w:r>
        <w:t xml:space="preserve"> </w:t>
      </w:r>
      <w:r>
        <w:t xml:space="preserve">for</w:t>
      </w:r>
      <w:r>
        <w:t xml:space="preserve"> </w:t>
      </w:r>
      <w:r>
        <w:rPr>
          <w:iCs/>
          <w:i/>
        </w:rPr>
        <w:t xml:space="preserve">n</w:t>
      </w:r>
      <w:r>
        <w:t xml:space="preserve"> </w:t>
      </w:r>
      <w:r>
        <w:t xml:space="preserve">periods.</w:t>
      </w:r>
    </w:p>
    <w:p>
      <w:pPr>
        <w:pStyle w:val="FirstParagraph"/>
      </w:pPr>
      <w:r>
        <w:rPr>
          <w:bCs/>
          <w:b/>
        </w:rPr>
        <w:t xml:space="preserve">Worked example (future value):</w:t>
      </w:r>
      <w:r>
        <w:t xml:space="preserve"> </w:t>
      </w:r>
      <w:r>
        <w:t xml:space="preserve">If Rs 100 is invested today at 10% annual interest, its value after one year is FV = 100 × (1 + 0.10)¹ = Rs 110. After two years (assuming annual compounding), it becomes FV = 100 × (1.10)² = Rs 121 — note that the second year earns interest not only on the original Rs 100 but also on the Rs 10 interest earned in year one; this</w:t>
      </w:r>
      <w:r>
        <w:t xml:space="preserve"> </w:t>
      </w:r>
      <w:r>
        <w:t xml:space="preserve">“</w:t>
      </w:r>
      <w:r>
        <w:t xml:space="preserve">interest on interest</w:t>
      </w:r>
      <w:r>
        <w:t xml:space="preserve">”</w:t>
      </w:r>
      <w:r>
        <w:t xml:space="preserve"> </w:t>
      </w:r>
      <w:r>
        <w:t xml:space="preserve">is what compounding means.</w:t>
      </w:r>
    </w:p>
    <w:p>
      <w:pPr>
        <w:pStyle w:val="BodyText"/>
      </w:pPr>
      <w:r>
        <w:rPr>
          <w:bCs/>
          <w:b/>
        </w:rPr>
        <w:t xml:space="preserve">Worked example (present value):</w:t>
      </w:r>
      <w:r>
        <w:t xml:space="preserve"> </w:t>
      </w:r>
      <w:r>
        <w:t xml:space="preserve">What is the present value of Rs 121 to be received in two years, if the appropriate discount rate is 10%? PV = 121 / (1.10)² = Rs 100 — exactly reversing the calculation above, which is the whole point: discounting is simply compounding run backward.</w:t>
      </w:r>
    </w:p>
    <w:bookmarkEnd w:id="72"/>
    <w:bookmarkStart w:id="73" w:name="annuities-and-perpetuities"/>
    <w:p>
      <w:pPr>
        <w:pStyle w:val="Heading3"/>
      </w:pPr>
      <w:r>
        <w:rPr>
          <w:rStyle w:val="SectionNumber"/>
        </w:rPr>
        <w:t xml:space="preserve">5.4.3</w:t>
      </w:r>
      <w:r>
        <w:tab/>
      </w:r>
      <w:r>
        <w:t xml:space="preserve">Annuities and perpetuities</w:t>
      </w:r>
    </w:p>
    <w:p>
      <w:pPr>
        <w:pStyle w:val="FirstParagraph"/>
      </w:pPr>
      <w:r>
        <w:t xml:space="preserve">An</w:t>
      </w:r>
      <w:r>
        <w:t xml:space="preserve"> </w:t>
      </w:r>
      <w:r>
        <w:rPr>
          <w:bCs/>
          <w:b/>
        </w:rPr>
        <w:t xml:space="preserve">annuity</w:t>
      </w:r>
      <w:r>
        <w:t xml:space="preserve"> </w:t>
      </w:r>
      <w:r>
        <w:t xml:space="preserve">is a series of equal periodic payments over a fixed number of periods (a loan repayment schedule, for example); a</w:t>
      </w:r>
      <w:r>
        <w:t xml:space="preserve"> </w:t>
      </w:r>
      <w:r>
        <w:rPr>
          <w:bCs/>
          <w:b/>
        </w:rPr>
        <w:t xml:space="preserve">perpetuity</w:t>
      </w:r>
      <w:r>
        <w:t xml:space="preserve"> </w:t>
      </w:r>
      <w:r>
        <w:t xml:space="preserve">is an annuity that continues indefinitely, with no fixed end date (used, for example, to value a preference share with a constant, never-ending dividend). The critical practical rule when working any TVM problem is to</w:t>
      </w:r>
      <w:r>
        <w:t xml:space="preserve"> </w:t>
      </w:r>
      <w:r>
        <w:rPr>
          <w:bCs/>
          <w:b/>
        </w:rPr>
        <w:t xml:space="preserve">match the interest rate period to the number of periods</w:t>
      </w:r>
      <w:r>
        <w:t xml:space="preserve">: if payments are monthly, use a monthly rate and count periods in months; mixing an annual rate with monthly periods (or vice versa) without converting is the single most common numerical error in this topic.</w:t>
      </w:r>
    </w:p>
    <w:bookmarkEnd w:id="73"/>
    <w:bookmarkEnd w:id="74"/>
    <w:bookmarkStart w:id="75" w:name="interest-rates-and-the-cost-of-money"/>
    <w:p>
      <w:pPr>
        <w:pStyle w:val="Heading2"/>
      </w:pPr>
      <w:r>
        <w:rPr>
          <w:rStyle w:val="SectionNumber"/>
        </w:rPr>
        <w:t xml:space="preserve">5.5</w:t>
      </w:r>
      <w:r>
        <w:tab/>
      </w:r>
      <w:r>
        <w:t xml:space="preserve">Interest Rates and the Cost of Money</w:t>
      </w:r>
    </w:p>
    <w:p>
      <w:pPr>
        <w:pStyle w:val="FirstParagraph"/>
      </w:pPr>
      <w:r>
        <w:t xml:space="preserve">A quoted interest rate is rarely a single, simple number — it is generally understood to be built from several components: a</w:t>
      </w:r>
      <w:r>
        <w:t xml:space="preserve"> </w:t>
      </w:r>
      <w:r>
        <w:rPr>
          <w:bCs/>
          <w:b/>
        </w:rPr>
        <w:t xml:space="preserve">real (risk-free) rate of return</w:t>
      </w:r>
      <w:r>
        <w:t xml:space="preserve"> </w:t>
      </w:r>
      <w:r>
        <w:t xml:space="preserve">(compensation for delaying consumption, in the absence of inflation or risk), an</w:t>
      </w:r>
      <w:r>
        <w:t xml:space="preserve"> </w:t>
      </w:r>
      <w:r>
        <w:rPr>
          <w:bCs/>
          <w:b/>
        </w:rPr>
        <w:t xml:space="preserve">expected inflation premium</w:t>
      </w:r>
      <w:r>
        <w:t xml:space="preserve"> </w:t>
      </w:r>
      <w:r>
        <w:t xml:space="preserve">(compensation for the expected loss of purchasing power over the life of the loan/investment), and additional premiums for</w:t>
      </w:r>
      <w:r>
        <w:t xml:space="preserve"> </w:t>
      </w:r>
      <w:r>
        <w:rPr>
          <w:bCs/>
          <w:b/>
        </w:rPr>
        <w:t xml:space="preserve">risk</w:t>
      </w:r>
      <w:r>
        <w:t xml:space="preserve"> </w:t>
      </w:r>
      <w:r>
        <w:t xml:space="preserve">(the chance of non-payment or of varying returns),</w:t>
      </w:r>
      <w:r>
        <w:t xml:space="preserve"> </w:t>
      </w:r>
      <w:r>
        <w:rPr>
          <w:bCs/>
          <w:b/>
        </w:rPr>
        <w:t xml:space="preserve">maturity</w:t>
      </w:r>
      <w:r>
        <w:t xml:space="preserve"> </w:t>
      </w:r>
      <w:r>
        <w:t xml:space="preserve">(longer-term instruments are generally more sensitive to interest-rate changes, and so typically demand a maturity premium), and</w:t>
      </w:r>
      <w:r>
        <w:t xml:space="preserve"> </w:t>
      </w:r>
      <w:r>
        <w:rPr>
          <w:bCs/>
          <w:b/>
        </w:rPr>
        <w:t xml:space="preserve">liquidity</w:t>
      </w:r>
      <w:r>
        <w:t xml:space="preserve"> </w:t>
      </w:r>
      <w:r>
        <w:t xml:space="preserve">(compensation for holding an asset that cannot easily be converted to cash without a loss of value).</w:t>
      </w:r>
    </w:p>
    <w:p>
      <w:pPr>
        <w:pStyle w:val="BodyText"/>
      </w:pPr>
      <w:r>
        <w:t xml:space="preserve">A further distinction worth memorizing precisely: the</w:t>
      </w:r>
      <w:r>
        <w:t xml:space="preserve"> </w:t>
      </w:r>
      <w:r>
        <w:rPr>
          <w:bCs/>
          <w:b/>
        </w:rPr>
        <w:t xml:space="preserve">nominal rate</w:t>
      </w:r>
      <w:r>
        <w:t xml:space="preserve"> </w:t>
      </w:r>
      <w:r>
        <w:t xml:space="preserve">is the stated, quoted annual rate, while the</w:t>
      </w:r>
      <w:r>
        <w:t xml:space="preserve"> </w:t>
      </w:r>
      <w:r>
        <w:rPr>
          <w:bCs/>
          <w:b/>
        </w:rPr>
        <w:t xml:space="preserve">effective annual rate</w:t>
      </w:r>
      <w:r>
        <w:t xml:space="preserve"> </w:t>
      </w:r>
      <w:r>
        <w:t xml:space="preserve">accounts for the effect of compounding more than once per year — the effective rate will always be higher than the nominal rate whenever compounding occurs more frequently than annually, because interest is being earned on interest within the year itself.</w:t>
      </w:r>
    </w:p>
    <w:bookmarkEnd w:id="75"/>
    <w:bookmarkStart w:id="76" w:name="X7d0f883920ff28ade5b9c11885a03c696a5fa3d"/>
    <w:p>
      <w:pPr>
        <w:pStyle w:val="Heading2"/>
      </w:pPr>
      <w:r>
        <w:rPr>
          <w:rStyle w:val="SectionNumber"/>
        </w:rPr>
        <w:t xml:space="preserve">5.6</w:t>
      </w:r>
      <w:r>
        <w:tab/>
      </w:r>
      <w:r>
        <w:t xml:space="preserve">Analysis and Interpretation of Financial Statements</w:t>
      </w:r>
    </w:p>
    <w:p>
      <w:pPr>
        <w:pStyle w:val="FirstParagraph"/>
      </w:pPr>
      <w:r>
        <w:t xml:space="preserve">The three core financial statements must be read together, since each shows a different slice of the same underlying reality:</w:t>
      </w:r>
    </w:p>
    <w:p>
      <w:pPr>
        <w:numPr>
          <w:ilvl w:val="0"/>
          <w:numId w:val="1044"/>
        </w:numPr>
        <w:pStyle w:val="Compact"/>
      </w:pPr>
      <w:r>
        <w:t xml:space="preserve">The</w:t>
      </w:r>
      <w:r>
        <w:t xml:space="preserve"> </w:t>
      </w:r>
      <w:r>
        <w:rPr>
          <w:bCs/>
          <w:b/>
        </w:rPr>
        <w:t xml:space="preserve">income statement</w:t>
      </w:r>
      <w:r>
        <w:t xml:space="preserve"> </w:t>
      </w:r>
      <w:r>
        <w:t xml:space="preserve">reports performance (revenue, expenses, and resulting profit or loss) over a</w:t>
      </w:r>
      <w:r>
        <w:t xml:space="preserve"> </w:t>
      </w:r>
      <w:r>
        <w:rPr>
          <w:iCs/>
          <w:i/>
        </w:rPr>
        <w:t xml:space="preserve">period</w:t>
      </w:r>
      <w:r>
        <w:t xml:space="preserve"> </w:t>
      </w:r>
      <w:r>
        <w:t xml:space="preserve">of time.</w:t>
      </w:r>
    </w:p>
    <w:p>
      <w:pPr>
        <w:numPr>
          <w:ilvl w:val="0"/>
          <w:numId w:val="1044"/>
        </w:numPr>
        <w:pStyle w:val="Compact"/>
      </w:pPr>
      <w:r>
        <w:t xml:space="preserve">The</w:t>
      </w:r>
      <w:r>
        <w:t xml:space="preserve"> </w:t>
      </w:r>
      <w:r>
        <w:rPr>
          <w:bCs/>
          <w:b/>
        </w:rPr>
        <w:t xml:space="preserve">balance sheet</w:t>
      </w:r>
      <w:r>
        <w:t xml:space="preserve"> </w:t>
      </w:r>
      <w:r>
        <w:t xml:space="preserve">shows financial position (assets, liabilities, and owners’ equity) at a single</w:t>
      </w:r>
      <w:r>
        <w:t xml:space="preserve"> </w:t>
      </w:r>
      <w:r>
        <w:rPr>
          <w:iCs/>
          <w:i/>
        </w:rPr>
        <w:t xml:space="preserve">point</w:t>
      </w:r>
      <w:r>
        <w:t xml:space="preserve"> </w:t>
      </w:r>
      <w:r>
        <w:t xml:space="preserve">in time.</w:t>
      </w:r>
    </w:p>
    <w:p>
      <w:pPr>
        <w:numPr>
          <w:ilvl w:val="0"/>
          <w:numId w:val="1044"/>
        </w:numPr>
        <w:pStyle w:val="Compact"/>
      </w:pPr>
      <w:r>
        <w:t xml:space="preserve">The</w:t>
      </w:r>
      <w:r>
        <w:t xml:space="preserve"> </w:t>
      </w:r>
      <w:r>
        <w:rPr>
          <w:bCs/>
          <w:b/>
        </w:rPr>
        <w:t xml:space="preserve">cash-flow statement</w:t>
      </w:r>
      <w:r>
        <w:t xml:space="preserve"> </w:t>
      </w:r>
      <w:r>
        <w:t xml:space="preserve">explains the actual movement of cash during the period, reconciling the difference between reported profit and the change in the cash balance.</w:t>
      </w:r>
    </w:p>
    <w:p>
      <w:pPr>
        <w:pStyle w:val="FirstParagraph"/>
      </w:pPr>
      <w:r>
        <w:t xml:space="preserve">Analytical techniques include</w:t>
      </w:r>
      <w:r>
        <w:t xml:space="preserve"> </w:t>
      </w:r>
      <w:r>
        <w:rPr>
          <w:bCs/>
          <w:b/>
        </w:rPr>
        <w:t xml:space="preserve">horizontal analysis</w:t>
      </w:r>
      <w:r>
        <w:t xml:space="preserve"> </w:t>
      </w:r>
      <w:r>
        <w:t xml:space="preserve">(tracking how a line item changes over time, across several periods),</w:t>
      </w:r>
      <w:r>
        <w:t xml:space="preserve"> </w:t>
      </w:r>
      <w:r>
        <w:rPr>
          <w:bCs/>
          <w:b/>
        </w:rPr>
        <w:t xml:space="preserve">vertical/common-size analysis</w:t>
      </w:r>
      <w:r>
        <w:t xml:space="preserve"> </w:t>
      </w:r>
      <w:r>
        <w:t xml:space="preserve">(expressing each line item as a percentage of a chosen base — total assets on the balance sheet, or total revenue on the income statement — which makes it easier to compare organizations of very different sizes), and</w:t>
      </w:r>
      <w:r>
        <w:t xml:space="preserve"> </w:t>
      </w:r>
      <w:r>
        <w:rPr>
          <w:bCs/>
          <w:b/>
        </w:rPr>
        <w:t xml:space="preserve">ratio analysis</w:t>
      </w:r>
      <w:r>
        <w:t xml:space="preserve">, conventionally grouped into four families:</w:t>
      </w:r>
    </w:p>
    <w:p>
      <w:pPr>
        <w:numPr>
          <w:ilvl w:val="0"/>
          <w:numId w:val="1045"/>
        </w:numPr>
        <w:pStyle w:val="Compact"/>
      </w:pPr>
      <w:r>
        <w:rPr>
          <w:bCs/>
          <w:b/>
        </w:rPr>
        <w:t xml:space="preserve">Liquidity ratios</w:t>
      </w:r>
      <w:r>
        <w:t xml:space="preserve"> </w:t>
      </w:r>
      <w:r>
        <w:t xml:space="preserve">(e.g., current ratio) assess short-term ability to meet obligations as they fall due.</w:t>
      </w:r>
    </w:p>
    <w:p>
      <w:pPr>
        <w:numPr>
          <w:ilvl w:val="0"/>
          <w:numId w:val="1045"/>
        </w:numPr>
        <w:pStyle w:val="Compact"/>
      </w:pPr>
      <w:r>
        <w:rPr>
          <w:bCs/>
          <w:b/>
        </w:rPr>
        <w:t xml:space="preserve">Leverage/solvency ratios</w:t>
      </w:r>
      <w:r>
        <w:t xml:space="preserve"> </w:t>
      </w:r>
      <w:r>
        <w:t xml:space="preserve">(e.g., debt-to-equity) assess the extent of debt financing and long-term solvency.</w:t>
      </w:r>
    </w:p>
    <w:p>
      <w:pPr>
        <w:numPr>
          <w:ilvl w:val="0"/>
          <w:numId w:val="1045"/>
        </w:numPr>
        <w:pStyle w:val="Compact"/>
      </w:pPr>
      <w:r>
        <w:rPr>
          <w:bCs/>
          <w:b/>
        </w:rPr>
        <w:t xml:space="preserve">Activity/efficiency ratios</w:t>
      </w:r>
      <w:r>
        <w:t xml:space="preserve"> </w:t>
      </w:r>
      <w:r>
        <w:t xml:space="preserve">(e.g., inventory turnover) assess how effectively assets are being used to generate sales.</w:t>
      </w:r>
    </w:p>
    <w:p>
      <w:pPr>
        <w:numPr>
          <w:ilvl w:val="0"/>
          <w:numId w:val="1045"/>
        </w:numPr>
        <w:pStyle w:val="Compact"/>
      </w:pPr>
      <w:r>
        <w:rPr>
          <w:bCs/>
          <w:b/>
        </w:rPr>
        <w:t xml:space="preserve">Profitability ratios</w:t>
      </w:r>
      <w:r>
        <w:t xml:space="preserve"> </w:t>
      </w:r>
      <w:r>
        <w:t xml:space="preserve">(e.g., net profit margin, return on equity) assess earnings relative to sales, assets, or equity invested.</w:t>
      </w:r>
    </w:p>
    <w:p>
      <w:pPr>
        <w:pStyle w:val="FirstParagraph"/>
      </w:pPr>
      <w:r>
        <w:t xml:space="preserve">A single ratio calculated in isolation says very little; a ratio only becomes analytically meaningful when compared against the organization’s own history (trend), a target or budget, industry peers, or the broader economic context.</w:t>
      </w:r>
    </w:p>
    <w:bookmarkEnd w:id="76"/>
    <w:bookmarkStart w:id="77" w:name="risk-return-and-pricing"/>
    <w:p>
      <w:pPr>
        <w:pStyle w:val="Heading2"/>
      </w:pPr>
      <w:r>
        <w:rPr>
          <w:rStyle w:val="SectionNumber"/>
        </w:rPr>
        <w:t xml:space="preserve">5.7</w:t>
      </w:r>
      <w:r>
        <w:tab/>
      </w:r>
      <w:r>
        <w:t xml:space="preserve">Risk, Return, and Pricing</w:t>
      </w:r>
    </w:p>
    <w:p>
      <w:pPr>
        <w:pStyle w:val="FirstParagraph"/>
      </w:pPr>
      <w:r>
        <w:rPr>
          <w:bCs/>
          <w:b/>
        </w:rPr>
        <w:t xml:space="preserve">Return</w:t>
      </w:r>
      <w:r>
        <w:t xml:space="preserve"> </w:t>
      </w:r>
      <w:r>
        <w:t xml:space="preserve">is the gain (or loss) generated by an investment over a period, usually expressed as a percentage.</w:t>
      </w:r>
      <w:r>
        <w:t xml:space="preserve"> </w:t>
      </w:r>
      <w:r>
        <w:rPr>
          <w:bCs/>
          <w:b/>
        </w:rPr>
        <w:t xml:space="preserve">Risk</w:t>
      </w:r>
      <w:r>
        <w:t xml:space="preserve"> </w:t>
      </w:r>
      <w:r>
        <w:t xml:space="preserve">is the uncertainty surrounding that return — the chance that the actual outcome will differ from what was expected. Two statistical tools quantify this:</w:t>
      </w:r>
    </w:p>
    <w:p>
      <w:pPr>
        <w:numPr>
          <w:ilvl w:val="0"/>
          <w:numId w:val="1046"/>
        </w:numPr>
        <w:pStyle w:val="Compact"/>
      </w:pPr>
      <w:r>
        <w:rPr>
          <w:bCs/>
          <w:b/>
        </w:rPr>
        <w:t xml:space="preserve">Expected return</w:t>
      </w:r>
      <w:r>
        <w:t xml:space="preserve"> </w:t>
      </w:r>
      <w:r>
        <w:t xml:space="preserve">is a probability-weighted average of the possible returns an investment might generate.</w:t>
      </w:r>
    </w:p>
    <w:p>
      <w:pPr>
        <w:numPr>
          <w:ilvl w:val="0"/>
          <w:numId w:val="1046"/>
        </w:numPr>
        <w:pStyle w:val="Compact"/>
      </w:pPr>
      <w:r>
        <w:rPr>
          <w:bCs/>
          <w:b/>
        </w:rPr>
        <w:t xml:space="preserve">Standard deviation</w:t>
      </w:r>
      <w:r>
        <w:t xml:space="preserve"> </w:t>
      </w:r>
      <w:r>
        <w:t xml:space="preserve">measures the dispersion of possible returns around that expected value — a higher standard deviation means a wider range of plausible outcomes, i.e., higher risk.</w:t>
      </w:r>
    </w:p>
    <w:p>
      <w:pPr>
        <w:pStyle w:val="FirstParagraph"/>
      </w:pPr>
      <w:r>
        <w:t xml:space="preserve">A central insight from portfolio theory is the distinction between two types of risk faced by an investor holding a security:</w:t>
      </w:r>
    </w:p>
    <w:p>
      <w:pPr>
        <w:numPr>
          <w:ilvl w:val="0"/>
          <w:numId w:val="1047"/>
        </w:numPr>
        <w:pStyle w:val="Compact"/>
      </w:pPr>
      <w:r>
        <w:rPr>
          <w:bCs/>
          <w:b/>
        </w:rPr>
        <w:t xml:space="preserve">Diversifiable (firm-specific, unsystematic) risk</w:t>
      </w:r>
      <w:r>
        <w:t xml:space="preserve"> </w:t>
      </w:r>
      <w:r>
        <w:t xml:space="preserve">arises from factors specific to one company or industry (a factory fire, a product recall) and can be substantially reduced by holding a diversified portfolio of many different securities, since these firm-specific shocks tend to cancel out across a large enough portfolio.</w:t>
      </w:r>
    </w:p>
    <w:p>
      <w:pPr>
        <w:numPr>
          <w:ilvl w:val="0"/>
          <w:numId w:val="1047"/>
        </w:numPr>
        <w:pStyle w:val="Compact"/>
      </w:pPr>
      <w:r>
        <w:rPr>
          <w:bCs/>
          <w:b/>
        </w:rPr>
        <w:t xml:space="preserve">Non-diversifiable (systematic, market) risk</w:t>
      </w:r>
      <w:r>
        <w:t xml:space="preserve"> </w:t>
      </w:r>
      <w:r>
        <w:t xml:space="preserve">arises from factors that affect the entire market simultaneously (a national recession, a broad interest-rate change) and</w:t>
      </w:r>
      <w:r>
        <w:t xml:space="preserve"> </w:t>
      </w:r>
      <w:r>
        <w:rPr>
          <w:iCs/>
          <w:i/>
        </w:rPr>
        <w:t xml:space="preserve">cannot</w:t>
      </w:r>
      <w:r>
        <w:t xml:space="preserve"> </w:t>
      </w:r>
      <w:r>
        <w:t xml:space="preserve">be eliminated simply by holding more securities, because it affects essentially all of them at once. This distinction is the entire foundation for CAPM, below: only systematic risk should be compensated with a higher expected return, since diversifiable risk can be eliminated for free simply by diversifying.</w:t>
      </w:r>
    </w:p>
    <w:bookmarkEnd w:id="77"/>
    <w:bookmarkStart w:id="78" w:name="capm-and-the-security-market-line"/>
    <w:p>
      <w:pPr>
        <w:pStyle w:val="Heading2"/>
      </w:pPr>
      <w:r>
        <w:rPr>
          <w:rStyle w:val="SectionNumber"/>
        </w:rPr>
        <w:t xml:space="preserve">5.8</w:t>
      </w:r>
      <w:r>
        <w:tab/>
      </w:r>
      <w:r>
        <w:t xml:space="preserve">CAPM and the Security Market Line</w:t>
      </w:r>
    </w:p>
    <w:p>
      <w:pPr>
        <w:pStyle w:val="FirstParagraph"/>
      </w:pPr>
      <w:r>
        <w:t xml:space="preserve">The</w:t>
      </w:r>
      <w:r>
        <w:t xml:space="preserve"> </w:t>
      </w:r>
      <w:r>
        <w:rPr>
          <w:bCs/>
          <w:b/>
        </w:rPr>
        <w:t xml:space="preserve">Capital Asset Pricing Model (CAPM)</w:t>
      </w:r>
      <w:r>
        <w:t xml:space="preserve"> </w:t>
      </w:r>
      <w:r>
        <w:t xml:space="preserve">formalizes the idea just introduced — that only systematic risk should be rewarded — into a single formula:</w:t>
      </w:r>
    </w:p>
    <w:p>
      <w:pPr>
        <w:pStyle w:val="BodyText"/>
      </w:pPr>
      <w:r>
        <w:rPr>
          <w:bCs/>
          <w:b/>
        </w:rPr>
        <w:t xml:space="preserve">Required (expected) return = Risk-free rate + Beta × (Market risk premium)</w:t>
      </w:r>
    </w:p>
    <w:p>
      <w:pPr>
        <w:pStyle w:val="BodyText"/>
      </w:pPr>
      <w:r>
        <w:t xml:space="preserve">where the market risk premium is the expected market return minus the risk-free rate.</w:t>
      </w:r>
      <w:r>
        <w:t xml:space="preserve"> </w:t>
      </w:r>
      <w:r>
        <w:rPr>
          <w:bCs/>
          <w:b/>
        </w:rPr>
        <w:t xml:space="preserve">Beta (β)</w:t>
      </w:r>
      <w:r>
        <w:t xml:space="preserve"> </w:t>
      </w:r>
      <w:r>
        <w:t xml:space="preserve">measures a security’s</w:t>
      </w:r>
      <w:r>
        <w:t xml:space="preserve"> </w:t>
      </w:r>
      <w:r>
        <w:rPr>
          <w:iCs/>
          <w:i/>
        </w:rPr>
        <w:t xml:space="preserve">sensitivity to overall market movements</w:t>
      </w:r>
      <w:r>
        <w:t xml:space="preserve"> </w:t>
      </w:r>
      <w:r>
        <w:t xml:space="preserve">— it is a measure of systematic risk specifically, not of total risk (a security can have high total volatility from firm-specific events yet a modest beta, if that volatility is unrelated to broad market swings). A beta of 1.0 means the security tends to move in line with the market; a beta above 1.0 means it tends to amplify market movements (higher systematic risk, and so a higher required return under CAPM); a beta below 1.0 means it tends to dampen market movements.</w:t>
      </w:r>
    </w:p>
    <w:p>
      <w:pPr>
        <w:pStyle w:val="BodyText"/>
      </w:pPr>
      <w:r>
        <w:rPr>
          <w:bCs/>
          <w:b/>
        </w:rPr>
        <w:t xml:space="preserve">Worked example:</w:t>
      </w:r>
      <w:r>
        <w:t xml:space="preserve"> </w:t>
      </w:r>
      <w:r>
        <w:t xml:space="preserve">if the risk-free rate is 6%, the expected market return is 12% (so the market risk premium is 12% − 6% = 6%), and a stock’s beta is 1.5, its CAPM required return is 6% + 1.5 × 6% = 15%.</w:t>
      </w:r>
    </w:p>
    <w:p>
      <w:pPr>
        <w:pStyle w:val="BodyText"/>
      </w:pPr>
      <w:r>
        <w:t xml:space="preserve">The</w:t>
      </w:r>
      <w:r>
        <w:t xml:space="preserve"> </w:t>
      </w:r>
      <w:r>
        <w:rPr>
          <w:bCs/>
          <w:b/>
        </w:rPr>
        <w:t xml:space="preserve">Security Market Line (SML)</w:t>
      </w:r>
      <w:r>
        <w:t xml:space="preserve"> </w:t>
      </w:r>
      <w:r>
        <w:t xml:space="preserve">is simply the graphical expression of the CAPM equation — required/expected return plotted against beta, forming a straight line whose slope is the market risk premium. A security plotted above the SML is offering more return than its systematic risk justifies (potentially undervalued); one plotted below is offering less (potentially overvalued).</w:t>
      </w:r>
    </w:p>
    <w:bookmarkEnd w:id="78"/>
    <w:bookmarkStart w:id="79" w:name="weighted-average-cost-of-capital-wacc"/>
    <w:p>
      <w:pPr>
        <w:pStyle w:val="Heading2"/>
      </w:pPr>
      <w:r>
        <w:rPr>
          <w:rStyle w:val="SectionNumber"/>
        </w:rPr>
        <w:t xml:space="preserve">5.9</w:t>
      </w:r>
      <w:r>
        <w:tab/>
      </w:r>
      <w:r>
        <w:t xml:space="preserve">Weighted Average Cost of Capital (WACC)</w:t>
      </w:r>
    </w:p>
    <w:p>
      <w:pPr>
        <w:pStyle w:val="FirstParagraph"/>
      </w:pPr>
      <w:r>
        <w:t xml:space="preserve">WACC combines the required returns of an organization’s major financing sources (debt and equity, primarily), weighted by their proportion in the organization’s overall capital structure:</w:t>
      </w:r>
    </w:p>
    <w:p>
      <w:pPr>
        <w:pStyle w:val="BodyText"/>
      </w:pPr>
      <w:r>
        <w:rPr>
          <w:bCs/>
          <w:b/>
        </w:rPr>
        <w:t xml:space="preserve">WACC = (E/V) × Re + (D/V) × Rd × (1 − Tax rate)</w:t>
      </w:r>
    </w:p>
    <w:p>
      <w:pPr>
        <w:pStyle w:val="BodyText"/>
      </w:pPr>
      <w:r>
        <w:t xml:space="preserve">where E is the market value of equity, D is the market value of debt, V = E + D is total firm value, Re is the required return on equity (often estimated using CAPM above), and Rd is the pre-tax cost of debt. The</w:t>
      </w:r>
      <w:r>
        <w:t xml:space="preserve"> </w:t>
      </w:r>
      <w:r>
        <w:rPr>
          <w:bCs/>
          <w:b/>
        </w:rPr>
        <w:t xml:space="preserve">(1 − Tax rate)</w:t>
      </w:r>
      <w:r>
        <w:t xml:space="preserve"> </w:t>
      </w:r>
      <w:r>
        <w:t xml:space="preserve">term on the debt component reflects that interest on debt is typically tax-deductible, so the</w:t>
      </w:r>
      <w:r>
        <w:t xml:space="preserve"> </w:t>
      </w:r>
      <w:r>
        <w:rPr>
          <w:iCs/>
          <w:i/>
        </w:rPr>
        <w:t xml:space="preserve">effective, after-tax</w:t>
      </w:r>
      <w:r>
        <w:t xml:space="preserve"> </w:t>
      </w:r>
      <w:r>
        <w:t xml:space="preserve">cost of debt to the firm is lower than the rate actually quoted on the debt — this</w:t>
      </w:r>
      <w:r>
        <w:t xml:space="preserve"> </w:t>
      </w:r>
      <w:r>
        <w:t xml:space="preserve">“</w:t>
      </w:r>
      <w:r>
        <w:t xml:space="preserve">tax shield</w:t>
      </w:r>
      <w:r>
        <w:t xml:space="preserve">”</w:t>
      </w:r>
      <w:r>
        <w:t xml:space="preserve"> </w:t>
      </w:r>
      <w:r>
        <w:t xml:space="preserve">is a frequently tested numerical point.</w:t>
      </w:r>
    </w:p>
    <w:p>
      <w:pPr>
        <w:pStyle w:val="BodyText"/>
      </w:pPr>
      <w:r>
        <w:t xml:space="preserve">WACC is commonly used as a benchmark discount rate for evaluating new projects, but an important caution is regularly tested: WACC is only an appropriate discount rate for a project whose</w:t>
      </w:r>
      <w:r>
        <w:t xml:space="preserve"> </w:t>
      </w:r>
      <w:r>
        <w:rPr>
          <w:bCs/>
          <w:b/>
        </w:rPr>
        <w:t xml:space="preserve">risk is similar to the firm’s existing average risk</w:t>
      </w:r>
      <w:r>
        <w:t xml:space="preserve">. A significantly riskier project (entering an unrelated new industry, for example) should be evaluated using a discount rate that reflects</w:t>
      </w:r>
      <w:r>
        <w:t xml:space="preserve"> </w:t>
      </w:r>
      <w:r>
        <w:rPr>
          <w:iCs/>
          <w:i/>
        </w:rPr>
        <w:t xml:space="preserve">that project’s own risk</w:t>
      </w:r>
      <w:r>
        <w:t xml:space="preserve">, not the firm’s blended average WACC — using the firm’s WACC for a much riskier project would understate the required return and could lead to accepting value-destroying investments.</w:t>
      </w:r>
    </w:p>
    <w:bookmarkEnd w:id="79"/>
    <w:bookmarkStart w:id="80" w:name="cash-flow-and-budgeting"/>
    <w:p>
      <w:pPr>
        <w:pStyle w:val="Heading2"/>
      </w:pPr>
      <w:r>
        <w:rPr>
          <w:rStyle w:val="SectionNumber"/>
        </w:rPr>
        <w:t xml:space="preserve">5.10</w:t>
      </w:r>
      <w:r>
        <w:tab/>
      </w:r>
      <w:r>
        <w:t xml:space="preserve">Cash Flow and Budgeting</w:t>
      </w:r>
    </w:p>
    <w:p>
      <w:pPr>
        <w:pStyle w:val="FirstParagraph"/>
      </w:pPr>
      <w:r>
        <w:t xml:space="preserve">A crucial distinction, heavily tested, is that</w:t>
      </w:r>
      <w:r>
        <w:t xml:space="preserve"> </w:t>
      </w:r>
      <w:r>
        <w:rPr>
          <w:bCs/>
          <w:b/>
        </w:rPr>
        <w:t xml:space="preserve">profit and cash flow are not the same thing</w:t>
      </w:r>
      <w:r>
        <w:t xml:space="preserve">, and can diverge sharply in timing:</w:t>
      </w:r>
    </w:p>
    <w:p>
      <w:pPr>
        <w:numPr>
          <w:ilvl w:val="0"/>
          <w:numId w:val="1048"/>
        </w:numPr>
        <w:pStyle w:val="Compact"/>
      </w:pPr>
      <w:r>
        <w:rPr>
          <w:bCs/>
          <w:b/>
        </w:rPr>
        <w:t xml:space="preserve">Non-cash expenses</w:t>
      </w:r>
      <w:r>
        <w:t xml:space="preserve"> </w:t>
      </w:r>
      <w:r>
        <w:t xml:space="preserve">(such as depreciation) reduce accounting profit without any immediate reduction in cash.</w:t>
      </w:r>
    </w:p>
    <w:p>
      <w:pPr>
        <w:numPr>
          <w:ilvl w:val="0"/>
          <w:numId w:val="1048"/>
        </w:numPr>
        <w:pStyle w:val="Compact"/>
      </w:pPr>
      <w:r>
        <w:rPr>
          <w:bCs/>
          <w:b/>
        </w:rPr>
        <w:t xml:space="preserve">Credit sales</w:t>
      </w:r>
      <w:r>
        <w:t xml:space="preserve"> </w:t>
      </w:r>
      <w:r>
        <w:t xml:space="preserve">are recorded as revenue (increasing accounting profit) at the point of sale, even though the actual cash may not be received until weeks or months later.</w:t>
      </w:r>
    </w:p>
    <w:p>
      <w:pPr>
        <w:pStyle w:val="FirstParagraph"/>
      </w:pPr>
      <w:r>
        <w:rPr>
          <w:bCs/>
          <w:b/>
        </w:rPr>
        <w:t xml:space="preserve">Worked illustration:</w:t>
      </w:r>
      <w:r>
        <w:t xml:space="preserve"> </w:t>
      </w:r>
      <w:r>
        <w:t xml:space="preserve">a business sells Rs 500,000 of goods on 60-day credit terms in March. Its income statement shows Rs 500,000 of revenue (and resulting profit) in March, but its cash budget shows</w:t>
      </w:r>
      <w:r>
        <w:t xml:space="preserve"> </w:t>
      </w:r>
      <w:r>
        <w:rPr>
          <w:iCs/>
          <w:i/>
        </w:rPr>
        <w:t xml:space="preserve">no</w:t>
      </w:r>
      <w:r>
        <w:t xml:space="preserve"> </w:t>
      </w:r>
      <w:r>
        <w:t xml:space="preserve">cash inflow from that sale until May — meaning the business could report a healthy profit for March while simultaneously being unable to pay its own March bills in cash. This is precisely why organizations prepare a separate</w:t>
      </w:r>
      <w:r>
        <w:t xml:space="preserve"> </w:t>
      </w:r>
      <w:r>
        <w:rPr>
          <w:bCs/>
          <w:b/>
        </w:rPr>
        <w:t xml:space="preserve">cash budget</w:t>
      </w:r>
      <w:r>
        <w:t xml:space="preserve">: starting from an opening cash balance, adding</w:t>
      </w:r>
      <w:r>
        <w:t xml:space="preserve"> </w:t>
      </w:r>
      <w:r>
        <w:rPr>
          <w:iCs/>
          <w:i/>
        </w:rPr>
        <w:t xml:space="preserve">expected cash receipts</w:t>
      </w:r>
      <w:r>
        <w:t xml:space="preserve"> </w:t>
      </w:r>
      <w:r>
        <w:t xml:space="preserve">(not accounting revenue), subtracting</w:t>
      </w:r>
      <w:r>
        <w:t xml:space="preserve"> </w:t>
      </w:r>
      <w:r>
        <w:rPr>
          <w:iCs/>
          <w:i/>
        </w:rPr>
        <w:t xml:space="preserve">expected cash payments</w:t>
      </w:r>
      <w:r>
        <w:t xml:space="preserve"> </w:t>
      </w:r>
      <w:r>
        <w:t xml:space="preserve">(not accounting expenses), and arriving at either a projected cash surplus or a financing need that must be arranged in advance.</w:t>
      </w:r>
    </w:p>
    <w:bookmarkEnd w:id="80"/>
    <w:bookmarkStart w:id="81" w:name="capital-budgeting"/>
    <w:p>
      <w:pPr>
        <w:pStyle w:val="Heading2"/>
      </w:pPr>
      <w:r>
        <w:rPr>
          <w:rStyle w:val="SectionNumber"/>
        </w:rPr>
        <w:t xml:space="preserve">5.11</w:t>
      </w:r>
      <w:r>
        <w:tab/>
      </w:r>
      <w:r>
        <w:t xml:space="preserve">Capital Budgeting</w:t>
      </w:r>
    </w:p>
    <w:p>
      <w:pPr>
        <w:pStyle w:val="FirstParagraph"/>
      </w:pPr>
      <w:r>
        <w:t xml:space="preserve">Capital budgeting evaluates long-term investment projects using</w:t>
      </w:r>
      <w:r>
        <w:t xml:space="preserve"> </w:t>
      </w:r>
      <w:r>
        <w:rPr>
          <w:bCs/>
          <w:b/>
        </w:rPr>
        <w:t xml:space="preserve">relevant, incremental cash flows</w:t>
      </w:r>
      <w:r>
        <w:t xml:space="preserve"> </w:t>
      </w:r>
      <w:r>
        <w:t xml:space="preserve">— cash flows that occur</w:t>
      </w:r>
      <w:r>
        <w:t xml:space="preserve"> </w:t>
      </w:r>
      <w:r>
        <w:rPr>
          <w:iCs/>
          <w:i/>
        </w:rPr>
        <w:t xml:space="preserve">specifically because</w:t>
      </w:r>
      <w:r>
        <w:t xml:space="preserve"> </w:t>
      </w:r>
      <w:r>
        <w:t xml:space="preserve">a project is accepted, and would not occur otherwise (sunk costs already incurred before the decision, for instance, are irrelevant to it and must be excluded). Two decision rules dominate the syllabus:</w:t>
      </w:r>
    </w:p>
    <w:p>
      <w:pPr>
        <w:numPr>
          <w:ilvl w:val="0"/>
          <w:numId w:val="1049"/>
        </w:numPr>
        <w:pStyle w:val="Compact"/>
      </w:pPr>
      <w:r>
        <w:rPr>
          <w:bCs/>
          <w:b/>
        </w:rPr>
        <w:t xml:space="preserve">Net Present Value (NPV)</w:t>
      </w:r>
      <w:r>
        <w:t xml:space="preserve"> </w:t>
      </w:r>
      <w:r>
        <w:t xml:space="preserve">= the present value of a project’s expected cash inflows minus its initial (and any other relevant) cash outflows, all discounted at an appropriate required rate of return. A</w:t>
      </w:r>
      <w:r>
        <w:t xml:space="preserve"> </w:t>
      </w:r>
      <w:r>
        <w:rPr>
          <w:bCs/>
          <w:b/>
        </w:rPr>
        <w:t xml:space="preserve">positive NPV</w:t>
      </w:r>
      <w:r>
        <w:t xml:space="preserve"> </w:t>
      </w:r>
      <w:r>
        <w:t xml:space="preserve">indicates the project is expected to create value above and beyond the required rate of return; a negative NPV indicates the opposite.</w:t>
      </w:r>
    </w:p>
    <w:p>
      <w:pPr>
        <w:numPr>
          <w:ilvl w:val="0"/>
          <w:numId w:val="1049"/>
        </w:numPr>
        <w:pStyle w:val="Compact"/>
      </w:pPr>
      <w:r>
        <w:rPr>
          <w:bCs/>
          <w:b/>
        </w:rPr>
        <w:t xml:space="preserve">Internal Rate of Return (IRR)</w:t>
      </w:r>
      <w:r>
        <w:t xml:space="preserve"> </w:t>
      </w:r>
      <w:r>
        <w:t xml:space="preserve">is the discount rate at which a project’s NPV would equal exactly zero — in effect, the project’s own</w:t>
      </w:r>
      <w:r>
        <w:t xml:space="preserve"> </w:t>
      </w:r>
      <w:r>
        <w:t xml:space="preserve">“</w:t>
      </w:r>
      <w:r>
        <w:t xml:space="preserve">break-even</w:t>
      </w:r>
      <w:r>
        <w:t xml:space="preserve">”</w:t>
      </w:r>
      <w:r>
        <w:t xml:space="preserve"> </w:t>
      </w:r>
      <w:r>
        <w:t xml:space="preserve">rate of return.</w:t>
      </w:r>
    </w:p>
    <w:p>
      <w:pPr>
        <w:pStyle w:val="FirstParagraph"/>
      </w:pPr>
      <w:r>
        <w:rPr>
          <w:bCs/>
          <w:b/>
        </w:rPr>
        <w:t xml:space="preserve">Worked example (NPV):</w:t>
      </w:r>
      <w:r>
        <w:t xml:space="preserve"> </w:t>
      </w:r>
      <w:r>
        <w:t xml:space="preserve">A project requires an initial outlay of Rs 1,000 and is expected to generate Rs 600 at the end of year 1 and Rs 600 at the end of year 2. At a required return of 10%: NPV = −1,000 + 600/(1.10)¹ + 600/(1.10)² = −1,000 + 545.45 + 495.87 = Rs 41.32. Since NPV is positive, the project is expected to create value at a 10% required return.</w:t>
      </w:r>
    </w:p>
    <w:p>
      <w:pPr>
        <w:pStyle w:val="BodyText"/>
      </w:pPr>
      <w:r>
        <w:t xml:space="preserve">When NPV and IRR give conflicting rankings between two mutually exclusive projects (which can happen when projects differ significantly in scale or in the timing of their cash flows),</w:t>
      </w:r>
      <w:r>
        <w:t xml:space="preserve"> </w:t>
      </w:r>
      <w:r>
        <w:rPr>
          <w:bCs/>
          <w:b/>
        </w:rPr>
        <w:t xml:space="preserve">NPV is generally the preferred rule</w:t>
      </w:r>
      <w:r>
        <w:t xml:space="preserve">, because it directly measures value created in money terms and correctly assumes that interim cash flows are reinvested at the firm’s actual required rate of return, whereas IRR implicitly (and often unrealistically) assumes reinvestment at the project’s own IRR.</w:t>
      </w:r>
    </w:p>
    <w:bookmarkEnd w:id="81"/>
    <w:bookmarkStart w:id="82" w:name="X7c8af9e5f9889e313aa0a4ad86fde066555188a"/>
    <w:p>
      <w:pPr>
        <w:pStyle w:val="Heading2"/>
      </w:pPr>
      <w:r>
        <w:rPr>
          <w:rStyle w:val="SectionNumber"/>
        </w:rPr>
        <w:t xml:space="preserve">5.12</w:t>
      </w:r>
      <w:r>
        <w:tab/>
      </w:r>
      <w:r>
        <w:t xml:space="preserve">Capital Structure, Discount Rates, and Capital Rationing</w:t>
      </w:r>
    </w:p>
    <w:p>
      <w:pPr>
        <w:pStyle w:val="FirstParagraph"/>
      </w:pPr>
      <w:r>
        <w:rPr>
          <w:bCs/>
          <w:b/>
        </w:rPr>
        <w:t xml:space="preserve">Capital structure</w:t>
      </w:r>
      <w:r>
        <w:t xml:space="preserve"> </w:t>
      </w:r>
      <w:r>
        <w:t xml:space="preserve">is the mix of debt and equity financing an organization uses. The two sources carry distinct trade-offs:</w:t>
      </w:r>
    </w:p>
    <w:p>
      <w:pPr>
        <w:numPr>
          <w:ilvl w:val="0"/>
          <w:numId w:val="1050"/>
        </w:numPr>
        <w:pStyle w:val="Compact"/>
      </w:pPr>
      <w:r>
        <w:rPr>
          <w:bCs/>
          <w:b/>
        </w:rPr>
        <w:t xml:space="preserve">Debt</w:t>
      </w:r>
      <w:r>
        <w:t xml:space="preserve"> </w:t>
      </w:r>
      <w:r>
        <w:t xml:space="preserve">typically offers a tax advantage (interest is tax-deductible, as seen in WACC above) and avoids diluting existing owners’ control, but it creates a fixed, legally binding obligation to pay interest and principal regardless of how the business actually performs — increasing financial risk, especially in a downturn.</w:t>
      </w:r>
    </w:p>
    <w:p>
      <w:pPr>
        <w:numPr>
          <w:ilvl w:val="0"/>
          <w:numId w:val="1050"/>
        </w:numPr>
        <w:pStyle w:val="Compact"/>
      </w:pPr>
      <w:r>
        <w:rPr>
          <w:bCs/>
          <w:b/>
        </w:rPr>
        <w:t xml:space="preserve">Equity</w:t>
      </w:r>
      <w:r>
        <w:t xml:space="preserve"> </w:t>
      </w:r>
      <w:r>
        <w:t xml:space="preserve">carries no mandatory, fixed payment obligation (dividends are discretionary), but equity investors bear the</w:t>
      </w:r>
      <w:r>
        <w:t xml:space="preserve"> </w:t>
      </w:r>
      <w:r>
        <w:rPr>
          <w:iCs/>
          <w:i/>
        </w:rPr>
        <w:t xml:space="preserve">residual</w:t>
      </w:r>
      <w:r>
        <w:t xml:space="preserve"> </w:t>
      </w:r>
      <w:r>
        <w:t xml:space="preserve">risk of the business (they are paid only after all other obligations are met) and therefore typically require a higher expected return than lenders do, as reflected in CAPM above.</w:t>
      </w:r>
    </w:p>
    <w:p>
      <w:pPr>
        <w:pStyle w:val="FirstParagraph"/>
      </w:pPr>
      <w:r>
        <w:t xml:space="preserve">The</w:t>
      </w:r>
      <w:r>
        <w:t xml:space="preserve"> </w:t>
      </w:r>
      <w:r>
        <w:rPr>
          <w:bCs/>
          <w:b/>
        </w:rPr>
        <w:t xml:space="preserve">discount rate</w:t>
      </w:r>
      <w:r>
        <w:t xml:space="preserve"> </w:t>
      </w:r>
      <w:r>
        <w:t xml:space="preserve">used to evaluate any given investment should reflect that specific project’s own risk and financing context — reinforcing the WACC caution above, that a single firm-wide rate is not automatically appropriate for every project the firm might consider.</w:t>
      </w:r>
    </w:p>
    <w:p>
      <w:pPr>
        <w:pStyle w:val="BodyText"/>
      </w:pPr>
      <w:r>
        <w:rPr>
          <w:bCs/>
          <w:b/>
        </w:rPr>
        <w:t xml:space="preserve">Capital rationing</w:t>
      </w:r>
      <w:r>
        <w:t xml:space="preserve"> </w:t>
      </w:r>
      <w:r>
        <w:t xml:space="preserve">arises when an organization’s available investment funds are limited, so that not every project with a positive NPV can actually be undertaken — the organization must instead rank and prioritize among otherwise-acceptable projects, typically using a</w:t>
      </w:r>
      <w:r>
        <w:t xml:space="preserve"> </w:t>
      </w:r>
      <w:r>
        <w:rPr>
          <w:bCs/>
          <w:b/>
        </w:rPr>
        <w:t xml:space="preserve">profitability index</w:t>
      </w:r>
      <w:r>
        <w:t xml:space="preserve"> </w:t>
      </w:r>
      <w:r>
        <w:t xml:space="preserve">(present value of future cash flows divided by the initial investment) to identify which combination of projects creates the most value per rupee of the limited available capital, rather than simply funding projects on a first-come basis.</w:t>
      </w:r>
    </w:p>
    <w:p>
      <w:pPr>
        <w:pStyle w:val="BodyText"/>
      </w:pPr>
      <w:r>
        <w:rPr>
          <w:bCs/>
          <w:b/>
        </w:rPr>
        <w:t xml:space="preserve">Key takeaways for the Financial Management unit</w:t>
      </w:r>
    </w:p>
    <w:p>
      <w:pPr>
        <w:numPr>
          <w:ilvl w:val="0"/>
          <w:numId w:val="1051"/>
        </w:numPr>
        <w:pStyle w:val="Compact"/>
      </w:pPr>
      <w:r>
        <w:t xml:space="preserve">Every topic in this unit serves one of finance’s three underlying decisions: what to invest in, how to finance it, and how to manage cash/payout — keep tracing each formula back to which of these three questions it actually answers.</w:t>
      </w:r>
    </w:p>
    <w:p>
      <w:pPr>
        <w:numPr>
          <w:ilvl w:val="0"/>
          <w:numId w:val="1051"/>
        </w:numPr>
        <w:pStyle w:val="Compact"/>
      </w:pPr>
      <w:r>
        <w:t xml:space="preserve">Time value of money (compounding forward with FV, discounting backward with PV) is the foundation every later formula in this unit builds on, including CAPM’s implicit discounting logic and NPV’s explicit one.</w:t>
      </w:r>
    </w:p>
    <w:p>
      <w:pPr>
        <w:numPr>
          <w:ilvl w:val="0"/>
          <w:numId w:val="1051"/>
        </w:numPr>
        <w:pStyle w:val="Compact"/>
      </w:pPr>
      <w:r>
        <w:t xml:space="preserve">Profit and cash flow diverge because of non-cash expenses and credit timing — a business can be profitable and cash-poor simultaneously, which is exactly why cash budgeting exists as a distinct discipline from profit measurement.</w:t>
      </w:r>
    </w:p>
    <w:p>
      <w:pPr>
        <w:numPr>
          <w:ilvl w:val="0"/>
          <w:numId w:val="1051"/>
        </w:numPr>
        <w:pStyle w:val="Compact"/>
      </w:pPr>
      <w:r>
        <w:t xml:space="preserve">NPV is generally preferred over IRR when the two rules conflict, because NPV directly measures value created and uses a more realistic reinvestment assumption.</w:t>
      </w:r>
    </w:p>
    <w:p>
      <w:r>
        <w:pict>
          <v:rect style="width:0;height:1.5pt" o:hralign="center" o:hrstd="t" o:hr="t"/>
        </w:pict>
      </w:r>
    </w:p>
    <w:bookmarkEnd w:id="82"/>
    <w:bookmarkEnd w:id="83"/>
    <w:bookmarkStart w:id="101" w:name="Xc38b1c081ed891f21fb6c1ccd50252ecd2807e2"/>
    <w:p>
      <w:pPr>
        <w:pStyle w:val="Heading1"/>
      </w:pPr>
      <w:r>
        <w:rPr>
          <w:rStyle w:val="SectionNumber"/>
        </w:rPr>
        <w:t xml:space="preserve">6</w:t>
      </w:r>
      <w:r>
        <w:tab/>
      </w:r>
      <w:r>
        <w:t xml:space="preserve">IV. Operations and Supply Chain Management</w:t>
      </w:r>
    </w:p>
    <w:bookmarkStart w:id="84" w:name="what-this-unit-is-about-3"/>
    <w:p>
      <w:pPr>
        <w:pStyle w:val="Heading2"/>
      </w:pPr>
      <w:r>
        <w:rPr>
          <w:rStyle w:val="SectionNumber"/>
        </w:rPr>
        <w:t xml:space="preserve">6.1</w:t>
      </w:r>
      <w:r>
        <w:tab/>
      </w:r>
      <w:r>
        <w:t xml:space="preserve">What This Unit Is About</w:t>
      </w:r>
    </w:p>
    <w:p>
      <w:pPr>
        <w:pStyle w:val="FirstParagraph"/>
      </w:pPr>
      <w:r>
        <w:rPr>
          <w:bCs/>
          <w:b/>
        </w:rPr>
        <w:t xml:space="preserve">Operations management</w:t>
      </w:r>
      <w:r>
        <w:t xml:space="preserve"> </w:t>
      </w:r>
      <w:r>
        <w:t xml:space="preserve">is concerned with the design, execution, and control of the processes that transform inputs (labour, materials, technology, information) into the goods or services an organization delivers.</w:t>
      </w:r>
      <w:r>
        <w:t xml:space="preserve"> </w:t>
      </w:r>
      <w:r>
        <w:rPr>
          <w:bCs/>
          <w:b/>
        </w:rPr>
        <w:t xml:space="preserve">Supply chain management</w:t>
      </w:r>
      <w:r>
        <w:t xml:space="preserve"> </w:t>
      </w:r>
      <w:r>
        <w:t xml:space="preserve">extends that view outward, coordinating the network of suppliers, logistics providers, distributors, and customers through which materials, information, and money flow before and after that transformation takes place. This unit moves from the internal decisions of operations (productivity, process design, capacity, location, layout, inventory) to the external, network-level decisions of supply chain management (strategic fit, drivers, the bullwhip effect, coordination, and technology).</w:t>
      </w:r>
    </w:p>
    <w:bookmarkEnd w:id="84"/>
    <w:bookmarkStart w:id="85" w:name="operations-and-productivity"/>
    <w:p>
      <w:pPr>
        <w:pStyle w:val="Heading2"/>
      </w:pPr>
      <w:r>
        <w:rPr>
          <w:rStyle w:val="SectionNumber"/>
        </w:rPr>
        <w:t xml:space="preserve">6.2</w:t>
      </w:r>
      <w:r>
        <w:tab/>
      </w:r>
      <w:r>
        <w:t xml:space="preserve">Operations and Productivity</w:t>
      </w:r>
    </w:p>
    <w:p>
      <w:pPr>
        <w:pStyle w:val="FirstParagraph"/>
      </w:pPr>
      <w:r>
        <w:rPr>
          <w:bCs/>
          <w:b/>
        </w:rPr>
        <w:t xml:space="preserve">Operations</w:t>
      </w:r>
      <w:r>
        <w:t xml:space="preserve"> </w:t>
      </w:r>
      <w:r>
        <w:t xml:space="preserve">is the function that actually creates the product or service a customer receives, by transforming inputs into outputs — and that transformation can be</w:t>
      </w:r>
      <w:r>
        <w:t xml:space="preserve"> </w:t>
      </w:r>
      <w:r>
        <w:rPr>
          <w:bCs/>
          <w:b/>
        </w:rPr>
        <w:t xml:space="preserve">physical</w:t>
      </w:r>
      <w:r>
        <w:t xml:space="preserve"> </w:t>
      </w:r>
      <w:r>
        <w:t xml:space="preserve">(manufacturing raw material into a finished good),</w:t>
      </w:r>
      <w:r>
        <w:t xml:space="preserve"> </w:t>
      </w:r>
      <w:r>
        <w:rPr>
          <w:bCs/>
          <w:b/>
        </w:rPr>
        <w:t xml:space="preserve">locational</w:t>
      </w:r>
      <w:r>
        <w:t xml:space="preserve"> </w:t>
      </w:r>
      <w:r>
        <w:t xml:space="preserve">(transportation, moving something to where it is wanted),</w:t>
      </w:r>
      <w:r>
        <w:t xml:space="preserve"> </w:t>
      </w:r>
      <w:r>
        <w:rPr>
          <w:bCs/>
          <w:b/>
        </w:rPr>
        <w:t xml:space="preserve">informational</w:t>
      </w:r>
      <w:r>
        <w:t xml:space="preserve"> </w:t>
      </w:r>
      <w:r>
        <w:t xml:space="preserve">(data processing),</w:t>
      </w:r>
      <w:r>
        <w:t xml:space="preserve"> </w:t>
      </w:r>
      <w:r>
        <w:rPr>
          <w:bCs/>
          <w:b/>
        </w:rPr>
        <w:t xml:space="preserve">physiological</w:t>
      </w:r>
      <w:r>
        <w:t xml:space="preserve"> </w:t>
      </w:r>
      <w:r>
        <w:t xml:space="preserve">(healthcare), or</w:t>
      </w:r>
      <w:r>
        <w:t xml:space="preserve"> </w:t>
      </w:r>
      <w:r>
        <w:rPr>
          <w:bCs/>
          <w:b/>
        </w:rPr>
        <w:t xml:space="preserve">experiential</w:t>
      </w:r>
      <w:r>
        <w:t xml:space="preserve"> </w:t>
      </w:r>
      <w:r>
        <w:t xml:space="preserve">(entertainment, hospitality) — an important point because it shows operations management applies as much to a hospital or an airline as to a factory.</w:t>
      </w:r>
    </w:p>
    <w:p>
      <w:pPr>
        <w:pStyle w:val="BodyText"/>
      </w:pPr>
      <w:r>
        <w:rPr>
          <w:bCs/>
          <w:b/>
        </w:rPr>
        <w:t xml:space="preserve">Productivity</w:t>
      </w:r>
      <w:r>
        <w:t xml:space="preserve"> </w:t>
      </w:r>
      <w:r>
        <w:t xml:space="preserve">compares outputs with the inputs used to produce them, and is usually expressed as output ÷ input. It can be measured as</w:t>
      </w:r>
      <w:r>
        <w:t xml:space="preserve"> </w:t>
      </w:r>
      <w:r>
        <w:rPr>
          <w:bCs/>
          <w:b/>
        </w:rPr>
        <w:t xml:space="preserve">single-factor productivity</w:t>
      </w:r>
      <w:r>
        <w:t xml:space="preserve"> </w:t>
      </w:r>
      <w:r>
        <w:t xml:space="preserve">(output relative to one input, such as labour hours) or</w:t>
      </w:r>
      <w:r>
        <w:t xml:space="preserve"> </w:t>
      </w:r>
      <w:r>
        <w:rPr>
          <w:bCs/>
          <w:b/>
        </w:rPr>
        <w:t xml:space="preserve">multifactor productivity</w:t>
      </w:r>
      <w:r>
        <w:t xml:space="preserve"> </w:t>
      </w:r>
      <w:r>
        <w:t xml:space="preserve">(output relative to a combined bundle of inputs — labour, capital, materials). A frequently tested subtlety:</w:t>
      </w:r>
      <w:r>
        <w:t xml:space="preserve"> </w:t>
      </w:r>
      <w:r>
        <w:rPr>
          <w:bCs/>
          <w:b/>
        </w:rPr>
        <w:t xml:space="preserve">higher output alone does not prove higher productivity</w:t>
      </w:r>
      <w:r>
        <w:t xml:space="preserve"> </w:t>
      </w:r>
      <w:r>
        <w:t xml:space="preserve">— if inputs grew even faster than output, productivity has actually fallen, even though the raw output number looks larger. Always check the</w:t>
      </w:r>
      <w:r>
        <w:t xml:space="preserve"> </w:t>
      </w:r>
      <w:r>
        <w:rPr>
          <w:iCs/>
          <w:i/>
        </w:rPr>
        <w:t xml:space="preserve">ratio</w:t>
      </w:r>
      <w:r>
        <w:t xml:space="preserve">, not just the numerator.</w:t>
      </w:r>
    </w:p>
    <w:p>
      <w:pPr>
        <w:pStyle w:val="BodyText"/>
      </w:pPr>
      <w:r>
        <w:rPr>
          <w:bCs/>
          <w:b/>
        </w:rPr>
        <w:t xml:space="preserve">Goods versus services</w:t>
      </w:r>
      <w:r>
        <w:t xml:space="preserve">, another point the syllabus asks to be able to state clearly: services are typically more</w:t>
      </w:r>
      <w:r>
        <w:t xml:space="preserve"> </w:t>
      </w:r>
      <w:r>
        <w:rPr>
          <w:bCs/>
          <w:b/>
        </w:rPr>
        <w:t xml:space="preserve">intangible</w:t>
      </w:r>
      <w:r>
        <w:t xml:space="preserve"> </w:t>
      </w:r>
      <w:r>
        <w:t xml:space="preserve">(cannot be touched or inventoried in advance), involve higher</w:t>
      </w:r>
      <w:r>
        <w:t xml:space="preserve"> </w:t>
      </w:r>
      <w:r>
        <w:rPr>
          <w:bCs/>
          <w:b/>
        </w:rPr>
        <w:t xml:space="preserve">customer contact</w:t>
      </w:r>
      <w:r>
        <w:t xml:space="preserve"> </w:t>
      </w:r>
      <w:r>
        <w:t xml:space="preserve">(the customer is often present during production itself, unlike a factory where production and consumption are separated in time), and are harder to store — a haircut or a diagnosis cannot be manufactured in advance and held in a warehouse for later sale, unlike a physical good.</w:t>
      </w:r>
    </w:p>
    <w:bookmarkEnd w:id="85"/>
    <w:bookmarkStart w:id="86" w:name="X3e7af536f307e41bc38d5b607c58c889cb594e1"/>
    <w:p>
      <w:pPr>
        <w:pStyle w:val="Heading2"/>
      </w:pPr>
      <w:r>
        <w:rPr>
          <w:rStyle w:val="SectionNumber"/>
        </w:rPr>
        <w:t xml:space="preserve">6.3</w:t>
      </w:r>
      <w:r>
        <w:tab/>
      </w:r>
      <w:r>
        <w:t xml:space="preserve">Operations Strategy in a Global Environment</w:t>
      </w:r>
    </w:p>
    <w:p>
      <w:pPr>
        <w:pStyle w:val="FirstParagraph"/>
      </w:pPr>
      <w:r>
        <w:t xml:space="preserve">Operations strategy is the process of deciding how processes, capacity, quality, sourcing, and technology will be organized to support the organization’s overall competitive strategy (recall Porter’s generic strategies from the Management unit above — operations strategy is how those broad strategic choices get translated into concrete process and capacity decisions). It typically converts a small set of</w:t>
      </w:r>
      <w:r>
        <w:t xml:space="preserve"> </w:t>
      </w:r>
      <w:r>
        <w:rPr>
          <w:bCs/>
          <w:b/>
        </w:rPr>
        <w:t xml:space="preserve">competitive priorities</w:t>
      </w:r>
      <w:r>
        <w:t xml:space="preserve"> </w:t>
      </w:r>
      <w:r>
        <w:t xml:space="preserve">— cost, quality, speed/delivery, dependability, and flexibility — into specific process and capacity choices.</w:t>
      </w:r>
    </w:p>
    <w:p>
      <w:pPr>
        <w:pStyle w:val="BodyText"/>
      </w:pPr>
      <w:r>
        <w:t xml:space="preserve">Two vocabulary terms recur throughout this and the following topics:</w:t>
      </w:r>
    </w:p>
    <w:p>
      <w:pPr>
        <w:numPr>
          <w:ilvl w:val="0"/>
          <w:numId w:val="1052"/>
        </w:numPr>
        <w:pStyle w:val="Compact"/>
      </w:pPr>
      <w:r>
        <w:rPr>
          <w:bCs/>
          <w:b/>
        </w:rPr>
        <w:t xml:space="preserve">Core competencies</w:t>
      </w:r>
      <w:r>
        <w:t xml:space="preserve"> </w:t>
      </w:r>
      <w:r>
        <w:t xml:space="preserve">are the distinctive capabilities an organization performs especially well, and which competitors find difficult to imitate — these become the basis of sustainable competitive advantage.</w:t>
      </w:r>
    </w:p>
    <w:p>
      <w:pPr>
        <w:numPr>
          <w:ilvl w:val="0"/>
          <w:numId w:val="1052"/>
        </w:numPr>
        <w:pStyle w:val="Compact"/>
      </w:pPr>
      <w:r>
        <w:rPr>
          <w:bCs/>
          <w:b/>
        </w:rPr>
        <w:t xml:space="preserve">Critical success factors</w:t>
      </w:r>
      <w:r>
        <w:t xml:space="preserve"> </w:t>
      </w:r>
      <w:r>
        <w:t xml:space="preserve">are the specific areas in which the organization</w:t>
      </w:r>
      <w:r>
        <w:t xml:space="preserve"> </w:t>
      </w:r>
      <w:r>
        <w:rPr>
          <w:iCs/>
          <w:i/>
        </w:rPr>
        <w:t xml:space="preserve">must</w:t>
      </w:r>
      <w:r>
        <w:t xml:space="preserve"> </w:t>
      </w:r>
      <w:r>
        <w:t xml:space="preserve">perform well for its overall strategy to succeed, whether or not that area happens to be a core competency yet.</w:t>
      </w:r>
    </w:p>
    <w:bookmarkEnd w:id="86"/>
    <w:bookmarkStart w:id="87" w:name="process-strategy"/>
    <w:p>
      <w:pPr>
        <w:pStyle w:val="Heading2"/>
      </w:pPr>
      <w:r>
        <w:rPr>
          <w:rStyle w:val="SectionNumber"/>
        </w:rPr>
        <w:t xml:space="preserve">6.4</w:t>
      </w:r>
      <w:r>
        <w:tab/>
      </w:r>
      <w:r>
        <w:t xml:space="preserve">Process Strategy</w:t>
      </w:r>
    </w:p>
    <w:p>
      <w:pPr>
        <w:pStyle w:val="FirstParagraph"/>
      </w:pPr>
      <w:r>
        <w:t xml:space="preserve">Process strategy decides how work will actually be organized to produce outputs, and the syllabus asks for a spectrum from high-variety/low-volume to low-variety/high-volume production:</w:t>
      </w:r>
    </w:p>
    <w:p>
      <w:pPr>
        <w:numPr>
          <w:ilvl w:val="0"/>
          <w:numId w:val="1053"/>
        </w:numPr>
        <w:pStyle w:val="Compact"/>
      </w:pPr>
      <w:r>
        <w:rPr>
          <w:bCs/>
          <w:b/>
        </w:rPr>
        <w:t xml:space="preserve">Process-focused (job-shop) systems</w:t>
      </w:r>
      <w:r>
        <w:t xml:space="preserve"> </w:t>
      </w:r>
      <w:r>
        <w:t xml:space="preserve">handle high product variety and comparatively low volume, using flexible, general-purpose resources that can be reconfigured for different jobs (a custom furniture workshop, a specialized print shop).</w:t>
      </w:r>
    </w:p>
    <w:p>
      <w:pPr>
        <w:numPr>
          <w:ilvl w:val="0"/>
          <w:numId w:val="1053"/>
        </w:numPr>
        <w:pStyle w:val="Compact"/>
      </w:pPr>
      <w:r>
        <w:rPr>
          <w:bCs/>
          <w:b/>
        </w:rPr>
        <w:t xml:space="preserve">Repetitive (assembly-line) systems</w:t>
      </w:r>
      <w:r>
        <w:t xml:space="preserve"> </w:t>
      </w:r>
      <w:r>
        <w:t xml:space="preserve">sit between the two extremes — a standardized sequence of modules assembled in a fixed flow (an automobile assembly line producing several model variants on the same line).</w:t>
      </w:r>
    </w:p>
    <w:p>
      <w:pPr>
        <w:numPr>
          <w:ilvl w:val="0"/>
          <w:numId w:val="1053"/>
        </w:numPr>
        <w:pStyle w:val="Compact"/>
      </w:pPr>
      <w:r>
        <w:rPr>
          <w:bCs/>
          <w:b/>
        </w:rPr>
        <w:t xml:space="preserve">Product-focused (continuous-flow) systems</w:t>
      </w:r>
      <w:r>
        <w:t xml:space="preserve"> </w:t>
      </w:r>
      <w:r>
        <w:t xml:space="preserve">handle high volume and low variety, using specialized, dedicated equipment arranged in a fixed flow (an oil refinery, a bottling plant).</w:t>
      </w:r>
    </w:p>
    <w:p>
      <w:pPr>
        <w:numPr>
          <w:ilvl w:val="0"/>
          <w:numId w:val="1053"/>
        </w:numPr>
        <w:pStyle w:val="Compact"/>
      </w:pPr>
      <w:r>
        <w:rPr>
          <w:bCs/>
          <w:b/>
        </w:rPr>
        <w:t xml:space="preserve">Mass customization</w:t>
      </w:r>
      <w:r>
        <w:t xml:space="preserve"> </w:t>
      </w:r>
      <w:r>
        <w:t xml:space="preserve">attempts to combine the best of both extremes — achieving product variety approaching that of a job shop, at a cost and speed approaching that of continuous, high-volume production — typically enabled by modular design and flexible, reconfigurable technology.</w:t>
      </w:r>
    </w:p>
    <w:p>
      <w:pPr>
        <w:pStyle w:val="FirstParagraph"/>
      </w:pPr>
      <w:r>
        <w:rPr>
          <w:bCs/>
          <w:b/>
        </w:rPr>
        <w:t xml:space="preserve">Process maps and flow diagrams</w:t>
      </w:r>
      <w:r>
        <w:t xml:space="preserve"> </w:t>
      </w:r>
      <w:r>
        <w:t xml:space="preserve">— visual representations of the sequence of steps a process goes through — are the standard practical tool for identifying delay, duplication, and bottlenecks in an existing process, and are a natural bridge into the next topic.</w:t>
      </w:r>
    </w:p>
    <w:bookmarkEnd w:id="87"/>
    <w:bookmarkStart w:id="88" w:name="process-re-engineering"/>
    <w:p>
      <w:pPr>
        <w:pStyle w:val="Heading2"/>
      </w:pPr>
      <w:r>
        <w:rPr>
          <w:rStyle w:val="SectionNumber"/>
        </w:rPr>
        <w:t xml:space="preserve">6.5</w:t>
      </w:r>
      <w:r>
        <w:tab/>
      </w:r>
      <w:r>
        <w:t xml:space="preserve">Process Re-engineering</w:t>
      </w:r>
    </w:p>
    <w:p>
      <w:pPr>
        <w:pStyle w:val="FirstParagraph"/>
      </w:pPr>
      <w:r>
        <w:t xml:space="preserve">Business process re-engineering (BPR) means the fundamental, radical redesign of a major business process — typically examined end-to-end, from the original customer need through to the delivered result — in order to achieve dramatic improvements in cost, quality, service, or speed. The critical distinguishing feature, and a frequently tested point, is that BPR asks whether the entire process should be</w:t>
      </w:r>
      <w:r>
        <w:t xml:space="preserve"> </w:t>
      </w:r>
      <w:r>
        <w:rPr>
          <w:bCs/>
          <w:b/>
        </w:rPr>
        <w:t xml:space="preserve">redesigned from the ground up</w:t>
      </w:r>
      <w:r>
        <w:t xml:space="preserve">, rather than merely improved incrementally step by step, which is the domain of continuous improvement approaches instead. Re-engineering is therefore higher-risk and higher-reward than incremental improvement: it can produce order-of-magnitude gains, but it also disrupts established roles, systems, and routines far more severely, and carries a correspondingly higher risk of implementation failure.</w:t>
      </w:r>
    </w:p>
    <w:bookmarkEnd w:id="88"/>
    <w:bookmarkStart w:id="90" w:name="capacity-planning"/>
    <w:p>
      <w:pPr>
        <w:pStyle w:val="Heading2"/>
      </w:pPr>
      <w:r>
        <w:rPr>
          <w:rStyle w:val="SectionNumber"/>
        </w:rPr>
        <w:t xml:space="preserve">6.6</w:t>
      </w:r>
      <w:r>
        <w:tab/>
      </w:r>
      <w:r>
        <w:t xml:space="preserve">Capacity Planning</w:t>
      </w:r>
    </w:p>
    <w:p>
      <w:pPr>
        <w:pStyle w:val="FirstParagraph"/>
      </w:pPr>
      <w:r>
        <w:t xml:space="preserve">Three related capacity concepts must be kept distinct:</w:t>
      </w:r>
    </w:p>
    <w:p>
      <w:pPr>
        <w:numPr>
          <w:ilvl w:val="0"/>
          <w:numId w:val="1054"/>
        </w:numPr>
        <w:pStyle w:val="Compact"/>
      </w:pPr>
      <w:r>
        <w:rPr>
          <w:bCs/>
          <w:b/>
        </w:rPr>
        <w:t xml:space="preserve">Design capacity</w:t>
      </w:r>
      <w:r>
        <w:t xml:space="preserve"> </w:t>
      </w:r>
      <w:r>
        <w:t xml:space="preserve">is the theoretical maximum output rate achievable under ideal conditions.</w:t>
      </w:r>
    </w:p>
    <w:p>
      <w:pPr>
        <w:numPr>
          <w:ilvl w:val="0"/>
          <w:numId w:val="1054"/>
        </w:numPr>
        <w:pStyle w:val="Compact"/>
      </w:pPr>
      <w:r>
        <w:rPr>
          <w:bCs/>
          <w:b/>
        </w:rPr>
        <w:t xml:space="preserve">Effective capacity</w:t>
      </w:r>
      <w:r>
        <w:t xml:space="preserve"> </w:t>
      </w:r>
      <w:r>
        <w:t xml:space="preserve">is the maximum output realistically achievable given practical constraints (maintenance schedules, quality requirements, scheduling difficulty) — always less than or equal to design capacity.</w:t>
      </w:r>
    </w:p>
    <w:p>
      <w:pPr>
        <w:numPr>
          <w:ilvl w:val="0"/>
          <w:numId w:val="1054"/>
        </w:numPr>
        <w:pStyle w:val="Compact"/>
      </w:pPr>
      <w:r>
        <w:rPr>
          <w:bCs/>
          <w:b/>
        </w:rPr>
        <w:t xml:space="preserve">Actual output</w:t>
      </w:r>
      <w:r>
        <w:t xml:space="preserve"> </w:t>
      </w:r>
      <w:r>
        <w:t xml:space="preserve">is what was really produced, which may fall further below effective capacity due to unplanned disruptions.</w:t>
      </w:r>
    </w:p>
    <w:p>
      <w:pPr>
        <w:pStyle w:val="FirstParagraph"/>
      </w:pPr>
      <w:r>
        <w:t xml:space="preserve">From these,</w:t>
      </w:r>
      <w:r>
        <w:t xml:space="preserve"> </w:t>
      </w:r>
      <w:r>
        <w:rPr>
          <w:bCs/>
          <w:b/>
        </w:rPr>
        <w:t xml:space="preserve">utilization</w:t>
      </w:r>
      <w:r>
        <w:t xml:space="preserve"> </w:t>
      </w:r>
      <w:r>
        <w:t xml:space="preserve">= actual output ÷ design capacity, and</w:t>
      </w:r>
      <w:r>
        <w:t xml:space="preserve"> </w:t>
      </w:r>
      <w:r>
        <w:rPr>
          <w:bCs/>
          <w:b/>
        </w:rPr>
        <w:t xml:space="preserve">efficiency</w:t>
      </w:r>
      <w:r>
        <w:t xml:space="preserve"> </w:t>
      </w:r>
      <w:r>
        <w:t xml:space="preserve">= actual output ÷ effective capacity — note the different denominators, a distinction the exam frequently probes.</w:t>
      </w:r>
    </w:p>
    <w:p>
      <w:pPr>
        <w:pStyle w:val="BodyText"/>
      </w:pPr>
      <w:r>
        <w:t xml:space="preserve">A</w:t>
      </w:r>
      <w:r>
        <w:t xml:space="preserve"> </w:t>
      </w:r>
      <w:r>
        <w:rPr>
          <w:bCs/>
          <w:b/>
        </w:rPr>
        <w:t xml:space="preserve">bottleneck</w:t>
      </w:r>
      <w:r>
        <w:t xml:space="preserve"> </w:t>
      </w:r>
      <w:r>
        <w:t xml:space="preserve">is the process stage whose limited capacity constrains the flow of the entire system — the overall system’s capacity can never exceed its slowest, most constrained stage, no matter how much spare capacity exists elsewhere.</w:t>
      </w:r>
    </w:p>
    <w:bookmarkStart w:id="89" w:name="break-even-analysis"/>
    <w:p>
      <w:pPr>
        <w:pStyle w:val="Heading3"/>
      </w:pPr>
      <w:r>
        <w:rPr>
          <w:rStyle w:val="SectionNumber"/>
        </w:rPr>
        <w:t xml:space="preserve">6.6.1</w:t>
      </w:r>
      <w:r>
        <w:tab/>
      </w:r>
      <w:r>
        <w:t xml:space="preserve">Break-even analysis</w:t>
      </w:r>
    </w:p>
    <w:p>
      <w:pPr>
        <w:pStyle w:val="FirstParagraph"/>
      </w:pPr>
      <w:r>
        <w:t xml:space="preserve">The single-product break-even formula is:</w:t>
      </w:r>
    </w:p>
    <w:p>
      <w:pPr>
        <w:pStyle w:val="BodyText"/>
      </w:pPr>
      <w:r>
        <w:rPr>
          <w:bCs/>
          <w:b/>
        </w:rPr>
        <w:t xml:space="preserve">Q = Fixed Cost ÷ (Price − Variable Cost per unit)</w:t>
      </w:r>
    </w:p>
    <w:p>
      <w:pPr>
        <w:pStyle w:val="BodyText"/>
      </w:pPr>
      <w:r>
        <w:t xml:space="preserve">where (Price − Variable Cost per unit) is the</w:t>
      </w:r>
      <w:r>
        <w:t xml:space="preserve"> </w:t>
      </w:r>
      <w:r>
        <w:rPr>
          <w:bCs/>
          <w:b/>
        </w:rPr>
        <w:t xml:space="preserve">contribution margin per unit</w:t>
      </w:r>
      <w:r>
        <w:t xml:space="preserve"> </w:t>
      </w:r>
      <w:r>
        <w:t xml:space="preserve">— the amount each unit sold contributes toward covering fixed costs, after its own variable cost is deducted.</w:t>
      </w:r>
    </w:p>
    <w:p>
      <w:pPr>
        <w:pStyle w:val="BodyText"/>
      </w:pPr>
      <w:r>
        <w:rPr>
          <w:bCs/>
          <w:b/>
        </w:rPr>
        <w:t xml:space="preserve">Worked example:</w:t>
      </w:r>
      <w:r>
        <w:t xml:space="preserve"> </w:t>
      </w:r>
      <w:r>
        <w:t xml:space="preserve">A small bakery has fixed monthly costs (rent, basic salaried staff) of Rs 60,000. Each cake sells for Rs 500 and has a variable cost (ingredients, packaging) of Rs 300, giving a contribution margin of Rs 200 per cake. Break-even quantity Q = 60,000 ÷ 200 = 300 cakes per month — below 300 cakes, the bakery makes a loss; above 300, each additional cake contributes Rs 200 toward profit.</w:t>
      </w:r>
    </w:p>
    <w:bookmarkEnd w:id="89"/>
    <w:bookmarkEnd w:id="90"/>
    <w:bookmarkStart w:id="91" w:name="location-strategies"/>
    <w:p>
      <w:pPr>
        <w:pStyle w:val="Heading2"/>
      </w:pPr>
      <w:r>
        <w:rPr>
          <w:rStyle w:val="SectionNumber"/>
        </w:rPr>
        <w:t xml:space="preserve">6.7</w:t>
      </w:r>
      <w:r>
        <w:tab/>
      </w:r>
      <w:r>
        <w:t xml:space="preserve">Location Strategies</w:t>
      </w:r>
    </w:p>
    <w:p>
      <w:pPr>
        <w:pStyle w:val="FirstParagraph"/>
      </w:pPr>
      <w:r>
        <w:t xml:space="preserve">Location is a long-term, high-switching-cost decision, because relocating a facility is expensive and disruptive, and location choices directly affect access to customers, labour, suppliers, transportation networks, utilities, operating costs, risk exposure, and regulatory environment.</w:t>
      </w:r>
      <w:r>
        <w:t xml:space="preserve"> </w:t>
      </w:r>
      <w:r>
        <w:rPr>
          <w:bCs/>
          <w:b/>
        </w:rPr>
        <w:t xml:space="preserve">Manufacturing location</w:t>
      </w:r>
      <w:r>
        <w:t xml:space="preserve"> </w:t>
      </w:r>
      <w:r>
        <w:t xml:space="preserve">decisions often weigh cost and logistics factors most heavily (transportation cost to move materials in and finished goods out, land and labour cost);</w:t>
      </w:r>
      <w:r>
        <w:t xml:space="preserve"> </w:t>
      </w:r>
      <w:r>
        <w:rPr>
          <w:bCs/>
          <w:b/>
        </w:rPr>
        <w:t xml:space="preserve">service location</w:t>
      </w:r>
      <w:r>
        <w:t xml:space="preserve"> </w:t>
      </w:r>
      <w:r>
        <w:t xml:space="preserve">decisions typically weight customer access and local demand more heavily, since many services must be produced close to, or in the presence of, the customer. Location alternatives are typically compared using both</w:t>
      </w:r>
      <w:r>
        <w:t xml:space="preserve"> </w:t>
      </w:r>
      <w:r>
        <w:rPr>
          <w:bCs/>
          <w:b/>
        </w:rPr>
        <w:t xml:space="preserve">quantitative methods</w:t>
      </w:r>
      <w:r>
        <w:t xml:space="preserve"> </w:t>
      </w:r>
      <w:r>
        <w:t xml:space="preserve">(cost comparisons, the weighted-factor rating method, the centre-of-gravity method for minimizing transport distance) and</w:t>
      </w:r>
      <w:r>
        <w:t xml:space="preserve"> </w:t>
      </w:r>
      <w:r>
        <w:rPr>
          <w:bCs/>
          <w:b/>
        </w:rPr>
        <w:t xml:space="preserve">qualitative factors</w:t>
      </w:r>
      <w:r>
        <w:t xml:space="preserve"> </w:t>
      </w:r>
      <w:r>
        <w:t xml:space="preserve">(political stability, regulatory environment, quality of life for staff) that resist simple numerical comparison but still materially affect the decision.</w:t>
      </w:r>
    </w:p>
    <w:bookmarkEnd w:id="91"/>
    <w:bookmarkStart w:id="92" w:name="layout-strategies"/>
    <w:p>
      <w:pPr>
        <w:pStyle w:val="Heading2"/>
      </w:pPr>
      <w:r>
        <w:rPr>
          <w:rStyle w:val="SectionNumber"/>
        </w:rPr>
        <w:t xml:space="preserve">6.8</w:t>
      </w:r>
      <w:r>
        <w:tab/>
      </w:r>
      <w:r>
        <w:t xml:space="preserve">Layout Strategies</w:t>
      </w:r>
    </w:p>
    <w:p>
      <w:pPr>
        <w:pStyle w:val="FirstParagraph"/>
      </w:pPr>
      <w:r>
        <w:t xml:space="preserve">Layout decisions arrange people, machines, departments, and material movement within a facility, and the choice of layout should follow directly from the process strategy chosen above:</w:t>
      </w:r>
    </w:p>
    <w:p>
      <w:pPr>
        <w:numPr>
          <w:ilvl w:val="0"/>
          <w:numId w:val="1055"/>
        </w:numPr>
        <w:pStyle w:val="Compact"/>
      </w:pPr>
      <w:r>
        <w:rPr>
          <w:bCs/>
          <w:b/>
        </w:rPr>
        <w:t xml:space="preserve">Product/line layout</w:t>
      </w:r>
      <w:r>
        <w:t xml:space="preserve"> </w:t>
      </w:r>
      <w:r>
        <w:t xml:space="preserve">arranges resources in the sequence that production actually follows — suited to product-focused, high-volume, low-variety operations.</w:t>
      </w:r>
    </w:p>
    <w:p>
      <w:pPr>
        <w:numPr>
          <w:ilvl w:val="0"/>
          <w:numId w:val="1055"/>
        </w:numPr>
        <w:pStyle w:val="Compact"/>
      </w:pPr>
      <w:r>
        <w:rPr>
          <w:bCs/>
          <w:b/>
        </w:rPr>
        <w:t xml:space="preserve">Process/functional layout</w:t>
      </w:r>
      <w:r>
        <w:t xml:space="preserve"> </w:t>
      </w:r>
      <w:r>
        <w:t xml:space="preserve">groups similar activities or equipment together (all X-ray machines in one area of a hospital, all lathes in one area of a workshop) — suited to process-focused, high-variety, low-volume operations, since it gives flexibility to route different jobs through the equipment they specifically need.</w:t>
      </w:r>
    </w:p>
    <w:p>
      <w:pPr>
        <w:numPr>
          <w:ilvl w:val="0"/>
          <w:numId w:val="1055"/>
        </w:numPr>
        <w:pStyle w:val="Compact"/>
      </w:pPr>
      <w:r>
        <w:rPr>
          <w:bCs/>
          <w:b/>
        </w:rPr>
        <w:t xml:space="preserve">Fixed-position layout</w:t>
      </w:r>
      <w:r>
        <w:t xml:space="preserve"> </w:t>
      </w:r>
      <w:r>
        <w:t xml:space="preserve">keeps the product stationary while people, equipment, and materials move to it — used when the product is too large or immobile to move (shipbuilding, major construction projects, aircraft assembly).</w:t>
      </w:r>
    </w:p>
    <w:p>
      <w:pPr>
        <w:numPr>
          <w:ilvl w:val="0"/>
          <w:numId w:val="1055"/>
        </w:numPr>
        <w:pStyle w:val="Compact"/>
      </w:pPr>
      <w:r>
        <w:rPr>
          <w:bCs/>
          <w:b/>
        </w:rPr>
        <w:t xml:space="preserve">Cellular layout</w:t>
      </w:r>
      <w:r>
        <w:t xml:space="preserve"> </w:t>
      </w:r>
      <w:r>
        <w:t xml:space="preserve">groups the resources needed to produce a</w:t>
      </w:r>
      <w:r>
        <w:t xml:space="preserve"> </w:t>
      </w:r>
      <w:r>
        <w:rPr>
          <w:iCs/>
          <w:i/>
        </w:rPr>
        <w:t xml:space="preserve">family</w:t>
      </w:r>
      <w:r>
        <w:t xml:space="preserve"> </w:t>
      </w:r>
      <w:r>
        <w:t xml:space="preserve">of similar products or tasks into a self-contained</w:t>
      </w:r>
      <w:r>
        <w:t xml:space="preserve"> </w:t>
      </w:r>
      <w:r>
        <w:t xml:space="preserve">“</w:t>
      </w:r>
      <w:r>
        <w:t xml:space="preserve">cell,</w:t>
      </w:r>
      <w:r>
        <w:t xml:space="preserve">”</w:t>
      </w:r>
      <w:r>
        <w:t xml:space="preserve"> </w:t>
      </w:r>
      <w:r>
        <w:t xml:space="preserve">combining some of the flow efficiency of product layout with some of the flexibility of process layout for moderate-variety, moderate-volume production.</w:t>
      </w:r>
    </w:p>
    <w:bookmarkEnd w:id="92"/>
    <w:bookmarkStart w:id="94" w:name="inventory-management"/>
    <w:p>
      <w:pPr>
        <w:pStyle w:val="Heading2"/>
      </w:pPr>
      <w:r>
        <w:rPr>
          <w:rStyle w:val="SectionNumber"/>
        </w:rPr>
        <w:t xml:space="preserve">6.9</w:t>
      </w:r>
      <w:r>
        <w:tab/>
      </w:r>
      <w:r>
        <w:t xml:space="preserve">Inventory Management</w:t>
      </w:r>
    </w:p>
    <w:p>
      <w:pPr>
        <w:pStyle w:val="FirstParagraph"/>
      </w:pPr>
      <w:r>
        <w:t xml:space="preserve">Inventory serves as a buffer against uncertainty and supports smooth operations, but it also ties up working capital and creates holding, storage, and obsolescence costs — inventory management is fundamentally about balancing these two competing pressures. Three inventory types are commonly distinguished:</w:t>
      </w:r>
    </w:p>
    <w:p>
      <w:pPr>
        <w:numPr>
          <w:ilvl w:val="0"/>
          <w:numId w:val="1056"/>
        </w:numPr>
        <w:pStyle w:val="Compact"/>
      </w:pPr>
      <w:r>
        <w:rPr>
          <w:bCs/>
          <w:b/>
        </w:rPr>
        <w:t xml:space="preserve">Cycle inventory</w:t>
      </w:r>
      <w:r>
        <w:t xml:space="preserve"> </w:t>
      </w:r>
      <w:r>
        <w:t xml:space="preserve">arises simply from ordering or producing in batches rather than continuously (the average inventory level that results from replenishing in periodic lots).</w:t>
      </w:r>
    </w:p>
    <w:p>
      <w:pPr>
        <w:numPr>
          <w:ilvl w:val="0"/>
          <w:numId w:val="1056"/>
        </w:numPr>
        <w:pStyle w:val="Compact"/>
      </w:pPr>
      <w:r>
        <w:rPr>
          <w:bCs/>
          <w:b/>
        </w:rPr>
        <w:t xml:space="preserve">Safety stock</w:t>
      </w:r>
      <w:r>
        <w:t xml:space="preserve"> </w:t>
      </w:r>
      <w:r>
        <w:t xml:space="preserve">is extra inventory held specifically to protect against uncertainty in demand or supply lead time.</w:t>
      </w:r>
    </w:p>
    <w:p>
      <w:pPr>
        <w:numPr>
          <w:ilvl w:val="0"/>
          <w:numId w:val="1056"/>
        </w:numPr>
        <w:pStyle w:val="Compact"/>
      </w:pPr>
      <w:r>
        <w:rPr>
          <w:bCs/>
          <w:b/>
        </w:rPr>
        <w:t xml:space="preserve">Pipeline (in-transit) inventory</w:t>
      </w:r>
      <w:r>
        <w:t xml:space="preserve"> </w:t>
      </w:r>
      <w:r>
        <w:t xml:space="preserve">is inventory that has left one location but has not yet arrived at the next — goods currently on a truck or ship, for example.</w:t>
      </w:r>
    </w:p>
    <w:bookmarkStart w:id="93" w:name="the-economic-order-quantity-eoq-model"/>
    <w:p>
      <w:pPr>
        <w:pStyle w:val="Heading3"/>
      </w:pPr>
      <w:r>
        <w:rPr>
          <w:rStyle w:val="SectionNumber"/>
        </w:rPr>
        <w:t xml:space="preserve">6.9.1</w:t>
      </w:r>
      <w:r>
        <w:tab/>
      </w:r>
      <w:r>
        <w:t xml:space="preserve">The Economic Order Quantity (EOQ) model</w:t>
      </w:r>
    </w:p>
    <w:p>
      <w:pPr>
        <w:pStyle w:val="FirstParagraph"/>
      </w:pPr>
      <w:r>
        <w:t xml:space="preserve">EOQ finds the order quantity that minimizes the sum of ordering costs (which fall as order size increases, since fewer orders are placed per year) and holding costs (which rise as order size increases, since larger average inventory must be held) under a set of simplifying assumptions (constant, known demand; constant lead time; no quantity discounts):</w:t>
      </w:r>
    </w:p>
    <w:p>
      <w:pPr>
        <w:pStyle w:val="BodyText"/>
      </w:pPr>
      <w:r>
        <w:rPr>
          <w:bCs/>
          <w:b/>
        </w:rPr>
        <w:t xml:space="preserve">EOQ = √(2DS / H)</w:t>
      </w:r>
    </w:p>
    <w:p>
      <w:pPr>
        <w:pStyle w:val="BodyText"/>
      </w:pPr>
      <w:r>
        <w:t xml:space="preserve">where D is annual demand, S is the fixed cost per order, and H is the annual holding cost per unit.</w:t>
      </w:r>
    </w:p>
    <w:p>
      <w:pPr>
        <w:pStyle w:val="BodyText"/>
      </w:pPr>
      <w:r>
        <w:t xml:space="preserve">Beyond the order quantity itself, the</w:t>
      </w:r>
      <w:r>
        <w:t xml:space="preserve"> </w:t>
      </w:r>
      <w:r>
        <w:rPr>
          <w:bCs/>
          <w:b/>
        </w:rPr>
        <w:t xml:space="preserve">reorder point</w:t>
      </w:r>
      <w:r>
        <w:t xml:space="preserve"> </w:t>
      </w:r>
      <w:r>
        <w:t xml:space="preserve">— when to place the next order — depends on expected demand during the supplier’s lead time, plus any safety stock held to protect against uncertainty in that demand or lead time; a higher desired</w:t>
      </w:r>
      <w:r>
        <w:t xml:space="preserve"> </w:t>
      </w:r>
      <w:r>
        <w:rPr>
          <w:bCs/>
          <w:b/>
        </w:rPr>
        <w:t xml:space="preserve">service level</w:t>
      </w:r>
      <w:r>
        <w:t xml:space="preserve"> </w:t>
      </w:r>
      <w:r>
        <w:t xml:space="preserve">(the probability of not running out of stock before the next delivery arrives) requires holding more safety stock, at a higher holding cost — another direct cost/service trade-off, echoing the efficiency/responsiveness trade-off that recurs throughout this unit.</w:t>
      </w:r>
    </w:p>
    <w:bookmarkEnd w:id="93"/>
    <w:bookmarkEnd w:id="94"/>
    <w:bookmarkStart w:id="95" w:name="X29e7501b452e6dbcd3047ddff60803a3ddfe3ea"/>
    <w:p>
      <w:pPr>
        <w:pStyle w:val="Heading2"/>
      </w:pPr>
      <w:r>
        <w:rPr>
          <w:rStyle w:val="SectionNumber"/>
        </w:rPr>
        <w:t xml:space="preserve">6.10</w:t>
      </w:r>
      <w:r>
        <w:tab/>
      </w:r>
      <w:r>
        <w:t xml:space="preserve">Introduction to Supply Chain Management and Logistics</w:t>
      </w:r>
    </w:p>
    <w:p>
      <w:pPr>
        <w:pStyle w:val="FirstParagraph"/>
      </w:pPr>
      <w:r>
        <w:t xml:space="preserve">A</w:t>
      </w:r>
      <w:r>
        <w:t xml:space="preserve"> </w:t>
      </w:r>
      <w:r>
        <w:rPr>
          <w:bCs/>
          <w:b/>
        </w:rPr>
        <w:t xml:space="preserve">supply chain</w:t>
      </w:r>
      <w:r>
        <w:t xml:space="preserve"> </w:t>
      </w:r>
      <w:r>
        <w:t xml:space="preserve">encompasses the flows of materials, information, and money connecting upstream suppliers all the way through to final customers.</w:t>
      </w:r>
      <w:r>
        <w:t xml:space="preserve"> </w:t>
      </w:r>
      <w:r>
        <w:rPr>
          <w:bCs/>
          <w:b/>
        </w:rPr>
        <w:t xml:space="preserve">Logistics</w:t>
      </w:r>
      <w:r>
        <w:t xml:space="preserve"> </w:t>
      </w:r>
      <w:r>
        <w:t xml:space="preserve">is specifically the movement- and storage-focused part of that broader system — transportation, warehousing, and materials handling — and it is important to keep the two terms distinct: logistics is a</w:t>
      </w:r>
      <w:r>
        <w:t xml:space="preserve"> </w:t>
      </w:r>
      <w:r>
        <w:rPr>
          <w:iCs/>
          <w:i/>
        </w:rPr>
        <w:t xml:space="preserve">part</w:t>
      </w:r>
      <w:r>
        <w:t xml:space="preserve"> </w:t>
      </w:r>
      <w:r>
        <w:t xml:space="preserve">of supply chain management, not a synonym for the whole supply chain (a frequently tested point of confusion). Materials generally flow</w:t>
      </w:r>
      <w:r>
        <w:t xml:space="preserve"> </w:t>
      </w:r>
      <w:r>
        <w:rPr>
          <w:bCs/>
          <w:b/>
        </w:rPr>
        <w:t xml:space="preserve">downstream</w:t>
      </w:r>
      <w:r>
        <w:t xml:space="preserve"> </w:t>
      </w:r>
      <w:r>
        <w:t xml:space="preserve">(from raw-material supplier toward the final customer); information and money, by contrast, typically flow in</w:t>
      </w:r>
      <w:r>
        <w:t xml:space="preserve"> </w:t>
      </w:r>
      <w:r>
        <w:rPr>
          <w:bCs/>
          <w:b/>
        </w:rPr>
        <w:t xml:space="preserve">both directions</w:t>
      </w:r>
      <w:r>
        <w:t xml:space="preserve"> </w:t>
      </w:r>
      <w:r>
        <w:t xml:space="preserve">(a customer order flows upstream as information, while payment flows upstream as money, even as the physical product flows downstream). Supply-chain decisions are conventionally organized across three planning horizons:</w:t>
      </w:r>
      <w:r>
        <w:t xml:space="preserve"> </w:t>
      </w:r>
      <w:r>
        <w:rPr>
          <w:bCs/>
          <w:b/>
        </w:rPr>
        <w:t xml:space="preserve">strategic</w:t>
      </w:r>
      <w:r>
        <w:t xml:space="preserve"> </w:t>
      </w:r>
      <w:r>
        <w:t xml:space="preserve">(long-term network design — how many facilities, where),</w:t>
      </w:r>
      <w:r>
        <w:t xml:space="preserve"> </w:t>
      </w:r>
      <w:r>
        <w:rPr>
          <w:bCs/>
          <w:b/>
        </w:rPr>
        <w:t xml:space="preserve">planning/tactical</w:t>
      </w:r>
      <w:r>
        <w:t xml:space="preserve"> </w:t>
      </w:r>
      <w:r>
        <w:t xml:space="preserve">(medium-term — quarterly production and inventory plans), and</w:t>
      </w:r>
      <w:r>
        <w:t xml:space="preserve"> </w:t>
      </w:r>
      <w:r>
        <w:rPr>
          <w:bCs/>
          <w:b/>
        </w:rPr>
        <w:t xml:space="preserve">operational</w:t>
      </w:r>
      <w:r>
        <w:t xml:space="preserve"> </w:t>
      </w:r>
      <w:r>
        <w:t xml:space="preserve">(short-term, day-to-day scheduling and order fulfilment).</w:t>
      </w:r>
    </w:p>
    <w:bookmarkEnd w:id="95"/>
    <w:bookmarkStart w:id="96" w:name="X6d91b27aa8c8af92abda5a1ab099ab306d1bbfc"/>
    <w:p>
      <w:pPr>
        <w:pStyle w:val="Heading2"/>
      </w:pPr>
      <w:r>
        <w:rPr>
          <w:rStyle w:val="SectionNumber"/>
        </w:rPr>
        <w:t xml:space="preserve">6.11</w:t>
      </w:r>
      <w:r>
        <w:tab/>
      </w:r>
      <w:r>
        <w:t xml:space="preserve">Supply Chain Performance and Strategic Fit</w:t>
      </w:r>
    </w:p>
    <w:p>
      <w:pPr>
        <w:pStyle w:val="FirstParagraph"/>
      </w:pPr>
      <w:r>
        <w:rPr>
          <w:bCs/>
          <w:b/>
        </w:rPr>
        <w:t xml:space="preserve">Strategic fit</w:t>
      </w:r>
      <w:r>
        <w:t xml:space="preserve"> </w:t>
      </w:r>
      <w:r>
        <w:t xml:space="preserve">means the supply chain’s actual capabilities are matched to the competitive needs of the specific product and customer being served — there is no single</w:t>
      </w:r>
      <w:r>
        <w:t xml:space="preserve"> </w:t>
      </w:r>
      <w:r>
        <w:t xml:space="preserve">“</w:t>
      </w:r>
      <w:r>
        <w:t xml:space="preserve">best</w:t>
      </w:r>
      <w:r>
        <w:t xml:space="preserve">”</w:t>
      </w:r>
      <w:r>
        <w:t xml:space="preserve"> </w:t>
      </w:r>
      <w:r>
        <w:t xml:space="preserve">supply chain design in the abstract; the right design depends on the nature of demand and the promise being made to the customer. This is captured in the trade-off between:</w:t>
      </w:r>
    </w:p>
    <w:p>
      <w:pPr>
        <w:numPr>
          <w:ilvl w:val="0"/>
          <w:numId w:val="1057"/>
        </w:numPr>
        <w:pStyle w:val="Compact"/>
      </w:pPr>
      <w:r>
        <w:rPr>
          <w:bCs/>
          <w:b/>
        </w:rPr>
        <w:t xml:space="preserve">Efficient supply chains</w:t>
      </w:r>
      <w:r>
        <w:t xml:space="preserve">, optimized for low cost and high utilization — best suited to predictable, stable demand (a staple grocery item).</w:t>
      </w:r>
    </w:p>
    <w:p>
      <w:pPr>
        <w:numPr>
          <w:ilvl w:val="0"/>
          <w:numId w:val="1057"/>
        </w:numPr>
        <w:pStyle w:val="Compact"/>
      </w:pPr>
      <w:r>
        <w:rPr>
          <w:bCs/>
          <w:b/>
        </w:rPr>
        <w:t xml:space="preserve">Responsive supply chains</w:t>
      </w:r>
      <w:r>
        <w:t xml:space="preserve">, optimized for speed, flexibility, and the ability to handle demand uncertainty — best suited to unpredictable, fast-changing demand (a fashion item with a short selling season).</w:t>
      </w:r>
    </w:p>
    <w:p>
      <w:pPr>
        <w:pStyle w:val="FirstParagraph"/>
      </w:pPr>
      <w:r>
        <w:t xml:space="preserve">A frequent, exam-relevant error is designing an efficient (low-cost) supply chain for a product with genuinely unpredictable demand, or a highly responsive (higher-cost) supply chain for a stable, predictable product — in both cases the supply chain design does not match what the product and customer actually need, destroying rather than creating value.</w:t>
      </w:r>
    </w:p>
    <w:bookmarkEnd w:id="96"/>
    <w:bookmarkStart w:id="97" w:name="supply-chain-drivers"/>
    <w:p>
      <w:pPr>
        <w:pStyle w:val="Heading2"/>
      </w:pPr>
      <w:r>
        <w:rPr>
          <w:rStyle w:val="SectionNumber"/>
        </w:rPr>
        <w:t xml:space="preserve">6.12</w:t>
      </w:r>
      <w:r>
        <w:tab/>
      </w:r>
      <w:r>
        <w:t xml:space="preserve">Supply Chain Drivers</w:t>
      </w:r>
    </w:p>
    <w:p>
      <w:pPr>
        <w:pStyle w:val="FirstParagraph"/>
      </w:pPr>
      <w:r>
        <w:t xml:space="preserve">Six major drivers, each involving a trade-off between responsiveness and efficiency, shape overall supply chain performance:</w:t>
      </w:r>
    </w:p>
    <w:p>
      <w:pPr>
        <w:numPr>
          <w:ilvl w:val="0"/>
          <w:numId w:val="1058"/>
        </w:numPr>
        <w:pStyle w:val="Compact"/>
      </w:pPr>
      <w:r>
        <w:rPr>
          <w:bCs/>
          <w:b/>
        </w:rPr>
        <w:t xml:space="preserve">Facilities</w:t>
      </w:r>
      <w:r>
        <w:t xml:space="preserve"> </w:t>
      </w:r>
      <w:r>
        <w:t xml:space="preserve">— the physical locations where product is stored, assembled, or fabricated; more facilities generally improve responsiveness (closer to customers) at the cost of efficiency (higher fixed costs, more dispersed inventory).</w:t>
      </w:r>
    </w:p>
    <w:p>
      <w:pPr>
        <w:numPr>
          <w:ilvl w:val="0"/>
          <w:numId w:val="1058"/>
        </w:numPr>
        <w:pStyle w:val="Compact"/>
      </w:pPr>
      <w:r>
        <w:rPr>
          <w:bCs/>
          <w:b/>
        </w:rPr>
        <w:t xml:space="preserve">Inventory</w:t>
      </w:r>
      <w:r>
        <w:t xml:space="preserve"> </w:t>
      </w:r>
      <w:r>
        <w:t xml:space="preserve">— more inventory improves availability and responsiveness but ties up working capital and increases holding cost (echoing the inventory-management trade-off above).</w:t>
      </w:r>
    </w:p>
    <w:p>
      <w:pPr>
        <w:numPr>
          <w:ilvl w:val="0"/>
          <w:numId w:val="1058"/>
        </w:numPr>
        <w:pStyle w:val="Compact"/>
      </w:pPr>
      <w:r>
        <w:rPr>
          <w:bCs/>
          <w:b/>
        </w:rPr>
        <w:t xml:space="preserve">Transportation</w:t>
      </w:r>
      <w:r>
        <w:t xml:space="preserve"> </w:t>
      </w:r>
      <w:r>
        <w:t xml:space="preserve">— faster transportation modes improve responsiveness but cost more; slower modes are cheaper but less responsive.</w:t>
      </w:r>
    </w:p>
    <w:p>
      <w:pPr>
        <w:numPr>
          <w:ilvl w:val="0"/>
          <w:numId w:val="1058"/>
        </w:numPr>
        <w:pStyle w:val="Compact"/>
      </w:pPr>
      <w:r>
        <w:rPr>
          <w:bCs/>
          <w:b/>
        </w:rPr>
        <w:t xml:space="preserve">Information</w:t>
      </w:r>
      <w:r>
        <w:t xml:space="preserve"> </w:t>
      </w:r>
      <w:r>
        <w:t xml:space="preserve">— improves visibility and coordination across the chain, generally improving both efficiency and responsiveness simultaneously when used well (one of the few drivers not involving a direct trade-off).</w:t>
      </w:r>
    </w:p>
    <w:p>
      <w:pPr>
        <w:numPr>
          <w:ilvl w:val="0"/>
          <w:numId w:val="1058"/>
        </w:numPr>
        <w:pStyle w:val="Compact"/>
      </w:pPr>
      <w:r>
        <w:rPr>
          <w:bCs/>
          <w:b/>
        </w:rPr>
        <w:t xml:space="preserve">Sourcing</w:t>
      </w:r>
      <w:r>
        <w:t xml:space="preserve"> </w:t>
      </w:r>
      <w:r>
        <w:t xml:space="preserve">— the decision of who performs which activities (in-house versus outsourced, single versus multiple suppliers) shapes both cost and flexibility.</w:t>
      </w:r>
    </w:p>
    <w:p>
      <w:pPr>
        <w:numPr>
          <w:ilvl w:val="0"/>
          <w:numId w:val="1058"/>
        </w:numPr>
        <w:pStyle w:val="Compact"/>
      </w:pPr>
      <w:r>
        <w:rPr>
          <w:bCs/>
          <w:b/>
        </w:rPr>
        <w:t xml:space="preserve">Pricing</w:t>
      </w:r>
      <w:r>
        <w:t xml:space="preserve"> </w:t>
      </w:r>
      <w:r>
        <w:t xml:space="preserve">— pricing strategy can itself shape the pattern of customer demand (promotional pricing, for example, shifts demand timing), directly affecting how much responsiveness or efficiency the rest of the chain needs to provide.</w:t>
      </w:r>
    </w:p>
    <w:bookmarkEnd w:id="97"/>
    <w:bookmarkStart w:id="98" w:name="X4eaa9f8420100445127bac2b78ca10c27c7a302"/>
    <w:p>
      <w:pPr>
        <w:pStyle w:val="Heading2"/>
      </w:pPr>
      <w:r>
        <w:rPr>
          <w:rStyle w:val="SectionNumber"/>
        </w:rPr>
        <w:t xml:space="preserve">6.13</w:t>
      </w:r>
      <w:r>
        <w:tab/>
      </w:r>
      <w:r>
        <w:t xml:space="preserve">Balancing Supply and Demand: the Bullwhip Effect</w:t>
      </w:r>
    </w:p>
    <w:p>
      <w:pPr>
        <w:pStyle w:val="FirstParagraph"/>
      </w:pPr>
      <w:r>
        <w:t xml:space="preserve">The</w:t>
      </w:r>
      <w:r>
        <w:t xml:space="preserve"> </w:t>
      </w:r>
      <w:r>
        <w:rPr>
          <w:bCs/>
          <w:b/>
        </w:rPr>
        <w:t xml:space="preserve">bullwhip effect</w:t>
      </w:r>
      <w:r>
        <w:t xml:space="preserve"> </w:t>
      </w:r>
      <w:r>
        <w:t xml:space="preserve">describes how relatively small changes in actual customer demand can become progressively amplified into much larger order fluctuations as they move upstream through the supply chain, from retailer to distributor to manufacturer to raw-material supplier. Recognized causes include:</w:t>
      </w:r>
    </w:p>
    <w:p>
      <w:pPr>
        <w:numPr>
          <w:ilvl w:val="0"/>
          <w:numId w:val="1059"/>
        </w:numPr>
        <w:pStyle w:val="Compact"/>
      </w:pPr>
      <w:r>
        <w:rPr>
          <w:bCs/>
          <w:b/>
        </w:rPr>
        <w:t xml:space="preserve">Forecast updating</w:t>
      </w:r>
      <w:r>
        <w:t xml:space="preserve"> </w:t>
      </w:r>
      <w:r>
        <w:t xml:space="preserve">— each party in the chain updates its own forecast based on the orders it receives from the party immediately downstream, rather than on the true underlying end-customer demand, compounding any noise or overreaction at each step.</w:t>
      </w:r>
    </w:p>
    <w:p>
      <w:pPr>
        <w:numPr>
          <w:ilvl w:val="0"/>
          <w:numId w:val="1059"/>
        </w:numPr>
        <w:pStyle w:val="Compact"/>
      </w:pPr>
      <w:r>
        <w:rPr>
          <w:bCs/>
          <w:b/>
        </w:rPr>
        <w:t xml:space="preserve">Order batching</w:t>
      </w:r>
      <w:r>
        <w:t xml:space="preserve"> </w:t>
      </w:r>
      <w:r>
        <w:t xml:space="preserve">— parties order in batches (to save on ordering costs, echoing EOQ above) rather than continuously, creating lumpy order patterns that look like larger demand swings than actually exist at the retail level.</w:t>
      </w:r>
    </w:p>
    <w:p>
      <w:pPr>
        <w:numPr>
          <w:ilvl w:val="0"/>
          <w:numId w:val="1059"/>
        </w:numPr>
        <w:pStyle w:val="Compact"/>
      </w:pPr>
      <w:r>
        <w:rPr>
          <w:bCs/>
          <w:b/>
        </w:rPr>
        <w:t xml:space="preserve">Price promotions and shortage gaming</w:t>
      </w:r>
      <w:r>
        <w:t xml:space="preserve"> </w:t>
      </w:r>
      <w:r>
        <w:t xml:space="preserve">— a temporary price promotion causes a temporary demand spike that upstream parties may misread as a permanent trend, over-ordering in response; conversely, when a shortage is feared, downstream buyers may order more than they actually need (</w:t>
      </w:r>
      <w:r>
        <w:t xml:space="preserve">“</w:t>
      </w:r>
      <w:r>
        <w:t xml:space="preserve">gaming</w:t>
      </w:r>
      <w:r>
        <w:t xml:space="preserve">”</w:t>
      </w:r>
      <w:r>
        <w:t xml:space="preserve">) to secure supply, further distorting the true demand signal upstream.</w:t>
      </w:r>
    </w:p>
    <w:p>
      <w:pPr>
        <w:pStyle w:val="FirstParagraph"/>
      </w:pPr>
      <w:r>
        <w:rPr>
          <w:bCs/>
          <w:b/>
        </w:rPr>
        <w:t xml:space="preserve">Worked illustration:</w:t>
      </w:r>
      <w:r>
        <w:t xml:space="preserve"> </w:t>
      </w:r>
      <w:r>
        <w:t xml:space="preserve">a retailer notices a small, genuine 5% rise in weekly sales and, wanting a buffer, increases its order to the distributor by 15%</w:t>
      </w:r>
      <w:r>
        <w:t xml:space="preserve"> </w:t>
      </w:r>
      <w:r>
        <w:t xml:space="preserve">“</w:t>
      </w:r>
      <w:r>
        <w:t xml:space="preserve">just in case.</w:t>
      </w:r>
      <w:r>
        <w:t xml:space="preserve">”</w:t>
      </w:r>
      <w:r>
        <w:t xml:space="preserve"> </w:t>
      </w:r>
      <w:r>
        <w:t xml:space="preserve">The distributor, seeing what looks like a much stronger 15% demand increase, orders 30% more from the manufacturer to be safe. The manufacturer, in turn, may over-react even further — a small, real 5% signal has been amplified into an enormous swing by the time it reaches the top of the chain, even though the actual end-customer demand barely moved.</w:t>
      </w:r>
    </w:p>
    <w:p>
      <w:pPr>
        <w:pStyle w:val="BodyText"/>
      </w:pPr>
      <w:r>
        <w:rPr>
          <w:bCs/>
          <w:b/>
        </w:rPr>
        <w:t xml:space="preserve">Remedies</w:t>
      </w:r>
      <w:r>
        <w:t xml:space="preserve"> </w:t>
      </w:r>
      <w:r>
        <w:t xml:space="preserve">center on breaking the causes just listed: sharing actual point-of-sale demand data directly across the chain (so upstream parties react to real demand rather than to distorted orders), reducing batch sizes, and aligning incentives so that no single party benefits from over-ordering.</w:t>
      </w:r>
    </w:p>
    <w:bookmarkEnd w:id="98"/>
    <w:bookmarkStart w:id="99" w:name="supply-chain-coordination"/>
    <w:p>
      <w:pPr>
        <w:pStyle w:val="Heading2"/>
      </w:pPr>
      <w:r>
        <w:rPr>
          <w:rStyle w:val="SectionNumber"/>
        </w:rPr>
        <w:t xml:space="preserve">6.14</w:t>
      </w:r>
      <w:r>
        <w:tab/>
      </w:r>
      <w:r>
        <w:t xml:space="preserve">Supply Chain Coordination</w:t>
      </w:r>
    </w:p>
    <w:p>
      <w:pPr>
        <w:pStyle w:val="FirstParagraph"/>
      </w:pPr>
      <w:r>
        <w:t xml:space="preserve">Coordination means aligning decisions and incentives across otherwise-independent supply-chain partners, each of whom may have different, even conflicting, objectives.</w:t>
      </w:r>
      <w:r>
        <w:t xml:space="preserve"> </w:t>
      </w:r>
      <w:r>
        <w:rPr>
          <w:bCs/>
          <w:b/>
        </w:rPr>
        <w:t xml:space="preserve">Local optimization</w:t>
      </w:r>
      <w:r>
        <w:t xml:space="preserve"> </w:t>
      </w:r>
      <w:r>
        <w:t xml:space="preserve">— where one member of the chain improves its own individual performance (say, minimizing its own inventory cost) in a way that actually harms total chain performance (by causing stockouts or forecast distortion elsewhere) — is the central obstacle coordination tries to overcome, and is closely related to the bullwhip effect discussed above. Remedies include shared information systems, incentive alignment (structuring contracts so that what benefits one party also benefits the chain as a whole), aligned forecasting processes, joint planning, and clearly agreed service-level expectations between partners.</w:t>
      </w:r>
    </w:p>
    <w:bookmarkEnd w:id="99"/>
    <w:bookmarkStart w:id="100" w:name="Xa975ff3e105b839959925943ea86e4207432ba7"/>
    <w:p>
      <w:pPr>
        <w:pStyle w:val="Heading2"/>
      </w:pPr>
      <w:r>
        <w:rPr>
          <w:rStyle w:val="SectionNumber"/>
        </w:rPr>
        <w:t xml:space="preserve">6.15</w:t>
      </w:r>
      <w:r>
        <w:tab/>
      </w:r>
      <w:r>
        <w:t xml:space="preserve">Information Technology, CRM, and Risk in Supply Chains</w:t>
      </w:r>
    </w:p>
    <w:p>
      <w:pPr>
        <w:pStyle w:val="FirstParagraph"/>
      </w:pPr>
      <w:r>
        <w:rPr>
          <w:bCs/>
          <w:b/>
        </w:rPr>
        <w:t xml:space="preserve">Information technology</w:t>
      </w:r>
      <w:r>
        <w:t xml:space="preserve"> </w:t>
      </w:r>
      <w:r>
        <w:t xml:space="preserve">supports supply chain visibility by collecting, processing, and sharing data across the various activities of the chain — but its value depends entirely on the data being timely and accurate, and on the technology being genuinely integrated with actual operational decision-making; technology alone cannot fix an underlying process design flaw or a set of misaligned incentives (a point worth stating explicitly, since it is easy to overstate technology’s power in isolation from the organizational and process issues discussed throughout this unit).</w:t>
      </w:r>
    </w:p>
    <w:p>
      <w:pPr>
        <w:pStyle w:val="BodyText"/>
      </w:pPr>
      <w:r>
        <w:rPr>
          <w:bCs/>
          <w:b/>
        </w:rPr>
        <w:t xml:space="preserve">Customer Relationship Management (CRM)</w:t>
      </w:r>
      <w:r>
        <w:t xml:space="preserve"> </w:t>
      </w:r>
      <w:r>
        <w:t xml:space="preserve">combines customer data, processes, and interaction history so an organization can more consistently acquire, serve, retain, and understand its customers — connecting operations and supply chain decisions back to the customer-facing concerns developed further in the Marketing unit below.</w:t>
      </w:r>
    </w:p>
    <w:p>
      <w:pPr>
        <w:pStyle w:val="BodyText"/>
      </w:pPr>
      <w:r>
        <w:rPr>
          <w:bCs/>
          <w:b/>
        </w:rPr>
        <w:t xml:space="preserve">Supply-chain risk management</w:t>
      </w:r>
      <w:r>
        <w:t xml:space="preserve"> </w:t>
      </w:r>
      <w:r>
        <w:t xml:space="preserve">identifies vulnerabilities (supplier failure, transport disruption, demand volatility, quality problems, cyber incidents, or broader external shocks such as natural disasters or geopolitical disruption), assesses the likelihood and potential impact of each, and selects an appropriate combination of responses — supplier diversification, strategic buffers (inventory or capacity held in reserve), improved visibility, contingency plans, and flexible capacity — to build resilience against the risks judged most significant.</w:t>
      </w:r>
    </w:p>
    <w:p>
      <w:pPr>
        <w:pStyle w:val="BodyText"/>
      </w:pPr>
      <w:r>
        <w:rPr>
          <w:bCs/>
          <w:b/>
        </w:rPr>
        <w:t xml:space="preserve">Key takeaways for the Operations and Supply Chain Management unit</w:t>
      </w:r>
    </w:p>
    <w:p>
      <w:pPr>
        <w:numPr>
          <w:ilvl w:val="0"/>
          <w:numId w:val="1060"/>
        </w:numPr>
        <w:pStyle w:val="Compact"/>
      </w:pPr>
      <w:r>
        <w:t xml:space="preserve">Productivity is a ratio (output/input), not simply a raw output number — always check whether inputs moved as much as, or more than, output before concluding productivity rose.</w:t>
      </w:r>
    </w:p>
    <w:p>
      <w:pPr>
        <w:numPr>
          <w:ilvl w:val="0"/>
          <w:numId w:val="1060"/>
        </w:numPr>
        <w:pStyle w:val="Compact"/>
      </w:pPr>
      <w:r>
        <w:t xml:space="preserve">Design capacity, effective capacity, and actual output are three distinct benchmarks, giving two distinct ratios (utilization and efficiency) with different denominators — a frequently tested distinction.</w:t>
      </w:r>
    </w:p>
    <w:p>
      <w:pPr>
        <w:numPr>
          <w:ilvl w:val="0"/>
          <w:numId w:val="1060"/>
        </w:numPr>
        <w:pStyle w:val="Compact"/>
      </w:pPr>
      <w:r>
        <w:t xml:space="preserve">The efficiency/responsiveness trade-off recurs throughout this unit in different guises: cost-based location vs. customer-access location, inventory holding cost vs. stockout risk, and — at the whole-supply-chain level — efficient chains vs. responsive chains, matched to strategic fit with the specific product’s demand pattern.</w:t>
      </w:r>
    </w:p>
    <w:p>
      <w:pPr>
        <w:numPr>
          <w:ilvl w:val="0"/>
          <w:numId w:val="1060"/>
        </w:numPr>
        <w:pStyle w:val="Compact"/>
      </w:pPr>
      <w:r>
        <w:t xml:space="preserve">The bullwhip effect (demand amplification moving upstream) and local optimization (individually rational decisions that harm total chain performance) are the two central coordination failures this unit’s remedies — information sharing, incentive alignment, joint planning — are designed to address.</w:t>
      </w:r>
    </w:p>
    <w:p>
      <w:r>
        <w:pict>
          <v:rect style="width:0;height:1.5pt" o:hralign="center" o:hrstd="t" o:hr="t"/>
        </w:pict>
      </w:r>
    </w:p>
    <w:bookmarkEnd w:id="100"/>
    <w:bookmarkEnd w:id="101"/>
    <w:bookmarkStart w:id="114" w:name="v.-marketing"/>
    <w:p>
      <w:pPr>
        <w:pStyle w:val="Heading1"/>
      </w:pPr>
      <w:r>
        <w:rPr>
          <w:rStyle w:val="SectionNumber"/>
        </w:rPr>
        <w:t xml:space="preserve">7</w:t>
      </w:r>
      <w:r>
        <w:tab/>
      </w:r>
      <w:r>
        <w:t xml:space="preserve">V. Marketing</w:t>
      </w:r>
    </w:p>
    <w:bookmarkStart w:id="102" w:name="what-this-unit-is-about-4"/>
    <w:p>
      <w:pPr>
        <w:pStyle w:val="Heading2"/>
      </w:pPr>
      <w:r>
        <w:rPr>
          <w:rStyle w:val="SectionNumber"/>
        </w:rPr>
        <w:t xml:space="preserve">7.1</w:t>
      </w:r>
      <w:r>
        <w:tab/>
      </w:r>
      <w:r>
        <w:t xml:space="preserve">What This Unit Is About</w:t>
      </w:r>
    </w:p>
    <w:p>
      <w:pPr>
        <w:pStyle w:val="FirstParagraph"/>
      </w:pPr>
      <w:r>
        <w:t xml:space="preserve">Marketing is the process of understanding customer needs, creating and delivering value that satisfies those needs, and building lasting exchange relationships that support the organization’s goals — it is deliberately broader than</w:t>
      </w:r>
      <w:r>
        <w:t xml:space="preserve"> </w:t>
      </w:r>
      <w:r>
        <w:t xml:space="preserve">“</w:t>
      </w:r>
      <w:r>
        <w:t xml:space="preserve">selling,</w:t>
      </w:r>
      <w:r>
        <w:t xml:space="preserve">”</w:t>
      </w:r>
      <w:r>
        <w:t xml:space="preserve"> </w:t>
      </w:r>
      <w:r>
        <w:t xml:space="preserve">which is only one narrow activity (persuading someone to buy something already produced) within this much wider process. This unit follows the marketing process roughly in sequence: understand the environment and the customer, segment the market and choose targets, gather information to support decisions, then design the actual offering (branding, product life-cycle management, pricing, distribution, and communication).</w:t>
      </w:r>
    </w:p>
    <w:bookmarkEnd w:id="102"/>
    <w:bookmarkStart w:id="103" w:name="introduction-to-marketing-core-concepts"/>
    <w:p>
      <w:pPr>
        <w:pStyle w:val="Heading2"/>
      </w:pPr>
      <w:r>
        <w:rPr>
          <w:rStyle w:val="SectionNumber"/>
        </w:rPr>
        <w:t xml:space="preserve">7.2</w:t>
      </w:r>
      <w:r>
        <w:tab/>
      </w:r>
      <w:r>
        <w:t xml:space="preserve">Introduction to Marketing: Core Concepts</w:t>
      </w:r>
    </w:p>
    <w:p>
      <w:pPr>
        <w:pStyle w:val="FirstParagraph"/>
      </w:pPr>
      <w:r>
        <w:t xml:space="preserve">Three foundational terms must be distinguished precisely, since exam questions regularly test the difference:</w:t>
      </w:r>
    </w:p>
    <w:p>
      <w:pPr>
        <w:numPr>
          <w:ilvl w:val="0"/>
          <w:numId w:val="1061"/>
        </w:numPr>
        <w:pStyle w:val="Compact"/>
      </w:pPr>
      <w:r>
        <w:t xml:space="preserve">A</w:t>
      </w:r>
      <w:r>
        <w:t xml:space="preserve"> </w:t>
      </w:r>
      <w:r>
        <w:rPr>
          <w:bCs/>
          <w:b/>
        </w:rPr>
        <w:t xml:space="preserve">need</w:t>
      </w:r>
      <w:r>
        <w:t xml:space="preserve"> </w:t>
      </w:r>
      <w:r>
        <w:t xml:space="preserve">is a basic state of felt deprivation — hunger, the need for shelter, the need for esteem — these are not created by marketing; they are basic human states.</w:t>
      </w:r>
    </w:p>
    <w:p>
      <w:pPr>
        <w:numPr>
          <w:ilvl w:val="0"/>
          <w:numId w:val="1061"/>
        </w:numPr>
        <w:pStyle w:val="Compact"/>
      </w:pPr>
      <w:r>
        <w:t xml:space="preserve">A</w:t>
      </w:r>
      <w:r>
        <w:t xml:space="preserve"> </w:t>
      </w:r>
      <w:r>
        <w:rPr>
          <w:bCs/>
          <w:b/>
        </w:rPr>
        <w:t xml:space="preserve">want</w:t>
      </w:r>
      <w:r>
        <w:t xml:space="preserve"> </w:t>
      </w:r>
      <w:r>
        <w:t xml:space="preserve">is the specific</w:t>
      </w:r>
      <w:r>
        <w:t xml:space="preserve"> </w:t>
      </w:r>
      <w:r>
        <w:rPr>
          <w:iCs/>
          <w:i/>
        </w:rPr>
        <w:t xml:space="preserve">form</w:t>
      </w:r>
      <w:r>
        <w:t xml:space="preserve"> </w:t>
      </w:r>
      <w:r>
        <w:t xml:space="preserve">a need takes as it is shaped by culture and individual personality — hunger (a need) might take the want-form of a specific cuisine or brand of food.</w:t>
      </w:r>
    </w:p>
    <w:p>
      <w:pPr>
        <w:numPr>
          <w:ilvl w:val="0"/>
          <w:numId w:val="1061"/>
        </w:numPr>
        <w:pStyle w:val="Compact"/>
      </w:pPr>
      <w:r>
        <w:t xml:space="preserve">A</w:t>
      </w:r>
      <w:r>
        <w:t xml:space="preserve"> </w:t>
      </w:r>
      <w:r>
        <w:rPr>
          <w:bCs/>
          <w:b/>
        </w:rPr>
        <w:t xml:space="preserve">demand</w:t>
      </w:r>
      <w:r>
        <w:t xml:space="preserve"> </w:t>
      </w:r>
      <w:r>
        <w:t xml:space="preserve">is a want backed by both the ability and the willingness to pay for it — many people may</w:t>
      </w:r>
      <w:r>
        <w:t xml:space="preserve"> </w:t>
      </w:r>
      <w:r>
        <w:rPr>
          <w:iCs/>
          <w:i/>
        </w:rPr>
        <w:t xml:space="preserve">want</w:t>
      </w:r>
      <w:r>
        <w:t xml:space="preserve"> </w:t>
      </w:r>
      <w:r>
        <w:t xml:space="preserve">a luxury car, but only those able and willing to actually purchase one represent demand for it.</w:t>
      </w:r>
    </w:p>
    <w:p>
      <w:pPr>
        <w:pStyle w:val="FirstParagraph"/>
      </w:pPr>
      <w:r>
        <w:rPr>
          <w:bCs/>
          <w:b/>
        </w:rPr>
        <w:t xml:space="preserve">Customer value</w:t>
      </w:r>
      <w:r>
        <w:t xml:space="preserve"> </w:t>
      </w:r>
      <w:r>
        <w:t xml:space="preserve">is the comparison a customer makes between the perceived benefits of an offering and its perceived costs (not only its price, but also time, effort, and psychological costs of obtaining it) — an organization creates value by increasing perceived benefits, decreasing perceived costs, or both. Marketing begins</w:t>
      </w:r>
      <w:r>
        <w:t xml:space="preserve"> </w:t>
      </w:r>
      <w:r>
        <w:rPr>
          <w:iCs/>
          <w:i/>
        </w:rPr>
        <w:t xml:space="preserve">before</w:t>
      </w:r>
      <w:r>
        <w:t xml:space="preserve"> </w:t>
      </w:r>
      <w:r>
        <w:t xml:space="preserve">a sale, with understanding these needs, and continues</w:t>
      </w:r>
      <w:r>
        <w:t xml:space="preserve"> </w:t>
      </w:r>
      <w:r>
        <w:rPr>
          <w:iCs/>
          <w:i/>
        </w:rPr>
        <w:t xml:space="preserve">after</w:t>
      </w:r>
      <w:r>
        <w:t xml:space="preserve"> </w:t>
      </w:r>
      <w:r>
        <w:t xml:space="preserve">a sale through delivery, customer satisfaction, and relationship-building — reinforcing that marketing is a continuous process, not a single transactional event.</w:t>
      </w:r>
    </w:p>
    <w:bookmarkEnd w:id="103"/>
    <w:bookmarkStart w:id="104" w:name="Xd55b75ac89bedddbf6778cb7ff5661416732047"/>
    <w:p>
      <w:pPr>
        <w:pStyle w:val="Heading2"/>
      </w:pPr>
      <w:r>
        <w:rPr>
          <w:rStyle w:val="SectionNumber"/>
        </w:rPr>
        <w:t xml:space="preserve">7.3</w:t>
      </w:r>
      <w:r>
        <w:tab/>
      </w:r>
      <w:r>
        <w:t xml:space="preserve">Developing Marketing Strategies and Plans</w:t>
      </w:r>
    </w:p>
    <w:p>
      <w:pPr>
        <w:pStyle w:val="FirstParagraph"/>
      </w:pPr>
      <w:r>
        <w:rPr>
          <w:bCs/>
          <w:b/>
        </w:rPr>
        <w:t xml:space="preserve">Marketing strategy</w:t>
      </w:r>
      <w:r>
        <w:t xml:space="preserve"> </w:t>
      </w:r>
      <w:r>
        <w:t xml:space="preserve">is the set of decisions about which customers to serve (the target market) and what distinctive value proposition will be offered to them. A</w:t>
      </w:r>
      <w:r>
        <w:t xml:space="preserve"> </w:t>
      </w:r>
      <w:r>
        <w:rPr>
          <w:bCs/>
          <w:b/>
        </w:rPr>
        <w:t xml:space="preserve">marketing plan</w:t>
      </w:r>
      <w:r>
        <w:t xml:space="preserve"> </w:t>
      </w:r>
      <w:r>
        <w:t xml:space="preserve">then converts that strategy into concrete objectives, specific actions, budgets, and controls for monitoring progress — the same strategy-versus-plan distinction seen in the Management unit’s discussion of strategic management and implementation.</w:t>
      </w:r>
    </w:p>
    <w:p>
      <w:pPr>
        <w:pStyle w:val="BodyText"/>
      </w:pPr>
      <w:r>
        <w:t xml:space="preserve">Strategy is typically operationalized through the</w:t>
      </w:r>
      <w:r>
        <w:t xml:space="preserve"> </w:t>
      </w:r>
      <w:r>
        <w:rPr>
          <w:bCs/>
          <w:b/>
        </w:rPr>
        <w:t xml:space="preserve">marketing mix</w:t>
      </w:r>
      <w:r>
        <w:t xml:space="preserve"> </w:t>
      </w:r>
      <w:r>
        <w:t xml:space="preserve">— the set of controllable tactical tools an organization blends to produce the response it wants from its target market, conventionally summarized as the</w:t>
      </w:r>
      <w:r>
        <w:t xml:space="preserve"> </w:t>
      </w:r>
      <w:r>
        <w:rPr>
          <w:bCs/>
          <w:b/>
        </w:rPr>
        <w:t xml:space="preserve">four Ps</w:t>
      </w:r>
      <w:r>
        <w:t xml:space="preserve">:</w:t>
      </w:r>
    </w:p>
    <w:p>
      <w:pPr>
        <w:numPr>
          <w:ilvl w:val="0"/>
          <w:numId w:val="1062"/>
        </w:numPr>
        <w:pStyle w:val="Compact"/>
      </w:pPr>
      <w:r>
        <w:rPr>
          <w:bCs/>
          <w:b/>
        </w:rPr>
        <w:t xml:space="preserve">Product</w:t>
      </w:r>
      <w:r>
        <w:t xml:space="preserve"> </w:t>
      </w:r>
      <w:r>
        <w:t xml:space="preserve">— the good, service, or experience offered to satisfy the target market’s need.</w:t>
      </w:r>
    </w:p>
    <w:p>
      <w:pPr>
        <w:numPr>
          <w:ilvl w:val="0"/>
          <w:numId w:val="1062"/>
        </w:numPr>
        <w:pStyle w:val="Compact"/>
      </w:pPr>
      <w:r>
        <w:rPr>
          <w:bCs/>
          <w:b/>
        </w:rPr>
        <w:t xml:space="preserve">Price</w:t>
      </w:r>
      <w:r>
        <w:t xml:space="preserve"> </w:t>
      </w:r>
      <w:r>
        <w:t xml:space="preserve">— what the customer must give up (money, and other costs) to obtain the offering.</w:t>
      </w:r>
    </w:p>
    <w:p>
      <w:pPr>
        <w:numPr>
          <w:ilvl w:val="0"/>
          <w:numId w:val="1062"/>
        </w:numPr>
        <w:pStyle w:val="Compact"/>
      </w:pPr>
      <w:r>
        <w:rPr>
          <w:bCs/>
          <w:b/>
        </w:rPr>
        <w:t xml:space="preserve">Place</w:t>
      </w:r>
      <w:r>
        <w:t xml:space="preserve"> </w:t>
      </w:r>
      <w:r>
        <w:t xml:space="preserve">— how the offering becomes available and accessible to the target customer (distribution).</w:t>
      </w:r>
    </w:p>
    <w:p>
      <w:pPr>
        <w:numPr>
          <w:ilvl w:val="0"/>
          <w:numId w:val="1062"/>
        </w:numPr>
        <w:pStyle w:val="Compact"/>
      </w:pPr>
      <w:r>
        <w:rPr>
          <w:bCs/>
          <w:b/>
        </w:rPr>
        <w:t xml:space="preserve">Promotion</w:t>
      </w:r>
      <w:r>
        <w:t xml:space="preserve"> </w:t>
      </w:r>
      <w:r>
        <w:t xml:space="preserve">— how the organization communicates the offering’s value to the target market.</w:t>
      </w:r>
    </w:p>
    <w:p>
      <w:pPr>
        <w:pStyle w:val="FirstParagraph"/>
      </w:pPr>
      <w:r>
        <w:t xml:space="preserve">For services specifically, the mix is often extended with three additional Ps —</w:t>
      </w:r>
      <w:r>
        <w:t xml:space="preserve"> </w:t>
      </w:r>
      <w:r>
        <w:rPr>
          <w:bCs/>
          <w:b/>
        </w:rPr>
        <w:t xml:space="preserve">people</w:t>
      </w:r>
      <w:r>
        <w:t xml:space="preserve"> </w:t>
      </w:r>
      <w:r>
        <w:t xml:space="preserve">(the staff who deliver the service and shape the customer’s experience of it),</w:t>
      </w:r>
      <w:r>
        <w:t xml:space="preserve"> </w:t>
      </w:r>
      <w:r>
        <w:rPr>
          <w:bCs/>
          <w:b/>
        </w:rPr>
        <w:t xml:space="preserve">process</w:t>
      </w:r>
      <w:r>
        <w:t xml:space="preserve"> </w:t>
      </w:r>
      <w:r>
        <w:t xml:space="preserve">(the procedures and flow by which the service is delivered), and</w:t>
      </w:r>
      <w:r>
        <w:t xml:space="preserve"> </w:t>
      </w:r>
      <w:r>
        <w:rPr>
          <w:bCs/>
          <w:b/>
        </w:rPr>
        <w:t xml:space="preserve">physical evidence</w:t>
      </w:r>
      <w:r>
        <w:t xml:space="preserve"> </w:t>
      </w:r>
      <w:r>
        <w:t xml:space="preserve">(the tangible cues — décor, uniforms, documentation — that help customers judge an inherently intangible service) — reflecting the intangibility and customer-contact characteristics of services already noted in the Operations unit above.</w:t>
      </w:r>
    </w:p>
    <w:bookmarkEnd w:id="104"/>
    <w:bookmarkStart w:id="105" w:name="scanning-the-marketing-environment"/>
    <w:p>
      <w:pPr>
        <w:pStyle w:val="Heading2"/>
      </w:pPr>
      <w:r>
        <w:rPr>
          <w:rStyle w:val="SectionNumber"/>
        </w:rPr>
        <w:t xml:space="preserve">7.4</w:t>
      </w:r>
      <w:r>
        <w:tab/>
      </w:r>
      <w:r>
        <w:t xml:space="preserve">Scanning the Marketing Environment</w:t>
      </w:r>
    </w:p>
    <w:p>
      <w:pPr>
        <w:pStyle w:val="FirstParagraph"/>
      </w:pPr>
      <w:r>
        <w:t xml:space="preserve">Marketing environmental scanning studies the same broad forces introduced in the Management unit’s discussion of the organizational environment, applied specifically to marketing decisions. It is useful to distinguish:</w:t>
      </w:r>
    </w:p>
    <w:p>
      <w:pPr>
        <w:numPr>
          <w:ilvl w:val="0"/>
          <w:numId w:val="1063"/>
        </w:numPr>
        <w:pStyle w:val="Compact"/>
      </w:pPr>
      <w:r>
        <w:t xml:space="preserve">The</w:t>
      </w:r>
      <w:r>
        <w:t xml:space="preserve"> </w:t>
      </w:r>
      <w:r>
        <w:rPr>
          <w:bCs/>
          <w:b/>
        </w:rPr>
        <w:t xml:space="preserve">microenvironment</w:t>
      </w:r>
      <w:r>
        <w:t xml:space="preserve"> </w:t>
      </w:r>
      <w:r>
        <w:t xml:space="preserve">— actors close to the firm that directly affect its ability to serve customers: the company itself, suppliers, marketing intermediaries (resellers, logistics firms), competitors, various publics (media, government, financial community), and customers.</w:t>
      </w:r>
    </w:p>
    <w:p>
      <w:pPr>
        <w:numPr>
          <w:ilvl w:val="0"/>
          <w:numId w:val="1063"/>
        </w:numPr>
        <w:pStyle w:val="Compact"/>
      </w:pPr>
      <w:r>
        <w:t xml:space="preserve">The</w:t>
      </w:r>
      <w:r>
        <w:t xml:space="preserve"> </w:t>
      </w:r>
      <w:r>
        <w:rPr>
          <w:bCs/>
          <w:b/>
        </w:rPr>
        <w:t xml:space="preserve">macroenvironment</w:t>
      </w:r>
      <w:r>
        <w:t xml:space="preserve"> </w:t>
      </w:r>
      <w:r>
        <w:t xml:space="preserve">— the broader demographic, economic, technological, political/legal, social/cultural, and natural forces shaping the whole market (the same PESTEL-style categories introduced earlier, applied here to identify marketing-relevant opportunities and threats specifically).</w:t>
      </w:r>
    </w:p>
    <w:bookmarkEnd w:id="105"/>
    <w:bookmarkStart w:id="106" w:name="analyzing-consumer-markets"/>
    <w:p>
      <w:pPr>
        <w:pStyle w:val="Heading2"/>
      </w:pPr>
      <w:r>
        <w:rPr>
          <w:rStyle w:val="SectionNumber"/>
        </w:rPr>
        <w:t xml:space="preserve">7.5</w:t>
      </w:r>
      <w:r>
        <w:tab/>
      </w:r>
      <w:r>
        <w:t xml:space="preserve">Analyzing Consumer Markets</w:t>
      </w:r>
    </w:p>
    <w:p>
      <w:pPr>
        <w:pStyle w:val="FirstParagraph"/>
      </w:pPr>
      <w:r>
        <w:t xml:space="preserve">Consumer analysis studies how individuals and households move through the process of recognizing a need, searching for information, evaluating alternatives, making a purchase, and responding afterward. A simple five-stage consumer decision process is:</w:t>
      </w:r>
    </w:p>
    <w:p>
      <w:pPr>
        <w:numPr>
          <w:ilvl w:val="0"/>
          <w:numId w:val="1064"/>
        </w:numPr>
        <w:pStyle w:val="Compact"/>
      </w:pPr>
      <w:r>
        <w:rPr>
          <w:bCs/>
          <w:b/>
        </w:rPr>
        <w:t xml:space="preserve">Need/problem recognition</w:t>
      </w:r>
      <w:r>
        <w:t xml:space="preserve"> </w:t>
      </w:r>
      <w:r>
        <w:t xml:space="preserve">— the consumer perceives a difference between an actual and a desired state.</w:t>
      </w:r>
    </w:p>
    <w:p>
      <w:pPr>
        <w:numPr>
          <w:ilvl w:val="0"/>
          <w:numId w:val="1064"/>
        </w:numPr>
        <w:pStyle w:val="Compact"/>
      </w:pPr>
      <w:r>
        <w:rPr>
          <w:bCs/>
          <w:b/>
        </w:rPr>
        <w:t xml:space="preserve">Information search</w:t>
      </w:r>
      <w:r>
        <w:t xml:space="preserve"> </w:t>
      </w:r>
      <w:r>
        <w:t xml:space="preserve">— gathering information from personal sources (family, friends), commercial sources (advertising, salespeople), public sources (media, reviews), and experiential sources (trying the product).</w:t>
      </w:r>
    </w:p>
    <w:p>
      <w:pPr>
        <w:numPr>
          <w:ilvl w:val="0"/>
          <w:numId w:val="1064"/>
        </w:numPr>
        <w:pStyle w:val="Compact"/>
      </w:pPr>
      <w:r>
        <w:rPr>
          <w:bCs/>
          <w:b/>
        </w:rPr>
        <w:t xml:space="preserve">Evaluation of alternatives</w:t>
      </w:r>
      <w:r>
        <w:t xml:space="preserve"> </w:t>
      </w:r>
      <w:r>
        <w:t xml:space="preserve">— comparing options against criteria the consumer considers important.</w:t>
      </w:r>
    </w:p>
    <w:p>
      <w:pPr>
        <w:numPr>
          <w:ilvl w:val="0"/>
          <w:numId w:val="1064"/>
        </w:numPr>
        <w:pStyle w:val="Compact"/>
      </w:pPr>
      <w:r>
        <w:rPr>
          <w:bCs/>
          <w:b/>
        </w:rPr>
        <w:t xml:space="preserve">Purchase decision</w:t>
      </w:r>
      <w:r>
        <w:t xml:space="preserve"> </w:t>
      </w:r>
      <w:r>
        <w:t xml:space="preserve">— selecting and buying a specific option (which can still be disrupted at the last stage by others’ attitudes or unexpected situational factors).</w:t>
      </w:r>
    </w:p>
    <w:p>
      <w:pPr>
        <w:numPr>
          <w:ilvl w:val="0"/>
          <w:numId w:val="1064"/>
        </w:numPr>
        <w:pStyle w:val="Compact"/>
      </w:pPr>
      <w:r>
        <w:rPr>
          <w:bCs/>
          <w:b/>
        </w:rPr>
        <w:t xml:space="preserve">Post-purchase behaviour</w:t>
      </w:r>
      <w:r>
        <w:t xml:space="preserve"> </w:t>
      </w:r>
      <w:r>
        <w:t xml:space="preserve">— the consumer’s satisfaction or dissatisfaction, and resulting likelihood of repeat purchase or negative word-of-mouth.</w:t>
      </w:r>
    </w:p>
    <w:p>
      <w:pPr>
        <w:pStyle w:val="FirstParagraph"/>
      </w:pPr>
      <w:r>
        <w:t xml:space="preserve">This process is shaped throughout by</w:t>
      </w:r>
      <w:r>
        <w:t xml:space="preserve"> </w:t>
      </w:r>
      <w:r>
        <w:rPr>
          <w:bCs/>
          <w:b/>
        </w:rPr>
        <w:t xml:space="preserve">cultural</w:t>
      </w:r>
      <w:r>
        <w:t xml:space="preserve"> </w:t>
      </w:r>
      <w:r>
        <w:t xml:space="preserve">factors (broad values transmitted by family and society),</w:t>
      </w:r>
      <w:r>
        <w:t xml:space="preserve"> </w:t>
      </w:r>
      <w:r>
        <w:rPr>
          <w:bCs/>
          <w:b/>
        </w:rPr>
        <w:t xml:space="preserve">social</w:t>
      </w:r>
      <w:r>
        <w:t xml:space="preserve"> </w:t>
      </w:r>
      <w:r>
        <w:t xml:space="preserve">factors (reference groups, family roles, social status),</w:t>
      </w:r>
      <w:r>
        <w:t xml:space="preserve"> </w:t>
      </w:r>
      <w:r>
        <w:rPr>
          <w:bCs/>
          <w:b/>
        </w:rPr>
        <w:t xml:space="preserve">personal</w:t>
      </w:r>
      <w:r>
        <w:t xml:space="preserve"> </w:t>
      </w:r>
      <w:r>
        <w:t xml:space="preserve">factors (age, occupation, economic situation, lifestyle), and</w:t>
      </w:r>
      <w:r>
        <w:t xml:space="preserve"> </w:t>
      </w:r>
      <w:r>
        <w:rPr>
          <w:bCs/>
          <w:b/>
        </w:rPr>
        <w:t xml:space="preserve">psychological</w:t>
      </w:r>
      <w:r>
        <w:t xml:space="preserve"> </w:t>
      </w:r>
      <w:r>
        <w:t xml:space="preserve">factors (motivation, perception, learning, beliefs and attitudes) — a useful mnemonic grouping for recalling the influences on buyer behaviour.</w:t>
      </w:r>
    </w:p>
    <w:bookmarkEnd w:id="106"/>
    <w:bookmarkStart w:id="107" w:name="X6f22a0863f9f47a9cd697e04687aa5dad4e00ea"/>
    <w:p>
      <w:pPr>
        <w:pStyle w:val="Heading2"/>
      </w:pPr>
      <w:r>
        <w:rPr>
          <w:rStyle w:val="SectionNumber"/>
        </w:rPr>
        <w:t xml:space="preserve">7.6</w:t>
      </w:r>
      <w:r>
        <w:tab/>
      </w:r>
      <w:r>
        <w:t xml:space="preserve">Market Segmentation, Targeting, and Positioning</w:t>
      </w:r>
    </w:p>
    <w:p>
      <w:pPr>
        <w:pStyle w:val="FirstParagraph"/>
      </w:pPr>
      <w:r>
        <w:rPr>
          <w:bCs/>
          <w:b/>
        </w:rPr>
        <w:t xml:space="preserve">Segmentation</w:t>
      </w:r>
      <w:r>
        <w:t xml:space="preserve"> </w:t>
      </w:r>
      <w:r>
        <w:t xml:space="preserve">divides a broad, heterogeneous market into smaller groups of buyers with distinct needs, characteristics, or behaviours who might require separate products or marketing approaches. Common segmentation bases include:</w:t>
      </w:r>
    </w:p>
    <w:p>
      <w:pPr>
        <w:numPr>
          <w:ilvl w:val="0"/>
          <w:numId w:val="1065"/>
        </w:numPr>
        <w:pStyle w:val="Compact"/>
      </w:pPr>
      <w:r>
        <w:rPr>
          <w:bCs/>
          <w:b/>
        </w:rPr>
        <w:t xml:space="preserve">Geographic</w:t>
      </w:r>
      <w:r>
        <w:t xml:space="preserve"> </w:t>
      </w:r>
      <w:r>
        <w:t xml:space="preserve">— region, city size, climate.</w:t>
      </w:r>
    </w:p>
    <w:p>
      <w:pPr>
        <w:numPr>
          <w:ilvl w:val="0"/>
          <w:numId w:val="1065"/>
        </w:numPr>
        <w:pStyle w:val="Compact"/>
      </w:pPr>
      <w:r>
        <w:rPr>
          <w:bCs/>
          <w:b/>
        </w:rPr>
        <w:t xml:space="preserve">Demographic</w:t>
      </w:r>
      <w:r>
        <w:t xml:space="preserve"> </w:t>
      </w:r>
      <w:r>
        <w:t xml:space="preserve">— age, gender, income, family size, occupation, education.</w:t>
      </w:r>
    </w:p>
    <w:p>
      <w:pPr>
        <w:numPr>
          <w:ilvl w:val="0"/>
          <w:numId w:val="1065"/>
        </w:numPr>
        <w:pStyle w:val="Compact"/>
      </w:pPr>
      <w:r>
        <w:rPr>
          <w:bCs/>
          <w:b/>
        </w:rPr>
        <w:t xml:space="preserve">Psychographic</w:t>
      </w:r>
      <w:r>
        <w:t xml:space="preserve"> </w:t>
      </w:r>
      <w:r>
        <w:t xml:space="preserve">— lifestyle, personality, values.</w:t>
      </w:r>
    </w:p>
    <w:p>
      <w:pPr>
        <w:numPr>
          <w:ilvl w:val="0"/>
          <w:numId w:val="1065"/>
        </w:numPr>
        <w:pStyle w:val="Compact"/>
      </w:pPr>
      <w:r>
        <w:rPr>
          <w:bCs/>
          <w:b/>
        </w:rPr>
        <w:t xml:space="preserve">Behavioural</w:t>
      </w:r>
      <w:r>
        <w:t xml:space="preserve"> </w:t>
      </w:r>
      <w:r>
        <w:t xml:space="preserve">— usage rate, brand loyalty, benefits sought, occasions of use.</w:t>
      </w:r>
    </w:p>
    <w:p>
      <w:pPr>
        <w:pStyle w:val="FirstParagraph"/>
      </w:pPr>
      <w:r>
        <w:t xml:space="preserve">A useful segment should satisfy several criteria: it should be</w:t>
      </w:r>
      <w:r>
        <w:t xml:space="preserve"> </w:t>
      </w:r>
      <w:r>
        <w:rPr>
          <w:bCs/>
          <w:b/>
        </w:rPr>
        <w:t xml:space="preserve">measurable</w:t>
      </w:r>
      <w:r>
        <w:t xml:space="preserve"> </w:t>
      </w:r>
      <w:r>
        <w:t xml:space="preserve">(its size and characteristics can be estimated),</w:t>
      </w:r>
      <w:r>
        <w:t xml:space="preserve"> </w:t>
      </w:r>
      <w:r>
        <w:rPr>
          <w:bCs/>
          <w:b/>
        </w:rPr>
        <w:t xml:space="preserve">substantial</w:t>
      </w:r>
      <w:r>
        <w:t xml:space="preserve"> </w:t>
      </w:r>
      <w:r>
        <w:t xml:space="preserve">(large or profitable enough to be worth serving separately),</w:t>
      </w:r>
      <w:r>
        <w:t xml:space="preserve"> </w:t>
      </w:r>
      <w:r>
        <w:rPr>
          <w:bCs/>
          <w:b/>
        </w:rPr>
        <w:t xml:space="preserve">accessible</w:t>
      </w:r>
      <w:r>
        <w:t xml:space="preserve"> </w:t>
      </w:r>
      <w:r>
        <w:t xml:space="preserve">(the segment can be effectively reached and served),</w:t>
      </w:r>
      <w:r>
        <w:t xml:space="preserve"> </w:t>
      </w:r>
      <w:r>
        <w:rPr>
          <w:bCs/>
          <w:b/>
        </w:rPr>
        <w:t xml:space="preserve">differentiable</w:t>
      </w:r>
      <w:r>
        <w:t xml:space="preserve"> </w:t>
      </w:r>
      <w:r>
        <w:t xml:space="preserve">(the segment responds differently from other segments to different marketing approaches), and</w:t>
      </w:r>
      <w:r>
        <w:t xml:space="preserve"> </w:t>
      </w:r>
      <w:r>
        <w:rPr>
          <w:bCs/>
          <w:b/>
        </w:rPr>
        <w:t xml:space="preserve">actionable</w:t>
      </w:r>
      <w:r>
        <w:t xml:space="preserve"> </w:t>
      </w:r>
      <w:r>
        <w:t xml:space="preserve">(effective programs can actually be designed to attract and serve it).</w:t>
      </w:r>
    </w:p>
    <w:p>
      <w:pPr>
        <w:pStyle w:val="BodyText"/>
      </w:pPr>
      <w:r>
        <w:t xml:space="preserve">After segmenting the market, the firm performs</w:t>
      </w:r>
      <w:r>
        <w:t xml:space="preserve"> </w:t>
      </w:r>
      <w:r>
        <w:rPr>
          <w:bCs/>
          <w:b/>
        </w:rPr>
        <w:t xml:space="preserve">targeting</w:t>
      </w:r>
      <w:r>
        <w:t xml:space="preserve"> </w:t>
      </w:r>
      <w:r>
        <w:t xml:space="preserve">— evaluating each segment’s attractiveness and selecting one or more segments to serve — and finally</w:t>
      </w:r>
      <w:r>
        <w:t xml:space="preserve"> </w:t>
      </w:r>
      <w:r>
        <w:rPr>
          <w:bCs/>
          <w:b/>
        </w:rPr>
        <w:t xml:space="preserve">positioning</w:t>
      </w:r>
      <w:r>
        <w:t xml:space="preserve"> </w:t>
      </w:r>
      <w:r>
        <w:t xml:space="preserve">— designing the offering and its image to occupy a distinct, valued place in the minds of the target customers relative to competing offerings. The sequence STP (</w:t>
      </w:r>
      <w:r>
        <w:rPr>
          <w:bCs/>
          <w:b/>
        </w:rPr>
        <w:t xml:space="preserve">S</w:t>
      </w:r>
      <w:r>
        <w:t xml:space="preserve">egmentation →</w:t>
      </w:r>
      <w:r>
        <w:t xml:space="preserve"> </w:t>
      </w:r>
      <w:r>
        <w:rPr>
          <w:bCs/>
          <w:b/>
        </w:rPr>
        <w:t xml:space="preserve">T</w:t>
      </w:r>
      <w:r>
        <w:t xml:space="preserve">argeting →</w:t>
      </w:r>
      <w:r>
        <w:t xml:space="preserve"> </w:t>
      </w:r>
      <w:r>
        <w:rPr>
          <w:bCs/>
          <w:b/>
        </w:rPr>
        <w:t xml:space="preserve">P</w:t>
      </w:r>
      <w:r>
        <w:t xml:space="preserve">ositioning) is worth memorizing as a fixed order, since it is a common way the syllabus frames this whole topic, and the three stages must not be confused with one another: segmentation divides the market, targeting selects among the resulting segments, and positioning is what happens</w:t>
      </w:r>
      <w:r>
        <w:t xml:space="preserve"> </w:t>
      </w:r>
      <w:r>
        <w:rPr>
          <w:iCs/>
          <w:i/>
        </w:rPr>
        <w:t xml:space="preserve">after</w:t>
      </w:r>
      <w:r>
        <w:t xml:space="preserve"> </w:t>
      </w:r>
      <w:r>
        <w:t xml:space="preserve">a segment has been chosen — deciding how the offer should be perceived by that specific chosen group.</w:t>
      </w:r>
    </w:p>
    <w:bookmarkEnd w:id="107"/>
    <w:bookmarkStart w:id="108" w:name="managing-marketing-information"/>
    <w:p>
      <w:pPr>
        <w:pStyle w:val="Heading2"/>
      </w:pPr>
      <w:r>
        <w:rPr>
          <w:rStyle w:val="SectionNumber"/>
        </w:rPr>
        <w:t xml:space="preserve">7.7</w:t>
      </w:r>
      <w:r>
        <w:tab/>
      </w:r>
      <w:r>
        <w:t xml:space="preserve">Managing Marketing Information</w:t>
      </w:r>
    </w:p>
    <w:p>
      <w:pPr>
        <w:pStyle w:val="FirstParagraph"/>
      </w:pPr>
      <w:r>
        <w:t xml:space="preserve">Marketing decisions are supported by three distinct information sources:</w:t>
      </w:r>
      <w:r>
        <w:t xml:space="preserve"> </w:t>
      </w:r>
      <w:r>
        <w:rPr>
          <w:bCs/>
          <w:b/>
        </w:rPr>
        <w:t xml:space="preserve">internal records</w:t>
      </w:r>
      <w:r>
        <w:t xml:space="preserve"> </w:t>
      </w:r>
      <w:r>
        <w:t xml:space="preserve">(what is already happening inside the organization — sales data, customer complaints, inventory levels),</w:t>
      </w:r>
      <w:r>
        <w:t xml:space="preserve"> </w:t>
      </w:r>
      <w:r>
        <w:rPr>
          <w:bCs/>
          <w:b/>
        </w:rPr>
        <w:t xml:space="preserve">marketing intelligence</w:t>
      </w:r>
      <w:r>
        <w:t xml:space="preserve"> </w:t>
      </w:r>
      <w:r>
        <w:t xml:space="preserve">(ongoing, everyday scanning of the external environment — competitor moves, industry publications), and formal</w:t>
      </w:r>
      <w:r>
        <w:t xml:space="preserve"> </w:t>
      </w:r>
      <w:r>
        <w:rPr>
          <w:bCs/>
          <w:b/>
        </w:rPr>
        <w:t xml:space="preserve">marketing research</w:t>
      </w:r>
      <w:r>
        <w:t xml:space="preserve"> </w:t>
      </w:r>
      <w:r>
        <w:t xml:space="preserve">(a structured process designed to answer one specific decision problem). The standard marketing research process moves through five steps:</w:t>
      </w:r>
      <w:r>
        <w:t xml:space="preserve"> </w:t>
      </w:r>
      <w:r>
        <w:rPr>
          <w:bCs/>
          <w:b/>
        </w:rPr>
        <w:t xml:space="preserve">defining the problem</w:t>
      </w:r>
      <w:r>
        <w:t xml:space="preserve"> </w:t>
      </w:r>
      <w:r>
        <w:t xml:space="preserve">and research objectives,</w:t>
      </w:r>
      <w:r>
        <w:t xml:space="preserve"> </w:t>
      </w:r>
      <w:r>
        <w:rPr>
          <w:bCs/>
          <w:b/>
        </w:rPr>
        <w:t xml:space="preserve">designing the research</w:t>
      </w:r>
      <w:r>
        <w:t xml:space="preserve"> </w:t>
      </w:r>
      <w:r>
        <w:t xml:space="preserve">(choosing an approach and data sources),</w:t>
      </w:r>
      <w:r>
        <w:t xml:space="preserve"> </w:t>
      </w:r>
      <w:r>
        <w:rPr>
          <w:bCs/>
          <w:b/>
        </w:rPr>
        <w:t xml:space="preserve">collecting data</w:t>
      </w:r>
      <w:r>
        <w:t xml:space="preserve">,</w:t>
      </w:r>
      <w:r>
        <w:t xml:space="preserve"> </w:t>
      </w:r>
      <w:r>
        <w:rPr>
          <w:bCs/>
          <w:b/>
        </w:rPr>
        <w:t xml:space="preserve">analyzing</w:t>
      </w:r>
      <w:r>
        <w:t xml:space="preserve"> </w:t>
      </w:r>
      <w:r>
        <w:t xml:space="preserve">the data, and</w:t>
      </w:r>
      <w:r>
        <w:t xml:space="preserve"> </w:t>
      </w:r>
      <w:r>
        <w:rPr>
          <w:bCs/>
          <w:b/>
        </w:rPr>
        <w:t xml:space="preserve">presenting findings</w:t>
      </w:r>
      <w:r>
        <w:t xml:space="preserve"> </w:t>
      </w:r>
      <w:r>
        <w:t xml:space="preserve">in a form useful for the actual decision at hand.</w:t>
      </w:r>
    </w:p>
    <w:p>
      <w:pPr>
        <w:pStyle w:val="BodyText"/>
      </w:pPr>
      <w:r>
        <w:t xml:space="preserve">A key distinction within data collection:</w:t>
      </w:r>
      <w:r>
        <w:t xml:space="preserve"> </w:t>
      </w:r>
      <w:r>
        <w:rPr>
          <w:bCs/>
          <w:b/>
        </w:rPr>
        <w:t xml:space="preserve">primary data</w:t>
      </w:r>
      <w:r>
        <w:t xml:space="preserve"> </w:t>
      </w:r>
      <w:r>
        <w:t xml:space="preserve">is gathered specifically for the current research problem (a purpose-designed survey);</w:t>
      </w:r>
      <w:r>
        <w:t xml:space="preserve"> </w:t>
      </w:r>
      <w:r>
        <w:rPr>
          <w:bCs/>
          <w:b/>
        </w:rPr>
        <w:t xml:space="preserve">secondary data</w:t>
      </w:r>
      <w:r>
        <w:t xml:space="preserve"> </w:t>
      </w:r>
      <w:r>
        <w:t xml:space="preserve">already exists, having been collected for some other purpose (published government statistics, prior internal reports) — secondary data is typically cheaper and faster to obtain, but may not fit the current problem as precisely as purpose-collected primary data would.</w:t>
      </w:r>
    </w:p>
    <w:bookmarkEnd w:id="108"/>
    <w:bookmarkStart w:id="109" w:name="branding"/>
    <w:p>
      <w:pPr>
        <w:pStyle w:val="Heading2"/>
      </w:pPr>
      <w:r>
        <w:rPr>
          <w:rStyle w:val="SectionNumber"/>
        </w:rPr>
        <w:t xml:space="preserve">7.8</w:t>
      </w:r>
      <w:r>
        <w:tab/>
      </w:r>
      <w:r>
        <w:t xml:space="preserve">Branding</w:t>
      </w:r>
    </w:p>
    <w:p>
      <w:pPr>
        <w:pStyle w:val="FirstParagraph"/>
      </w:pPr>
      <w:r>
        <w:t xml:space="preserve">A</w:t>
      </w:r>
      <w:r>
        <w:t xml:space="preserve"> </w:t>
      </w:r>
      <w:r>
        <w:rPr>
          <w:bCs/>
          <w:b/>
        </w:rPr>
        <w:t xml:space="preserve">brand</w:t>
      </w:r>
      <w:r>
        <w:t xml:space="preserve"> </w:t>
      </w:r>
      <w:r>
        <w:t xml:space="preserve">is a name, term, symbol, design, or combination of these that identifies the offerings of one seller and differentiates them from competitors. Two related but distinct concepts:</w:t>
      </w:r>
    </w:p>
    <w:p>
      <w:pPr>
        <w:numPr>
          <w:ilvl w:val="0"/>
          <w:numId w:val="1066"/>
        </w:numPr>
        <w:pStyle w:val="Compact"/>
      </w:pPr>
      <w:r>
        <w:rPr>
          <w:bCs/>
          <w:b/>
        </w:rPr>
        <w:t xml:space="preserve">Brand identity</w:t>
      </w:r>
      <w:r>
        <w:t xml:space="preserve"> </w:t>
      </w:r>
      <w:r>
        <w:t xml:space="preserve">is how the organization</w:t>
      </w:r>
      <w:r>
        <w:t xml:space="preserve"> </w:t>
      </w:r>
      <w:r>
        <w:rPr>
          <w:iCs/>
          <w:i/>
        </w:rPr>
        <w:t xml:space="preserve">wants</w:t>
      </w:r>
      <w:r>
        <w:t xml:space="preserve"> </w:t>
      </w:r>
      <w:r>
        <w:t xml:space="preserve">the brand to be understood and perceived by customers — the intended message.</w:t>
      </w:r>
    </w:p>
    <w:p>
      <w:pPr>
        <w:numPr>
          <w:ilvl w:val="0"/>
          <w:numId w:val="1066"/>
        </w:numPr>
        <w:pStyle w:val="Compact"/>
      </w:pPr>
      <w:r>
        <w:rPr>
          <w:bCs/>
          <w:b/>
        </w:rPr>
        <w:t xml:space="preserve">Brand image</w:t>
      </w:r>
      <w:r>
        <w:t xml:space="preserve"> </w:t>
      </w:r>
      <w:r>
        <w:t xml:space="preserve">is how the brand is</w:t>
      </w:r>
      <w:r>
        <w:t xml:space="preserve"> </w:t>
      </w:r>
      <w:r>
        <w:rPr>
          <w:iCs/>
          <w:i/>
        </w:rPr>
        <w:t xml:space="preserve">actually</w:t>
      </w:r>
      <w:r>
        <w:t xml:space="preserve"> </w:t>
      </w:r>
      <w:r>
        <w:t xml:space="preserve">perceived by customers — which may or may not match the intended identity, and the gap between the two is itself a common source of marketing problems worth diagnosing.</w:t>
      </w:r>
    </w:p>
    <w:p>
      <w:pPr>
        <w:pStyle w:val="FirstParagraph"/>
      </w:pPr>
      <w:r>
        <w:rPr>
          <w:bCs/>
          <w:b/>
        </w:rPr>
        <w:t xml:space="preserve">Brand equity</w:t>
      </w:r>
      <w:r>
        <w:t xml:space="preserve"> </w:t>
      </w:r>
      <w:r>
        <w:t xml:space="preserve">is the added value a brand name brings to a product, arising from a bundle of assets including brand awareness (how readily customers recognize or recall the brand), brand associations (the attributes and feelings customers connect with the brand), perceived quality, and brand loyalty. High brand equity allows a firm to charge premium prices, enjoy greater customer loyalty, and more successfully launch brand</w:t>
      </w:r>
      <w:r>
        <w:t xml:space="preserve"> </w:t>
      </w:r>
      <w:r>
        <w:rPr>
          <w:bCs/>
          <w:b/>
        </w:rPr>
        <w:t xml:space="preserve">extensions</w:t>
      </w:r>
      <w:r>
        <w:t xml:space="preserve"> </w:t>
      </w:r>
      <w:r>
        <w:t xml:space="preserve">— new products introduced under an already-established brand name, leveraging the equity already built rather than starting from zero customer awareness.</w:t>
      </w:r>
    </w:p>
    <w:bookmarkEnd w:id="109"/>
    <w:bookmarkStart w:id="110" w:name="the-product-life-cycle"/>
    <w:p>
      <w:pPr>
        <w:pStyle w:val="Heading2"/>
      </w:pPr>
      <w:r>
        <w:rPr>
          <w:rStyle w:val="SectionNumber"/>
        </w:rPr>
        <w:t xml:space="preserve">7.9</w:t>
      </w:r>
      <w:r>
        <w:tab/>
      </w:r>
      <w:r>
        <w:t xml:space="preserve">The Product Life Cycle</w:t>
      </w:r>
    </w:p>
    <w:p>
      <w:pPr>
        <w:pStyle w:val="FirstParagraph"/>
      </w:pPr>
      <w:r>
        <w:t xml:space="preserve">The product life-cycle (PLC) concept describes a common (though not universal) pattern products follow across four stages:</w:t>
      </w:r>
    </w:p>
    <w:p>
      <w:pPr>
        <w:numPr>
          <w:ilvl w:val="0"/>
          <w:numId w:val="1067"/>
        </w:numPr>
        <w:pStyle w:val="Compact"/>
      </w:pPr>
      <w:r>
        <w:rPr>
          <w:bCs/>
          <w:b/>
        </w:rPr>
        <w:t xml:space="preserve">Introduction</w:t>
      </w:r>
      <w:r>
        <w:t xml:space="preserve"> </w:t>
      </w:r>
      <w:r>
        <w:t xml:space="preserve">— the product is new to the market; sales are low, promotional costs are high (building awareness), and profits are often negative or minimal.</w:t>
      </w:r>
    </w:p>
    <w:p>
      <w:pPr>
        <w:numPr>
          <w:ilvl w:val="0"/>
          <w:numId w:val="1067"/>
        </w:numPr>
        <w:pStyle w:val="Compact"/>
      </w:pPr>
      <w:r>
        <w:rPr>
          <w:bCs/>
          <w:b/>
        </w:rPr>
        <w:t xml:space="preserve">Growth</w:t>
      </w:r>
      <w:r>
        <w:t xml:space="preserve"> </w:t>
      </w:r>
      <w:r>
        <w:t xml:space="preserve">— sales rise rapidly as the market becomes aware of the product and adopts it; competitors typically begin to enter, attracted by the visible growth.</w:t>
      </w:r>
    </w:p>
    <w:p>
      <w:pPr>
        <w:numPr>
          <w:ilvl w:val="0"/>
          <w:numId w:val="1067"/>
        </w:numPr>
        <w:pStyle w:val="Compact"/>
      </w:pPr>
      <w:r>
        <w:rPr>
          <w:bCs/>
          <w:b/>
        </w:rPr>
        <w:t xml:space="preserve">Maturity</w:t>
      </w:r>
      <w:r>
        <w:t xml:space="preserve"> </w:t>
      </w:r>
      <w:r>
        <w:t xml:space="preserve">— sales growth slows and eventually plateaus as the market becomes saturated; competition is intense, and the emphasis shifts toward differentiation and cost efficiency to defend market share.</w:t>
      </w:r>
    </w:p>
    <w:p>
      <w:pPr>
        <w:numPr>
          <w:ilvl w:val="0"/>
          <w:numId w:val="1067"/>
        </w:numPr>
        <w:pStyle w:val="Compact"/>
      </w:pPr>
      <w:r>
        <w:rPr>
          <w:bCs/>
          <w:b/>
        </w:rPr>
        <w:t xml:space="preserve">Decline</w:t>
      </w:r>
      <w:r>
        <w:t xml:space="preserve"> </w:t>
      </w:r>
      <w:r>
        <w:t xml:space="preserve">— sales fall, often due to changing customer preferences or new technology; firms must decide whether to harvest the product (minimize investment and maximize remaining cash flow), reposition it for a new use or market, or withdraw it entirely.</w:t>
      </w:r>
    </w:p>
    <w:p>
      <w:pPr>
        <w:pStyle w:val="FirstParagraph"/>
      </w:pPr>
      <w:r>
        <w:t xml:space="preserve">An important caution the syllabus explicitly flags: the PLC is a</w:t>
      </w:r>
      <w:r>
        <w:t xml:space="preserve"> </w:t>
      </w:r>
      <w:r>
        <w:rPr>
          <w:iCs/>
          <w:i/>
        </w:rPr>
        <w:t xml:space="preserve">useful descriptive model of a common pattern</w:t>
      </w:r>
      <w:r>
        <w:t xml:space="preserve">, not a strict law that every product follows in exactly this order or timing — some products skip stages, some cycle back into renewed growth after apparent maturity (through reformulation or repositioning), and the length of each stage varies enormously by product and industry.</w:t>
      </w:r>
    </w:p>
    <w:bookmarkEnd w:id="110"/>
    <w:bookmarkStart w:id="111" w:name="pricing"/>
    <w:p>
      <w:pPr>
        <w:pStyle w:val="Heading2"/>
      </w:pPr>
      <w:r>
        <w:rPr>
          <w:rStyle w:val="SectionNumber"/>
        </w:rPr>
        <w:t xml:space="preserve">7.10</w:t>
      </w:r>
      <w:r>
        <w:tab/>
      </w:r>
      <w:r>
        <w:t xml:space="preserve">Pricing</w:t>
      </w:r>
    </w:p>
    <w:p>
      <w:pPr>
        <w:pStyle w:val="FirstParagraph"/>
      </w:pPr>
      <w:r>
        <w:t xml:space="preserve">Pricing decisions must simultaneously consider customer-perceived value, the organization’s own costs, competitive prices, and broader strategic objectives — pricing cannot be decided from cost alone, because a price set without reference to customer value or the competitive landscape can be entirely wrong even if it is calculated with perfect cost accuracy. Three broad pricing approaches:</w:t>
      </w:r>
    </w:p>
    <w:p>
      <w:pPr>
        <w:numPr>
          <w:ilvl w:val="0"/>
          <w:numId w:val="1068"/>
        </w:numPr>
        <w:pStyle w:val="Compact"/>
      </w:pPr>
      <w:r>
        <w:rPr>
          <w:bCs/>
          <w:b/>
        </w:rPr>
        <w:t xml:space="preserve">Cost-based pricing</w:t>
      </w:r>
      <w:r>
        <w:t xml:space="preserve"> </w:t>
      </w:r>
      <w:r>
        <w:t xml:space="preserve">starts from the cost of producing the offering and adds a target margin.</w:t>
      </w:r>
    </w:p>
    <w:p>
      <w:pPr>
        <w:numPr>
          <w:ilvl w:val="0"/>
          <w:numId w:val="1068"/>
        </w:numPr>
        <w:pStyle w:val="Compact"/>
      </w:pPr>
      <w:r>
        <w:rPr>
          <w:bCs/>
          <w:b/>
        </w:rPr>
        <w:t xml:space="preserve">Value-based pricing</w:t>
      </w:r>
      <w:r>
        <w:t xml:space="preserve"> </w:t>
      </w:r>
      <w:r>
        <w:t xml:space="preserve">starts from the customer’s perceived value of the offering, and works backward to a price the customer would consider fair for that perceived value — potentially allowing a higher price than cost-based methods would produce, if perceived value is genuinely high.</w:t>
      </w:r>
    </w:p>
    <w:p>
      <w:pPr>
        <w:numPr>
          <w:ilvl w:val="0"/>
          <w:numId w:val="1068"/>
        </w:numPr>
        <w:pStyle w:val="Compact"/>
      </w:pPr>
      <w:r>
        <w:rPr>
          <w:bCs/>
          <w:b/>
        </w:rPr>
        <w:t xml:space="preserve">Competition-based pricing</w:t>
      </w:r>
      <w:r>
        <w:t xml:space="preserve"> </w:t>
      </w:r>
      <w:r>
        <w:t xml:space="preserve">sets price with primary reference to competitors’ prices and the customer’s expectations formed by the broader market, rather than starting from either the firm’s own costs or its own assessment of customer value.</w:t>
      </w:r>
    </w:p>
    <w:p>
      <w:pPr>
        <w:pStyle w:val="FirstParagraph"/>
      </w:pPr>
      <w:r>
        <w:t xml:space="preserve">Pricing decisions affect far more than immediate revenue: they shape demand levels, signal and reinforce (or undermine) the intended brand position, and affect relationships with distribution-channel partners (who typically expect their own margin built into the final price) — a reminder that pricing, like every element of the marketing mix, must be coordinated with the other elements rather than decided in isolation.</w:t>
      </w:r>
    </w:p>
    <w:bookmarkEnd w:id="111"/>
    <w:bookmarkStart w:id="112" w:name="managing-distribution-channels"/>
    <w:p>
      <w:pPr>
        <w:pStyle w:val="Heading2"/>
      </w:pPr>
      <w:r>
        <w:rPr>
          <w:rStyle w:val="SectionNumber"/>
        </w:rPr>
        <w:t xml:space="preserve">7.11</w:t>
      </w:r>
      <w:r>
        <w:tab/>
      </w:r>
      <w:r>
        <w:t xml:space="preserve">Managing Distribution Channels</w:t>
      </w:r>
    </w:p>
    <w:p>
      <w:pPr>
        <w:pStyle w:val="FirstParagraph"/>
      </w:pPr>
      <w:r>
        <w:rPr>
          <w:bCs/>
          <w:b/>
        </w:rPr>
        <w:t xml:space="preserve">Marketing channels (distribution channels)</w:t>
      </w:r>
      <w:r>
        <w:t xml:space="preserve"> </w:t>
      </w:r>
      <w:r>
        <w:t xml:space="preserve">are the sets of interdependent organizations that help make a product or service available for use or consumption by the end customer:</w:t>
      </w:r>
    </w:p>
    <w:p>
      <w:pPr>
        <w:numPr>
          <w:ilvl w:val="0"/>
          <w:numId w:val="1069"/>
        </w:numPr>
        <w:pStyle w:val="Compact"/>
      </w:pPr>
      <w:r>
        <w:rPr>
          <w:bCs/>
          <w:b/>
        </w:rPr>
        <w:t xml:space="preserve">Direct channels</w:t>
      </w:r>
      <w:r>
        <w:t xml:space="preserve"> </w:t>
      </w:r>
      <w:r>
        <w:t xml:space="preserve">connect the producer directly with the customer, without an independent intermediary (a manufacturer selling through its own online store).</w:t>
      </w:r>
    </w:p>
    <w:p>
      <w:pPr>
        <w:numPr>
          <w:ilvl w:val="0"/>
          <w:numId w:val="1069"/>
        </w:numPr>
        <w:pStyle w:val="Compact"/>
      </w:pPr>
      <w:r>
        <w:rPr>
          <w:bCs/>
          <w:b/>
        </w:rPr>
        <w:t xml:space="preserve">Indirect channels</w:t>
      </w:r>
      <w:r>
        <w:t xml:space="preserve"> </w:t>
      </w:r>
      <w:r>
        <w:t xml:space="preserve">route the product through one or more intermediaries — wholesalers, retailers, agents, or digital platforms.</w:t>
      </w:r>
    </w:p>
    <w:p>
      <w:pPr>
        <w:pStyle w:val="FirstParagraph"/>
      </w:pPr>
      <w:r>
        <w:t xml:space="preserve">Channel members can perform several distinct functions along the way: gathering and disseminating</w:t>
      </w:r>
      <w:r>
        <w:t xml:space="preserve"> </w:t>
      </w:r>
      <w:r>
        <w:rPr>
          <w:bCs/>
          <w:b/>
        </w:rPr>
        <w:t xml:space="preserve">information</w:t>
      </w:r>
      <w:r>
        <w:t xml:space="preserve">, developing and spreading persuasive</w:t>
      </w:r>
      <w:r>
        <w:t xml:space="preserve"> </w:t>
      </w:r>
      <w:r>
        <w:rPr>
          <w:bCs/>
          <w:b/>
        </w:rPr>
        <w:t xml:space="preserve">promotion</w:t>
      </w:r>
      <w:r>
        <w:t xml:space="preserve">, reaching agreement on price and terms through</w:t>
      </w:r>
      <w:r>
        <w:t xml:space="preserve"> </w:t>
      </w:r>
      <w:r>
        <w:rPr>
          <w:bCs/>
          <w:b/>
        </w:rPr>
        <w:t xml:space="preserve">negotiation</w:t>
      </w:r>
      <w:r>
        <w:t xml:space="preserve">, arranging</w:t>
      </w:r>
      <w:r>
        <w:t xml:space="preserve"> </w:t>
      </w:r>
      <w:r>
        <w:rPr>
          <w:bCs/>
          <w:b/>
        </w:rPr>
        <w:t xml:space="preserve">financing</w:t>
      </w:r>
      <w:r>
        <w:t xml:space="preserve"> </w:t>
      </w:r>
      <w:r>
        <w:t xml:space="preserve">for channel members, providing</w:t>
      </w:r>
      <w:r>
        <w:t xml:space="preserve"> </w:t>
      </w:r>
      <w:r>
        <w:rPr>
          <w:bCs/>
          <w:b/>
        </w:rPr>
        <w:t xml:space="preserve">storage</w:t>
      </w:r>
      <w:r>
        <w:t xml:space="preserve"> </w:t>
      </w:r>
      <w:r>
        <w:t xml:space="preserve">and</w:t>
      </w:r>
      <w:r>
        <w:t xml:space="preserve"> </w:t>
      </w:r>
      <w:r>
        <w:rPr>
          <w:bCs/>
          <w:b/>
        </w:rPr>
        <w:t xml:space="preserve">transport</w:t>
      </w:r>
      <w:r>
        <w:t xml:space="preserve">, and absorbing the</w:t>
      </w:r>
      <w:r>
        <w:t xml:space="preserve"> </w:t>
      </w:r>
      <w:r>
        <w:rPr>
          <w:bCs/>
          <w:b/>
        </w:rPr>
        <w:t xml:space="preserve">risk</w:t>
      </w:r>
      <w:r>
        <w:t xml:space="preserve"> </w:t>
      </w:r>
      <w:r>
        <w:t xml:space="preserve">of carrying inventory that may not sell.</w:t>
      </w:r>
      <w:r>
        <w:t xml:space="preserve"> </w:t>
      </w:r>
      <w:r>
        <w:rPr>
          <w:bCs/>
          <w:b/>
        </w:rPr>
        <w:t xml:space="preserve">Channel length</w:t>
      </w:r>
      <w:r>
        <w:t xml:space="preserve"> </w:t>
      </w:r>
      <w:r>
        <w:t xml:space="preserve">(how many intermediary levels exist between producer and customer) and the potential for</w:t>
      </w:r>
      <w:r>
        <w:t xml:space="preserve"> </w:t>
      </w:r>
      <w:r>
        <w:rPr>
          <w:bCs/>
          <w:b/>
        </w:rPr>
        <w:t xml:space="preserve">channel conflict</w:t>
      </w:r>
      <w:r>
        <w:t xml:space="preserve"> </w:t>
      </w:r>
      <w:r>
        <w:t xml:space="preserve">(disagreement between channel members, for example when a manufacturer’s own direct online store competes with its independent retail partners for the same customers) are both frequently tested points.</w:t>
      </w:r>
    </w:p>
    <w:bookmarkEnd w:id="112"/>
    <w:bookmarkStart w:id="113" w:name="integrated-marketing-communications-imc"/>
    <w:p>
      <w:pPr>
        <w:pStyle w:val="Heading2"/>
      </w:pPr>
      <w:r>
        <w:rPr>
          <w:rStyle w:val="SectionNumber"/>
        </w:rPr>
        <w:t xml:space="preserve">7.12</w:t>
      </w:r>
      <w:r>
        <w:tab/>
      </w:r>
      <w:r>
        <w:t xml:space="preserve">Integrated Marketing Communications (IMC)</w:t>
      </w:r>
    </w:p>
    <w:p>
      <w:pPr>
        <w:pStyle w:val="FirstParagraph"/>
      </w:pPr>
      <w:r>
        <w:t xml:space="preserve">Integrated Marketing Communications is the coordinated use of multiple communication tools — advertising, sales promotion, public relations, personal selling, and direct/digital communication — so that customers receive a clear, consistent message about the brand across every channel through which they encounter it. The critical, frequently-tested nuance here is that</w:t>
      </w:r>
      <w:r>
        <w:t xml:space="preserve"> </w:t>
      </w:r>
      <w:r>
        <w:rPr>
          <w:bCs/>
          <w:b/>
        </w:rPr>
        <w:t xml:space="preserve">consistency does not require every message to be identical</w:t>
      </w:r>
      <w:r>
        <w:t xml:space="preserve">; it requires that different messages, tailored to different channels and audiences, all reinforce the</w:t>
      </w:r>
      <w:r>
        <w:t xml:space="preserve"> </w:t>
      </w:r>
      <w:r>
        <w:rPr>
          <w:iCs/>
          <w:i/>
        </w:rPr>
        <w:t xml:space="preserve">same underlying brand position and customer value proposition</w:t>
      </w:r>
      <w:r>
        <w:t xml:space="preserve">, rather than sending contradictory signals about what the brand actually stands for. A well-executed IMC campaign might use different messages, tone, and format on social media, through in-store sales staff, and via public relations — while ensuring all three consistently support the same core value proposition.</w:t>
      </w:r>
    </w:p>
    <w:p>
      <w:pPr>
        <w:pStyle w:val="BodyText"/>
      </w:pPr>
      <w:r>
        <w:rPr>
          <w:bCs/>
          <w:b/>
        </w:rPr>
        <w:t xml:space="preserve">Key takeaways for the Marketing unit</w:t>
      </w:r>
    </w:p>
    <w:p>
      <w:pPr>
        <w:numPr>
          <w:ilvl w:val="0"/>
          <w:numId w:val="1070"/>
        </w:numPr>
        <w:pStyle w:val="Compact"/>
      </w:pPr>
      <w:r>
        <w:t xml:space="preserve">Marketing is deliberately broader than selling: it begins with understanding needs before a product even exists, and continues after the sale through satisfaction and relationship management.</w:t>
      </w:r>
    </w:p>
    <w:p>
      <w:pPr>
        <w:numPr>
          <w:ilvl w:val="0"/>
          <w:numId w:val="1070"/>
        </w:numPr>
        <w:pStyle w:val="Compact"/>
      </w:pPr>
      <w:r>
        <w:t xml:space="preserve">The segmentation-targeting-positioning (STP) sequence is fixed and must not be confused: segmentation divides the market, targeting selects among the resulting segments, and positioning shapes how the chosen segment perceives the offer.</w:t>
      </w:r>
    </w:p>
    <w:p>
      <w:pPr>
        <w:numPr>
          <w:ilvl w:val="0"/>
          <w:numId w:val="1070"/>
        </w:numPr>
        <w:pStyle w:val="Compact"/>
      </w:pPr>
      <w:r>
        <w:t xml:space="preserve">The marketing mix (4 Ps, extended to 7 Ps for services) is the tactical toolkit through which marketing strategy — the choice of target customers and value proposition — is actually implemented.</w:t>
      </w:r>
    </w:p>
    <w:p>
      <w:pPr>
        <w:numPr>
          <w:ilvl w:val="0"/>
          <w:numId w:val="1070"/>
        </w:numPr>
        <w:pStyle w:val="Compact"/>
      </w:pPr>
      <w:r>
        <w:t xml:space="preserve">Pricing, like every mix element, must be coordinated with the others: a price set from cost alone, ignoring customer value and competitors, is incomplete regardless of how accurately the cost component itself was calculated.</w:t>
      </w:r>
    </w:p>
    <w:p>
      <w:r>
        <w:pict>
          <v:rect style="width:0;height:1.5pt" o:hralign="center" o:hrstd="t" o:hr="t"/>
        </w:pict>
      </w:r>
    </w:p>
    <w:bookmarkEnd w:id="113"/>
    <w:bookmarkEnd w:id="114"/>
    <w:bookmarkStart w:id="116" w:name="bibliography-and-further-reading"/>
    <w:p>
      <w:pPr>
        <w:pStyle w:val="Heading1"/>
      </w:pPr>
      <w:r>
        <w:rPr>
          <w:rStyle w:val="SectionNumber"/>
        </w:rPr>
        <w:t xml:space="preserve">8</w:t>
      </w:r>
      <w:r>
        <w:tab/>
      </w:r>
      <w:r>
        <w:t xml:space="preserve">Bibliography and Further Reading</w:t>
      </w:r>
    </w:p>
    <w:p>
      <w:pPr>
        <w:numPr>
          <w:ilvl w:val="0"/>
          <w:numId w:val="1071"/>
        </w:numPr>
        <w:pStyle w:val="Compact"/>
      </w:pPr>
      <w:r>
        <w:t xml:space="preserve">Robbins, S. P., &amp; Coulter, M. —</w:t>
      </w:r>
      <w:r>
        <w:t xml:space="preserve"> </w:t>
      </w:r>
      <w:r>
        <w:rPr>
          <w:iCs/>
          <w:i/>
        </w:rPr>
        <w:t xml:space="preserve">Management</w:t>
      </w:r>
      <w:r>
        <w:t xml:space="preserve"> </w:t>
      </w:r>
      <w:r>
        <w:t xml:space="preserve">(Pearson).</w:t>
      </w:r>
    </w:p>
    <w:p>
      <w:pPr>
        <w:numPr>
          <w:ilvl w:val="0"/>
          <w:numId w:val="1071"/>
        </w:numPr>
        <w:pStyle w:val="Compact"/>
      </w:pPr>
      <w:r>
        <w:t xml:space="preserve">Daft, R. L. —</w:t>
      </w:r>
      <w:r>
        <w:t xml:space="preserve"> </w:t>
      </w:r>
      <w:r>
        <w:rPr>
          <w:iCs/>
          <w:i/>
        </w:rPr>
        <w:t xml:space="preserve">Management</w:t>
      </w:r>
      <w:r>
        <w:t xml:space="preserve"> </w:t>
      </w:r>
      <w:r>
        <w:t xml:space="preserve">(Cengage).</w:t>
      </w:r>
    </w:p>
    <w:p>
      <w:pPr>
        <w:numPr>
          <w:ilvl w:val="0"/>
          <w:numId w:val="1071"/>
        </w:numPr>
        <w:pStyle w:val="Compact"/>
      </w:pPr>
      <w:r>
        <w:t xml:space="preserve">Mintzberg, H. —</w:t>
      </w:r>
      <w:r>
        <w:t xml:space="preserve"> </w:t>
      </w:r>
      <w:r>
        <w:rPr>
          <w:iCs/>
          <w:i/>
        </w:rPr>
        <w:t xml:space="preserve">The Nature of Managerial Work</w:t>
      </w:r>
      <w:r>
        <w:t xml:space="preserve"> </w:t>
      </w:r>
      <w:r>
        <w:t xml:space="preserve">(Harper &amp; Row) — original source of the ten managerial roles framework.</w:t>
      </w:r>
    </w:p>
    <w:p>
      <w:pPr>
        <w:numPr>
          <w:ilvl w:val="0"/>
          <w:numId w:val="1071"/>
        </w:numPr>
        <w:pStyle w:val="Compact"/>
      </w:pPr>
      <w:r>
        <w:t xml:space="preserve">Fayol, H. —</w:t>
      </w:r>
      <w:r>
        <w:t xml:space="preserve"> </w:t>
      </w:r>
      <w:r>
        <w:rPr>
          <w:iCs/>
          <w:i/>
        </w:rPr>
        <w:t xml:space="preserve">General and Industrial Management</w:t>
      </w:r>
      <w:r>
        <w:t xml:space="preserve"> </w:t>
      </w:r>
      <w:r>
        <w:t xml:space="preserve">— original source of the four (originally five) management functions.</w:t>
      </w:r>
    </w:p>
    <w:p>
      <w:pPr>
        <w:numPr>
          <w:ilvl w:val="0"/>
          <w:numId w:val="1071"/>
        </w:numPr>
        <w:pStyle w:val="Compact"/>
      </w:pPr>
      <w:r>
        <w:t xml:space="preserve">Dessler, G. —</w:t>
      </w:r>
      <w:r>
        <w:t xml:space="preserve"> </w:t>
      </w:r>
      <w:r>
        <w:rPr>
          <w:iCs/>
          <w:i/>
        </w:rPr>
        <w:t xml:space="preserve">Human Resource Management</w:t>
      </w:r>
      <w:r>
        <w:t xml:space="preserve"> </w:t>
      </w:r>
      <w:r>
        <w:t xml:space="preserve">(Pearson).</w:t>
      </w:r>
    </w:p>
    <w:p>
      <w:pPr>
        <w:numPr>
          <w:ilvl w:val="0"/>
          <w:numId w:val="1071"/>
        </w:numPr>
        <w:pStyle w:val="Compact"/>
      </w:pPr>
      <w:r>
        <w:t xml:space="preserve">Ross, S. A., Westerfield, R. W., &amp; Jordan, B. D. —</w:t>
      </w:r>
      <w:r>
        <w:t xml:space="preserve"> </w:t>
      </w:r>
      <w:r>
        <w:rPr>
          <w:iCs/>
          <w:i/>
        </w:rPr>
        <w:t xml:space="preserve">Essentials of Corporate Finance</w:t>
      </w:r>
      <w:r>
        <w:t xml:space="preserve"> </w:t>
      </w:r>
      <w:r>
        <w:t xml:space="preserve">(McGraw-Hill).</w:t>
      </w:r>
    </w:p>
    <w:p>
      <w:pPr>
        <w:numPr>
          <w:ilvl w:val="0"/>
          <w:numId w:val="1071"/>
        </w:numPr>
        <w:pStyle w:val="Compact"/>
      </w:pPr>
      <w:r>
        <w:t xml:space="preserve">Heizer, J., &amp; Render, B. —</w:t>
      </w:r>
      <w:r>
        <w:t xml:space="preserve"> </w:t>
      </w:r>
      <w:r>
        <w:rPr>
          <w:iCs/>
          <w:i/>
        </w:rPr>
        <w:t xml:space="preserve">Operations Management</w:t>
      </w:r>
      <w:r>
        <w:t xml:space="preserve"> </w:t>
      </w:r>
      <w:r>
        <w:t xml:space="preserve">(Pearson).</w:t>
      </w:r>
    </w:p>
    <w:p>
      <w:pPr>
        <w:numPr>
          <w:ilvl w:val="0"/>
          <w:numId w:val="1071"/>
        </w:numPr>
        <w:pStyle w:val="Compact"/>
      </w:pPr>
      <w:r>
        <w:t xml:space="preserve">Chopra, S., &amp; Meindl, P. —</w:t>
      </w:r>
      <w:r>
        <w:t xml:space="preserve"> </w:t>
      </w:r>
      <w:r>
        <w:rPr>
          <w:iCs/>
          <w:i/>
        </w:rPr>
        <w:t xml:space="preserve">Supply Chain Management: Strategy, Planning, and Operation</w:t>
      </w:r>
      <w:r>
        <w:t xml:space="preserve"> </w:t>
      </w:r>
      <w:r>
        <w:t xml:space="preserve">(Pearson) — standard source for the strategic-fit and bullwhip-effect material in Unit IV.</w:t>
      </w:r>
    </w:p>
    <w:p>
      <w:pPr>
        <w:numPr>
          <w:ilvl w:val="0"/>
          <w:numId w:val="1071"/>
        </w:numPr>
        <w:pStyle w:val="Compact"/>
      </w:pPr>
      <w:r>
        <w:t xml:space="preserve">Kotler, P., &amp; Armstrong, G. —</w:t>
      </w:r>
      <w:r>
        <w:t xml:space="preserve"> </w:t>
      </w:r>
      <w:r>
        <w:rPr>
          <w:iCs/>
          <w:i/>
        </w:rPr>
        <w:t xml:space="preserve">Principles of Marketing</w:t>
      </w:r>
      <w:r>
        <w:t xml:space="preserve"> </w:t>
      </w:r>
      <w:r>
        <w:t xml:space="preserve">(Pearson).</w:t>
      </w:r>
    </w:p>
    <w:p>
      <w:pPr>
        <w:numPr>
          <w:ilvl w:val="0"/>
          <w:numId w:val="1071"/>
        </w:numPr>
        <w:pStyle w:val="Compact"/>
      </w:pPr>
      <w:r>
        <w:t xml:space="preserve">Lewin, K. — original source of the three-step (unfreeze–move–refreeze) model of planned change, referenced in Unit I.</w:t>
      </w:r>
    </w:p>
    <w:p>
      <w:pPr>
        <w:pStyle w:val="FirstParagraph"/>
      </w:pPr>
      <w:r>
        <w:rPr>
          <w:iCs/>
          <w:i/>
        </w:rPr>
        <w:t xml:space="preserve">Note on sourcing: the concepts, frameworks, and named models in this chapter (Fayol’s functions, Mintzberg’s roles, Katz’s skills, Porter’s generic strategies, Maslow’s hierarchy, Herzberg’s two-factor theory, Vroom’s expectancy theory, Lewin’s change model, CAPM, WACC, EOQ, and the bullwhip effect) are long-established, widely taught frameworks covered in the standard textbooks listed above. Numerical examples in this chapter are illustrative worked calculations constructed to demonstrate the underlying formulas, not reported findings from a specific study.</w:t>
      </w:r>
      <w:r>
        <w:t xml:space="preserve"> </w:t>
      </w:r>
      <w:r>
        <w:t xml:space="preserve"># Public Administration</w:t>
      </w:r>
    </w:p>
    <w:p>
      <w:pPr>
        <w:pStyle w:val="BodyText"/>
      </w:pPr>
      <w:r>
        <w:rPr>
          <w:iCs/>
          <w:i/>
        </w:rPr>
        <w:t xml:space="preserve">CSS/PMS Group III Optional Subject — Code 23, 100 marks</w:t>
      </w:r>
    </w:p>
    <w:bookmarkStart w:id="115" w:name="introduction-to-the-subject-1"/>
    <w:p>
      <w:pPr>
        <w:pStyle w:val="Heading2"/>
      </w:pPr>
      <w:r>
        <w:rPr>
          <w:rStyle w:val="SectionNumber"/>
        </w:rPr>
        <w:t xml:space="preserve">8.1</w:t>
      </w:r>
      <w:r>
        <w:tab/>
      </w:r>
      <w:r>
        <w:t xml:space="preserve">Introduction to the Subject</w:t>
      </w:r>
    </w:p>
    <w:p>
      <w:pPr>
        <w:pStyle w:val="FirstParagraph"/>
      </w:pPr>
      <w:r>
        <w:t xml:space="preserve">Public Administration is the study of how government institutions are organized, staffed, financed, and controlled so that laws and public policies are actually turned into real services for citizens. It differs from private management in one crucial respect: every administrative act operates inside a web of constitutional, legal, political, and public-accountability constraints that a private firm does not face in the same way — a public manager cannot simply decide to serve a profitable segment of customers and ignore the rest, because public service carries obligations of universality, legality, and fairness that private management does not.</w:t>
      </w:r>
    </w:p>
    <w:p>
      <w:pPr>
        <w:pStyle w:val="BodyText"/>
      </w:pPr>
      <w:r>
        <w:t xml:space="preserve">The subject is organized into twelve connected units: the first two build the conceptual and theoretical vocabulary (what public administration is, and the major theories used to understand administrative behaviour); the middle units cover the practical machinery of government (policy, budgeting, personnel, law, management skills, the civil service, and provincial/local government); and the final units cover how that machinery is reformed, held accountable, and connected to national development.</w:t>
      </w:r>
    </w:p>
    <w:p>
      <w:pPr>
        <w:pStyle w:val="BodyText"/>
      </w:pPr>
      <w:r>
        <w:rPr>
          <w:bCs/>
          <w:b/>
        </w:rPr>
        <w:t xml:space="preserve">Foundational reading:</w:t>
      </w:r>
      <w:r>
        <w:t xml:space="preserve"> </w:t>
      </w:r>
      <w:r>
        <w:t xml:space="preserve">Robert B. Denhardt’s</w:t>
      </w:r>
      <w:r>
        <w:t xml:space="preserve"> </w:t>
      </w:r>
      <w:r>
        <w:rPr>
          <w:iCs/>
          <w:i/>
        </w:rPr>
        <w:t xml:space="preserve">Public Administration</w:t>
      </w:r>
      <w:r>
        <w:t xml:space="preserve">, David H. Rosenbloom’s</w:t>
      </w:r>
      <w:r>
        <w:t xml:space="preserve"> </w:t>
      </w:r>
      <w:r>
        <w:rPr>
          <w:iCs/>
          <w:i/>
        </w:rPr>
        <w:t xml:space="preserve">Public Administration: Understanding Management, Politics and Law</w:t>
      </w:r>
      <w:r>
        <w:t xml:space="preserve">, Nicholas Henry’s</w:t>
      </w:r>
      <w:r>
        <w:t xml:space="preserve"> </w:t>
      </w:r>
      <w:r>
        <w:rPr>
          <w:iCs/>
          <w:i/>
        </w:rPr>
        <w:t xml:space="preserve">Public Administration and Public Affairs</w:t>
      </w:r>
      <w:r>
        <w:t xml:space="preserve">, Charles H. Kennedy’s</w:t>
      </w:r>
      <w:r>
        <w:t xml:space="preserve"> </w:t>
      </w:r>
      <w:r>
        <w:rPr>
          <w:iCs/>
          <w:i/>
        </w:rPr>
        <w:t xml:space="preserve">Bureaucracy in Pakistan</w:t>
      </w:r>
      <w:r>
        <w:t xml:space="preserve">, and the Constitution of the Islamic Republic of Pakistan (for institutional context) are the standard reference works behind this syllabus.</w:t>
      </w:r>
    </w:p>
    <w:p>
      <w:r>
        <w:pict>
          <v:rect style="width:0;height:1.5pt" o:hralign="center" o:hrstd="t" o:hr="t"/>
        </w:pict>
      </w:r>
    </w:p>
    <w:bookmarkEnd w:id="115"/>
    <w:bookmarkEnd w:id="116"/>
    <w:bookmarkStart w:id="129" w:name="Xd388cdf43b3832584f74028c59050a5d77a6ad8"/>
    <w:p>
      <w:pPr>
        <w:pStyle w:val="Heading1"/>
      </w:pPr>
      <w:r>
        <w:rPr>
          <w:rStyle w:val="SectionNumber"/>
        </w:rPr>
        <w:t xml:space="preserve">9</w:t>
      </w:r>
      <w:r>
        <w:tab/>
      </w:r>
      <w:r>
        <w:t xml:space="preserve">I. Public Administration: Concepts, Approaches, and Context</w:t>
      </w:r>
    </w:p>
    <w:bookmarkStart w:id="117" w:name="what-this-unit-is-about-5"/>
    <w:p>
      <w:pPr>
        <w:pStyle w:val="Heading2"/>
      </w:pPr>
      <w:r>
        <w:rPr>
          <w:rStyle w:val="SectionNumber"/>
        </w:rPr>
        <w:t xml:space="preserve">9.1</w:t>
      </w:r>
      <w:r>
        <w:tab/>
      </w:r>
      <w:r>
        <w:t xml:space="preserve">What This Unit Is About</w:t>
      </w:r>
    </w:p>
    <w:p>
      <w:pPr>
        <w:pStyle w:val="FirstParagraph"/>
      </w:pPr>
      <w:r>
        <w:t xml:space="preserve">This opening unit defines public administration and works through the classic tensions and modern approaches that shape how it is practised: the balance between democratic accountability and bureaucratic expertise, the boundary between politics and administration, the trade-off between efficiency and equity, and the succession of major administrative approaches from traditional bureaucracy through New Public Management to today’s governance and New Public Service perspectives.</w:t>
      </w:r>
    </w:p>
    <w:bookmarkEnd w:id="117"/>
    <w:bookmarkStart w:id="118" w:name="definitions-role-and-scope"/>
    <w:p>
      <w:pPr>
        <w:pStyle w:val="Heading2"/>
      </w:pPr>
      <w:r>
        <w:rPr>
          <w:rStyle w:val="SectionNumber"/>
        </w:rPr>
        <w:t xml:space="preserve">9.2</w:t>
      </w:r>
      <w:r>
        <w:tab/>
      </w:r>
      <w:r>
        <w:t xml:space="preserve">Definitions, Role, and Scope</w:t>
      </w:r>
    </w:p>
    <w:p>
      <w:pPr>
        <w:pStyle w:val="FirstParagraph"/>
      </w:pPr>
      <w:r>
        <w:rPr>
          <w:bCs/>
          <w:b/>
        </w:rPr>
        <w:t xml:space="preserve">Public administration</w:t>
      </w:r>
      <w:r>
        <w:t xml:space="preserve"> </w:t>
      </w:r>
      <w:r>
        <w:t xml:space="preserve">encompasses the institutions, personnel, and processes through which public policies and laws are implemented and public services are delivered. Its scope is genuinely broad, spanning organization design, personnel management, budgeting, policy implementation, regulation, direct service delivery, and accountability — in effect, everything between a law being passed and a citizen actually receiving the service or being subject to the regulation that law intended. It is useful to think of public administration as both an</w:t>
      </w:r>
      <w:r>
        <w:t xml:space="preserve"> </w:t>
      </w:r>
      <w:r>
        <w:rPr>
          <w:bCs/>
          <w:b/>
        </w:rPr>
        <w:t xml:space="preserve">academic field</w:t>
      </w:r>
      <w:r>
        <w:t xml:space="preserve"> </w:t>
      </w:r>
      <w:r>
        <w:t xml:space="preserve">(a body of theory and research) and the</w:t>
      </w:r>
      <w:r>
        <w:t xml:space="preserve"> </w:t>
      </w:r>
      <w:r>
        <w:rPr>
          <w:bCs/>
          <w:b/>
        </w:rPr>
        <w:t xml:space="preserve">actual machinery</w:t>
      </w:r>
      <w:r>
        <w:t xml:space="preserve"> </w:t>
      </w:r>
      <w:r>
        <w:t xml:space="preserve">of government, and most exam answers benefit from addressing both senses explicitly.</w:t>
      </w:r>
    </w:p>
    <w:bookmarkEnd w:id="118"/>
    <w:bookmarkStart w:id="119" w:name="democracy-versus-bureaucracy"/>
    <w:p>
      <w:pPr>
        <w:pStyle w:val="Heading2"/>
      </w:pPr>
      <w:r>
        <w:rPr>
          <w:rStyle w:val="SectionNumber"/>
        </w:rPr>
        <w:t xml:space="preserve">9.3</w:t>
      </w:r>
      <w:r>
        <w:tab/>
      </w:r>
      <w:r>
        <w:t xml:space="preserve">Democracy versus Bureaucracy</w:t>
      </w:r>
    </w:p>
    <w:p>
      <w:pPr>
        <w:pStyle w:val="FirstParagraph"/>
      </w:pPr>
      <w:r>
        <w:rPr>
          <w:bCs/>
          <w:b/>
        </w:rPr>
        <w:t xml:space="preserve">Democracy</w:t>
      </w:r>
      <w:r>
        <w:t xml:space="preserve"> </w:t>
      </w:r>
      <w:r>
        <w:t xml:space="preserve">supplies political legitimacy: it rests on public consent, representation, and political accountability, with elected officials answerable to citizens through elections.</w:t>
      </w:r>
      <w:r>
        <w:t xml:space="preserve"> </w:t>
      </w:r>
      <w:r>
        <w:rPr>
          <w:bCs/>
          <w:b/>
        </w:rPr>
        <w:t xml:space="preserve">Bureaucracy</w:t>
      </w:r>
      <w:r>
        <w:t xml:space="preserve">, in contrast, supplies continuity, technical expertise, hierarchy, and rule-based, impersonal administration — a permanent professional civil service that continues functioning across changes of elected government. The productive resolution of this tension, not a choice of one over the other, is the exam-relevant point: elected leaders set lawful policy direction, while professional administrators implement it impartially and provide candid, technically-informed advice regardless of which party holds office. The same bureaucratic features that create predictability and continuity (rules, hierarchy, written records) can also produce</w:t>
      </w:r>
      <w:r>
        <w:t xml:space="preserve"> </w:t>
      </w:r>
      <w:r>
        <w:rPr>
          <w:bCs/>
          <w:b/>
        </w:rPr>
        <w:t xml:space="preserve">red tape</w:t>
      </w:r>
      <w:r>
        <w:t xml:space="preserve"> </w:t>
      </w:r>
      <w:r>
        <w:t xml:space="preserve">when rules become ends in themselves rather than means to public purposes — a risk worth naming explicitly whenever bureaucracy’s strengths are discussed.</w:t>
      </w:r>
    </w:p>
    <w:bookmarkEnd w:id="119"/>
    <w:bookmarkStart w:id="120" w:name="politics-versus-administration"/>
    <w:p>
      <w:pPr>
        <w:pStyle w:val="Heading2"/>
      </w:pPr>
      <w:r>
        <w:rPr>
          <w:rStyle w:val="SectionNumber"/>
        </w:rPr>
        <w:t xml:space="preserve">9.4</w:t>
      </w:r>
      <w:r>
        <w:tab/>
      </w:r>
      <w:r>
        <w:t xml:space="preserve">Politics versus Administration</w:t>
      </w:r>
    </w:p>
    <w:p>
      <w:pPr>
        <w:pStyle w:val="FirstParagraph"/>
      </w:pPr>
      <w:r>
        <w:t xml:space="preserve">The classical</w:t>
      </w:r>
      <w:r>
        <w:t xml:space="preserve"> </w:t>
      </w:r>
      <w:r>
        <w:rPr>
          <w:bCs/>
          <w:b/>
        </w:rPr>
        <w:t xml:space="preserve">politics-administration dichotomy</w:t>
      </w:r>
      <w:r>
        <w:t xml:space="preserve"> </w:t>
      </w:r>
      <w:r>
        <w:t xml:space="preserve">(associated with Woodrow Wilson and Frank Goodnow) separated the political</w:t>
      </w:r>
      <w:r>
        <w:t xml:space="preserve"> </w:t>
      </w:r>
      <w:r>
        <w:rPr>
          <w:iCs/>
          <w:i/>
        </w:rPr>
        <w:t xml:space="preserve">choice of goals</w:t>
      </w:r>
      <w:r>
        <w:t xml:space="preserve"> </w:t>
      </w:r>
      <w:r>
        <w:t xml:space="preserve">(properly the domain of elected officials) from the administrative</w:t>
      </w:r>
      <w:r>
        <w:t xml:space="preserve"> </w:t>
      </w:r>
      <w:r>
        <w:rPr>
          <w:iCs/>
          <w:i/>
        </w:rPr>
        <w:t xml:space="preserve">execution</w:t>
      </w:r>
      <w:r>
        <w:t xml:space="preserve"> </w:t>
      </w:r>
      <w:r>
        <w:t xml:space="preserve">of those goals (properly the domain of professional, non-partisan administrators). In practice this boundary is not absolute, and the syllabus explicitly asks students to explain why: implementation requires interpretation of ambiguous statutory language, and administrators regularly advise political leadership on feasibility, cost, and likely consequences before a policy decision is even finalized — meaning administrators inevitably shape policy substance even while formally only</w:t>
      </w:r>
      <w:r>
        <w:t xml:space="preserve"> </w:t>
      </w:r>
      <w:r>
        <w:t xml:space="preserve">“</w:t>
      </w:r>
      <w:r>
        <w:t xml:space="preserve">executing</w:t>
      </w:r>
      <w:r>
        <w:t xml:space="preserve">”</w:t>
      </w:r>
      <w:r>
        <w:t xml:space="preserve"> </w:t>
      </w:r>
      <w:r>
        <w:t xml:space="preserve">it. The workable modern principle is not</w:t>
      </w:r>
      <w:r>
        <w:t xml:space="preserve"> </w:t>
      </w:r>
      <w:r>
        <w:t xml:space="preserve">“</w:t>
      </w:r>
      <w:r>
        <w:t xml:space="preserve">no politics in administration at all,</w:t>
      </w:r>
      <w:r>
        <w:t xml:space="preserve">”</w:t>
      </w:r>
      <w:r>
        <w:t xml:space="preserve"> </w:t>
      </w:r>
      <w:r>
        <w:t xml:space="preserve">but rather</w:t>
      </w:r>
      <w:r>
        <w:t xml:space="preserve"> </w:t>
      </w:r>
      <w:r>
        <w:rPr>
          <w:bCs/>
          <w:b/>
        </w:rPr>
        <w:t xml:space="preserve">lawful political control combined with professional, impartial administration</w:t>
      </w:r>
      <w:r>
        <w:t xml:space="preserve"> </w:t>
      </w:r>
      <w:r>
        <w:t xml:space="preserve">— political leaders set direction and exercise oversight, while administrators implement lawfully and advise honestly.</w:t>
      </w:r>
    </w:p>
    <w:bookmarkEnd w:id="120"/>
    <w:bookmarkStart w:id="121" w:name="efficiency-versus-equity"/>
    <w:p>
      <w:pPr>
        <w:pStyle w:val="Heading2"/>
      </w:pPr>
      <w:r>
        <w:rPr>
          <w:rStyle w:val="SectionNumber"/>
        </w:rPr>
        <w:t xml:space="preserve">9.5</w:t>
      </w:r>
      <w:r>
        <w:tab/>
      </w:r>
      <w:r>
        <w:t xml:space="preserve">Efficiency versus Equity</w:t>
      </w:r>
    </w:p>
    <w:p>
      <w:pPr>
        <w:pStyle w:val="FirstParagraph"/>
      </w:pPr>
      <w:r>
        <w:rPr>
          <w:bCs/>
          <w:b/>
        </w:rPr>
        <w:t xml:space="preserve">Efficiency</w:t>
      </w:r>
      <w:r>
        <w:t xml:space="preserve"> </w:t>
      </w:r>
      <w:r>
        <w:t xml:space="preserve">asks how much public value is produced from the resources committed — the same efficiency concept introduced in the Management unit’s discussion of Business Administration, now applied to public resources.</w:t>
      </w:r>
      <w:r>
        <w:t xml:space="preserve"> </w:t>
      </w:r>
      <w:r>
        <w:rPr>
          <w:bCs/>
          <w:b/>
        </w:rPr>
        <w:t xml:space="preserve">Equity</w:t>
      </w:r>
      <w:r>
        <w:t xml:space="preserve"> </w:t>
      </w:r>
      <w:r>
        <w:t xml:space="preserve">asks whether the resulting benefits, burdens, opportunities, and treatment are distributed fairly across citizens. These two criteria can genuinely conflict: a policy that is cheapest per unit of output (highly efficient) might systematically underserve a remote or disadvantaged population that is more expensive to reach — the classic example being rural healthcare or education delivery, where the efficient (low-cost) option is often concentrated service in accessible urban centres, at the direct expense of equitable access for rural citizens. Public management is therefore frequently a genuine balancing exercise between these two values rather than a simple maximization of either one alone.</w:t>
      </w:r>
    </w:p>
    <w:bookmarkEnd w:id="121"/>
    <w:bookmarkStart w:id="122" w:name="core-values-in-public-administration"/>
    <w:p>
      <w:pPr>
        <w:pStyle w:val="Heading2"/>
      </w:pPr>
      <w:r>
        <w:rPr>
          <w:rStyle w:val="SectionNumber"/>
        </w:rPr>
        <w:t xml:space="preserve">9.6</w:t>
      </w:r>
      <w:r>
        <w:tab/>
      </w:r>
      <w:r>
        <w:t xml:space="preserve">Core Values in Public Administration</w:t>
      </w:r>
    </w:p>
    <w:p>
      <w:pPr>
        <w:pStyle w:val="FirstParagraph"/>
      </w:pPr>
      <w:r>
        <w:t xml:space="preserve">Beyond efficiency and equity, public administration scholarship recognizes a broader constellation of values that legitimate public action:</w:t>
      </w:r>
      <w:r>
        <w:t xml:space="preserve"> </w:t>
      </w:r>
      <w:r>
        <w:rPr>
          <w:bCs/>
          <w:b/>
        </w:rPr>
        <w:t xml:space="preserve">accountability</w:t>
      </w:r>
      <w:r>
        <w:t xml:space="preserve"> </w:t>
      </w:r>
      <w:r>
        <w:t xml:space="preserve">(answerability for the use of public authority and resources),</w:t>
      </w:r>
      <w:r>
        <w:t xml:space="preserve"> </w:t>
      </w:r>
      <w:r>
        <w:rPr>
          <w:bCs/>
          <w:b/>
        </w:rPr>
        <w:t xml:space="preserve">transparency</w:t>
      </w:r>
      <w:r>
        <w:t xml:space="preserve"> </w:t>
      </w:r>
      <w:r>
        <w:t xml:space="preserve">(openness of process and information),</w:t>
      </w:r>
      <w:r>
        <w:t xml:space="preserve"> </w:t>
      </w:r>
      <w:r>
        <w:rPr>
          <w:bCs/>
          <w:b/>
        </w:rPr>
        <w:t xml:space="preserve">responsiveness</w:t>
      </w:r>
      <w:r>
        <w:t xml:space="preserve"> </w:t>
      </w:r>
      <w:r>
        <w:t xml:space="preserve">(attentiveness to citizen needs and preferences),</w:t>
      </w:r>
      <w:r>
        <w:t xml:space="preserve"> </w:t>
      </w:r>
      <w:r>
        <w:rPr>
          <w:bCs/>
          <w:b/>
        </w:rPr>
        <w:t xml:space="preserve">legality</w:t>
      </w:r>
      <w:r>
        <w:t xml:space="preserve"> </w:t>
      </w:r>
      <w:r>
        <w:t xml:space="preserve">(adherence to constitutional and statutory authority), and</w:t>
      </w:r>
      <w:r>
        <w:t xml:space="preserve"> </w:t>
      </w:r>
      <w:r>
        <w:rPr>
          <w:bCs/>
          <w:b/>
        </w:rPr>
        <w:t xml:space="preserve">public interest</w:t>
      </w:r>
      <w:r>
        <w:t xml:space="preserve"> </w:t>
      </w:r>
      <w:r>
        <w:t xml:space="preserve">(orientation toward the common good rather than narrow or private benefit). Different administrative eras and approaches, discussed next, have emphasized different subsets of these values.</w:t>
      </w:r>
    </w:p>
    <w:bookmarkEnd w:id="122"/>
    <w:bookmarkStart w:id="123" w:name="traditional-public-administration"/>
    <w:p>
      <w:pPr>
        <w:pStyle w:val="Heading2"/>
      </w:pPr>
      <w:r>
        <w:rPr>
          <w:rStyle w:val="SectionNumber"/>
        </w:rPr>
        <w:t xml:space="preserve">9.7</w:t>
      </w:r>
      <w:r>
        <w:tab/>
      </w:r>
      <w:r>
        <w:t xml:space="preserve">Traditional Public Administration</w:t>
      </w:r>
    </w:p>
    <w:p>
      <w:pPr>
        <w:pStyle w:val="FirstParagraph"/>
      </w:pPr>
      <w:r>
        <w:t xml:space="preserve">The traditional model emphasizes hierarchy, formal rules, merit-based bureaucratic staffing, functional specialization, and clear lines of authority — essentially the application of Weberian bureaucratic principles (developed further in Unit II) to the machinery of the state. Its strengths are continuity, procedural consistency, and predictability; its characteristic risk, as already noted under Democracy versus Bureaucracy above, is rigidity and slow adaptation when circumstances change faster than formal rules and procedures can be revised.</w:t>
      </w:r>
    </w:p>
    <w:bookmarkEnd w:id="123"/>
    <w:bookmarkStart w:id="124" w:name="new-public-management-npm"/>
    <w:p>
      <w:pPr>
        <w:pStyle w:val="Heading2"/>
      </w:pPr>
      <w:r>
        <w:rPr>
          <w:rStyle w:val="SectionNumber"/>
        </w:rPr>
        <w:t xml:space="preserve">9.8</w:t>
      </w:r>
      <w:r>
        <w:tab/>
      </w:r>
      <w:r>
        <w:t xml:space="preserve">New Public Management (NPM)</w:t>
      </w:r>
    </w:p>
    <w:p>
      <w:pPr>
        <w:pStyle w:val="FirstParagraph"/>
      </w:pPr>
      <w:r>
        <w:rPr>
          <w:bCs/>
          <w:b/>
        </w:rPr>
        <w:t xml:space="preserve">New Public Management</w:t>
      </w:r>
      <w:r>
        <w:t xml:space="preserve"> </w:t>
      </w:r>
      <w:r>
        <w:t xml:space="preserve">emerged from the 1980s onward as a reaction against the perceived rigidities of traditional bureaucracy, introducing private-sector-style management practices into government: stronger attention to measurable results and performance indicators, greater managerial discretion (loosening rigid rule-based control in exchange for accountability for outcomes), competition and contracting-out of service delivery, and market-style mechanisms generally. The central debate the syllabus asks students to prepare is genuinely two-sided: NPM’s advocates argue it improves efficiency and responsiveness by importing disciplined management practice; its critics argue that treating citizens as</w:t>
      </w:r>
      <w:r>
        <w:t xml:space="preserve"> </w:t>
      </w:r>
      <w:r>
        <w:t xml:space="preserve">“</w:t>
      </w:r>
      <w:r>
        <w:t xml:space="preserve">customers</w:t>
      </w:r>
      <w:r>
        <w:t xml:space="preserve">”</w:t>
      </w:r>
      <w:r>
        <w:t xml:space="preserve"> </w:t>
      </w:r>
      <w:r>
        <w:t xml:space="preserve">and importing market logic can fragment coordinated public action, weaken democratic accountability (since contracted-out services are harder for citizens to hold directly accountable), and crowd out non-market public values like equity and universal service.</w:t>
      </w:r>
    </w:p>
    <w:bookmarkEnd w:id="124"/>
    <w:bookmarkStart w:id="125" w:name="new-public-service"/>
    <w:p>
      <w:pPr>
        <w:pStyle w:val="Heading2"/>
      </w:pPr>
      <w:r>
        <w:rPr>
          <w:rStyle w:val="SectionNumber"/>
        </w:rPr>
        <w:t xml:space="preserve">9.9</w:t>
      </w:r>
      <w:r>
        <w:tab/>
      </w:r>
      <w:r>
        <w:t xml:space="preserve">New Public Service</w:t>
      </w:r>
    </w:p>
    <w:p>
      <w:pPr>
        <w:pStyle w:val="FirstParagraph"/>
      </w:pPr>
      <w:r>
        <w:rPr>
          <w:bCs/>
          <w:b/>
        </w:rPr>
        <w:t xml:space="preserve">New Public Service</w:t>
      </w:r>
      <w:r>
        <w:t xml:space="preserve">, developed partly as a corrective response to NPM’s market-oriented emphasis, argues that public officials should help citizens articulate and pursue</w:t>
      </w:r>
      <w:r>
        <w:t xml:space="preserve"> </w:t>
      </w:r>
      <w:r>
        <w:rPr>
          <w:iCs/>
          <w:i/>
        </w:rPr>
        <w:t xml:space="preserve">shared</w:t>
      </w:r>
      <w:r>
        <w:t xml:space="preserve"> </w:t>
      </w:r>
      <w:r>
        <w:t xml:space="preserve">interests, rather than either steering markets (the traditional model’s rule-bound instinct) or treating citizens merely as individual customers (NPM’s market-oriented instinct). It emphasizes citizenship, democratic dialogue, collaborative problem-solving, and a plurality of public values beyond simple efficiency — positioning itself explicitly as a corrective to both Traditional Public Administration and NPM, a genealogy worth stating clearly in any comparative answer.</w:t>
      </w:r>
    </w:p>
    <w:bookmarkEnd w:id="125"/>
    <w:bookmarkStart w:id="126" w:name="the-governance-approach"/>
    <w:p>
      <w:pPr>
        <w:pStyle w:val="Heading2"/>
      </w:pPr>
      <w:r>
        <w:rPr>
          <w:rStyle w:val="SectionNumber"/>
        </w:rPr>
        <w:t xml:space="preserve">9.10</w:t>
      </w:r>
      <w:r>
        <w:tab/>
      </w:r>
      <w:r>
        <w:t xml:space="preserve">The Governance Approach</w:t>
      </w:r>
    </w:p>
    <w:p>
      <w:pPr>
        <w:pStyle w:val="FirstParagraph"/>
      </w:pPr>
      <w:r>
        <w:rPr>
          <w:bCs/>
          <w:b/>
        </w:rPr>
        <w:t xml:space="preserve">Governance</w:t>
      </w:r>
      <w:r>
        <w:t xml:space="preserve"> </w:t>
      </w:r>
      <w:r>
        <w:t xml:space="preserve">recognizes that public outcomes today are rarely produced by a single government department acting alone; they emerge from networks involving private firms, civil society organizations, communities, and multiple levels of government working together (or in tension). A precise distinction worth stating explicitly:</w:t>
      </w:r>
      <w:r>
        <w:t xml:space="preserve"> </w:t>
      </w:r>
      <w:r>
        <w:rPr>
          <w:bCs/>
          <w:b/>
        </w:rPr>
        <w:t xml:space="preserve">government</w:t>
      </w:r>
      <w:r>
        <w:t xml:space="preserve"> </w:t>
      </w:r>
      <w:r>
        <w:t xml:space="preserve">refers to the formal institutions of the state, while</w:t>
      </w:r>
      <w:r>
        <w:t xml:space="preserve"> </w:t>
      </w:r>
      <w:r>
        <w:rPr>
          <w:bCs/>
          <w:b/>
        </w:rPr>
        <w:t xml:space="preserve">governance</w:t>
      </w:r>
      <w:r>
        <w:t xml:space="preserve"> </w:t>
      </w:r>
      <w:r>
        <w:t xml:space="preserve">refers to the broader process and set of relationships through which collective action and public outcomes are actually produced — governance is a wider concept than government, not a synonym for it. The practical trade-off is that networks can mobilize diverse expertise and resources beyond what any single government department could command, but they also make responsibility harder to trace when something goes wrong, making coordination and accountability mechanisms across the network especially important.</w:t>
      </w:r>
    </w:p>
    <w:bookmarkEnd w:id="126"/>
    <w:bookmarkStart w:id="127" w:name="Xc9000b143d83da471120b7714ed4ce12f432cec"/>
    <w:p>
      <w:pPr>
        <w:pStyle w:val="Heading2"/>
      </w:pPr>
      <w:r>
        <w:rPr>
          <w:rStyle w:val="SectionNumber"/>
        </w:rPr>
        <w:t xml:space="preserve">9.11</w:t>
      </w:r>
      <w:r>
        <w:tab/>
      </w:r>
      <w:r>
        <w:t xml:space="preserve">The Islamic Concept of Public Administration</w:t>
      </w:r>
    </w:p>
    <w:p>
      <w:pPr>
        <w:pStyle w:val="FirstParagraph"/>
      </w:pPr>
      <w:r>
        <w:t xml:space="preserve">The syllabus asks for broad principles rather than a detailed comparative theology:</w:t>
      </w:r>
      <w:r>
        <w:t xml:space="preserve"> </w:t>
      </w:r>
      <w:r>
        <w:rPr>
          <w:bCs/>
          <w:b/>
        </w:rPr>
        <w:t xml:space="preserve">justice</w:t>
      </w:r>
      <w:r>
        <w:t xml:space="preserve"> </w:t>
      </w:r>
      <w:r>
        <w:t xml:space="preserve">(’adl),</w:t>
      </w:r>
      <w:r>
        <w:t xml:space="preserve"> </w:t>
      </w:r>
      <w:r>
        <w:rPr>
          <w:bCs/>
          <w:b/>
        </w:rPr>
        <w:t xml:space="preserve">trust</w:t>
      </w:r>
      <w:r>
        <w:t xml:space="preserve"> </w:t>
      </w:r>
      <w:r>
        <w:t xml:space="preserve">(amanah — the idea that public authority is held in trust for the people, not as personal property),</w:t>
      </w:r>
      <w:r>
        <w:t xml:space="preserve"> </w:t>
      </w:r>
      <w:r>
        <w:rPr>
          <w:bCs/>
          <w:b/>
        </w:rPr>
        <w:t xml:space="preserve">accountability</w:t>
      </w:r>
      <w:r>
        <w:t xml:space="preserve"> </w:t>
      </w:r>
      <w:r>
        <w:t xml:space="preserve">(both to citizens and, in the Islamic framing, ultimately to a higher moral order),</w:t>
      </w:r>
      <w:r>
        <w:t xml:space="preserve"> </w:t>
      </w:r>
      <w:r>
        <w:rPr>
          <w:bCs/>
          <w:b/>
        </w:rPr>
        <w:t xml:space="preserve">consultation</w:t>
      </w:r>
      <w:r>
        <w:t xml:space="preserve"> </w:t>
      </w:r>
      <w:r>
        <w:t xml:space="preserve">(shura — collective deliberation before major decisions),</w:t>
      </w:r>
      <w:r>
        <w:t xml:space="preserve"> </w:t>
      </w:r>
      <w:r>
        <w:rPr>
          <w:bCs/>
          <w:b/>
        </w:rPr>
        <w:t xml:space="preserve">public welfare</w:t>
      </w:r>
      <w:r>
        <w:t xml:space="preserve"> </w:t>
      </w:r>
      <w:r>
        <w:t xml:space="preserve">(maslaha), and the responsible, non-exploitative exercise of authority. Any textual evidence used to illustrate these principles should be drawn only from verified Qur’anic translations and reliable hadith or juristic sources, with the general conceptual explanation kept separate from any disputed historical or sectarian interpretation.</w:t>
      </w:r>
    </w:p>
    <w:bookmarkEnd w:id="127"/>
    <w:bookmarkStart w:id="128" w:name="X8f274d9a0ef3c9775a22ea7c886488a3ed6ef51"/>
    <w:p>
      <w:pPr>
        <w:pStyle w:val="Heading2"/>
      </w:pPr>
      <w:r>
        <w:rPr>
          <w:rStyle w:val="SectionNumber"/>
        </w:rPr>
        <w:t xml:space="preserve">9.12</w:t>
      </w:r>
      <w:r>
        <w:tab/>
      </w:r>
      <w:r>
        <w:t xml:space="preserve">Historical Roots of Public Administration in Pakistan</w:t>
      </w:r>
    </w:p>
    <w:p>
      <w:pPr>
        <w:pStyle w:val="FirstParagraph"/>
      </w:pPr>
      <w:r>
        <w:t xml:space="preserve">Pakistan’s administrative structure inherited a strong</w:t>
      </w:r>
      <w:r>
        <w:t xml:space="preserve"> </w:t>
      </w:r>
      <w:r>
        <w:rPr>
          <w:bCs/>
          <w:b/>
        </w:rPr>
        <w:t xml:space="preserve">colonial legacy</w:t>
      </w:r>
      <w:r>
        <w:t xml:space="preserve">: centralized authority, a district-based field administration system, an emphasis on revenue collection and the maintenance of law and order, and an elite professional civil service modelled on the Indian Civil Service. Post-independence, these inherited institutions and structures largely persisted, but now operating within a new constitutional order, a different political context, and — critically — a developmental mandate (nation-building, economic development) that the colonial administrative apparatus was never originally designed to pursue. Much of the subsequent history of Pakistani public administration, developed further in Unit X (Governance and Administrative Reforms), can be read as a long, still-incomplete process of adapting an inherited colonial administrative machine to these newer democratic and developmental demands.</w:t>
      </w:r>
    </w:p>
    <w:p>
      <w:pPr>
        <w:pStyle w:val="BodyText"/>
      </w:pPr>
      <w:r>
        <w:rPr>
          <w:bCs/>
          <w:b/>
        </w:rPr>
        <w:t xml:space="preserve">Key takeaways for Unit I</w:t>
      </w:r>
    </w:p>
    <w:p>
      <w:pPr>
        <w:numPr>
          <w:ilvl w:val="0"/>
          <w:numId w:val="1072"/>
        </w:numPr>
        <w:pStyle w:val="Compact"/>
      </w:pPr>
      <w:r>
        <w:t xml:space="preserve">The core tensions of this unit — democracy vs. bureaucracy, politics vs. administration, efficiency vs. equity — are not meant to be resolved by choosing one side; the exam rewards explaining how each pair is balanced in practice.</w:t>
      </w:r>
    </w:p>
    <w:p>
      <w:pPr>
        <w:numPr>
          <w:ilvl w:val="0"/>
          <w:numId w:val="1072"/>
        </w:numPr>
        <w:pStyle w:val="Compact"/>
      </w:pPr>
      <w:r>
        <w:t xml:space="preserve">The historical sequence Traditional Public Administration → New Public Management → New Public Service/Governance is a genealogy of correctives: each later approach responds to specific limitations of the one before it.</w:t>
      </w:r>
    </w:p>
    <w:p>
      <w:pPr>
        <w:numPr>
          <w:ilvl w:val="0"/>
          <w:numId w:val="1072"/>
        </w:numPr>
        <w:pStyle w:val="Compact"/>
      </w:pPr>
      <w:r>
        <w:t xml:space="preserve">Government (formal state institutions) and governance (the broader network of actors producing public outcomes) are distinct concepts, frequently confused, and worth stating precisely whenever either term appears in an answer.</w:t>
      </w:r>
    </w:p>
    <w:p>
      <w:r>
        <w:pict>
          <v:rect style="width:0;height:1.5pt" o:hralign="center" o:hrstd="t" o:hr="t"/>
        </w:pict>
      </w:r>
    </w:p>
    <w:bookmarkEnd w:id="128"/>
    <w:bookmarkEnd w:id="129"/>
    <w:bookmarkStart w:id="142" w:name="Xe89ecd22d9ad0c93e541060ddb4d7dcf484c607"/>
    <w:p>
      <w:pPr>
        <w:pStyle w:val="Heading1"/>
      </w:pPr>
      <w:r>
        <w:rPr>
          <w:rStyle w:val="SectionNumber"/>
        </w:rPr>
        <w:t xml:space="preserve">10</w:t>
      </w:r>
      <w:r>
        <w:tab/>
      </w:r>
      <w:r>
        <w:t xml:space="preserve">II. Classical and Contemporary Theories and Concepts</w:t>
      </w:r>
    </w:p>
    <w:bookmarkStart w:id="130" w:name="what-this-unit-is-about-6"/>
    <w:p>
      <w:pPr>
        <w:pStyle w:val="Heading2"/>
      </w:pPr>
      <w:r>
        <w:rPr>
          <w:rStyle w:val="SectionNumber"/>
        </w:rPr>
        <w:t xml:space="preserve">10.1</w:t>
      </w:r>
      <w:r>
        <w:tab/>
      </w:r>
      <w:r>
        <w:t xml:space="preserve">What This Unit Is About</w:t>
      </w:r>
    </w:p>
    <w:p>
      <w:pPr>
        <w:pStyle w:val="FirstParagraph"/>
      </w:pPr>
      <w:r>
        <w:t xml:space="preserve">This unit surveys the major theoretical lenses used to understand administrative organizations and behaviour, then applies structural concepts to Pakistan’s actual federal, provincial, and local government architecture. For each theory, the useful revision habit is to fix four things firmly: its central idea, its key originator, its strength, and its limitation.</w:t>
      </w:r>
    </w:p>
    <w:bookmarkEnd w:id="130"/>
    <w:bookmarkStart w:id="131" w:name="bureaucracy-webers-ideal-type"/>
    <w:p>
      <w:pPr>
        <w:pStyle w:val="Heading2"/>
      </w:pPr>
      <w:r>
        <w:rPr>
          <w:rStyle w:val="SectionNumber"/>
        </w:rPr>
        <w:t xml:space="preserve">10.2</w:t>
      </w:r>
      <w:r>
        <w:tab/>
      </w:r>
      <w:r>
        <w:t xml:space="preserve">Bureaucracy: Weber’s Ideal Type</w:t>
      </w:r>
    </w:p>
    <w:p>
      <w:pPr>
        <w:pStyle w:val="FirstParagraph"/>
      </w:pPr>
      <w:r>
        <w:t xml:space="preserve">Max Weber’s ideal-type bureaucracy is defined by six interlocking features:</w:t>
      </w:r>
      <w:r>
        <w:t xml:space="preserve"> </w:t>
      </w:r>
      <w:r>
        <w:rPr>
          <w:bCs/>
          <w:b/>
        </w:rPr>
        <w:t xml:space="preserve">hierarchy</w:t>
      </w:r>
      <w:r>
        <w:t xml:space="preserve"> </w:t>
      </w:r>
      <w:r>
        <w:t xml:space="preserve">(a clear chain of authority),</w:t>
      </w:r>
      <w:r>
        <w:t xml:space="preserve"> </w:t>
      </w:r>
      <w:r>
        <w:rPr>
          <w:bCs/>
          <w:b/>
        </w:rPr>
        <w:t xml:space="preserve">division of labour</w:t>
      </w:r>
      <w:r>
        <w:t xml:space="preserve"> </w:t>
      </w:r>
      <w:r>
        <w:t xml:space="preserve">(specialized offices with defined jurisdictions),</w:t>
      </w:r>
      <w:r>
        <w:t xml:space="preserve"> </w:t>
      </w:r>
      <w:r>
        <w:rPr>
          <w:bCs/>
          <w:b/>
        </w:rPr>
        <w:t xml:space="preserve">formal rules</w:t>
      </w:r>
      <w:r>
        <w:t xml:space="preserve"> </w:t>
      </w:r>
      <w:r>
        <w:t xml:space="preserve">(written regulations governing decisions, reducing arbitrary discretion),</w:t>
      </w:r>
      <w:r>
        <w:t xml:space="preserve"> </w:t>
      </w:r>
      <w:r>
        <w:rPr>
          <w:bCs/>
          <w:b/>
        </w:rPr>
        <w:t xml:space="preserve">merit-based technical competence</w:t>
      </w:r>
      <w:r>
        <w:t xml:space="preserve"> </w:t>
      </w:r>
      <w:r>
        <w:t xml:space="preserve">(appointment and promotion based on qualification, not favour),</w:t>
      </w:r>
      <w:r>
        <w:t xml:space="preserve"> </w:t>
      </w:r>
      <w:r>
        <w:rPr>
          <w:bCs/>
          <w:b/>
        </w:rPr>
        <w:t xml:space="preserve">written records</w:t>
      </w:r>
      <w:r>
        <w:t xml:space="preserve"> </w:t>
      </w:r>
      <w:r>
        <w:t xml:space="preserve">(a documented, auditable trail of decisions), and</w:t>
      </w:r>
      <w:r>
        <w:t xml:space="preserve"> </w:t>
      </w:r>
      <w:r>
        <w:rPr>
          <w:bCs/>
          <w:b/>
        </w:rPr>
        <w:t xml:space="preserve">impersonality</w:t>
      </w:r>
      <w:r>
        <w:t xml:space="preserve"> </w:t>
      </w:r>
      <w:r>
        <w:t xml:space="preserve">(officials apply rules uniformly, regardless of the personal identity of the person affected). Weber presented this as an</w:t>
      </w:r>
      <w:r>
        <w:t xml:space="preserve"> </w:t>
      </w:r>
      <w:r>
        <w:t xml:space="preserve">“</w:t>
      </w:r>
      <w:r>
        <w:t xml:space="preserve">ideal type</w:t>
      </w:r>
      <w:r>
        <w:t xml:space="preserve">”</w:t>
      </w:r>
      <w:r>
        <w:t xml:space="preserve"> </w:t>
      </w:r>
      <w:r>
        <w:t xml:space="preserve">— a theoretical model for analysis, not a claim that any real bureaucracy perfectly matches it. The exam-relevant tension, echoing the Democracy versus Bureaucracy discussion in Unit I, is that these same features that create predictability, fairness, and continuity can, if rules become ends in themselves rather than means, produce</w:t>
      </w:r>
      <w:r>
        <w:t xml:space="preserve"> </w:t>
      </w:r>
      <w:r>
        <w:rPr>
          <w:bCs/>
          <w:b/>
        </w:rPr>
        <w:t xml:space="preserve">red tape</w:t>
      </w:r>
      <w:r>
        <w:t xml:space="preserve">, delay, rigidity, and</w:t>
      </w:r>
      <w:r>
        <w:t xml:space="preserve"> </w:t>
      </w:r>
      <w:r>
        <w:rPr>
          <w:bCs/>
          <w:b/>
        </w:rPr>
        <w:t xml:space="preserve">goal displacement</w:t>
      </w:r>
      <w:r>
        <w:t xml:space="preserve"> </w:t>
      </w:r>
      <w:r>
        <w:t xml:space="preserve">(where following the rule becomes more important than achieving the rule’s original purpose).</w:t>
      </w:r>
    </w:p>
    <w:bookmarkEnd w:id="131"/>
    <w:bookmarkStart w:id="132" w:name="scientific-management"/>
    <w:p>
      <w:pPr>
        <w:pStyle w:val="Heading2"/>
      </w:pPr>
      <w:r>
        <w:rPr>
          <w:rStyle w:val="SectionNumber"/>
        </w:rPr>
        <w:t xml:space="preserve">10.3</w:t>
      </w:r>
      <w:r>
        <w:tab/>
      </w:r>
      <w:r>
        <w:t xml:space="preserve">Scientific Management</w:t>
      </w:r>
    </w:p>
    <w:p>
      <w:pPr>
        <w:pStyle w:val="FirstParagraph"/>
      </w:pPr>
      <w:r>
        <w:rPr>
          <w:bCs/>
          <w:b/>
        </w:rPr>
        <w:t xml:space="preserve">Scientific management</w:t>
      </w:r>
      <w:r>
        <w:t xml:space="preserve">, associated with Frederick Taylor, sought efficiency through the systematic, empirical study of work methods: breaking tasks into their component motions, identifying the single most efficient method (</w:t>
      </w:r>
      <w:r>
        <w:t xml:space="preserve">“</w:t>
      </w:r>
      <w:r>
        <w:t xml:space="preserve">the one best way</w:t>
      </w:r>
      <w:r>
        <w:t xml:space="preserve">”</w:t>
      </w:r>
      <w:r>
        <w:t xml:space="preserve">), standardizing that method, and linking performance to close supervision and financial incentives. Its major, frequently tested limitation is that it treated workers too narrowly as interchangeable components of a production system, underestimating social and psychological factors — precisely the gap the next theory was developed to fill.</w:t>
      </w:r>
    </w:p>
    <w:bookmarkEnd w:id="132"/>
    <w:bookmarkStart w:id="133" w:name="the-human-relations-approach"/>
    <w:p>
      <w:pPr>
        <w:pStyle w:val="Heading2"/>
      </w:pPr>
      <w:r>
        <w:rPr>
          <w:rStyle w:val="SectionNumber"/>
        </w:rPr>
        <w:t xml:space="preserve">10.4</w:t>
      </w:r>
      <w:r>
        <w:tab/>
      </w:r>
      <w:r>
        <w:t xml:space="preserve">The Human Relations Approach</w:t>
      </w:r>
    </w:p>
    <w:p>
      <w:pPr>
        <w:pStyle w:val="FirstParagraph"/>
      </w:pPr>
      <w:r>
        <w:t xml:space="preserve">Human relations research (associated with Elton Mayo’s Hawthorne studies) emphasized social needs, informal groups, communication, and employee morale as determinants of workplace behaviour and output — correcting scientific management’s purely mechanical view of the worker. An important caution the syllabus explicitly flags: this insight should not be oversimplified into the naive claim that</w:t>
      </w:r>
      <w:r>
        <w:t xml:space="preserve"> </w:t>
      </w:r>
      <w:r>
        <w:t xml:space="preserve">“</w:t>
      </w:r>
      <w:r>
        <w:t xml:space="preserve">happy workers always produce more</w:t>
      </w:r>
      <w:r>
        <w:t xml:space="preserve">”</w:t>
      </w:r>
      <w:r>
        <w:t xml:space="preserve"> </w:t>
      </w:r>
      <w:r>
        <w:t xml:space="preserve">— the actual finding was subtler, namely that social attention, group belonging, and recognized status influence behaviour independently of, and sometimes more powerfully than, the physical conditions of work itself.</w:t>
      </w:r>
    </w:p>
    <w:bookmarkEnd w:id="133"/>
    <w:bookmarkStart w:id="134" w:name="X093f389af82e73947843788f04811ce1f1ee532"/>
    <w:p>
      <w:pPr>
        <w:pStyle w:val="Heading2"/>
      </w:pPr>
      <w:r>
        <w:rPr>
          <w:rStyle w:val="SectionNumber"/>
        </w:rPr>
        <w:t xml:space="preserve">10.5</w:t>
      </w:r>
      <w:r>
        <w:tab/>
      </w:r>
      <w:r>
        <w:t xml:space="preserve">Leadership and Motivation in Public Organizations</w:t>
      </w:r>
    </w:p>
    <w:p>
      <w:pPr>
        <w:pStyle w:val="FirstParagraph"/>
      </w:pPr>
      <w:r>
        <w:t xml:space="preserve">The general leadership and motivation theories developed in the Business Administration chapter’s Management unit apply here with one important addition specific to the public sector:</w:t>
      </w:r>
      <w:r>
        <w:t xml:space="preserve"> </w:t>
      </w:r>
      <w:r>
        <w:rPr>
          <w:bCs/>
          <w:b/>
        </w:rPr>
        <w:t xml:space="preserve">Public Service Motivation (PSM)</w:t>
      </w:r>
      <w:r>
        <w:t xml:space="preserve"> </w:t>
      </w:r>
      <w:r>
        <w:t xml:space="preserve">— a distinct, well-documented tendency for individuals to be motivated by the intrinsic desire to serve the public interest and contribute to society, independent of external monetary reward. PSM matters analytically because public organizations often cannot offer the performance-linked financial incentives common in the private sector, making this intrinsic, values-based motivation source disproportionately important to public-sector leadership and morale (Public Service Motivation is developed further as its own topic in Unit VII).</w:t>
      </w:r>
    </w:p>
    <w:bookmarkEnd w:id="134"/>
    <w:bookmarkStart w:id="135" w:name="network-governance"/>
    <w:p>
      <w:pPr>
        <w:pStyle w:val="Heading2"/>
      </w:pPr>
      <w:r>
        <w:rPr>
          <w:rStyle w:val="SectionNumber"/>
        </w:rPr>
        <w:t xml:space="preserve">10.6</w:t>
      </w:r>
      <w:r>
        <w:tab/>
      </w:r>
      <w:r>
        <w:t xml:space="preserve">Network Governance</w:t>
      </w:r>
    </w:p>
    <w:p>
      <w:pPr>
        <w:pStyle w:val="FirstParagraph"/>
      </w:pPr>
      <w:r>
        <w:t xml:space="preserve">Building on the governance concept introduced in Unit I, network governance specifically studies how interdependent public, private, and nonprofit actors coordinate joint action without relying on a single unified hierarchy to issue and enforce commands. The central practical challenges are</w:t>
      </w:r>
      <w:r>
        <w:t xml:space="preserve"> </w:t>
      </w:r>
      <w:r>
        <w:rPr>
          <w:bCs/>
          <w:b/>
        </w:rPr>
        <w:t xml:space="preserve">trust</w:t>
      </w:r>
      <w:r>
        <w:t xml:space="preserve"> </w:t>
      </w:r>
      <w:r>
        <w:t xml:space="preserve">(between organizations with different mandates and cultures),</w:t>
      </w:r>
      <w:r>
        <w:t xml:space="preserve"> </w:t>
      </w:r>
      <w:r>
        <w:rPr>
          <w:bCs/>
          <w:b/>
        </w:rPr>
        <w:t xml:space="preserve">coordination</w:t>
      </w:r>
      <w:r>
        <w:t xml:space="preserve"> </w:t>
      </w:r>
      <w:r>
        <w:t xml:space="preserve">(aligning otherwise-independent actors’ actions),</w:t>
      </w:r>
      <w:r>
        <w:t xml:space="preserve"> </w:t>
      </w:r>
      <w:r>
        <w:rPr>
          <w:bCs/>
          <w:b/>
        </w:rPr>
        <w:t xml:space="preserve">shared goals</w:t>
      </w:r>
      <w:r>
        <w:t xml:space="preserve"> </w:t>
      </w:r>
      <w:r>
        <w:t xml:space="preserve">(ensuring network members are genuinely working toward compatible outcomes), and</w:t>
      </w:r>
      <w:r>
        <w:t xml:space="preserve"> </w:t>
      </w:r>
      <w:r>
        <w:rPr>
          <w:bCs/>
          <w:b/>
        </w:rPr>
        <w:t xml:space="preserve">accountability</w:t>
      </w:r>
      <w:r>
        <w:t xml:space="preserve"> </w:t>
      </w:r>
      <w:r>
        <w:t xml:space="preserve">(tracing responsibility when outcomes fall short, given that no single actor fully controls the network).</w:t>
      </w:r>
    </w:p>
    <w:bookmarkEnd w:id="135"/>
    <w:bookmarkStart w:id="136" w:name="strategic-management-in-government"/>
    <w:p>
      <w:pPr>
        <w:pStyle w:val="Heading2"/>
      </w:pPr>
      <w:r>
        <w:rPr>
          <w:rStyle w:val="SectionNumber"/>
        </w:rPr>
        <w:t xml:space="preserve">10.7</w:t>
      </w:r>
      <w:r>
        <w:tab/>
      </w:r>
      <w:r>
        <w:t xml:space="preserve">Strategic Management in Government</w:t>
      </w:r>
    </w:p>
    <w:p>
      <w:pPr>
        <w:pStyle w:val="FirstParagraph"/>
      </w:pPr>
      <w:r>
        <w:t xml:space="preserve">Strategic management — aligning mission, environmental analysis, objectives, resources, and implementation — applies to public organizations with an important addition beyond the private-sector version covered in the Business Administration chapter: public strategic management must explicitly account for</w:t>
      </w:r>
      <w:r>
        <w:t xml:space="preserve"> </w:t>
      </w:r>
      <w:r>
        <w:rPr>
          <w:bCs/>
          <w:b/>
        </w:rPr>
        <w:t xml:space="preserve">law</w:t>
      </w:r>
      <w:r>
        <w:t xml:space="preserve"> </w:t>
      </w:r>
      <w:r>
        <w:t xml:space="preserve">(statutory constraints on what the organization may do),</w:t>
      </w:r>
      <w:r>
        <w:t xml:space="preserve"> </w:t>
      </w:r>
      <w:r>
        <w:rPr>
          <w:bCs/>
          <w:b/>
        </w:rPr>
        <w:t xml:space="preserve">politics</w:t>
      </w:r>
      <w:r>
        <w:t xml:space="preserve"> </w:t>
      </w:r>
      <w:r>
        <w:t xml:space="preserve">(elected oversight and shifting political priorities), a wider range of</w:t>
      </w:r>
      <w:r>
        <w:t xml:space="preserve"> </w:t>
      </w:r>
      <w:r>
        <w:rPr>
          <w:bCs/>
          <w:b/>
        </w:rPr>
        <w:t xml:space="preserve">stakeholders</w:t>
      </w:r>
      <w:r>
        <w:t xml:space="preserve"> </w:t>
      </w:r>
      <w:r>
        <w:t xml:space="preserve">(citizens, legislators, courts, interest groups — not simply customers and shareholders), and</w:t>
      </w:r>
      <w:r>
        <w:t xml:space="preserve"> </w:t>
      </w:r>
      <w:r>
        <w:rPr>
          <w:bCs/>
          <w:b/>
        </w:rPr>
        <w:t xml:space="preserve">public value</w:t>
      </w:r>
      <w:r>
        <w:t xml:space="preserve"> </w:t>
      </w:r>
      <w:r>
        <w:t xml:space="preserve">(a broader conception of value than commercial profit). A frequently tested point: a strategy is only complete once both formulated</w:t>
      </w:r>
      <w:r>
        <w:t xml:space="preserve"> </w:t>
      </w:r>
      <w:r>
        <w:rPr>
          <w:iCs/>
          <w:i/>
        </w:rPr>
        <w:t xml:space="preserve">and</w:t>
      </w:r>
      <w:r>
        <w:t xml:space="preserve"> </w:t>
      </w:r>
      <w:r>
        <w:t xml:space="preserve">implemented — implementation requires deliberate changes to structure, staffing, budgets, systems, and incentives, echoing the strategic management process from the Business Administration Management unit.</w:t>
      </w:r>
    </w:p>
    <w:bookmarkEnd w:id="136"/>
    <w:bookmarkStart w:id="137" w:name="public-choice-theory"/>
    <w:p>
      <w:pPr>
        <w:pStyle w:val="Heading2"/>
      </w:pPr>
      <w:r>
        <w:rPr>
          <w:rStyle w:val="SectionNumber"/>
        </w:rPr>
        <w:t xml:space="preserve">10.8</w:t>
      </w:r>
      <w:r>
        <w:tab/>
      </w:r>
      <w:r>
        <w:t xml:space="preserve">Public Choice Theory</w:t>
      </w:r>
    </w:p>
    <w:p>
      <w:pPr>
        <w:pStyle w:val="FirstParagraph"/>
      </w:pPr>
      <w:r>
        <w:t xml:space="preserve">Public choice theory applies economic-style assumptions about rational self-interest to the behaviour of voters, politicians, bureaucrats, and interest groups, rather than assuming that public officials automatically and simply act to maximize collective public welfare. Useful concepts drawn from this tradition include</w:t>
      </w:r>
      <w:r>
        <w:t xml:space="preserve"> </w:t>
      </w:r>
      <w:r>
        <w:rPr>
          <w:bCs/>
          <w:b/>
        </w:rPr>
        <w:t xml:space="preserve">rent-seeking</w:t>
      </w:r>
      <w:r>
        <w:t xml:space="preserve"> </w:t>
      </w:r>
      <w:r>
        <w:t xml:space="preserve">(using political or administrative influence to capture economic advantage without creating corresponding value),</w:t>
      </w:r>
      <w:r>
        <w:t xml:space="preserve"> </w:t>
      </w:r>
      <w:r>
        <w:rPr>
          <w:bCs/>
          <w:b/>
        </w:rPr>
        <w:t xml:space="preserve">collective-action problems</w:t>
      </w:r>
      <w:r>
        <w:t xml:space="preserve"> </w:t>
      </w:r>
      <w:r>
        <w:t xml:space="preserve">(situations where individually rational choices by many actors produce a collectively worse outcome), and</w:t>
      </w:r>
      <w:r>
        <w:t xml:space="preserve"> </w:t>
      </w:r>
      <w:r>
        <w:rPr>
          <w:bCs/>
          <w:b/>
        </w:rPr>
        <w:t xml:space="preserve">principal-agent relationships</w:t>
      </w:r>
      <w:r>
        <w:t xml:space="preserve"> </w:t>
      </w:r>
      <w:r>
        <w:t xml:space="preserve">(the difficulty citizens, as</w:t>
      </w:r>
      <w:r>
        <w:t xml:space="preserve"> </w:t>
      </w:r>
      <w:r>
        <w:t xml:space="preserve">“</w:t>
      </w:r>
      <w:r>
        <w:t xml:space="preserve">principals,</w:t>
      </w:r>
      <w:r>
        <w:t xml:space="preserve">”</w:t>
      </w:r>
      <w:r>
        <w:t xml:space="preserve"> </w:t>
      </w:r>
      <w:r>
        <w:t xml:space="preserve">face in ensuring elected and appointed officials, as their</w:t>
      </w:r>
      <w:r>
        <w:t xml:space="preserve"> </w:t>
      </w:r>
      <w:r>
        <w:t xml:space="preserve">“</w:t>
      </w:r>
      <w:r>
        <w:t xml:space="preserve">agents,</w:t>
      </w:r>
      <w:r>
        <w:t xml:space="preserve">”</w:t>
      </w:r>
      <w:r>
        <w:t xml:space="preserve"> </w:t>
      </w:r>
      <w:r>
        <w:t xml:space="preserve">genuinely act in the principals’ interest rather than their own). Its acknowledged limitation, worth stating in any critical answer, is that it can oversimplify motivation, understating genuine professionalism and public-service values (recall PSM above) that empirical research shows do meaningfully shape real administrative behaviour.</w:t>
      </w:r>
    </w:p>
    <w:bookmarkEnd w:id="137"/>
    <w:bookmarkStart w:id="138" w:name="types-of-organizational-structure"/>
    <w:p>
      <w:pPr>
        <w:pStyle w:val="Heading2"/>
      </w:pPr>
      <w:r>
        <w:rPr>
          <w:rStyle w:val="SectionNumber"/>
        </w:rPr>
        <w:t xml:space="preserve">10.9</w:t>
      </w:r>
      <w:r>
        <w:tab/>
      </w:r>
      <w:r>
        <w:t xml:space="preserve">Types of Organizational Structure</w:t>
      </w:r>
    </w:p>
    <w:p>
      <w:pPr>
        <w:pStyle w:val="FirstParagraph"/>
      </w:pPr>
      <w:r>
        <w:t xml:space="preserve">The structural vocabulary here directly parallels the Business Administration chapter’s structure and design topic:</w:t>
      </w:r>
      <w:r>
        <w:t xml:space="preserve"> </w:t>
      </w:r>
      <w:r>
        <w:rPr>
          <w:bCs/>
          <w:b/>
        </w:rPr>
        <w:t xml:space="preserve">specialization</w:t>
      </w:r>
      <w:r>
        <w:t xml:space="preserve"> </w:t>
      </w:r>
      <w:r>
        <w:t xml:space="preserve">(how narrowly jobs are divided),</w:t>
      </w:r>
      <w:r>
        <w:t xml:space="preserve"> </w:t>
      </w:r>
      <w:r>
        <w:rPr>
          <w:bCs/>
          <w:b/>
        </w:rPr>
        <w:t xml:space="preserve">departmentalization</w:t>
      </w:r>
      <w:r>
        <w:t xml:space="preserve"> </w:t>
      </w:r>
      <w:r>
        <w:t xml:space="preserve">(how jobs are grouped — functional, divisional, matrix, project/team, or network forms),</w:t>
      </w:r>
      <w:r>
        <w:t xml:space="preserve"> </w:t>
      </w:r>
      <w:r>
        <w:rPr>
          <w:bCs/>
          <w:b/>
        </w:rPr>
        <w:t xml:space="preserve">chain of command</w:t>
      </w:r>
      <w:r>
        <w:t xml:space="preserve"> </w:t>
      </w:r>
      <w:r>
        <w:t xml:space="preserve">(who reports to whom),</w:t>
      </w:r>
      <w:r>
        <w:t xml:space="preserve"> </w:t>
      </w:r>
      <w:r>
        <w:rPr>
          <w:bCs/>
          <w:b/>
        </w:rPr>
        <w:t xml:space="preserve">span of control</w:t>
      </w:r>
      <w:r>
        <w:t xml:space="preserve"> </w:t>
      </w:r>
      <w:r>
        <w:t xml:space="preserve">(how many subordinates one manager directly supervises),</w:t>
      </w:r>
      <w:r>
        <w:t xml:space="preserve"> </w:t>
      </w:r>
      <w:r>
        <w:rPr>
          <w:bCs/>
          <w:b/>
        </w:rPr>
        <w:t xml:space="preserve">centralization/decentralization</w:t>
      </w:r>
      <w:r>
        <w:t xml:space="preserve"> </w:t>
      </w:r>
      <w:r>
        <w:t xml:space="preserve">(where decision authority sits), and</w:t>
      </w:r>
      <w:r>
        <w:t xml:space="preserve"> </w:t>
      </w:r>
      <w:r>
        <w:rPr>
          <w:bCs/>
          <w:b/>
        </w:rPr>
        <w:t xml:space="preserve">formalization</w:t>
      </w:r>
      <w:r>
        <w:t xml:space="preserve"> </w:t>
      </w:r>
      <w:r>
        <w:t xml:space="preserve">(how much behaviour is governed by written rules).</w:t>
      </w:r>
      <w:r>
        <w:t xml:space="preserve"> </w:t>
      </w:r>
      <w:r>
        <w:rPr>
          <w:bCs/>
          <w:b/>
        </w:rPr>
        <w:t xml:space="preserve">Matrix structures</w:t>
      </w:r>
      <w:r>
        <w:t xml:space="preserve"> </w:t>
      </w:r>
      <w:r>
        <w:t xml:space="preserve">— where staff report to both a functional manager and a project manager simultaneously — are worth singling out for public-sector relevance, since they are common in cross-cutting public programs (a health project needing input from finance, technical health staff, and district administration simultaneously) but create the well-known trade-off of efficient resource-sharing against the difficulty of dual reporting lines and potential conflicting instructions.</w:t>
      </w:r>
    </w:p>
    <w:bookmarkEnd w:id="138"/>
    <w:bookmarkStart w:id="139" w:name="Xa0b1765ebf54828ea3a40228258a23fa87b958e"/>
    <w:p>
      <w:pPr>
        <w:pStyle w:val="Heading2"/>
      </w:pPr>
      <w:r>
        <w:rPr>
          <w:rStyle w:val="SectionNumber"/>
        </w:rPr>
        <w:t xml:space="preserve">10.10</w:t>
      </w:r>
      <w:r>
        <w:tab/>
      </w:r>
      <w:r>
        <w:t xml:space="preserve">Organization of Federal, Provincial, and Local Government in Pakistan</w:t>
      </w:r>
    </w:p>
    <w:p>
      <w:pPr>
        <w:pStyle w:val="FirstParagraph"/>
      </w:pPr>
      <w:r>
        <w:t xml:space="preserve">Pakistan’s constitutional structure distributes governmental authority across federal, provincial, and (under provincial legislative frameworks) local levels. At the federal and provincial levels, secretariats — organized into ministries/departments — provide policy coordination and oversight, while attached departments and autonomous bodies carry out execution and service delivery.</w:t>
      </w:r>
      <w:r>
        <w:t xml:space="preserve"> </w:t>
      </w:r>
      <w:r>
        <w:rPr>
          <w:bCs/>
          <w:b/>
        </w:rPr>
        <w:t xml:space="preserve">Local government</w:t>
      </w:r>
      <w:r>
        <w:t xml:space="preserve"> </w:t>
      </w:r>
      <w:r>
        <w:t xml:space="preserve">is created under provincial legislation (following the 18th Constitutional Amendment’s devolution of many subjects to the provinces) and is intended to bring certain decisions and services closer to residents — but its actual effectiveness depends on clearly defined functions, adequate and predictable fiscal resources, sufficient staff capacity, and political continuity, none of which is automatically guaranteed simply by creating a local government tier. A frequently tested caution:</w:t>
      </w:r>
      <w:r>
        <w:t xml:space="preserve"> </w:t>
      </w:r>
      <w:r>
        <w:rPr>
          <w:bCs/>
          <w:b/>
        </w:rPr>
        <w:t xml:space="preserve">administrative decentralization without matching fiscal decentralization</w:t>
      </w:r>
      <w:r>
        <w:t xml:space="preserve"> </w:t>
      </w:r>
      <w:r>
        <w:t xml:space="preserve">merely transfers responsibility downward without transferring the real financial ability to discharge it — a recurring practical problem in Pakistan’s local government history, developed further in Unit IX.</w:t>
      </w:r>
    </w:p>
    <w:bookmarkEnd w:id="139"/>
    <w:bookmarkStart w:id="140" w:name="administrative-culture-of-pakistan"/>
    <w:p>
      <w:pPr>
        <w:pStyle w:val="Heading2"/>
      </w:pPr>
      <w:r>
        <w:rPr>
          <w:rStyle w:val="SectionNumber"/>
        </w:rPr>
        <w:t xml:space="preserve">10.11</w:t>
      </w:r>
      <w:r>
        <w:tab/>
      </w:r>
      <w:r>
        <w:t xml:space="preserve">Administrative Culture of Pakistan</w:t>
      </w:r>
    </w:p>
    <w:p>
      <w:pPr>
        <w:pStyle w:val="FirstParagraph"/>
      </w:pPr>
      <w:r>
        <w:t xml:space="preserve">Administrative culture refers to the shared, often unwritten pattern of assumptions, norms, and behaviours through which officials interpret and apply formal rules and authority. Relevant features frequently discussed include a strong emphasis on hierarchy and formal procedure (proceduralism), susceptibility to patronage-based rather than purely merit-based pressures in some contexts, alongside genuine professional norms among many career officials, and periodic institutional reform efforts. The syllabus specifically cautions against</w:t>
      </w:r>
      <w:r>
        <w:t xml:space="preserve"> </w:t>
      </w:r>
      <w:r>
        <w:rPr>
          <w:bCs/>
          <w:b/>
        </w:rPr>
        <w:t xml:space="preserve">sweeping, unsupported generalizations</w:t>
      </w:r>
      <w:r>
        <w:t xml:space="preserve"> </w:t>
      </w:r>
      <w:r>
        <w:t xml:space="preserve">— administrative culture should be analysed through specific, well-evidenced features rather than broad characterization. A key analytical insight:</w:t>
      </w:r>
      <w:r>
        <w:t xml:space="preserve"> </w:t>
      </w:r>
      <w:r>
        <w:rPr>
          <w:bCs/>
          <w:b/>
        </w:rPr>
        <w:t xml:space="preserve">formal reform frequently fails not because the new rule is poorly designed, but because informal norms, incentives, and entrenched routines continue to reward the old behaviour</w:t>
      </w:r>
      <w:r>
        <w:t xml:space="preserve"> </w:t>
      </w:r>
      <w:r>
        <w:t xml:space="preserve">even after the formal rule has changed — meaning genuine reform (a theme fully developed in Unit X) must address informal culture, not only formal structure.</w:t>
      </w:r>
    </w:p>
    <w:bookmarkEnd w:id="140"/>
    <w:bookmarkStart w:id="141" w:name="inter-governmental-relations"/>
    <w:p>
      <w:pPr>
        <w:pStyle w:val="Heading2"/>
      </w:pPr>
      <w:r>
        <w:rPr>
          <w:rStyle w:val="SectionNumber"/>
        </w:rPr>
        <w:t xml:space="preserve">10.12</w:t>
      </w:r>
      <w:r>
        <w:tab/>
      </w:r>
      <w:r>
        <w:t xml:space="preserve">Inter-governmental Relations</w:t>
      </w:r>
    </w:p>
    <w:p>
      <w:pPr>
        <w:pStyle w:val="FirstParagraph"/>
      </w:pPr>
      <w:r>
        <w:t xml:space="preserve">Inter-governmental relations concern coordination, finance, policy, and administration across federal, provincial, and local levels of government — covering constitutional mechanisms (such as the Council of Common Interests and the National Finance Commission for fiscal transfers), information sharing, and dispute management between levels. These relations matter most acutely for problems that cross jurisdictional boundaries (environmental issues, epidemic disease control) or where one level of government holds the finance while another level holds the constitutional mandate to actually implement (a recurring feature of Pakistan’s post-18th-Amendment fiscal architecture, where many implementation responsibilities devolved to provinces while significant financial questions remain contested between federal and provincial governments).</w:t>
      </w:r>
    </w:p>
    <w:p>
      <w:pPr>
        <w:pStyle w:val="BodyText"/>
      </w:pPr>
      <w:r>
        <w:rPr>
          <w:bCs/>
          <w:b/>
        </w:rPr>
        <w:t xml:space="preserve">Key takeaways for Unit II</w:t>
      </w:r>
    </w:p>
    <w:p>
      <w:pPr>
        <w:numPr>
          <w:ilvl w:val="0"/>
          <w:numId w:val="1073"/>
        </w:numPr>
        <w:pStyle w:val="Compact"/>
      </w:pPr>
      <w:r>
        <w:t xml:space="preserve">For each theory (bureaucracy, scientific management, human relations, public choice), know its central idea, its key originator, one genuine strength, and one genuine, specific limitation — vague theory descriptions without a stated limitation rarely earn full marks.</w:t>
      </w:r>
    </w:p>
    <w:p>
      <w:pPr>
        <w:numPr>
          <w:ilvl w:val="0"/>
          <w:numId w:val="1073"/>
        </w:numPr>
        <w:pStyle w:val="Compact"/>
      </w:pPr>
      <w:r>
        <w:t xml:space="preserve">Public Service Motivation is the theory-specific addition this unit makes to the general motivation theories from Business Administration, and is directly relevant to why public organizations can sustain performance despite weaker financial incentives than the private sector.</w:t>
      </w:r>
    </w:p>
    <w:p>
      <w:pPr>
        <w:numPr>
          <w:ilvl w:val="0"/>
          <w:numId w:val="1073"/>
        </w:numPr>
        <w:pStyle w:val="Compact"/>
      </w:pPr>
      <w:r>
        <w:t xml:space="preserve">Administrative decentralization (transferring functions) is not the same as fiscal decentralization (transferring the money to perform those functions) — a distinction central to understanding Pakistan’s actual local-government experience, not just its formal design.</w:t>
      </w:r>
    </w:p>
    <w:p>
      <w:r>
        <w:pict>
          <v:rect style="width:0;height:1.5pt" o:hralign="center" o:hrstd="t" o:hr="t"/>
        </w:pict>
      </w:r>
    </w:p>
    <w:bookmarkEnd w:id="141"/>
    <w:bookmarkEnd w:id="142"/>
    <w:bookmarkStart w:id="152" w:name="X4bf363bdd005ef906fc7c29102f97c4ae08f29c"/>
    <w:p>
      <w:pPr>
        <w:pStyle w:val="Heading1"/>
      </w:pPr>
      <w:r>
        <w:rPr>
          <w:rStyle w:val="SectionNumber"/>
        </w:rPr>
        <w:t xml:space="preserve">11</w:t>
      </w:r>
      <w:r>
        <w:tab/>
      </w:r>
      <w:r>
        <w:t xml:space="preserve">III. Public Policy: Planning, Implementation, and Evaluation</w:t>
      </w:r>
    </w:p>
    <w:bookmarkStart w:id="143" w:name="what-this-unit-is-about-7"/>
    <w:p>
      <w:pPr>
        <w:pStyle w:val="Heading2"/>
      </w:pPr>
      <w:r>
        <w:rPr>
          <w:rStyle w:val="SectionNumber"/>
        </w:rPr>
        <w:t xml:space="preserve">11.1</w:t>
      </w:r>
      <w:r>
        <w:tab/>
      </w:r>
      <w:r>
        <w:t xml:space="preserve">What This Unit Is About</w:t>
      </w:r>
    </w:p>
    <w:p>
      <w:pPr>
        <w:pStyle w:val="FirstParagraph"/>
      </w:pPr>
      <w:r>
        <w:t xml:space="preserve">Public policy is what government chooses to do (or deliberately not do) about a recognized public problem. Public administration’s job is to turn that political choice into working programs and services, and then to systematically evaluate whether those programs actually achieved what was intended. The whole unit can be read as one continuous cycle:</w:t>
      </w:r>
      <w:r>
        <w:t xml:space="preserve"> </w:t>
      </w:r>
      <w:r>
        <w:rPr>
          <w:bCs/>
          <w:b/>
        </w:rPr>
        <w:t xml:space="preserve">problem identification → agenda-setting → policy formulation → decision → implementation → monitoring/evaluation → feedback</w:t>
      </w:r>
      <w:r>
        <w:t xml:space="preserve"> </w:t>
      </w:r>
      <w:r>
        <w:t xml:space="preserve">(which may reshape the problem definition and restart the cycle).</w:t>
      </w:r>
    </w:p>
    <w:bookmarkEnd w:id="143"/>
    <w:bookmarkStart w:id="144" w:name="strategic-planning-and-management"/>
    <w:p>
      <w:pPr>
        <w:pStyle w:val="Heading2"/>
      </w:pPr>
      <w:r>
        <w:rPr>
          <w:rStyle w:val="SectionNumber"/>
        </w:rPr>
        <w:t xml:space="preserve">11.2</w:t>
      </w:r>
      <w:r>
        <w:tab/>
      </w:r>
      <w:r>
        <w:t xml:space="preserve">Strategic Planning and Management</w:t>
      </w:r>
    </w:p>
    <w:p>
      <w:pPr>
        <w:pStyle w:val="FirstParagraph"/>
      </w:pPr>
      <w:r>
        <w:t xml:space="preserve">Strategic planning defines an organization’s mission, long-term goals, priorities, and the resource choices needed to pursue them; management then aligns structures, staffing, budgets, and monitoring systems with those stated priorities — directly paralleling the strategic management process already covered in the Business Administration chapter and in Unit II above, now applied specifically to the policy-planning function of government.</w:t>
      </w:r>
    </w:p>
    <w:bookmarkEnd w:id="144"/>
    <w:bookmarkStart w:id="145" w:name="the-planning-process"/>
    <w:p>
      <w:pPr>
        <w:pStyle w:val="Heading2"/>
      </w:pPr>
      <w:r>
        <w:rPr>
          <w:rStyle w:val="SectionNumber"/>
        </w:rPr>
        <w:t xml:space="preserve">11.3</w:t>
      </w:r>
      <w:r>
        <w:tab/>
      </w:r>
      <w:r>
        <w:t xml:space="preserve">The Planning Process</w:t>
      </w:r>
    </w:p>
    <w:p>
      <w:pPr>
        <w:pStyle w:val="FirstParagraph"/>
      </w:pPr>
      <w:r>
        <w:t xml:space="preserve">A generic planning process moves through diagnosing the problem, setting objectives, considering alternative courses of action, selecting a course of action, allocating resources, implementing, and monitoring results. In</w:t>
      </w:r>
      <w:r>
        <w:t xml:space="preserve"> </w:t>
      </w:r>
      <w:r>
        <w:rPr>
          <w:iCs/>
          <w:i/>
        </w:rPr>
        <w:t xml:space="preserve">public</w:t>
      </w:r>
      <w:r>
        <w:t xml:space="preserve"> </w:t>
      </w:r>
      <w:r>
        <w:t xml:space="preserve">planning specifically, two additional constraints apply that a private planning process does not face in the same way:</w:t>
      </w:r>
      <w:r>
        <w:t xml:space="preserve"> </w:t>
      </w:r>
      <w:r>
        <w:rPr>
          <w:bCs/>
          <w:b/>
        </w:rPr>
        <w:t xml:space="preserve">stakeholder consultation</w:t>
      </w:r>
      <w:r>
        <w:t xml:space="preserve"> </w:t>
      </w:r>
      <w:r>
        <w:t xml:space="preserve">(given democratic legitimacy requirements) and</w:t>
      </w:r>
      <w:r>
        <w:t xml:space="preserve"> </w:t>
      </w:r>
      <w:r>
        <w:rPr>
          <w:bCs/>
          <w:b/>
        </w:rPr>
        <w:t xml:space="preserve">legal/financial constraints</w:t>
      </w:r>
      <w:r>
        <w:t xml:space="preserve"> </w:t>
      </w:r>
      <w:r>
        <w:t xml:space="preserve">(statutory authority and budget law bound what government can lawfully commit to). Good planning always begins from a clearly diagnosed problem or desired result — not from a pre-selected preferred solution in search of a justification — and every resulting plan needs clear responsibilities, allocated resources, a realistic time frame, and a built-in mechanism for monitoring progress.</w:t>
      </w:r>
    </w:p>
    <w:bookmarkEnd w:id="145"/>
    <w:bookmarkStart w:id="146" w:name="policy-analysis"/>
    <w:p>
      <w:pPr>
        <w:pStyle w:val="Heading2"/>
      </w:pPr>
      <w:r>
        <w:rPr>
          <w:rStyle w:val="SectionNumber"/>
        </w:rPr>
        <w:t xml:space="preserve">11.4</w:t>
      </w:r>
      <w:r>
        <w:tab/>
      </w:r>
      <w:r>
        <w:t xml:space="preserve">Policy Analysis</w:t>
      </w:r>
    </w:p>
    <w:p>
      <w:pPr>
        <w:pStyle w:val="FirstParagraph"/>
      </w:pPr>
      <w:r>
        <w:t xml:space="preserve">Policy analysis systematically compares alternative courses of action against explicit criteria — commonly</w:t>
      </w:r>
      <w:r>
        <w:t xml:space="preserve"> </w:t>
      </w:r>
      <w:r>
        <w:rPr>
          <w:bCs/>
          <w:b/>
        </w:rPr>
        <w:t xml:space="preserve">effectiveness</w:t>
      </w:r>
      <w:r>
        <w:t xml:space="preserve"> </w:t>
      </w:r>
      <w:r>
        <w:t xml:space="preserve">(will it achieve the goal),</w:t>
      </w:r>
      <w:r>
        <w:t xml:space="preserve"> </w:t>
      </w:r>
      <w:r>
        <w:rPr>
          <w:bCs/>
          <w:b/>
        </w:rPr>
        <w:t xml:space="preserve">cost</w:t>
      </w:r>
      <w:r>
        <w:t xml:space="preserve">,</w:t>
      </w:r>
      <w:r>
        <w:t xml:space="preserve"> </w:t>
      </w:r>
      <w:r>
        <w:rPr>
          <w:bCs/>
          <w:b/>
        </w:rPr>
        <w:t xml:space="preserve">equity</w:t>
      </w:r>
      <w:r>
        <w:t xml:space="preserve"> </w:t>
      </w:r>
      <w:r>
        <w:t xml:space="preserve">(who bears the costs and receives the benefits),</w:t>
      </w:r>
      <w:r>
        <w:t xml:space="preserve"> </w:t>
      </w:r>
      <w:r>
        <w:rPr>
          <w:bCs/>
          <w:b/>
        </w:rPr>
        <w:t xml:space="preserve">legality</w:t>
      </w:r>
      <w:r>
        <w:t xml:space="preserve">,</w:t>
      </w:r>
      <w:r>
        <w:t xml:space="preserve"> </w:t>
      </w:r>
      <w:r>
        <w:rPr>
          <w:bCs/>
          <w:b/>
        </w:rPr>
        <w:t xml:space="preserve">feasibility</w:t>
      </w:r>
      <w:r>
        <w:t xml:space="preserve"> </w:t>
      </w:r>
      <w:r>
        <w:t xml:space="preserve">(political and administrative), and</w:t>
      </w:r>
      <w:r>
        <w:t xml:space="preserve"> </w:t>
      </w:r>
      <w:r>
        <w:rPr>
          <w:bCs/>
          <w:b/>
        </w:rPr>
        <w:t xml:space="preserve">risk</w:t>
      </w:r>
      <w:r>
        <w:t xml:space="preserve">. The defining mark of</w:t>
      </w:r>
      <w:r>
        <w:t xml:space="preserve"> </w:t>
      </w:r>
      <w:r>
        <w:rPr>
          <w:iCs/>
          <w:i/>
        </w:rPr>
        <w:t xml:space="preserve">good</w:t>
      </w:r>
      <w:r>
        <w:t xml:space="preserve"> </w:t>
      </w:r>
      <w:r>
        <w:t xml:space="preserve">policy analysis, worth stating explicitly in any answer, is that it makes its assumptions and trade-offs</w:t>
      </w:r>
      <w:r>
        <w:t xml:space="preserve"> </w:t>
      </w:r>
      <w:r>
        <w:rPr>
          <w:bCs/>
          <w:b/>
        </w:rPr>
        <w:t xml:space="preserve">visible</w:t>
      </w:r>
      <w:r>
        <w:t xml:space="preserve"> </w:t>
      </w:r>
      <w:r>
        <w:t xml:space="preserve">rather than presenting one preferred option as though it were self-evidently and uncontroversially correct — genuine analysis surfaces uncertainty and disagreement rather than concealing them behind a confident-sounding recommendation.</w:t>
      </w:r>
    </w:p>
    <w:bookmarkEnd w:id="146"/>
    <w:bookmarkStart w:id="147" w:name="policy-implementation"/>
    <w:p>
      <w:pPr>
        <w:pStyle w:val="Heading2"/>
      </w:pPr>
      <w:r>
        <w:rPr>
          <w:rStyle w:val="SectionNumber"/>
        </w:rPr>
        <w:t xml:space="preserve">11.5</w:t>
      </w:r>
      <w:r>
        <w:tab/>
      </w:r>
      <w:r>
        <w:t xml:space="preserve">Policy Implementation</w:t>
      </w:r>
    </w:p>
    <w:p>
      <w:pPr>
        <w:pStyle w:val="FirstParagraph"/>
      </w:pPr>
      <w:r>
        <w:t xml:space="preserve">Implementation is the process of translating a formal policy decision into actual rules, budgets, organizational arrangements, contracts, services, and — ultimately — frontline behaviour that citizens actually experience. The</w:t>
      </w:r>
      <w:r>
        <w:t xml:space="preserve"> </w:t>
      </w:r>
      <w:r>
        <w:rPr>
          <w:bCs/>
          <w:b/>
        </w:rPr>
        <w:t xml:space="preserve">implementation gap</w:t>
      </w:r>
      <w:r>
        <w:t xml:space="preserve"> </w:t>
      </w:r>
      <w:r>
        <w:t xml:space="preserve">is the difference between what a policy formally intended and what actually happens on the ground, and it can arise from several distinct causes worth distinguishing in an answer: unclear or overly ambitious objectives, inadequate administrative capacity, poor coordination among the multiple agencies often required to implement a single policy, genuine resource gaps between what was budgeted and what implementation actually requires, or misaligned incentives among frontline implementers.</w:t>
      </w:r>
      <w:r>
        <w:t xml:space="preserve"> </w:t>
      </w:r>
      <w:r>
        <w:rPr>
          <w:bCs/>
          <w:b/>
        </w:rPr>
        <w:t xml:space="preserve">Worked illustration:</w:t>
      </w:r>
      <w:r>
        <w:t xml:space="preserve"> </w:t>
      </w:r>
      <w:r>
        <w:t xml:space="preserve">a policy promising free textbooks to all primary students will not succeed merely by being announced — it depends on functioning procurement, secured funding actually reaching schools on schedule, accurate enrolment records, physical distribution logistics, and a monitoring system to catch failures at any of these stages; a breakdown at any single link produces an implementation gap regardless of how sound the original policy design was.</w:t>
      </w:r>
    </w:p>
    <w:bookmarkEnd w:id="147"/>
    <w:bookmarkStart w:id="148" w:name="program-evaluation"/>
    <w:p>
      <w:pPr>
        <w:pStyle w:val="Heading2"/>
      </w:pPr>
      <w:r>
        <w:rPr>
          <w:rStyle w:val="SectionNumber"/>
        </w:rPr>
        <w:t xml:space="preserve">11.6</w:t>
      </w:r>
      <w:r>
        <w:tab/>
      </w:r>
      <w:r>
        <w:t xml:space="preserve">Program Evaluation</w:t>
      </w:r>
    </w:p>
    <w:p>
      <w:pPr>
        <w:pStyle w:val="FirstParagraph"/>
      </w:pPr>
      <w:r>
        <w:t xml:space="preserve">Evaluation systematically assesses a program’s design, implementation process, outputs, and outcomes, and several distinctions here are consistently and precisely tested:</w:t>
      </w:r>
    </w:p>
    <w:p>
      <w:pPr>
        <w:numPr>
          <w:ilvl w:val="0"/>
          <w:numId w:val="1074"/>
        </w:numPr>
        <w:pStyle w:val="Compact"/>
      </w:pPr>
      <w:r>
        <w:rPr>
          <w:bCs/>
          <w:b/>
        </w:rPr>
        <w:t xml:space="preserve">Monitoring</w:t>
      </w:r>
      <w:r>
        <w:t xml:space="preserve"> </w:t>
      </w:r>
      <w:r>
        <w:t xml:space="preserve">is continuous, ongoing tracking of activities and indicators;</w:t>
      </w:r>
      <w:r>
        <w:t xml:space="preserve"> </w:t>
      </w:r>
      <w:r>
        <w:rPr>
          <w:bCs/>
          <w:b/>
        </w:rPr>
        <w:t xml:space="preserve">evaluation</w:t>
      </w:r>
      <w:r>
        <w:t xml:space="preserve"> </w:t>
      </w:r>
      <w:r>
        <w:t xml:space="preserve">is a more systematic, typically periodic, deeper assessment of relevance, implementation quality, or actual results.</w:t>
      </w:r>
    </w:p>
    <w:p>
      <w:pPr>
        <w:numPr>
          <w:ilvl w:val="0"/>
          <w:numId w:val="1074"/>
        </w:numPr>
        <w:pStyle w:val="Compact"/>
      </w:pPr>
      <w:r>
        <w:t xml:space="preserve">Along the standard</w:t>
      </w:r>
      <w:r>
        <w:t xml:space="preserve"> </w:t>
      </w:r>
      <w:r>
        <w:rPr>
          <w:bCs/>
          <w:b/>
        </w:rPr>
        <w:t xml:space="preserve">results chain</w:t>
      </w:r>
      <w:r>
        <w:t xml:space="preserve">:</w:t>
      </w:r>
      <w:r>
        <w:t xml:space="preserve"> </w:t>
      </w:r>
      <w:r>
        <w:rPr>
          <w:bCs/>
          <w:b/>
        </w:rPr>
        <w:t xml:space="preserve">inputs</w:t>
      </w:r>
      <w:r>
        <w:t xml:space="preserve"> </w:t>
      </w:r>
      <w:r>
        <w:t xml:space="preserve">(resources committed) →</w:t>
      </w:r>
      <w:r>
        <w:t xml:space="preserve"> </w:t>
      </w:r>
      <w:r>
        <w:rPr>
          <w:bCs/>
          <w:b/>
        </w:rPr>
        <w:t xml:space="preserve">activities</w:t>
      </w:r>
      <w:r>
        <w:t xml:space="preserve"> </w:t>
      </w:r>
      <w:r>
        <w:t xml:space="preserve">(what is actually done) →</w:t>
      </w:r>
      <w:r>
        <w:t xml:space="preserve"> </w:t>
      </w:r>
      <w:r>
        <w:rPr>
          <w:bCs/>
          <w:b/>
        </w:rPr>
        <w:t xml:space="preserve">outputs</w:t>
      </w:r>
      <w:r>
        <w:t xml:space="preserve"> </w:t>
      </w:r>
      <w:r>
        <w:t xml:space="preserve">(immediate, direct deliverables — textbooks distributed) →</w:t>
      </w:r>
      <w:r>
        <w:t xml:space="preserve"> </w:t>
      </w:r>
      <w:r>
        <w:rPr>
          <w:bCs/>
          <w:b/>
        </w:rPr>
        <w:t xml:space="preserve">outcomes</w:t>
      </w:r>
      <w:r>
        <w:t xml:space="preserve"> </w:t>
      </w:r>
      <w:r>
        <w:t xml:space="preserve">(the changes that follow from those outputs — improved literacy rates) →</w:t>
      </w:r>
      <w:r>
        <w:t xml:space="preserve"> </w:t>
      </w:r>
      <w:r>
        <w:rPr>
          <w:bCs/>
          <w:b/>
        </w:rPr>
        <w:t xml:space="preserve">impacts</w:t>
      </w:r>
      <w:r>
        <w:t xml:space="preserve"> </w:t>
      </w:r>
      <w:r>
        <w:t xml:space="preserve">(longer-term, broader effects — improved lifetime earnings).</w:t>
      </w:r>
    </w:p>
    <w:p>
      <w:pPr>
        <w:numPr>
          <w:ilvl w:val="0"/>
          <w:numId w:val="1074"/>
        </w:numPr>
        <w:pStyle w:val="Compact"/>
      </w:pPr>
      <w:r>
        <w:rPr>
          <w:bCs/>
          <w:b/>
        </w:rPr>
        <w:t xml:space="preserve">Impact (attribution) evaluation</w:t>
      </w:r>
      <w:r>
        <w:t xml:space="preserve"> </w:t>
      </w:r>
      <w:r>
        <w:t xml:space="preserve">specifically asks whether an observed change can reasonably be attributed to the intervention itself, rather than to other, unrelated factors that might have produced the same change anyway (a genuinely difficult methodological problem, since many outcomes are shaped by multiple simultaneous causes).</w:t>
      </w:r>
    </w:p>
    <w:bookmarkEnd w:id="148"/>
    <w:bookmarkStart w:id="149" w:name="planning-machinery-in-pakistan"/>
    <w:p>
      <w:pPr>
        <w:pStyle w:val="Heading2"/>
      </w:pPr>
      <w:r>
        <w:rPr>
          <w:rStyle w:val="SectionNumber"/>
        </w:rPr>
        <w:t xml:space="preserve">11.7</w:t>
      </w:r>
      <w:r>
        <w:tab/>
      </w:r>
      <w:r>
        <w:t xml:space="preserve">Planning Machinery in Pakistan</w:t>
      </w:r>
    </w:p>
    <w:p>
      <w:pPr>
        <w:pStyle w:val="FirstParagraph"/>
      </w:pPr>
      <w:r>
        <w:t xml:space="preserve">Pakistan’s formal planning and budget-approval architecture centres on institutions such as the Planning Commission/Ministry (setting development priorities and appraising major projects), the Finance Division (managing the overall fiscal envelope), Cabinet-level approval mechanisms, and corresponding provincial planning and development departments. Because institutional titles, mandates, and approval procedures can change over time, any answer citing specific current arrangements should be checked against up-to-date official government sources rather than assumed to be permanently fixed.</w:t>
      </w:r>
    </w:p>
    <w:bookmarkEnd w:id="149"/>
    <w:bookmarkStart w:id="150" w:name="X7cfd21a8dade988af5bdc67436eb19d7d9c4486"/>
    <w:p>
      <w:pPr>
        <w:pStyle w:val="Heading2"/>
      </w:pPr>
      <w:r>
        <w:rPr>
          <w:rStyle w:val="SectionNumber"/>
        </w:rPr>
        <w:t xml:space="preserve">11.8</w:t>
      </w:r>
      <w:r>
        <w:tab/>
      </w:r>
      <w:r>
        <w:t xml:space="preserve">The Role of Donors and International Institutions</w:t>
      </w:r>
    </w:p>
    <w:p>
      <w:pPr>
        <w:pStyle w:val="FirstParagraph"/>
      </w:pPr>
      <w:r>
        <w:t xml:space="preserve">External institutions (multilateral development banks, bilateral donors, UN agencies) can supply finance, technical advice, data, and policy-relevant knowledge that domestic institutions may lack. The central, genuinely two-sided analytical issues to weigh are</w:t>
      </w:r>
      <w:r>
        <w:t xml:space="preserve"> </w:t>
      </w:r>
      <w:r>
        <w:rPr>
          <w:bCs/>
          <w:b/>
        </w:rPr>
        <w:t xml:space="preserve">domestic ownership</w:t>
      </w:r>
      <w:r>
        <w:t xml:space="preserve"> </w:t>
      </w:r>
      <w:r>
        <w:t xml:space="preserve">(does the recipient government genuinely drive the policy agenda, or is it externally imposed),</w:t>
      </w:r>
      <w:r>
        <w:t xml:space="preserve"> </w:t>
      </w:r>
      <w:r>
        <w:rPr>
          <w:bCs/>
          <w:b/>
        </w:rPr>
        <w:t xml:space="preserve">conditionality</w:t>
      </w:r>
      <w:r>
        <w:t xml:space="preserve"> </w:t>
      </w:r>
      <w:r>
        <w:t xml:space="preserve">(do attached policy conditions improve outcomes by enforcing needed discipline, or constrain legitimate domestic policy choice),</w:t>
      </w:r>
      <w:r>
        <w:t xml:space="preserve"> </w:t>
      </w:r>
      <w:r>
        <w:rPr>
          <w:bCs/>
          <w:b/>
        </w:rPr>
        <w:t xml:space="preserve">sustainability</w:t>
      </w:r>
      <w:r>
        <w:t xml:space="preserve"> </w:t>
      </w:r>
      <w:r>
        <w:t xml:space="preserve">(will the program continue functioning once external funding ends), and</w:t>
      </w:r>
      <w:r>
        <w:t xml:space="preserve"> </w:t>
      </w:r>
      <w:r>
        <w:rPr>
          <w:bCs/>
          <w:b/>
        </w:rPr>
        <w:t xml:space="preserve">local institutional fit</w:t>
      </w:r>
      <w:r>
        <w:t xml:space="preserve"> </w:t>
      </w:r>
      <w:r>
        <w:t xml:space="preserve">(does an externally-designed model actually match domestic administrative capacity and context).</w:t>
      </w:r>
    </w:p>
    <w:bookmarkEnd w:id="150"/>
    <w:bookmarkStart w:id="151" w:name="Xb85188eed7ab84bc79df1688c53a8aadb870249"/>
    <w:p>
      <w:pPr>
        <w:pStyle w:val="Heading2"/>
      </w:pPr>
      <w:r>
        <w:rPr>
          <w:rStyle w:val="SectionNumber"/>
        </w:rPr>
        <w:t xml:space="preserve">11.9</w:t>
      </w:r>
      <w:r>
        <w:tab/>
      </w:r>
      <w:r>
        <w:t xml:space="preserve">Policy Making and Implementation in Pakistan</w:t>
      </w:r>
    </w:p>
    <w:p>
      <w:pPr>
        <w:pStyle w:val="FirstParagraph"/>
      </w:pPr>
      <w:r>
        <w:t xml:space="preserve">Applying the general implementation-gap analysis above to Pakistan specifically requires attention to institutional responsibility-sharing (which level and which agency is actually accountable), coordination challenges across agencies and levels of government, the federal-provincial dimension (especially significant after the 18th Amendment’s devolution of many policy subjects to the provinces), variable bureaucratic capacity across departments and regions, and the surrounding political context that shapes how consistently a policy is pursued across changes of government. Any illustration using a specific contemporary Pakistani policy should be checked against the latest official documents before being cited, since policy details and institutional arrangements evolve.</w:t>
      </w:r>
    </w:p>
    <w:p>
      <w:pPr>
        <w:pStyle w:val="BodyText"/>
      </w:pPr>
      <w:r>
        <w:rPr>
          <w:bCs/>
          <w:b/>
        </w:rPr>
        <w:t xml:space="preserve">Key takeaways for Unit III</w:t>
      </w:r>
    </w:p>
    <w:p>
      <w:pPr>
        <w:numPr>
          <w:ilvl w:val="0"/>
          <w:numId w:val="1075"/>
        </w:numPr>
        <w:pStyle w:val="Compact"/>
      </w:pPr>
      <w:r>
        <w:t xml:space="preserve">The policy cycle (problem → agenda → formulation → decision → implementation → evaluation → feedback) is the master framework this entire unit elaborates — orient any specific topic within this cycle when answering.</w:t>
      </w:r>
    </w:p>
    <w:p>
      <w:pPr>
        <w:numPr>
          <w:ilvl w:val="0"/>
          <w:numId w:val="1075"/>
        </w:numPr>
        <w:pStyle w:val="Compact"/>
      </w:pPr>
      <w:r>
        <w:t xml:space="preserve">The implementation gap is not a single failure mode but a family of distinct possible causes (unclear objectives, weak capacity, poor coordination, resource gaps, misaligned incentives) — a strong answer names which specific cause is operating in a given scenario.</w:t>
      </w:r>
    </w:p>
    <w:p>
      <w:pPr>
        <w:numPr>
          <w:ilvl w:val="0"/>
          <w:numId w:val="1075"/>
        </w:numPr>
        <w:pStyle w:val="Compact"/>
      </w:pPr>
      <w:r>
        <w:t xml:space="preserve">Monitoring (continuous) and evaluation (periodic, deeper) are distinct, as are outputs (immediate deliverables) and outcomes (resulting changes) — precision on this results-chain vocabulary is consistently rewarded.</w:t>
      </w:r>
    </w:p>
    <w:p>
      <w:r>
        <w:pict>
          <v:rect style="width:0;height:1.5pt" o:hralign="center" o:hrstd="t" o:hr="t"/>
        </w:pict>
      </w:r>
    </w:p>
    <w:bookmarkEnd w:id="151"/>
    <w:bookmarkEnd w:id="152"/>
    <w:bookmarkStart w:id="158" w:name="iv.-budgeting-and-financial-management"/>
    <w:p>
      <w:pPr>
        <w:pStyle w:val="Heading1"/>
      </w:pPr>
      <w:r>
        <w:rPr>
          <w:rStyle w:val="SectionNumber"/>
        </w:rPr>
        <w:t xml:space="preserve">12</w:t>
      </w:r>
      <w:r>
        <w:tab/>
      </w:r>
      <w:r>
        <w:t xml:space="preserve">IV. Budgeting and Financial Management</w:t>
      </w:r>
    </w:p>
    <w:bookmarkStart w:id="153" w:name="what-this-unit-is-about-8"/>
    <w:p>
      <w:pPr>
        <w:pStyle w:val="Heading2"/>
      </w:pPr>
      <w:r>
        <w:rPr>
          <w:rStyle w:val="SectionNumber"/>
        </w:rPr>
        <w:t xml:space="preserve">12.1</w:t>
      </w:r>
      <w:r>
        <w:tab/>
      </w:r>
      <w:r>
        <w:t xml:space="preserve">What This Unit Is About</w:t>
      </w:r>
    </w:p>
    <w:p>
      <w:pPr>
        <w:pStyle w:val="FirstParagraph"/>
      </w:pPr>
      <w:r>
        <w:t xml:space="preserve">A government budget serves two purposes simultaneously: it is a</w:t>
      </w:r>
      <w:r>
        <w:t xml:space="preserve"> </w:t>
      </w:r>
      <w:r>
        <w:rPr>
          <w:bCs/>
          <w:b/>
        </w:rPr>
        <w:t xml:space="preserve">financial statement</w:t>
      </w:r>
      <w:r>
        <w:t xml:space="preserve"> </w:t>
      </w:r>
      <w:r>
        <w:t xml:space="preserve">(a plan of revenue and expenditure) and a</w:t>
      </w:r>
      <w:r>
        <w:t xml:space="preserve"> </w:t>
      </w:r>
      <w:r>
        <w:rPr>
          <w:bCs/>
          <w:b/>
        </w:rPr>
        <w:t xml:space="preserve">policy instrument</w:t>
      </w:r>
      <w:r>
        <w:t xml:space="preserve"> </w:t>
      </w:r>
      <w:r>
        <w:t xml:space="preserve">(a statement, in fiscal terms, of the government’s actual priorities — since what gets funded reveals what is genuinely prioritized, regardless of what is stated in speeches). The standard</w:t>
      </w:r>
      <w:r>
        <w:t xml:space="preserve"> </w:t>
      </w:r>
      <w:r>
        <w:rPr>
          <w:bCs/>
          <w:b/>
        </w:rPr>
        <w:t xml:space="preserve">budget cycle</w:t>
      </w:r>
      <w:r>
        <w:t xml:space="preserve"> </w:t>
      </w:r>
      <w:r>
        <w:t xml:space="preserve">— preparation, legislative authorization, execution, accounting/reporting, and audit/oversight — provides the organizing structure for the rest of this unit, and each of the five budgeting systems below is best understood by the specific question it is designed to answer.</w:t>
      </w:r>
    </w:p>
    <w:bookmarkEnd w:id="153"/>
    <w:bookmarkStart w:id="154" w:name="X6d4da2a5c00b0799a31c435465c9f4d5e3409e9"/>
    <w:p>
      <w:pPr>
        <w:pStyle w:val="Heading2"/>
      </w:pPr>
      <w:r>
        <w:rPr>
          <w:rStyle w:val="SectionNumber"/>
        </w:rPr>
        <w:t xml:space="preserve">12.2</w:t>
      </w:r>
      <w:r>
        <w:tab/>
      </w:r>
      <w:r>
        <w:t xml:space="preserve">Budget as a Policy Tool and as a Managerial Tool</w:t>
      </w:r>
    </w:p>
    <w:p>
      <w:pPr>
        <w:pStyle w:val="FirstParagraph"/>
      </w:pPr>
      <w:r>
        <w:t xml:space="preserve">As a</w:t>
      </w:r>
      <w:r>
        <w:t xml:space="preserve"> </w:t>
      </w:r>
      <w:r>
        <w:rPr>
          <w:bCs/>
          <w:b/>
        </w:rPr>
        <w:t xml:space="preserve">policy tool</w:t>
      </w:r>
      <w:r>
        <w:t xml:space="preserve">, the budget reveals which sectors and programs actually receive resources, and revenue decisions (who is taxed, and how much) are themselves a form of policy, affecting the distribution of the tax burden across society. As a</w:t>
      </w:r>
      <w:r>
        <w:t xml:space="preserve"> </w:t>
      </w:r>
      <w:r>
        <w:rPr>
          <w:bCs/>
          <w:b/>
        </w:rPr>
        <w:t xml:space="preserve">managerial tool</w:t>
      </w:r>
      <w:r>
        <w:t xml:space="preserve">, budgets let managers plan activities, allocate resources deliberately, control spending against authorized limits, and compare actual performance against planned targets — the same planning-and-control logic introduced in the Management unit of the Business Administration chapter, now applied within the specific legal constraints of public budget law.</w:t>
      </w:r>
    </w:p>
    <w:bookmarkEnd w:id="154"/>
    <w:bookmarkStart w:id="155" w:name="Xfb4971ee0e845c208a50aec47c005d1dfa7563d"/>
    <w:p>
      <w:pPr>
        <w:pStyle w:val="Heading2"/>
      </w:pPr>
      <w:r>
        <w:rPr>
          <w:rStyle w:val="SectionNumber"/>
        </w:rPr>
        <w:t xml:space="preserve">12.3</w:t>
      </w:r>
      <w:r>
        <w:tab/>
      </w:r>
      <w:r>
        <w:t xml:space="preserve">Principles of Budgeting, Audit, and Accounting</w:t>
      </w:r>
    </w:p>
    <w:p>
      <w:pPr>
        <w:pStyle w:val="FirstParagraph"/>
      </w:pPr>
      <w:r>
        <w:t xml:space="preserve">Sound budgeting should be lawful (within statutory authority), transparent (open to legislative and public scrutiny), realistic (grounded in credible revenue and cost estimates), and accountable (traceable to responsible officials).</w:t>
      </w:r>
      <w:r>
        <w:t xml:space="preserve"> </w:t>
      </w:r>
      <w:r>
        <w:rPr>
          <w:bCs/>
          <w:b/>
        </w:rPr>
        <w:t xml:space="preserve">Accounting</w:t>
      </w:r>
      <w:r>
        <w:t xml:space="preserve"> </w:t>
      </w:r>
      <w:r>
        <w:t xml:space="preserve">records transactions and reports financial position;</w:t>
      </w:r>
      <w:r>
        <w:t xml:space="preserve"> </w:t>
      </w:r>
      <w:r>
        <w:rPr>
          <w:bCs/>
          <w:b/>
        </w:rPr>
        <w:t xml:space="preserve">audit</w:t>
      </w:r>
      <w:r>
        <w:t xml:space="preserve"> </w:t>
      </w:r>
      <w:r>
        <w:t xml:space="preserve">independently examines whether financial information and administrative actions conform to applicable law, standards, or performance criteria. Three audit types are commonly distinguished:</w:t>
      </w:r>
      <w:r>
        <w:t xml:space="preserve"> </w:t>
      </w:r>
      <w:r>
        <w:rPr>
          <w:bCs/>
          <w:b/>
        </w:rPr>
        <w:t xml:space="preserve">financial audit</w:t>
      </w:r>
      <w:r>
        <w:t xml:space="preserve"> </w:t>
      </w:r>
      <w:r>
        <w:t xml:space="preserve">(examines the accuracy of financial statements),</w:t>
      </w:r>
      <w:r>
        <w:t xml:space="preserve"> </w:t>
      </w:r>
      <w:r>
        <w:rPr>
          <w:bCs/>
          <w:b/>
        </w:rPr>
        <w:t xml:space="preserve">compliance audit</w:t>
      </w:r>
      <w:r>
        <w:t xml:space="preserve"> </w:t>
      </w:r>
      <w:r>
        <w:t xml:space="preserve">(examines adherence to applicable rules and regulations), and</w:t>
      </w:r>
      <w:r>
        <w:t xml:space="preserve"> </w:t>
      </w:r>
      <w:r>
        <w:rPr>
          <w:bCs/>
          <w:b/>
        </w:rPr>
        <w:t xml:space="preserve">performance/value-for-money audit</w:t>
      </w:r>
      <w:r>
        <w:t xml:space="preserve"> </w:t>
      </w:r>
      <w:r>
        <w:t xml:space="preserve">(examines the economy, efficiency, and effectiveness of resource use, where the audit body’s mandate extends this far) — a distinction worth stating precisely, since these three audit types ask genuinely different questions of the same underlying spending.</w:t>
      </w:r>
    </w:p>
    <w:bookmarkEnd w:id="155"/>
    <w:bookmarkStart w:id="156" w:name="the-five-budgeting-systems"/>
    <w:p>
      <w:pPr>
        <w:pStyle w:val="Heading2"/>
      </w:pPr>
      <w:r>
        <w:rPr>
          <w:rStyle w:val="SectionNumber"/>
        </w:rPr>
        <w:t xml:space="preserve">12.4</w:t>
      </w:r>
      <w:r>
        <w:tab/>
      </w:r>
      <w:r>
        <w:t xml:space="preserve">The Five Budgeting Systems</w:t>
      </w:r>
    </w:p>
    <w:p>
      <w:pPr>
        <w:pStyle w:val="FirstParagraph"/>
      </w:pPr>
      <w:r>
        <w:t xml:space="preserve">Each budgeting system below answers a different underlying question, and remembering that governing question is the fastest way to keep all five distinct:</w:t>
      </w:r>
    </w:p>
    <w:p>
      <w:pPr>
        <w:numPr>
          <w:ilvl w:val="0"/>
          <w:numId w:val="1076"/>
        </w:numPr>
        <w:pStyle w:val="Compact"/>
      </w:pPr>
      <w:r>
        <w:rPr>
          <w:bCs/>
          <w:b/>
        </w:rPr>
        <w:t xml:space="preserve">Line-item budgeting</w:t>
      </w:r>
      <w:r>
        <w:t xml:space="preserve"> </w:t>
      </w:r>
      <w:r>
        <w:t xml:space="preserve">asks</w:t>
      </w:r>
      <w:r>
        <w:t xml:space="preserve"> </w:t>
      </w:r>
      <w:r>
        <w:rPr>
          <w:iCs/>
          <w:i/>
        </w:rPr>
        <w:t xml:space="preserve">“</w:t>
      </w:r>
      <w:r>
        <w:rPr>
          <w:iCs/>
          <w:i/>
        </w:rPr>
        <w:t xml:space="preserve">how much will be spent on each input?</w:t>
      </w:r>
      <w:r>
        <w:rPr>
          <w:iCs/>
          <w:i/>
        </w:rPr>
        <w:t xml:space="preserve">”</w:t>
      </w:r>
      <w:r>
        <w:t xml:space="preserve"> </w:t>
      </w:r>
      <w:r>
        <w:t xml:space="preserve">— organizing spending by input categories (salaries, supplies, equipment). It provides strong, easily auditable input control but says relatively little directly about what results that spending actually buys.</w:t>
      </w:r>
    </w:p>
    <w:p>
      <w:pPr>
        <w:numPr>
          <w:ilvl w:val="0"/>
          <w:numId w:val="1076"/>
        </w:numPr>
        <w:pStyle w:val="Compact"/>
      </w:pPr>
      <w:r>
        <w:rPr>
          <w:bCs/>
          <w:b/>
        </w:rPr>
        <w:t xml:space="preserve">Performance budgeting</w:t>
      </w:r>
      <w:r>
        <w:t xml:space="preserve"> </w:t>
      </w:r>
      <w:r>
        <w:t xml:space="preserve">asks</w:t>
      </w:r>
      <w:r>
        <w:t xml:space="preserve"> </w:t>
      </w:r>
      <w:r>
        <w:rPr>
          <w:iCs/>
          <w:i/>
        </w:rPr>
        <w:t xml:space="preserve">“</w:t>
      </w:r>
      <w:r>
        <w:rPr>
          <w:iCs/>
          <w:i/>
        </w:rPr>
        <w:t xml:space="preserve">what performance will this spending produce?</w:t>
      </w:r>
      <w:r>
        <w:rPr>
          <w:iCs/>
          <w:i/>
        </w:rPr>
        <w:t xml:space="preserve">”</w:t>
      </w:r>
      <w:r>
        <w:t xml:space="preserve"> </w:t>
      </w:r>
      <w:r>
        <w:t xml:space="preserve">— linking resources to activities, outputs, or performance indicators (a road-maintenance unit’s budget connected to kilometres maintained and response times, rather than only to labour and materials cost). Its central challenge is selecting genuinely valid measures and avoiding incentives that reward</w:t>
      </w:r>
      <w:r>
        <w:t xml:space="preserve"> </w:t>
      </w:r>
      <w:r>
        <w:t xml:space="preserve">“</w:t>
      </w:r>
      <w:r>
        <w:t xml:space="preserve">chasing easy numbers</w:t>
      </w:r>
      <w:r>
        <w:t xml:space="preserve">”</w:t>
      </w:r>
      <w:r>
        <w:t xml:space="preserve"> </w:t>
      </w:r>
      <w:r>
        <w:t xml:space="preserve">rather than real performance improvement.</w:t>
      </w:r>
    </w:p>
    <w:p>
      <w:pPr>
        <w:numPr>
          <w:ilvl w:val="0"/>
          <w:numId w:val="1076"/>
        </w:numPr>
        <w:pStyle w:val="Compact"/>
      </w:pPr>
      <w:r>
        <w:rPr>
          <w:bCs/>
          <w:b/>
        </w:rPr>
        <w:t xml:space="preserve">Program budgeting</w:t>
      </w:r>
      <w:r>
        <w:t xml:space="preserve"> </w:t>
      </w:r>
      <w:r>
        <w:t xml:space="preserve">asks</w:t>
      </w:r>
      <w:r>
        <w:t xml:space="preserve"> </w:t>
      </w:r>
      <w:r>
        <w:rPr>
          <w:iCs/>
          <w:i/>
        </w:rPr>
        <w:t xml:space="preserve">“</w:t>
      </w:r>
      <w:r>
        <w:rPr>
          <w:iCs/>
          <w:i/>
        </w:rPr>
        <w:t xml:space="preserve">which program or policy objective is this spending funding?</w:t>
      </w:r>
      <w:r>
        <w:rPr>
          <w:iCs/>
          <w:i/>
        </w:rPr>
        <w:t xml:space="preserve">”</w:t>
      </w:r>
      <w:r>
        <w:t xml:space="preserve"> </w:t>
      </w:r>
      <w:r>
        <w:t xml:space="preserve">— grouping resources around programs or purposes rather than administrative input categories, making it easier to ask how various activities jointly contribute to one policy objective.</w:t>
      </w:r>
    </w:p>
    <w:p>
      <w:pPr>
        <w:numPr>
          <w:ilvl w:val="0"/>
          <w:numId w:val="1076"/>
        </w:numPr>
        <w:pStyle w:val="Compact"/>
      </w:pPr>
      <w:r>
        <w:rPr>
          <w:bCs/>
          <w:b/>
        </w:rPr>
        <w:t xml:space="preserve">Zero-base budgeting</w:t>
      </w:r>
      <w:r>
        <w:t xml:space="preserve"> </w:t>
      </w:r>
      <w:r>
        <w:t xml:space="preserve">asks</w:t>
      </w:r>
      <w:r>
        <w:t xml:space="preserve"> </w:t>
      </w:r>
      <w:r>
        <w:rPr>
          <w:iCs/>
          <w:i/>
        </w:rPr>
        <w:t xml:space="preserve">“</w:t>
      </w:r>
      <w:r>
        <w:rPr>
          <w:iCs/>
          <w:i/>
        </w:rPr>
        <w:t xml:space="preserve">why should this activity exist at all, starting from zero?</w:t>
      </w:r>
      <w:r>
        <w:rPr>
          <w:iCs/>
          <w:i/>
        </w:rPr>
        <w:t xml:space="preserve">”</w:t>
      </w:r>
      <w:r>
        <w:t xml:space="preserve"> </w:t>
      </w:r>
      <w:r>
        <w:t xml:space="preserve">— requiring every activity to be freshly justified each budget cycle, rather than assuming the previous year’s spending base automatically continues forward. Its acknowledged practical limitation is the heavy analytical burden of comprehensively re-justifying every activity in a large government, which is why fully zero-based budgeting is rarely sustained in its pure form for long.</w:t>
      </w:r>
    </w:p>
    <w:p>
      <w:pPr>
        <w:numPr>
          <w:ilvl w:val="0"/>
          <w:numId w:val="1076"/>
        </w:numPr>
        <w:pStyle w:val="Compact"/>
      </w:pPr>
      <w:r>
        <w:rPr>
          <w:bCs/>
          <w:b/>
        </w:rPr>
        <w:t xml:space="preserve">Outcome-based budgeting</w:t>
      </w:r>
      <w:r>
        <w:t xml:space="preserve"> </w:t>
      </w:r>
      <w:r>
        <w:t xml:space="preserve">asks</w:t>
      </w:r>
      <w:r>
        <w:t xml:space="preserve"> </w:t>
      </w:r>
      <w:r>
        <w:rPr>
          <w:iCs/>
          <w:i/>
        </w:rPr>
        <w:t xml:space="preserve">“</w:t>
      </w:r>
      <w:r>
        <w:rPr>
          <w:iCs/>
          <w:i/>
        </w:rPr>
        <w:t xml:space="preserve">what change in society do we actually want, beyond outputs delivered?</w:t>
      </w:r>
      <w:r>
        <w:rPr>
          <w:iCs/>
          <w:i/>
        </w:rPr>
        <w:t xml:space="preserve">”</w:t>
      </w:r>
      <w:r>
        <w:t xml:space="preserve"> </w:t>
      </w:r>
      <w:r>
        <w:t xml:space="preserve">— connecting spending to broader societal outcomes rather than only to immediate activities or deliverables. Its central difficulty, echoing the attribution problem already raised in program evaluation above, is that outcomes are typically shaped by many actors and external conditions beyond the specific program’s control, making it genuinely hard to isolate how much of an observed societal change is actually attributable to this specific budget line.</w:t>
      </w:r>
    </w:p>
    <w:bookmarkEnd w:id="156"/>
    <w:bookmarkStart w:id="157" w:name="planning-and-budgeting-in-pakistan"/>
    <w:p>
      <w:pPr>
        <w:pStyle w:val="Heading2"/>
      </w:pPr>
      <w:r>
        <w:rPr>
          <w:rStyle w:val="SectionNumber"/>
        </w:rPr>
        <w:t xml:space="preserve">12.5</w:t>
      </w:r>
      <w:r>
        <w:tab/>
      </w:r>
      <w:r>
        <w:t xml:space="preserve">Planning and Budgeting in Pakistan</w:t>
      </w:r>
    </w:p>
    <w:p>
      <w:pPr>
        <w:pStyle w:val="FirstParagraph"/>
      </w:pPr>
      <w:r>
        <w:t xml:space="preserve">Pakistan’s budgeting system distinguishes</w:t>
      </w:r>
      <w:r>
        <w:t xml:space="preserve"> </w:t>
      </w:r>
      <w:r>
        <w:rPr>
          <w:bCs/>
          <w:b/>
        </w:rPr>
        <w:t xml:space="preserve">recurrent (current) expenditure</w:t>
      </w:r>
      <w:r>
        <w:t xml:space="preserve"> </w:t>
      </w:r>
      <w:r>
        <w:t xml:space="preserve">(ongoing costs of running government — salaries, utilities, maintenance) from</w:t>
      </w:r>
      <w:r>
        <w:t xml:space="preserve"> </w:t>
      </w:r>
      <w:r>
        <w:rPr>
          <w:bCs/>
          <w:b/>
        </w:rPr>
        <w:t xml:space="preserve">development expenditure</w:t>
      </w:r>
      <w:r>
        <w:t xml:space="preserve"> </w:t>
      </w:r>
      <w:r>
        <w:t xml:space="preserve">(capital investment in new projects, coordinated through the planning machinery discussed in Unit III above) — with both requiring legislative authorization before execution. The practical coordination challenge, worth naming explicitly, is ensuring that development spending (new schools, new clinics) is properly matched with the recurrent budget needed to actually staff and operate those new facilities once built — a frequent real-world failure mode where new infrastructure is built without adequately budgeting for its ongoing operational costs.</w:t>
      </w:r>
    </w:p>
    <w:p>
      <w:pPr>
        <w:pStyle w:val="BodyText"/>
      </w:pPr>
      <w:r>
        <w:rPr>
          <w:bCs/>
          <w:b/>
        </w:rPr>
        <w:t xml:space="preserve">Key takeaways for Unit IV</w:t>
      </w:r>
    </w:p>
    <w:p>
      <w:pPr>
        <w:numPr>
          <w:ilvl w:val="0"/>
          <w:numId w:val="1077"/>
        </w:numPr>
        <w:pStyle w:val="Compact"/>
      </w:pPr>
      <w:r>
        <w:t xml:space="preserve">Each of the five budgeting systems answers a different governing question — memorize the question, not just the label, since exam scenarios often describe a budgeting</w:t>
      </w:r>
      <w:r>
        <w:t xml:space="preserve"> </w:t>
      </w:r>
      <w:r>
        <w:rPr>
          <w:iCs/>
          <w:i/>
        </w:rPr>
        <w:t xml:space="preserve">approach</w:t>
      </w:r>
      <w:r>
        <w:t xml:space="preserve"> </w:t>
      </w:r>
      <w:r>
        <w:t xml:space="preserve">without naming it and expect the correct label to be identified.</w:t>
      </w:r>
    </w:p>
    <w:p>
      <w:pPr>
        <w:numPr>
          <w:ilvl w:val="0"/>
          <w:numId w:val="1077"/>
        </w:numPr>
        <w:pStyle w:val="Compact"/>
      </w:pPr>
      <w:r>
        <w:t xml:space="preserve">Financial, compliance, and performance/value-for-money audit are three distinct examinations of the same spending, asking different questions (accuracy, rule-adherence, and economy/efficiency/effectiveness respectively).</w:t>
      </w:r>
    </w:p>
    <w:p>
      <w:pPr>
        <w:numPr>
          <w:ilvl w:val="0"/>
          <w:numId w:val="1077"/>
        </w:numPr>
        <w:pStyle w:val="Compact"/>
      </w:pPr>
      <w:r>
        <w:t xml:space="preserve">Development spending (new capital projects) and recurrent spending (ongoing operating costs) must be planned together — new infrastructure without matching recurrent budget for its operation is a recurring real-world budgeting failure.</w:t>
      </w:r>
    </w:p>
    <w:p>
      <w:r>
        <w:pict>
          <v:rect style="width:0;height:1.5pt" o:hralign="center" o:hrstd="t" o:hr="t"/>
        </w:pict>
      </w:r>
    </w:p>
    <w:bookmarkEnd w:id="157"/>
    <w:bookmarkEnd w:id="158"/>
    <w:bookmarkStart w:id="165" w:name="X40ade58b1b66a14c41bc69f3dec4e781c26d476"/>
    <w:p>
      <w:pPr>
        <w:pStyle w:val="Heading1"/>
      </w:pPr>
      <w:r>
        <w:rPr>
          <w:rStyle w:val="SectionNumber"/>
        </w:rPr>
        <w:t xml:space="preserve">13</w:t>
      </w:r>
      <w:r>
        <w:tab/>
      </w:r>
      <w:r>
        <w:t xml:space="preserve">V. Managing Human Resources in the Public Sector</w:t>
      </w:r>
    </w:p>
    <w:bookmarkStart w:id="159" w:name="what-this-unit-is-about-9"/>
    <w:p>
      <w:pPr>
        <w:pStyle w:val="Heading2"/>
      </w:pPr>
      <w:r>
        <w:rPr>
          <w:rStyle w:val="SectionNumber"/>
        </w:rPr>
        <w:t xml:space="preserve">13.1</w:t>
      </w:r>
      <w:r>
        <w:tab/>
      </w:r>
      <w:r>
        <w:t xml:space="preserve">What This Unit Is About</w:t>
      </w:r>
    </w:p>
    <w:p>
      <w:pPr>
        <w:pStyle w:val="FirstParagraph"/>
      </w:pPr>
      <w:r>
        <w:t xml:space="preserve">Public-sector HRM covers recruitment, careers, performance, development, and fair treatment specifically within government employment — shaped by law, merit principles, political accountability, and formal service rules in ways the general HRM material in the Business Administration chapter does not need to address. Three foundational contrasts organize the unit.</w:t>
      </w:r>
    </w:p>
    <w:bookmarkEnd w:id="159"/>
    <w:bookmarkStart w:id="160" w:name="spoils-system-versus-merit-system"/>
    <w:p>
      <w:pPr>
        <w:pStyle w:val="Heading2"/>
      </w:pPr>
      <w:r>
        <w:rPr>
          <w:rStyle w:val="SectionNumber"/>
        </w:rPr>
        <w:t xml:space="preserve">13.2</w:t>
      </w:r>
      <w:r>
        <w:tab/>
      </w:r>
      <w:r>
        <w:t xml:space="preserve">Spoils System versus Merit System</w:t>
      </w:r>
    </w:p>
    <w:p>
      <w:pPr>
        <w:pStyle w:val="FirstParagraph"/>
      </w:pPr>
      <w:r>
        <w:t xml:space="preserve">A</w:t>
      </w:r>
      <w:r>
        <w:t xml:space="preserve"> </w:t>
      </w:r>
      <w:r>
        <w:rPr>
          <w:bCs/>
          <w:b/>
        </w:rPr>
        <w:t xml:space="preserve">spoils system</w:t>
      </w:r>
      <w:r>
        <w:t xml:space="preserve"> </w:t>
      </w:r>
      <w:r>
        <w:t xml:space="preserve">distributes public jobs primarily through political patronage — appointments rewarding political support rather than demonstrated qualification. A</w:t>
      </w:r>
      <w:r>
        <w:t xml:space="preserve"> </w:t>
      </w:r>
      <w:r>
        <w:rPr>
          <w:bCs/>
          <w:b/>
        </w:rPr>
        <w:t xml:space="preserve">merit system</w:t>
      </w:r>
      <w:r>
        <w:t xml:space="preserve"> </w:t>
      </w:r>
      <w:r>
        <w:t xml:space="preserve">uses qualifications, competitive examination, and structured, transparent selection criteria instead. Modern professional civil services generally emphasize merit, while still remaining ultimately accountable to elected political leadership — the exam-relevant balance is maintaining</w:t>
      </w:r>
      <w:r>
        <w:t xml:space="preserve"> </w:t>
      </w:r>
      <w:r>
        <w:rPr>
          <w:bCs/>
          <w:b/>
        </w:rPr>
        <w:t xml:space="preserve">democratic control</w:t>
      </w:r>
      <w:r>
        <w:t xml:space="preserve"> </w:t>
      </w:r>
      <w:r>
        <w:t xml:space="preserve">(elected leadership setting policy direction and holding the bureaucracy accountable)</w:t>
      </w:r>
      <w:r>
        <w:t xml:space="preserve"> </w:t>
      </w:r>
      <w:r>
        <w:rPr>
          <w:bCs/>
          <w:b/>
        </w:rPr>
        <w:t xml:space="preserve">without</w:t>
      </w:r>
      <w:r>
        <w:t xml:space="preserve"> </w:t>
      </w:r>
      <w:r>
        <w:t xml:space="preserve">converting professional civil-service posts into partisan political rewards, which would sacrifice both the expertise and the political neutrality merit-based systems are designed to protect.</w:t>
      </w:r>
    </w:p>
    <w:bookmarkEnd w:id="160"/>
    <w:bookmarkStart w:id="161" w:name="personnel-management-versus-hrm"/>
    <w:p>
      <w:pPr>
        <w:pStyle w:val="Heading2"/>
      </w:pPr>
      <w:r>
        <w:rPr>
          <w:rStyle w:val="SectionNumber"/>
        </w:rPr>
        <w:t xml:space="preserve">13.3</w:t>
      </w:r>
      <w:r>
        <w:tab/>
      </w:r>
      <w:r>
        <w:t xml:space="preserve">Personnel Management versus HRM</w:t>
      </w:r>
    </w:p>
    <w:p>
      <w:pPr>
        <w:pStyle w:val="FirstParagraph"/>
      </w:pPr>
      <w:r>
        <w:rPr>
          <w:bCs/>
          <w:b/>
        </w:rPr>
        <w:t xml:space="preserve">Traditional personnel administration</w:t>
      </w:r>
      <w:r>
        <w:t xml:space="preserve"> </w:t>
      </w:r>
      <w:r>
        <w:t xml:space="preserve">emphasizes rule compliance, record-keeping, and routine staffing transactions (processing appointments, leave, and retirements).</w:t>
      </w:r>
      <w:r>
        <w:t xml:space="preserve"> </w:t>
      </w:r>
      <w:r>
        <w:rPr>
          <w:bCs/>
          <w:b/>
        </w:rPr>
        <w:t xml:space="preserve">Strategic HRM</w:t>
      </w:r>
      <w:r>
        <w:t xml:space="preserve">, by contrast, gives explicit attention to workforce capability, performance management, deliberate development, and alignment with the organization’s actual objectives — the same evolution from an administrative to a strategic view of people already discussed in the Business Administration chapter’s HRM unit, now specifically applied to explain how modern public-sector personnel systems are trying to move beyond pure rule-processing.</w:t>
      </w:r>
    </w:p>
    <w:bookmarkEnd w:id="161"/>
    <w:bookmarkStart w:id="162" w:name="Xd255d686781a39b1984ef886e81fe3240ab01a8"/>
    <w:p>
      <w:pPr>
        <w:pStyle w:val="Heading2"/>
      </w:pPr>
      <w:r>
        <w:rPr>
          <w:rStyle w:val="SectionNumber"/>
        </w:rPr>
        <w:t xml:space="preserve">13.4</w:t>
      </w:r>
      <w:r>
        <w:tab/>
      </w:r>
      <w:r>
        <w:t xml:space="preserve">Closed versus Open Systems of Public Employment</w:t>
      </w:r>
    </w:p>
    <w:p>
      <w:pPr>
        <w:pStyle w:val="FirstParagraph"/>
      </w:pPr>
      <w:r>
        <w:rPr>
          <w:bCs/>
          <w:b/>
        </w:rPr>
        <w:t xml:space="preserve">Closed career systems</w:t>
      </w:r>
      <w:r>
        <w:t xml:space="preserve"> </w:t>
      </w:r>
      <w:r>
        <w:t xml:space="preserve">recruit people into a service early and develop them through structured internal careers over a working lifetime — Pakistan’s traditional civil service cadre structure is a clear example.</w:t>
      </w:r>
      <w:r>
        <w:t xml:space="preserve"> </w:t>
      </w:r>
      <w:r>
        <w:rPr>
          <w:bCs/>
          <w:b/>
        </w:rPr>
        <w:t xml:space="preserve">Open systems</w:t>
      </w:r>
      <w:r>
        <w:t xml:space="preserve"> </w:t>
      </w:r>
      <w:r>
        <w:t xml:space="preserve">allow more lateral entry at various career stages and greater movement between public employment and the wider external labour market. The trade-off, worth stating precisely: closed systems build institutional memory, continuity, and a strong shared professional identity, at some cost to bringing in fresh specialist expertise or introducing external competitive pressure; open systems can inject specialized skills and competitive dynamism more readily, at some cost to long-term institutional continuity and the depth of internal career-based commitment.</w:t>
      </w:r>
    </w:p>
    <w:bookmarkEnd w:id="162"/>
    <w:bookmarkStart w:id="163" w:name="functions-of-hrm-in-government"/>
    <w:p>
      <w:pPr>
        <w:pStyle w:val="Heading2"/>
      </w:pPr>
      <w:r>
        <w:rPr>
          <w:rStyle w:val="SectionNumber"/>
        </w:rPr>
        <w:t xml:space="preserve">13.5</w:t>
      </w:r>
      <w:r>
        <w:tab/>
      </w:r>
      <w:r>
        <w:t xml:space="preserve">Functions of HRM in Government</w:t>
      </w:r>
    </w:p>
    <w:p>
      <w:pPr>
        <w:pStyle w:val="FirstParagraph"/>
      </w:pPr>
      <w:r>
        <w:t xml:space="preserve">The general HRM function set (workforce planning, recruitment, selection, training, performance management, rewards, employee relations, succession planning) applies to government organizations largely as covered in the Business Administration chapter’s HRM unit — the distinctive public-sector overlay is that each of these functions typically operates under specific statutory service rules and constitutional protections (security of tenure, structured appeal rights against disciplinary action) that private-sector HRM does not need to observe in the same form.</w:t>
      </w:r>
    </w:p>
    <w:bookmarkEnd w:id="163"/>
    <w:bookmarkStart w:id="164" w:name="X51da20816568c7d3a33ba1c2d06334691ed9cc6"/>
    <w:p>
      <w:pPr>
        <w:pStyle w:val="Heading2"/>
      </w:pPr>
      <w:r>
        <w:rPr>
          <w:rStyle w:val="SectionNumber"/>
        </w:rPr>
        <w:t xml:space="preserve">13.6</w:t>
      </w:r>
      <w:r>
        <w:tab/>
      </w:r>
      <w:r>
        <w:t xml:space="preserve">Key Issues and Challenges in Public-Sector HRM</w:t>
      </w:r>
    </w:p>
    <w:p>
      <w:pPr>
        <w:pStyle w:val="FirstParagraph"/>
      </w:pPr>
      <w:r>
        <w:t xml:space="preserve">Recurring analytical issues include: sustaining genuine</w:t>
      </w:r>
      <w:r>
        <w:t xml:space="preserve"> </w:t>
      </w:r>
      <w:r>
        <w:rPr>
          <w:bCs/>
          <w:b/>
        </w:rPr>
        <w:t xml:space="preserve">merit</w:t>
      </w:r>
      <w:r>
        <w:t xml:space="preserve"> </w:t>
      </w:r>
      <w:r>
        <w:t xml:space="preserve">against patronage pressure; preserving</w:t>
      </w:r>
      <w:r>
        <w:t xml:space="preserve"> </w:t>
      </w:r>
      <w:r>
        <w:rPr>
          <w:bCs/>
          <w:b/>
        </w:rPr>
        <w:t xml:space="preserve">political neutrality</w:t>
      </w:r>
      <w:r>
        <w:t xml:space="preserve"> </w:t>
      </w:r>
      <w:r>
        <w:t xml:space="preserve">of career civil servants across changes of elected government;</w:t>
      </w:r>
      <w:r>
        <w:t xml:space="preserve"> </w:t>
      </w:r>
      <w:r>
        <w:rPr>
          <w:bCs/>
          <w:b/>
        </w:rPr>
        <w:t xml:space="preserve">skill gaps</w:t>
      </w:r>
      <w:r>
        <w:t xml:space="preserve"> </w:t>
      </w:r>
      <w:r>
        <w:t xml:space="preserve">relative to modern service-delivery and digital demands; weak</w:t>
      </w:r>
      <w:r>
        <w:t xml:space="preserve"> </w:t>
      </w:r>
      <w:r>
        <w:rPr>
          <w:bCs/>
          <w:b/>
        </w:rPr>
        <w:t xml:space="preserve">incentive structures</w:t>
      </w:r>
      <w:r>
        <w:t xml:space="preserve"> </w:t>
      </w:r>
      <w:r>
        <w:t xml:space="preserve">(given limited scope for performance-linked pay compared to the private sector); genuine difficulty in</w:t>
      </w:r>
      <w:r>
        <w:t xml:space="preserve"> </w:t>
      </w:r>
      <w:r>
        <w:rPr>
          <w:bCs/>
          <w:b/>
        </w:rPr>
        <w:t xml:space="preserve">performance measurement</w:t>
      </w:r>
      <w:r>
        <w:t xml:space="preserve"> </w:t>
      </w:r>
      <w:r>
        <w:t xml:space="preserve">for public services whose outputs are often hard to quantify; staff</w:t>
      </w:r>
      <w:r>
        <w:t xml:space="preserve"> </w:t>
      </w:r>
      <w:r>
        <w:rPr>
          <w:bCs/>
          <w:b/>
        </w:rPr>
        <w:t xml:space="preserve">mobility and frequent transfers</w:t>
      </w:r>
      <w:r>
        <w:t xml:space="preserve"> </w:t>
      </w:r>
      <w:r>
        <w:t xml:space="preserve">disrupting institutional continuity within a posting;</w:t>
      </w:r>
      <w:r>
        <w:t xml:space="preserve"> </w:t>
      </w:r>
      <w:r>
        <w:rPr>
          <w:bCs/>
          <w:b/>
        </w:rPr>
        <w:t xml:space="preserve">training relevance</w:t>
      </w:r>
      <w:r>
        <w:t xml:space="preserve"> </w:t>
      </w:r>
      <w:r>
        <w:t xml:space="preserve">(whether training content actually matches evolving job demands); workforce</w:t>
      </w:r>
      <w:r>
        <w:t xml:space="preserve"> </w:t>
      </w:r>
      <w:r>
        <w:rPr>
          <w:bCs/>
          <w:b/>
        </w:rPr>
        <w:t xml:space="preserve">diversity</w:t>
      </w:r>
      <w:r>
        <w:t xml:space="preserve">; growing</w:t>
      </w:r>
      <w:r>
        <w:t xml:space="preserve"> </w:t>
      </w:r>
      <w:r>
        <w:rPr>
          <w:bCs/>
          <w:b/>
        </w:rPr>
        <w:t xml:space="preserve">digital capability</w:t>
      </w:r>
      <w:r>
        <w:t xml:space="preserve"> </w:t>
      </w:r>
      <w:r>
        <w:t xml:space="preserve">requirements; and organizational</w:t>
      </w:r>
      <w:r>
        <w:t xml:space="preserve"> </w:t>
      </w:r>
      <w:r>
        <w:rPr>
          <w:bCs/>
          <w:b/>
        </w:rPr>
        <w:t xml:space="preserve">resistance to reform</w:t>
      </w:r>
      <w:r>
        <w:t xml:space="preserve">. Any specific claim made about Pakistan’s public-sector HRM should be grounded in stated evidence rather than asserted as an unsupported stereotype about</w:t>
      </w:r>
      <w:r>
        <w:t xml:space="preserve"> </w:t>
      </w:r>
      <w:r>
        <w:t xml:space="preserve">“</w:t>
      </w:r>
      <w:r>
        <w:t xml:space="preserve">the bureaucracy</w:t>
      </w:r>
      <w:r>
        <w:t xml:space="preserve">”</w:t>
      </w:r>
      <w:r>
        <w:t xml:space="preserve"> </w:t>
      </w:r>
      <w:r>
        <w:t xml:space="preserve">in general.</w:t>
      </w:r>
    </w:p>
    <w:p>
      <w:pPr>
        <w:pStyle w:val="BodyText"/>
      </w:pPr>
      <w:r>
        <w:rPr>
          <w:bCs/>
          <w:b/>
        </w:rPr>
        <w:t xml:space="preserve">Key takeaways for Unit V</w:t>
      </w:r>
    </w:p>
    <w:p>
      <w:pPr>
        <w:numPr>
          <w:ilvl w:val="0"/>
          <w:numId w:val="1078"/>
        </w:numPr>
        <w:pStyle w:val="Compact"/>
      </w:pPr>
      <w:r>
        <w:t xml:space="preserve">The three foundational contrasts — spoils vs. merit, personnel management vs. HRM, closed vs. open systems — each describe a genuine trade-off, not a simple</w:t>
      </w:r>
      <w:r>
        <w:t xml:space="preserve"> </w:t>
      </w:r>
      <w:r>
        <w:t xml:space="preserve">“</w:t>
      </w:r>
      <w:r>
        <w:t xml:space="preserve">correct</w:t>
      </w:r>
      <w:r>
        <w:t xml:space="preserve">”</w:t>
      </w:r>
      <w:r>
        <w:t xml:space="preserve"> </w:t>
      </w:r>
      <w:r>
        <w:t xml:space="preserve">and</w:t>
      </w:r>
      <w:r>
        <w:t xml:space="preserve"> </w:t>
      </w:r>
      <w:r>
        <w:t xml:space="preserve">“</w:t>
      </w:r>
      <w:r>
        <w:t xml:space="preserve">incorrect</w:t>
      </w:r>
      <w:r>
        <w:t xml:space="preserve">”</w:t>
      </w:r>
      <w:r>
        <w:t xml:space="preserve"> </w:t>
      </w:r>
      <w:r>
        <w:t xml:space="preserve">side; a strong answer states both sides’ strengths and limitations.</w:t>
      </w:r>
    </w:p>
    <w:p>
      <w:pPr>
        <w:numPr>
          <w:ilvl w:val="0"/>
          <w:numId w:val="1078"/>
        </w:numPr>
        <w:pStyle w:val="Compact"/>
      </w:pPr>
      <w:r>
        <w:t xml:space="preserve">Public-sector HRM functions mirror the general HRM cycle from the Business Administration chapter, but operate inside statutory service rules and constitutional protections that shape (and sometimes constrain) how each function can actually be applied.</w:t>
      </w:r>
    </w:p>
    <w:p>
      <w:r>
        <w:pict>
          <v:rect style="width:0;height:1.5pt" o:hralign="center" o:hrstd="t" o:hr="t"/>
        </w:pict>
      </w:r>
    </w:p>
    <w:bookmarkEnd w:id="164"/>
    <w:bookmarkEnd w:id="165"/>
    <w:bookmarkStart w:id="173" w:name="vi.-administrative-law"/>
    <w:p>
      <w:pPr>
        <w:pStyle w:val="Heading1"/>
      </w:pPr>
      <w:r>
        <w:rPr>
          <w:rStyle w:val="SectionNumber"/>
        </w:rPr>
        <w:t xml:space="preserve">14</w:t>
      </w:r>
      <w:r>
        <w:tab/>
      </w:r>
      <w:r>
        <w:t xml:space="preserve">VI. Administrative Law</w:t>
      </w:r>
    </w:p>
    <w:bookmarkStart w:id="166" w:name="what-this-unit-is-about-10"/>
    <w:p>
      <w:pPr>
        <w:pStyle w:val="Heading2"/>
      </w:pPr>
      <w:r>
        <w:rPr>
          <w:rStyle w:val="SectionNumber"/>
        </w:rPr>
        <w:t xml:space="preserve">14.1</w:t>
      </w:r>
      <w:r>
        <w:tab/>
      </w:r>
      <w:r>
        <w:t xml:space="preserve">What This Unit Is About</w:t>
      </w:r>
    </w:p>
    <w:p>
      <w:pPr>
        <w:pStyle w:val="FirstParagraph"/>
      </w:pPr>
      <w:r>
        <w:t xml:space="preserve">Administrative law governs how public authorities lawfully exercise legal power — it exists to give government the authority needed to perform genuinely public functions, while simultaneously controlling that authority against arbitrary or unlawful exercise. The whole field can be organized around one simple relational chain:</w:t>
      </w:r>
      <w:r>
        <w:t xml:space="preserve"> </w:t>
      </w:r>
      <w:r>
        <w:rPr>
          <w:bCs/>
          <w:b/>
        </w:rPr>
        <w:t xml:space="preserve">the legislature creates authority (through statute) → the administration exercises that authority → courts, tribunals, and other oversight mechanisms test whether that exercise was lawful.</w:t>
      </w:r>
    </w:p>
    <w:bookmarkEnd w:id="166"/>
    <w:bookmarkStart w:id="167" w:name="meaning-scope-and-significance"/>
    <w:p>
      <w:pPr>
        <w:pStyle w:val="Heading2"/>
      </w:pPr>
      <w:r>
        <w:rPr>
          <w:rStyle w:val="SectionNumber"/>
        </w:rPr>
        <w:t xml:space="preserve">14.2</w:t>
      </w:r>
      <w:r>
        <w:tab/>
      </w:r>
      <w:r>
        <w:t xml:space="preserve">Meaning, Scope, and Significance</w:t>
      </w:r>
    </w:p>
    <w:p>
      <w:pPr>
        <w:pStyle w:val="FirstParagraph"/>
      </w:pPr>
      <w:r>
        <w:t xml:space="preserve">Administrative law concerns the powers, procedures, duties, and legal controls governing administrative authorities. It matters in practice because public bodies make an enormous number of decisions that directly affect individual rights, licences, benefits, regulatory compliance, and public employment — decisions a citizen may have no meaningful alternative to, unlike a private commercial transaction they could simply decline. Whenever confronted with a scenario involving a public authority’s decision, the three organizing questions administrative law asks are:</w:t>
      </w:r>
      <w:r>
        <w:t xml:space="preserve"> </w:t>
      </w:r>
      <w:r>
        <w:rPr>
          <w:bCs/>
          <w:b/>
        </w:rPr>
        <w:t xml:space="preserve">what legal power did the authority actually have to make this decision? What procedure was it required to follow? And what remedy is available if it acted unlawfully?</w:t>
      </w:r>
    </w:p>
    <w:bookmarkEnd w:id="167"/>
    <w:bookmarkStart w:id="168" w:name="nature-and-contents"/>
    <w:p>
      <w:pPr>
        <w:pStyle w:val="Heading2"/>
      </w:pPr>
      <w:r>
        <w:rPr>
          <w:rStyle w:val="SectionNumber"/>
        </w:rPr>
        <w:t xml:space="preserve">14.3</w:t>
      </w:r>
      <w:r>
        <w:tab/>
      </w:r>
      <w:r>
        <w:t xml:space="preserve">Nature and Contents</w:t>
      </w:r>
    </w:p>
    <w:p>
      <w:pPr>
        <w:pStyle w:val="FirstParagraph"/>
      </w:pPr>
      <w:r>
        <w:t xml:space="preserve">The field’s substantive content includes</w:t>
      </w:r>
      <w:r>
        <w:t xml:space="preserve"> </w:t>
      </w:r>
      <w:r>
        <w:rPr>
          <w:bCs/>
          <w:b/>
        </w:rPr>
        <w:t xml:space="preserve">delegated (subordinate) legislation</w:t>
      </w:r>
      <w:r>
        <w:t xml:space="preserve">,</w:t>
      </w:r>
      <w:r>
        <w:t xml:space="preserve"> </w:t>
      </w:r>
      <w:r>
        <w:rPr>
          <w:bCs/>
          <w:b/>
        </w:rPr>
        <w:t xml:space="preserve">administrative decision-making and discretion</w:t>
      </w:r>
      <w:r>
        <w:t xml:space="preserve">,</w:t>
      </w:r>
      <w:r>
        <w:t xml:space="preserve"> </w:t>
      </w:r>
      <w:r>
        <w:rPr>
          <w:bCs/>
          <w:b/>
        </w:rPr>
        <w:t xml:space="preserve">tribunals</w:t>
      </w:r>
      <w:r>
        <w:t xml:space="preserve">,</w:t>
      </w:r>
      <w:r>
        <w:t xml:space="preserve"> </w:t>
      </w:r>
      <w:r>
        <w:rPr>
          <w:bCs/>
          <w:b/>
        </w:rPr>
        <w:t xml:space="preserve">judicial review</w:t>
      </w:r>
      <w:r>
        <w:t xml:space="preserve"> </w:t>
      </w:r>
      <w:r>
        <w:t xml:space="preserve">(the courts’ power to examine the legality, though generally not the underlying merits, of administrative decisions), and</w:t>
      </w:r>
      <w:r>
        <w:t xml:space="preserve"> </w:t>
      </w:r>
      <w:r>
        <w:rPr>
          <w:bCs/>
          <w:b/>
        </w:rPr>
        <w:t xml:space="preserve">procedural fairness</w:t>
      </w:r>
      <w:r>
        <w:t xml:space="preserve">. A useful scoping point: administrative law focuses specifically on</w:t>
      </w:r>
      <w:r>
        <w:t xml:space="preserve"> </w:t>
      </w:r>
      <w:r>
        <w:rPr>
          <w:iCs/>
          <w:i/>
        </w:rPr>
        <w:t xml:space="preserve">public authority</w:t>
      </w:r>
      <w:r>
        <w:t xml:space="preserve"> </w:t>
      </w:r>
      <w:r>
        <w:t xml:space="preserve">— the exercise of governmental power — and should be kept distinct from general private law governing relationships between private parties.</w:t>
      </w:r>
    </w:p>
    <w:bookmarkEnd w:id="168"/>
    <w:bookmarkStart w:id="169" w:name="administrative-ethics"/>
    <w:p>
      <w:pPr>
        <w:pStyle w:val="Heading2"/>
      </w:pPr>
      <w:r>
        <w:rPr>
          <w:rStyle w:val="SectionNumber"/>
        </w:rPr>
        <w:t xml:space="preserve">14.4</w:t>
      </w:r>
      <w:r>
        <w:tab/>
      </w:r>
      <w:r>
        <w:t xml:space="preserve">Administrative Ethics</w:t>
      </w:r>
    </w:p>
    <w:p>
      <w:pPr>
        <w:pStyle w:val="FirstParagraph"/>
      </w:pPr>
      <w:r>
        <w:t xml:space="preserve">Ethics guides how officials should exercise lawful</w:t>
      </w:r>
      <w:r>
        <w:t xml:space="preserve"> </w:t>
      </w:r>
      <w:r>
        <w:rPr>
          <w:bCs/>
          <w:b/>
        </w:rPr>
        <w:t xml:space="preserve">discretion</w:t>
      </w:r>
      <w:r>
        <w:t xml:space="preserve"> </w:t>
      </w:r>
      <w:r>
        <w:t xml:space="preserve">— precisely in the situations where formal rules do not dictate one single mechanical answer, leaving a genuine choice that must be guided by professional judgment and ethical principle rather than rule-following alone. Core concerns include</w:t>
      </w:r>
      <w:r>
        <w:t xml:space="preserve"> </w:t>
      </w:r>
      <w:r>
        <w:rPr>
          <w:bCs/>
          <w:b/>
        </w:rPr>
        <w:t xml:space="preserve">integrity</w:t>
      </w:r>
      <w:r>
        <w:t xml:space="preserve">,</w:t>
      </w:r>
      <w:r>
        <w:t xml:space="preserve"> </w:t>
      </w:r>
      <w:r>
        <w:rPr>
          <w:bCs/>
          <w:b/>
        </w:rPr>
        <w:t xml:space="preserve">impartiality</w:t>
      </w:r>
      <w:r>
        <w:t xml:space="preserve">, avoidance of</w:t>
      </w:r>
      <w:r>
        <w:t xml:space="preserve"> </w:t>
      </w:r>
      <w:r>
        <w:rPr>
          <w:bCs/>
          <w:b/>
        </w:rPr>
        <w:t xml:space="preserve">conflict of interest</w:t>
      </w:r>
      <w:r>
        <w:t xml:space="preserve">, and orientation toward the</w:t>
      </w:r>
      <w:r>
        <w:t xml:space="preserve"> </w:t>
      </w:r>
      <w:r>
        <w:rPr>
          <w:bCs/>
          <w:b/>
        </w:rPr>
        <w:t xml:space="preserve">public interest</w:t>
      </w:r>
      <w:r>
        <w:t xml:space="preserve"> </w:t>
      </w:r>
      <w:r>
        <w:t xml:space="preserve">rather than private or personal benefit.</w:t>
      </w:r>
    </w:p>
    <w:bookmarkEnd w:id="169"/>
    <w:bookmarkStart w:id="170" w:name="Xc2607c9606cb9bab1a7bc45fa28c6c8671cfe1b"/>
    <w:p>
      <w:pPr>
        <w:pStyle w:val="Heading2"/>
      </w:pPr>
      <w:r>
        <w:rPr>
          <w:rStyle w:val="SectionNumber"/>
        </w:rPr>
        <w:t xml:space="preserve">14.5</w:t>
      </w:r>
      <w:r>
        <w:tab/>
      </w:r>
      <w:r>
        <w:t xml:space="preserve">Delegation of Authority and Delegated Legislation</w:t>
      </w:r>
    </w:p>
    <w:p>
      <w:pPr>
        <w:pStyle w:val="FirstParagraph"/>
      </w:pPr>
      <w:r>
        <w:rPr>
          <w:bCs/>
          <w:b/>
        </w:rPr>
        <w:t xml:space="preserve">Delegation</w:t>
      </w:r>
      <w:r>
        <w:t xml:space="preserve"> </w:t>
      </w:r>
      <w:r>
        <w:t xml:space="preserve">transfers decision-making authority to another official or body, but crucially cannot lawfully create</w:t>
      </w:r>
      <w:r>
        <w:t xml:space="preserve"> </w:t>
      </w:r>
      <w:r>
        <w:rPr>
          <w:iCs/>
          <w:i/>
        </w:rPr>
        <w:t xml:space="preserve">more</w:t>
      </w:r>
      <w:r>
        <w:t xml:space="preserve"> </w:t>
      </w:r>
      <w:r>
        <w:t xml:space="preserve">power than the underlying enabling legal framework itself grants — a delegate can never exercise authority beyond what the original delegating authority legitimately possessed.</w:t>
      </w:r>
      <w:r>
        <w:t xml:space="preserve"> </w:t>
      </w:r>
      <w:r>
        <w:rPr>
          <w:bCs/>
          <w:b/>
        </w:rPr>
        <w:t xml:space="preserve">Delegated (subordinate) legislation</w:t>
      </w:r>
      <w:r>
        <w:t xml:space="preserve"> </w:t>
      </w:r>
      <w:r>
        <w:t xml:space="preserve">allows a body authorized under an enabling statute to make detailed technical rules filling in the framework that statute establishes; such delegated rules remain legally subordinate to the Constitution and to the parent (enabling) statute, and are void to the extent they exceed the authority the parent statute actually granted — the doctrine of</w:t>
      </w:r>
      <w:r>
        <w:t xml:space="preserve"> </w:t>
      </w:r>
      <w:r>
        <w:rPr>
          <w:bCs/>
          <w:b/>
        </w:rPr>
        <w:t xml:space="preserve">ultra vires</w:t>
      </w:r>
      <w:r>
        <w:t xml:space="preserve"> </w:t>
      </w:r>
      <w:r>
        <w:t xml:space="preserve">(acting beyond legal power), a frequently tested principle throughout this unit.</w:t>
      </w:r>
    </w:p>
    <w:bookmarkEnd w:id="170"/>
    <w:bookmarkStart w:id="171" w:name="administrative-tribunals"/>
    <w:p>
      <w:pPr>
        <w:pStyle w:val="Heading2"/>
      </w:pPr>
      <w:r>
        <w:rPr>
          <w:rStyle w:val="SectionNumber"/>
        </w:rPr>
        <w:t xml:space="preserve">14.6</w:t>
      </w:r>
      <w:r>
        <w:tab/>
      </w:r>
      <w:r>
        <w:t xml:space="preserve">Administrative Tribunals</w:t>
      </w:r>
    </w:p>
    <w:p>
      <w:pPr>
        <w:pStyle w:val="FirstParagraph"/>
      </w:pPr>
      <w:r>
        <w:t xml:space="preserve">Administrative tribunals are specialized adjudicatory bodies established to resolve disputes within a particular, defined subject area (service tribunals for civil-service disputes, tax tribunals for revenue disputes) rather than general courts. Their acknowledged advantages are subject-matter</w:t>
      </w:r>
      <w:r>
        <w:t xml:space="preserve"> </w:t>
      </w:r>
      <w:r>
        <w:rPr>
          <w:bCs/>
          <w:b/>
        </w:rPr>
        <w:t xml:space="preserve">expertise</w:t>
      </w:r>
      <w:r>
        <w:t xml:space="preserve"> </w:t>
      </w:r>
      <w:r>
        <w:t xml:space="preserve">and</w:t>
      </w:r>
      <w:r>
        <w:t xml:space="preserve"> </w:t>
      </w:r>
      <w:r>
        <w:rPr>
          <w:bCs/>
          <w:b/>
        </w:rPr>
        <w:t xml:space="preserve">procedural speed</w:t>
      </w:r>
      <w:r>
        <w:t xml:space="preserve"> </w:t>
      </w:r>
      <w:r>
        <w:t xml:space="preserve">relative to ordinary courts; the corresponding safeguards genuinely necessary to legitimate this specialized adjudication are</w:t>
      </w:r>
      <w:r>
        <w:t xml:space="preserve"> </w:t>
      </w:r>
      <w:r>
        <w:rPr>
          <w:bCs/>
          <w:b/>
        </w:rPr>
        <w:t xml:space="preserve">independence</w:t>
      </w:r>
      <w:r>
        <w:t xml:space="preserve"> </w:t>
      </w:r>
      <w:r>
        <w:t xml:space="preserve">from the executive bodies whose decisions they review, a genuine opportunity for a</w:t>
      </w:r>
      <w:r>
        <w:t xml:space="preserve"> </w:t>
      </w:r>
      <w:r>
        <w:rPr>
          <w:bCs/>
          <w:b/>
        </w:rPr>
        <w:t xml:space="preserve">fair hearing</w:t>
      </w:r>
      <w:r>
        <w:t xml:space="preserve">, a requirement for</w:t>
      </w:r>
      <w:r>
        <w:t xml:space="preserve"> </w:t>
      </w:r>
      <w:r>
        <w:rPr>
          <w:bCs/>
          <w:b/>
        </w:rPr>
        <w:t xml:space="preserve">reasoned decisions</w:t>
      </w:r>
      <w:r>
        <w:t xml:space="preserve">, and continued availability of</w:t>
      </w:r>
      <w:r>
        <w:t xml:space="preserve"> </w:t>
      </w:r>
      <w:r>
        <w:rPr>
          <w:bCs/>
          <w:b/>
        </w:rPr>
        <w:t xml:space="preserve">judicial oversight</w:t>
      </w:r>
      <w:r>
        <w:t xml:space="preserve"> </w:t>
      </w:r>
      <w:r>
        <w:t xml:space="preserve">(typically through a limited right of appeal or judicial review to the ordinary courts) to guard against a tribunal itself acting unlawfully.</w:t>
      </w:r>
    </w:p>
    <w:bookmarkEnd w:id="171"/>
    <w:bookmarkStart w:id="172" w:name="administrative-law-in-pakistan"/>
    <w:p>
      <w:pPr>
        <w:pStyle w:val="Heading2"/>
      </w:pPr>
      <w:r>
        <w:rPr>
          <w:rStyle w:val="SectionNumber"/>
        </w:rPr>
        <w:t xml:space="preserve">14.7</w:t>
      </w:r>
      <w:r>
        <w:tab/>
      </w:r>
      <w:r>
        <w:t xml:space="preserve">Administrative Law in Pakistan</w:t>
      </w:r>
    </w:p>
    <w:p>
      <w:pPr>
        <w:pStyle w:val="FirstParagraph"/>
      </w:pPr>
      <w:r>
        <w:t xml:space="preserve">Pakistan-specific material should be grounded in the Constitution, relevant statutes, and the current court/tribunal framework, verified against up-to-date sources rather than relying on outdated institutional names or superseded legal positions, since institutional arrangements and case law develop over time. The field’s underlying purpose in the Pakistani context, as everywhere, is to control administrative discretion</w:t>
      </w:r>
      <w:r>
        <w:t xml:space="preserve"> </w:t>
      </w:r>
      <w:r>
        <w:rPr>
          <w:bCs/>
          <w:b/>
        </w:rPr>
        <w:t xml:space="preserve">without eliminating</w:t>
      </w:r>
      <w:r>
        <w:t xml:space="preserve"> </w:t>
      </w:r>
      <w:r>
        <w:t xml:space="preserve">the operational flexibility genuine public administration needs to function effectively.</w:t>
      </w:r>
    </w:p>
    <w:p>
      <w:pPr>
        <w:pStyle w:val="BodyText"/>
      </w:pPr>
      <w:r>
        <w:rPr>
          <w:bCs/>
          <w:b/>
        </w:rPr>
        <w:t xml:space="preserve">Key takeaways for Unit VI</w:t>
      </w:r>
    </w:p>
    <w:p>
      <w:pPr>
        <w:numPr>
          <w:ilvl w:val="0"/>
          <w:numId w:val="1079"/>
        </w:numPr>
        <w:pStyle w:val="Compact"/>
      </w:pPr>
      <w:r>
        <w:t xml:space="preserve">The organizing chain — legislature creates authority → administration exercises it → courts/tribunals test legality — structures every topic in this unit; locate any specific question within this chain.</w:t>
      </w:r>
    </w:p>
    <w:p>
      <w:pPr>
        <w:numPr>
          <w:ilvl w:val="0"/>
          <w:numId w:val="1079"/>
        </w:numPr>
        <w:pStyle w:val="Compact"/>
      </w:pPr>
      <w:r>
        <w:t xml:space="preserve">Delegated legislation and delegation of authority are both bounded by the doctrine that a delegate cannot lawfully exercise more power than its enabling source actually possessed (ultra vires) — this single principle underlies both topics.</w:t>
      </w:r>
    </w:p>
    <w:p>
      <w:pPr>
        <w:numPr>
          <w:ilvl w:val="0"/>
          <w:numId w:val="1079"/>
        </w:numPr>
        <w:pStyle w:val="Compact"/>
      </w:pPr>
      <w:r>
        <w:t xml:space="preserve">Tribunals trade off expertise and speed against the need for independence, fair hearing, and continued judicial oversight — a strong answer states both the advantage and the necessary safeguard together.</w:t>
      </w:r>
    </w:p>
    <w:p>
      <w:r>
        <w:pict>
          <v:rect style="width:0;height:1.5pt" o:hralign="center" o:hrstd="t" o:hr="t"/>
        </w:pict>
      </w:r>
    </w:p>
    <w:bookmarkEnd w:id="172"/>
    <w:bookmarkEnd w:id="173"/>
    <w:bookmarkStart w:id="186" w:name="vii.-public-management-skills"/>
    <w:p>
      <w:pPr>
        <w:pStyle w:val="Heading1"/>
      </w:pPr>
      <w:r>
        <w:rPr>
          <w:rStyle w:val="SectionNumber"/>
        </w:rPr>
        <w:t xml:space="preserve">15</w:t>
      </w:r>
      <w:r>
        <w:tab/>
      </w:r>
      <w:r>
        <w:t xml:space="preserve">VII. Public Management Skills</w:t>
      </w:r>
    </w:p>
    <w:bookmarkStart w:id="174" w:name="what-this-unit-is-about-11"/>
    <w:p>
      <w:pPr>
        <w:pStyle w:val="Heading2"/>
      </w:pPr>
      <w:r>
        <w:rPr>
          <w:rStyle w:val="SectionNumber"/>
        </w:rPr>
        <w:t xml:space="preserve">15.1</w:t>
      </w:r>
      <w:r>
        <w:tab/>
      </w:r>
      <w:r>
        <w:t xml:space="preserve">What This Unit Is About</w:t>
      </w:r>
    </w:p>
    <w:p>
      <w:pPr>
        <w:pStyle w:val="FirstParagraph"/>
      </w:pPr>
      <w:r>
        <w:t xml:space="preserve">This is the most practically oriented unit in the subject: it asks what specific skills a public manager needs to convert policy, law, and organizational resources into workable action on the ground. For each skill below, the strongest exam answers combine a clear definition, a short process, and one concrete public-sector illustration — demonstrating what a manager would actually</w:t>
      </w:r>
      <w:r>
        <w:t xml:space="preserve"> </w:t>
      </w:r>
      <w:r>
        <w:rPr>
          <w:iCs/>
          <w:i/>
        </w:rPr>
        <w:t xml:space="preserve">do</w:t>
      </w:r>
      <w:r>
        <w:t xml:space="preserve">, not only reciting the underlying theory.</w:t>
      </w:r>
    </w:p>
    <w:bookmarkEnd w:id="174"/>
    <w:bookmarkStart w:id="175" w:name="planning-and-decision-making"/>
    <w:p>
      <w:pPr>
        <w:pStyle w:val="Heading2"/>
      </w:pPr>
      <w:r>
        <w:rPr>
          <w:rStyle w:val="SectionNumber"/>
        </w:rPr>
        <w:t xml:space="preserve">15.2</w:t>
      </w:r>
      <w:r>
        <w:tab/>
      </w:r>
      <w:r>
        <w:t xml:space="preserve">Planning and Decision Making</w:t>
      </w:r>
    </w:p>
    <w:p>
      <w:pPr>
        <w:pStyle w:val="FirstParagraph"/>
      </w:pPr>
      <w:r>
        <w:t xml:space="preserve">Applying the general decision-making framework from the Business Administration Management unit (the rational model, bounded rationality, programmed vs. non-programmed decisions) to public management specifically requires recognizing two added constraints: legal limits on what options are even lawfully available, and genuinely scarce public resources that sharply limit which alternatives can realistically be implemented, regardless of which alternative might otherwise be judged best.</w:t>
      </w:r>
    </w:p>
    <w:bookmarkEnd w:id="175"/>
    <w:bookmarkStart w:id="176" w:name="conflict-management"/>
    <w:p>
      <w:pPr>
        <w:pStyle w:val="Heading2"/>
      </w:pPr>
      <w:r>
        <w:rPr>
          <w:rStyle w:val="SectionNumber"/>
        </w:rPr>
        <w:t xml:space="preserve">15.3</w:t>
      </w:r>
      <w:r>
        <w:tab/>
      </w:r>
      <w:r>
        <w:t xml:space="preserve">Conflict Management</w:t>
      </w:r>
    </w:p>
    <w:p>
      <w:pPr>
        <w:pStyle w:val="FirstParagraph"/>
      </w:pPr>
      <w:r>
        <w:t xml:space="preserve">Conflict in public organizations commonly arises from scarce resources, role ambiguity, or differing goals and values among units or individuals. Five broad response styles are conventionally distinguished:</w:t>
      </w:r>
      <w:r>
        <w:t xml:space="preserve"> </w:t>
      </w:r>
      <w:r>
        <w:rPr>
          <w:bCs/>
          <w:b/>
        </w:rPr>
        <w:t xml:space="preserve">avoiding</w:t>
      </w:r>
      <w:r>
        <w:t xml:space="preserve"> </w:t>
      </w:r>
      <w:r>
        <w:t xml:space="preserve">(postponing or withdrawing from the conflict),</w:t>
      </w:r>
      <w:r>
        <w:t xml:space="preserve"> </w:t>
      </w:r>
      <w:r>
        <w:rPr>
          <w:bCs/>
          <w:b/>
        </w:rPr>
        <w:t xml:space="preserve">accommodating</w:t>
      </w:r>
      <w:r>
        <w:t xml:space="preserve"> </w:t>
      </w:r>
      <w:r>
        <w:t xml:space="preserve">(giving greater weight to the other party’s position),</w:t>
      </w:r>
      <w:r>
        <w:t xml:space="preserve"> </w:t>
      </w:r>
      <w:r>
        <w:rPr>
          <w:bCs/>
          <w:b/>
        </w:rPr>
        <w:t xml:space="preserve">competing</w:t>
      </w:r>
      <w:r>
        <w:t xml:space="preserve"> </w:t>
      </w:r>
      <w:r>
        <w:t xml:space="preserve">(asserting one’s own position),</w:t>
      </w:r>
      <w:r>
        <w:t xml:space="preserve"> </w:t>
      </w:r>
      <w:r>
        <w:rPr>
          <w:bCs/>
          <w:b/>
        </w:rPr>
        <w:t xml:space="preserve">compromising</w:t>
      </w:r>
      <w:r>
        <w:t xml:space="preserve"> </w:t>
      </w:r>
      <w:r>
        <w:t xml:space="preserve">(splitting the difference), and</w:t>
      </w:r>
      <w:r>
        <w:t xml:space="preserve"> </w:t>
      </w:r>
      <w:r>
        <w:rPr>
          <w:bCs/>
          <w:b/>
        </w:rPr>
        <w:t xml:space="preserve">collaborating</w:t>
      </w:r>
      <w:r>
        <w:t xml:space="preserve"> </w:t>
      </w:r>
      <w:r>
        <w:t xml:space="preserve">(jointly seeking a solution that genuinely satisfies both sides’ core underlying interests, rather than merely their stated positions). The choice of style should depend on the conflict’s urgency, importance, the ongoing relationship between the parties, the relative power balance, and — critically — whether a genuine win-win outcome is actually achievable in the specific situation, since collaboration is not always feasible or worth its higher time cost.</w:t>
      </w:r>
      <w:r>
        <w:t xml:space="preserve"> </w:t>
      </w:r>
      <w:r>
        <w:rPr>
          <w:bCs/>
          <w:b/>
        </w:rPr>
        <w:t xml:space="preserve">Worked illustration:</w:t>
      </w:r>
      <w:r>
        <w:t xml:space="preserve"> </w:t>
      </w:r>
      <w:r>
        <w:t xml:space="preserve">two departments competing for the same limited pool of field staff can collaborate by jointly clarifying relative priorities and building a shared staff-deployment schedule, rather than each department separately trying to</w:t>
      </w:r>
      <w:r>
        <w:t xml:space="preserve"> </w:t>
      </w:r>
      <w:r>
        <w:t xml:space="preserve">“</w:t>
      </w:r>
      <w:r>
        <w:t xml:space="preserve">win</w:t>
      </w:r>
      <w:r>
        <w:t xml:space="preserve">”</w:t>
      </w:r>
      <w:r>
        <w:t xml:space="preserve"> </w:t>
      </w:r>
      <w:r>
        <w:t xml:space="preserve">the entire disputed resource for itself.</w:t>
      </w:r>
    </w:p>
    <w:bookmarkEnd w:id="176"/>
    <w:bookmarkStart w:id="177" w:name="leading-and-communication"/>
    <w:p>
      <w:pPr>
        <w:pStyle w:val="Heading2"/>
      </w:pPr>
      <w:r>
        <w:rPr>
          <w:rStyle w:val="SectionNumber"/>
        </w:rPr>
        <w:t xml:space="preserve">15.4</w:t>
      </w:r>
      <w:r>
        <w:tab/>
      </w:r>
      <w:r>
        <w:t xml:space="preserve">Leading and Communication</w:t>
      </w:r>
    </w:p>
    <w:p>
      <w:pPr>
        <w:pStyle w:val="FirstParagraph"/>
      </w:pPr>
      <w:r>
        <w:t xml:space="preserve">Public leadership provides direction and legitimacy to organizational action, while communication ensures information moves accurately in all directions — upward (frontline realities reaching senior decision-makers), downward (decisions and direction reaching frontline staff), and laterally (coordination across departments and agencies). Communication characteristically fails when a message is unclear, distorted as it passes through multiple levels, delayed, or simply not understood by its intended receiver — and effective public managers treat</w:t>
      </w:r>
      <w:r>
        <w:t xml:space="preserve"> </w:t>
      </w:r>
      <w:r>
        <w:rPr>
          <w:bCs/>
          <w:b/>
        </w:rPr>
        <w:t xml:space="preserve">active listening and feedback</w:t>
      </w:r>
      <w:r>
        <w:t xml:space="preserve"> </w:t>
      </w:r>
      <w:r>
        <w:t xml:space="preserve">as being just as important as issuing clear instructions, since a one-directional flow of instructions without a genuine feedback channel cannot surface implementation problems early.</w:t>
      </w:r>
    </w:p>
    <w:bookmarkEnd w:id="177"/>
    <w:bookmarkStart w:id="178" w:name="administrative-buffering"/>
    <w:p>
      <w:pPr>
        <w:pStyle w:val="Heading2"/>
      </w:pPr>
      <w:r>
        <w:rPr>
          <w:rStyle w:val="SectionNumber"/>
        </w:rPr>
        <w:t xml:space="preserve">15.5</w:t>
      </w:r>
      <w:r>
        <w:tab/>
      </w:r>
      <w:r>
        <w:t xml:space="preserve">Administrative Buffering</w:t>
      </w:r>
    </w:p>
    <w:p>
      <w:pPr>
        <w:pStyle w:val="FirstParagraph"/>
      </w:pPr>
      <w:r>
        <w:t xml:space="preserve">Administrative buffering means protecting an organization’s core operational work from excessive external shocks, disruptive interruptions, or political and organizational pressures, using organizational boundaries, standard routines, or dedicated intermediary units. The important, frequently tested caution: buffering that goes too far can isolate an agency from citizens and from</w:t>
      </w:r>
      <w:r>
        <w:t xml:space="preserve"> </w:t>
      </w:r>
      <w:r>
        <w:rPr>
          <w:bCs/>
          <w:b/>
        </w:rPr>
        <w:t xml:space="preserve">legitimate</w:t>
      </w:r>
      <w:r>
        <w:t xml:space="preserve"> </w:t>
      </w:r>
      <w:r>
        <w:t xml:space="preserve">oversight and accountability — the skill lies in protecting core operational capacity from disruptive noise, while remaining genuinely open to legitimate accountability and citizen input, not in shielding the organization from accountability altogether.</w:t>
      </w:r>
    </w:p>
    <w:bookmarkEnd w:id="178"/>
    <w:bookmarkStart w:id="179" w:name="managing-change"/>
    <w:p>
      <w:pPr>
        <w:pStyle w:val="Heading2"/>
      </w:pPr>
      <w:r>
        <w:rPr>
          <w:rStyle w:val="SectionNumber"/>
        </w:rPr>
        <w:t xml:space="preserve">15.6</w:t>
      </w:r>
      <w:r>
        <w:tab/>
      </w:r>
      <w:r>
        <w:t xml:space="preserve">Managing Change</w:t>
      </w:r>
    </w:p>
    <w:p>
      <w:pPr>
        <w:pStyle w:val="FirstParagraph"/>
      </w:pPr>
      <w:r>
        <w:t xml:space="preserve">Applying Lewin’s change model and the general change-management principles from the Business Administration chapter to the public sector specifically requires: a clear, well-communicated</w:t>
      </w:r>
      <w:r>
        <w:t xml:space="preserve"> </w:t>
      </w:r>
      <w:r>
        <w:rPr>
          <w:bCs/>
          <w:b/>
        </w:rPr>
        <w:t xml:space="preserve">diagnosis</w:t>
      </w:r>
      <w:r>
        <w:t xml:space="preserve"> </w:t>
      </w:r>
      <w:r>
        <w:t xml:space="preserve">of why change is needed, genuine</w:t>
      </w:r>
      <w:r>
        <w:t xml:space="preserve"> </w:t>
      </w:r>
      <w:r>
        <w:rPr>
          <w:bCs/>
          <w:b/>
        </w:rPr>
        <w:t xml:space="preserve">stakeholder engagement</w:t>
      </w:r>
      <w:r>
        <w:t xml:space="preserve"> </w:t>
      </w:r>
      <w:r>
        <w:t xml:space="preserve">(given the wider set of stakeholders — citizens, legislators, unions — public organizations typically answer to), sustained</w:t>
      </w:r>
      <w:r>
        <w:t xml:space="preserve"> </w:t>
      </w:r>
      <w:r>
        <w:rPr>
          <w:bCs/>
          <w:b/>
        </w:rPr>
        <w:t xml:space="preserve">communication</w:t>
      </w:r>
      <w:r>
        <w:t xml:space="preserve"> </w:t>
      </w:r>
      <w:r>
        <w:t xml:space="preserve">throughout the process,</w:t>
      </w:r>
      <w:r>
        <w:t xml:space="preserve"> </w:t>
      </w:r>
      <w:r>
        <w:rPr>
          <w:bCs/>
          <w:b/>
        </w:rPr>
        <w:t xml:space="preserve">capacity building</w:t>
      </w:r>
      <w:r>
        <w:t xml:space="preserve"> </w:t>
      </w:r>
      <w:r>
        <w:t xml:space="preserve">so staff can actually operate under the new arrangements,</w:t>
      </w:r>
      <w:r>
        <w:t xml:space="preserve"> </w:t>
      </w:r>
      <w:r>
        <w:rPr>
          <w:bCs/>
          <w:b/>
        </w:rPr>
        <w:t xml:space="preserve">phased implementation</w:t>
      </w:r>
      <w:r>
        <w:t xml:space="preserve"> </w:t>
      </w:r>
      <w:r>
        <w:t xml:space="preserve">rather than attempting an abrupt, all-at-once transition, and a</w:t>
      </w:r>
      <w:r>
        <w:t xml:space="preserve"> </w:t>
      </w:r>
      <w:r>
        <w:rPr>
          <w:bCs/>
          <w:b/>
        </w:rPr>
        <w:t xml:space="preserve">feedback</w:t>
      </w:r>
      <w:r>
        <w:t xml:space="preserve"> </w:t>
      </w:r>
      <w:r>
        <w:t xml:space="preserve">mechanism to catch and correct problems as they emerge.</w:t>
      </w:r>
      <w:r>
        <w:t xml:space="preserve"> </w:t>
      </w:r>
      <w:r>
        <w:rPr>
          <w:bCs/>
          <w:b/>
        </w:rPr>
        <w:t xml:space="preserve">Worked illustration:</w:t>
      </w:r>
      <w:r>
        <w:t xml:space="preserve"> </w:t>
      </w:r>
      <w:r>
        <w:t xml:space="preserve">when an office replaces paper files with an electronic workflow system, the technology itself is only one component of the change — staff training, redesigned work processes, access permissions, revised record-keeping rules, and genuine, actively-managed resistance among staff accustomed to the old paper system all require deliberate management alongside the technical rollout, echoing the point already made about Managing Change and Innovation in the Business Administration chapter.</w:t>
      </w:r>
    </w:p>
    <w:bookmarkEnd w:id="179"/>
    <w:bookmarkStart w:id="180" w:name="managing-diversity"/>
    <w:p>
      <w:pPr>
        <w:pStyle w:val="Heading2"/>
      </w:pPr>
      <w:r>
        <w:rPr>
          <w:rStyle w:val="SectionNumber"/>
        </w:rPr>
        <w:t xml:space="preserve">15.7</w:t>
      </w:r>
      <w:r>
        <w:tab/>
      </w:r>
      <w:r>
        <w:t xml:space="preserve">Managing Diversity</w:t>
      </w:r>
    </w:p>
    <w:p>
      <w:pPr>
        <w:pStyle w:val="FirstParagraph"/>
      </w:pPr>
      <w:r>
        <w:t xml:space="preserve">Diversity management seeks the fair inclusion of people from different backgrounds, regional origins, identities, skills, and experiences. The frequently tested point here is that diversity management is</w:t>
      </w:r>
      <w:r>
        <w:t xml:space="preserve"> </w:t>
      </w:r>
      <w:r>
        <w:rPr>
          <w:bCs/>
          <w:b/>
        </w:rPr>
        <w:t xml:space="preserve">not only about representation</w:t>
      </w:r>
      <w:r>
        <w:t xml:space="preserve"> </w:t>
      </w:r>
      <w:r>
        <w:t xml:space="preserve">(who is present in the organization) — it also genuinely requires unbiased recruitment procedures, inclusive day-to-day work practices, physically and culturally accessible workplaces, a respectful organizational culture, and equal opportunity for development and career advancement once people are actually inside the organization.</w:t>
      </w:r>
    </w:p>
    <w:bookmarkEnd w:id="180"/>
    <w:bookmarkStart w:id="181" w:name="stress-management"/>
    <w:p>
      <w:pPr>
        <w:pStyle w:val="Heading2"/>
      </w:pPr>
      <w:r>
        <w:rPr>
          <w:rStyle w:val="SectionNumber"/>
        </w:rPr>
        <w:t xml:space="preserve">15.8</w:t>
      </w:r>
      <w:r>
        <w:tab/>
      </w:r>
      <w:r>
        <w:t xml:space="preserve">Stress Management</w:t>
      </w:r>
    </w:p>
    <w:p>
      <w:pPr>
        <w:pStyle w:val="FirstParagraph"/>
      </w:pPr>
      <w:r>
        <w:t xml:space="preserve">Public managers should recognize workload pressure, role ambiguity, interpersonal conflict, and resource constraints as genuine organizational stressors, not merely personal failings of the individuals experiencing them. The key point the syllabus stresses: effective responses combine</w:t>
      </w:r>
      <w:r>
        <w:t xml:space="preserve"> </w:t>
      </w:r>
      <w:r>
        <w:rPr>
          <w:bCs/>
          <w:b/>
        </w:rPr>
        <w:t xml:space="preserve">individual coping strategies</w:t>
      </w:r>
      <w:r>
        <w:t xml:space="preserve"> </w:t>
      </w:r>
      <w:r>
        <w:t xml:space="preserve">with</w:t>
      </w:r>
      <w:r>
        <w:t xml:space="preserve"> </w:t>
      </w:r>
      <w:r>
        <w:rPr>
          <w:bCs/>
          <w:b/>
        </w:rPr>
        <w:t xml:space="preserve">organizational design changes</w:t>
      </w:r>
      <w:r>
        <w:t xml:space="preserve"> </w:t>
      </w:r>
      <w:r>
        <w:t xml:space="preserve">— realistic workloads, role clarity, adequate support systems, achievable deadlines, and reasonable staff autonomy — since these structural factors can matter considerably more for actually reducing stress than simply exhorting individual employees to personally</w:t>
      </w:r>
      <w:r>
        <w:t xml:space="preserve"> </w:t>
      </w:r>
      <w:r>
        <w:t xml:space="preserve">“</w:t>
      </w:r>
      <w:r>
        <w:t xml:space="preserve">be more resilient.</w:t>
      </w:r>
      <w:r>
        <w:t xml:space="preserve">”</w:t>
      </w:r>
    </w:p>
    <w:bookmarkEnd w:id="181"/>
    <w:bookmarkStart w:id="182" w:name="delegation"/>
    <w:p>
      <w:pPr>
        <w:pStyle w:val="Heading2"/>
      </w:pPr>
      <w:r>
        <w:rPr>
          <w:rStyle w:val="SectionNumber"/>
        </w:rPr>
        <w:t xml:space="preserve">15.9</w:t>
      </w:r>
      <w:r>
        <w:tab/>
      </w:r>
      <w:r>
        <w:t xml:space="preserve">Delegation</w:t>
      </w:r>
    </w:p>
    <w:p>
      <w:pPr>
        <w:pStyle w:val="FirstParagraph"/>
      </w:pPr>
      <w:r>
        <w:t xml:space="preserve">Delegation assigns both responsibility and the corresponding authority for a task to a subordinate, while the delegating manager retains ultimate accountability for ensuring the delegated task is appropriately assigned, adequately resourced, and properly reviewed — directly connecting back to the Delegation of Authority principle from Unit VI (Administrative Law), where delegation likewise cannot lawfully exceed the delegator’s own actual authority. Effective delegation in practice requires clearly communicated expectations, genuinely sufficient authority actually granted (not merely responsibility without matching authority — a common practical failure mode), adequate resources, and appropriate follow-up review.</w:t>
      </w:r>
    </w:p>
    <w:bookmarkEnd w:id="182"/>
    <w:bookmarkStart w:id="183" w:name="public-service-motivation"/>
    <w:p>
      <w:pPr>
        <w:pStyle w:val="Heading2"/>
      </w:pPr>
      <w:r>
        <w:rPr>
          <w:rStyle w:val="SectionNumber"/>
        </w:rPr>
        <w:t xml:space="preserve">15.10</w:t>
      </w:r>
      <w:r>
        <w:tab/>
      </w:r>
      <w:r>
        <w:t xml:space="preserve">Public Service Motivation</w:t>
      </w:r>
    </w:p>
    <w:p>
      <w:pPr>
        <w:pStyle w:val="FirstParagraph"/>
      </w:pPr>
      <w:r>
        <w:t xml:space="preserve">Public Service Motivation (PSM), already introduced in Unit II, refers to motives connected specifically with serving society and advancing the public interest — commitment to public interest broadly, compassion, a sense of civic duty, or genuine attraction to participating in public policy-making itself. The important caution repeated here: PSM should not be treated as a uniform assumption that</w:t>
      </w:r>
      <w:r>
        <w:t xml:space="preserve"> </w:t>
      </w:r>
      <w:r>
        <w:rPr>
          <w:iCs/>
          <w:i/>
        </w:rPr>
        <w:t xml:space="preserve">every</w:t>
      </w:r>
      <w:r>
        <w:t xml:space="preserve"> </w:t>
      </w:r>
      <w:r>
        <w:t xml:space="preserve">public employee is motivated identically or purely altruistically — individual motivation genuinely varies, and effective public leadership connects PSM with ethical leadership, meaningfully designed work, procedural fairness, and institutional trust, rather than simply assuming intrinsic motivation will substitute for good management.</w:t>
      </w:r>
    </w:p>
    <w:bookmarkEnd w:id="183"/>
    <w:bookmarkStart w:id="184" w:name="creativity-and-problem-solving"/>
    <w:p>
      <w:pPr>
        <w:pStyle w:val="Heading2"/>
      </w:pPr>
      <w:r>
        <w:rPr>
          <w:rStyle w:val="SectionNumber"/>
        </w:rPr>
        <w:t xml:space="preserve">15.11</w:t>
      </w:r>
      <w:r>
        <w:tab/>
      </w:r>
      <w:r>
        <w:t xml:space="preserve">Creativity and Problem Solving</w:t>
      </w:r>
    </w:p>
    <w:p>
      <w:pPr>
        <w:pStyle w:val="FirstParagraph"/>
      </w:pPr>
      <w:r>
        <w:t xml:space="preserve">A useful general problem-solving sequence: define the actual underlying problem (not merely its visible symptom), identify root causes, generate a genuinely wide range of alternative solutions, evaluate the likely consequences of each, choose and implement an approach, and systematically learn from the results actually achieved.</w:t>
      </w:r>
      <w:r>
        <w:t xml:space="preserve"> </w:t>
      </w:r>
      <w:r>
        <w:rPr>
          <w:bCs/>
          <w:b/>
        </w:rPr>
        <w:t xml:space="preserve">Creativity’s</w:t>
      </w:r>
      <w:r>
        <w:t xml:space="preserve"> </w:t>
      </w:r>
      <w:r>
        <w:t xml:space="preserve">specific role in this sequence is to widen the range of alternatives generated</w:t>
      </w:r>
      <w:r>
        <w:t xml:space="preserve"> </w:t>
      </w:r>
      <w:r>
        <w:rPr>
          <w:iCs/>
          <w:i/>
        </w:rPr>
        <w:t xml:space="preserve">before</w:t>
      </w:r>
      <w:r>
        <w:t xml:space="preserve"> </w:t>
      </w:r>
      <w:r>
        <w:t xml:space="preserve">judgment narrows the field down to a final choice — creativity and evaluative judgment are deliberately sequential, not simultaneous, functions in effective problem-solving.</w:t>
      </w:r>
    </w:p>
    <w:bookmarkEnd w:id="184"/>
    <w:bookmarkStart w:id="185" w:name="issues-of-public-management"/>
    <w:p>
      <w:pPr>
        <w:pStyle w:val="Heading2"/>
      </w:pPr>
      <w:r>
        <w:rPr>
          <w:rStyle w:val="SectionNumber"/>
        </w:rPr>
        <w:t xml:space="preserve">15.12</w:t>
      </w:r>
      <w:r>
        <w:tab/>
      </w:r>
      <w:r>
        <w:t xml:space="preserve">Issues of Public Management</w:t>
      </w:r>
    </w:p>
    <w:p>
      <w:pPr>
        <w:pStyle w:val="FirstParagraph"/>
      </w:pPr>
      <w:r>
        <w:t xml:space="preserve">Cross-cutting contemporary concerns include inter-agency coordination, administrative capacity constraints, digitalization of public services, rising citizen expectations, accountability demands, fiscal constraints, and the broader challenge of institutional reform (developed fully in Unit X). The recommended analytical discipline: carefully separate observed</w:t>
      </w:r>
      <w:r>
        <w:t xml:space="preserve"> </w:t>
      </w:r>
      <w:r>
        <w:rPr>
          <w:bCs/>
          <w:b/>
        </w:rPr>
        <w:t xml:space="preserve">symptoms</w:t>
      </w:r>
      <w:r>
        <w:t xml:space="preserve"> </w:t>
      </w:r>
      <w:r>
        <w:t xml:space="preserve">from underlying</w:t>
      </w:r>
      <w:r>
        <w:t xml:space="preserve"> </w:t>
      </w:r>
      <w:r>
        <w:rPr>
          <w:bCs/>
          <w:b/>
        </w:rPr>
        <w:t xml:space="preserve">causes</w:t>
      </w:r>
      <w:r>
        <w:t xml:space="preserve">, then explicitly connect the relevant institutional, financial, legal, capacity, or coordination cause to its specific effect and to a correspondingly targeted remedy — a vague list of</w:t>
      </w:r>
      <w:r>
        <w:t xml:space="preserve"> </w:t>
      </w:r>
      <w:r>
        <w:t xml:space="preserve">“</w:t>
      </w:r>
      <w:r>
        <w:t xml:space="preserve">problems facing public management</w:t>
      </w:r>
      <w:r>
        <w:t xml:space="preserve">”</w:t>
      </w:r>
      <w:r>
        <w:t xml:space="preserve"> </w:t>
      </w:r>
      <w:r>
        <w:t xml:space="preserve">without this causal connection rarely earns full marks.</w:t>
      </w:r>
    </w:p>
    <w:p>
      <w:pPr>
        <w:pStyle w:val="BodyText"/>
      </w:pPr>
      <w:r>
        <w:rPr>
          <w:bCs/>
          <w:b/>
        </w:rPr>
        <w:t xml:space="preserve">Key takeaways for Unit VII</w:t>
      </w:r>
    </w:p>
    <w:p>
      <w:pPr>
        <w:numPr>
          <w:ilvl w:val="0"/>
          <w:numId w:val="1080"/>
        </w:numPr>
        <w:pStyle w:val="Compact"/>
      </w:pPr>
      <w:r>
        <w:t xml:space="preserve">This unit rewards demonstrating what a manager would actually</w:t>
      </w:r>
      <w:r>
        <w:t xml:space="preserve"> </w:t>
      </w:r>
      <w:r>
        <w:rPr>
          <w:iCs/>
          <w:i/>
        </w:rPr>
        <w:t xml:space="preserve">do</w:t>
      </w:r>
      <w:r>
        <w:t xml:space="preserve"> </w:t>
      </w:r>
      <w:r>
        <w:t xml:space="preserve">in a described scenario, not reciting definitions in isolation — always close an answer with a concrete action a public manager would take.</w:t>
      </w:r>
    </w:p>
    <w:p>
      <w:pPr>
        <w:numPr>
          <w:ilvl w:val="0"/>
          <w:numId w:val="1080"/>
        </w:numPr>
        <w:pStyle w:val="Compact"/>
      </w:pPr>
      <w:r>
        <w:t xml:space="preserve">Several skills here explicitly connect back to earlier units: delegation connects to Unit VI’s delegation-of-authority principle; PSM connects to Unit II’s motivation theory; managing change connects to Lewin’s model from the Business Administration chapter.</w:t>
      </w:r>
    </w:p>
    <w:p>
      <w:pPr>
        <w:numPr>
          <w:ilvl w:val="0"/>
          <w:numId w:val="1080"/>
        </w:numPr>
        <w:pStyle w:val="Compact"/>
      </w:pPr>
      <w:r>
        <w:t xml:space="preserve">Administrative buffering and diversity management share a structure worth noting: both caution against an incomplete, one-sided application of the concept (buffering that becomes isolation from legitimate accountability; diversity treated as mere headcount representation without inclusive practice).</w:t>
      </w:r>
    </w:p>
    <w:p>
      <w:r>
        <w:pict>
          <v:rect style="width:0;height:1.5pt" o:hralign="center" o:hrstd="t" o:hr="t"/>
        </w:pict>
      </w:r>
    </w:p>
    <w:bookmarkEnd w:id="185"/>
    <w:bookmarkEnd w:id="186"/>
    <w:bookmarkStart w:id="195" w:name="viii.-the-civil-service-of-pakistan"/>
    <w:p>
      <w:pPr>
        <w:pStyle w:val="Heading1"/>
      </w:pPr>
      <w:r>
        <w:rPr>
          <w:rStyle w:val="SectionNumber"/>
        </w:rPr>
        <w:t xml:space="preserve">16</w:t>
      </w:r>
      <w:r>
        <w:tab/>
      </w:r>
      <w:r>
        <w:t xml:space="preserve">VIII. The Civil Service of Pakistan</w:t>
      </w:r>
    </w:p>
    <w:bookmarkStart w:id="187" w:name="what-this-unit-is-about-12"/>
    <w:p>
      <w:pPr>
        <w:pStyle w:val="Heading2"/>
      </w:pPr>
      <w:r>
        <w:rPr>
          <w:rStyle w:val="SectionNumber"/>
        </w:rPr>
        <w:t xml:space="preserve">16.1</w:t>
      </w:r>
      <w:r>
        <w:tab/>
      </w:r>
      <w:r>
        <w:t xml:space="preserve">What This Unit Is About</w:t>
      </w:r>
    </w:p>
    <w:p>
      <w:pPr>
        <w:pStyle w:val="FirstParagraph"/>
      </w:pPr>
      <w:r>
        <w:t xml:space="preserve">The civil service is the permanent, professional core of the state administration, providing continuity, specialized expertise, and administrative implementation capacity across changes in elected political leadership. This unit moves from historical background through structure, reform history, day-to-day management, institutional culture, and the service’s relationship to good governance and gender equity.</w:t>
      </w:r>
    </w:p>
    <w:bookmarkEnd w:id="187"/>
    <w:bookmarkStart w:id="188" w:name="historical-background"/>
    <w:p>
      <w:pPr>
        <w:pStyle w:val="Heading2"/>
      </w:pPr>
      <w:r>
        <w:rPr>
          <w:rStyle w:val="SectionNumber"/>
        </w:rPr>
        <w:t xml:space="preserve">16.2</w:t>
      </w:r>
      <w:r>
        <w:tab/>
      </w:r>
      <w:r>
        <w:t xml:space="preserve">Historical Background</w:t>
      </w:r>
    </w:p>
    <w:p>
      <w:pPr>
        <w:pStyle w:val="FirstParagraph"/>
      </w:pPr>
      <w:r>
        <w:t xml:space="preserve">Pakistan’s civil service traces directly to the colonial administrative inheritance discussed in Unit I, adapted after independence to operate within a new constitutional, political, and developmental context. The productive revision approach, as the syllabus itself notes, is to focus on</w:t>
      </w:r>
      <w:r>
        <w:t xml:space="preserve"> </w:t>
      </w:r>
      <w:r>
        <w:rPr>
          <w:bCs/>
          <w:b/>
        </w:rPr>
        <w:t xml:space="preserve">institutional continuity and change</w:t>
      </w:r>
      <w:r>
        <w:t xml:space="preserve"> </w:t>
      </w:r>
      <w:r>
        <w:t xml:space="preserve">as an analytical theme, rather than attempting to memorize every specific reform commission and its exact date.</w:t>
      </w:r>
    </w:p>
    <w:bookmarkEnd w:id="188"/>
    <w:bookmarkStart w:id="189" w:name="structure-of-the-civil-service"/>
    <w:p>
      <w:pPr>
        <w:pStyle w:val="Heading2"/>
      </w:pPr>
      <w:r>
        <w:rPr>
          <w:rStyle w:val="SectionNumber"/>
        </w:rPr>
        <w:t xml:space="preserve">16.3</w:t>
      </w:r>
      <w:r>
        <w:tab/>
      </w:r>
      <w:r>
        <w:t xml:space="preserve">Structure of the Civil Service</w:t>
      </w:r>
    </w:p>
    <w:p>
      <w:pPr>
        <w:pStyle w:val="FirstParagraph"/>
      </w:pPr>
      <w:r>
        <w:t xml:space="preserve">Public employment in Pakistan is organized through federal and provincial services and cadres, operating within ministries, divisions, and departments at the policy level and field organizations at the implementation level, all governed by applicable service laws and rules. A professional civil service, structured this way, provides three connected benefits:</w:t>
      </w:r>
      <w:r>
        <w:t xml:space="preserve"> </w:t>
      </w:r>
      <w:r>
        <w:rPr>
          <w:bCs/>
          <w:b/>
        </w:rPr>
        <w:t xml:space="preserve">continuity</w:t>
      </w:r>
      <w:r>
        <w:t xml:space="preserve"> </w:t>
      </w:r>
      <w:r>
        <w:t xml:space="preserve">across changes of elected government,</w:t>
      </w:r>
      <w:r>
        <w:t xml:space="preserve"> </w:t>
      </w:r>
      <w:r>
        <w:rPr>
          <w:bCs/>
          <w:b/>
        </w:rPr>
        <w:t xml:space="preserve">specialized technical knowledge</w:t>
      </w:r>
      <w:r>
        <w:t xml:space="preserve"> </w:t>
      </w:r>
      <w:r>
        <w:t xml:space="preserve">built through career-long experience within a cadre, and the</w:t>
      </w:r>
      <w:r>
        <w:t xml:space="preserve"> </w:t>
      </w:r>
      <w:r>
        <w:rPr>
          <w:bCs/>
          <w:b/>
        </w:rPr>
        <w:t xml:space="preserve">administrative capacity</w:t>
      </w:r>
      <w:r>
        <w:t xml:space="preserve"> </w:t>
      </w:r>
      <w:r>
        <w:t xml:space="preserve">actually needed to implement lawful decisions on the ground. Because exact current service structures can be revised by law, specific structural details should be verified against current official sources rather than assumed to be permanently fixed.</w:t>
      </w:r>
    </w:p>
    <w:bookmarkEnd w:id="189"/>
    <w:bookmarkStart w:id="190" w:name="history-of-civil-service-reform"/>
    <w:p>
      <w:pPr>
        <w:pStyle w:val="Heading2"/>
      </w:pPr>
      <w:r>
        <w:rPr>
          <w:rStyle w:val="SectionNumber"/>
        </w:rPr>
        <w:t xml:space="preserve">16.4</w:t>
      </w:r>
      <w:r>
        <w:tab/>
      </w:r>
      <w:r>
        <w:t xml:space="preserve">History of Civil Service Reform</w:t>
      </w:r>
    </w:p>
    <w:p>
      <w:pPr>
        <w:pStyle w:val="FirstParagraph"/>
      </w:pPr>
      <w:r>
        <w:t xml:space="preserve">Pakistan’s civil service has undergone repeated reform efforts, recurringly aimed at improving efficiency, strengthening accountability, deepening specialization, revising pay structures, improving training, strengthening performance management, and rebalancing federal-provincial administrative relationships (particularly significant after the 18th Constitutional Amendment). Any specific named reform or commission cited in an answer should be confirmed against its official report or an authoritative history before being relied upon, since reform initiatives are often discussed informally in ways that outrun what was actually formally implemented.</w:t>
      </w:r>
    </w:p>
    <w:bookmarkEnd w:id="190"/>
    <w:bookmarkStart w:id="191" w:name="management-of-the-civil-service"/>
    <w:p>
      <w:pPr>
        <w:pStyle w:val="Heading2"/>
      </w:pPr>
      <w:r>
        <w:rPr>
          <w:rStyle w:val="SectionNumber"/>
        </w:rPr>
        <w:t xml:space="preserve">16.5</w:t>
      </w:r>
      <w:r>
        <w:tab/>
      </w:r>
      <w:r>
        <w:t xml:space="preserve">Management of the Civil Service</w:t>
      </w:r>
    </w:p>
    <w:p>
      <w:pPr>
        <w:pStyle w:val="FirstParagraph"/>
      </w:pPr>
      <w:r>
        <w:t xml:space="preserve">Civil service management should be understood as an</w:t>
      </w:r>
      <w:r>
        <w:t xml:space="preserve"> </w:t>
      </w:r>
      <w:r>
        <w:rPr>
          <w:bCs/>
          <w:b/>
        </w:rPr>
        <w:t xml:space="preserve">integrated career system</w:t>
      </w:r>
      <w:r>
        <w:t xml:space="preserve"> </w:t>
      </w:r>
      <w:r>
        <w:t xml:space="preserve">covering recruitment, probation and initial training, postings, promotion, performance evaluation, discipline, compensation, retirement, and ongoing capacity development — the same core HR functions from Unit V, now viewed together as a single connected career pathway rather than as separate isolated processes. A well-functioning career system requires these stages to reinforce each other: a promotion process disconnected from actual performance evaluation, for example, undermines the incentive value of the performance evaluation stage entirely.</w:t>
      </w:r>
    </w:p>
    <w:bookmarkEnd w:id="191"/>
    <w:bookmarkStart w:id="192" w:name="institutional-and-cultural-context"/>
    <w:p>
      <w:pPr>
        <w:pStyle w:val="Heading2"/>
      </w:pPr>
      <w:r>
        <w:rPr>
          <w:rStyle w:val="SectionNumber"/>
        </w:rPr>
        <w:t xml:space="preserve">16.6</w:t>
      </w:r>
      <w:r>
        <w:tab/>
      </w:r>
      <w:r>
        <w:t xml:space="preserve">Institutional and Cultural Context</w:t>
      </w:r>
    </w:p>
    <w:p>
      <w:pPr>
        <w:pStyle w:val="FirstParagraph"/>
      </w:pPr>
      <w:r>
        <w:t xml:space="preserve">The civil service does not operate in a vacuum: its formal rules interact continuously with organizational culture (recall Administrative Culture from Unit II), the broader political institutional environment, the courts, the federal structure, evolving public expectations, and informal practices that may reinforce or undermine formal rules. A useful analytical habit for any specific institution or structure discussed in this unit: identify where it sits within the wider governmental system, what it is formally meant to do, and how it coordinates with the other institutions around it — verifying current legal specifics, since institutional mandates can be revised by subsequent law.</w:t>
      </w:r>
    </w:p>
    <w:bookmarkEnd w:id="192"/>
    <w:bookmarkStart w:id="193" w:name="X94c0506ddfe69516f723b164d10babe4342de77"/>
    <w:p>
      <w:pPr>
        <w:pStyle w:val="Heading2"/>
      </w:pPr>
      <w:r>
        <w:rPr>
          <w:rStyle w:val="SectionNumber"/>
        </w:rPr>
        <w:t xml:space="preserve">16.7</w:t>
      </w:r>
      <w:r>
        <w:tab/>
      </w:r>
      <w:r>
        <w:t xml:space="preserve">The Civil Service’s Role in Good Governance</w:t>
      </w:r>
    </w:p>
    <w:p>
      <w:pPr>
        <w:pStyle w:val="FirstParagraph"/>
      </w:pPr>
      <w:r>
        <w:rPr>
          <w:bCs/>
          <w:b/>
        </w:rPr>
        <w:t xml:space="preserve">Good governance</w:t>
      </w:r>
      <w:r>
        <w:t xml:space="preserve"> </w:t>
      </w:r>
      <w:r>
        <w:t xml:space="preserve">is best understood as a normative standard rather than a single fixed formula, commonly assessed along dimensions including participation, legality, transparency, responsiveness, fairness, effectiveness, accountability, and long-term orientation. A capable, impartial, and accountable civil service directly supports several of these dimensions — continuity, faithful policy implementation, consistent service delivery, and lawful administration — but genuine good governance additionally requires that this civil service remain</w:t>
      </w:r>
      <w:r>
        <w:t xml:space="preserve"> </w:t>
      </w:r>
      <w:r>
        <w:rPr>
          <w:bCs/>
          <w:b/>
        </w:rPr>
        <w:t xml:space="preserve">responsive</w:t>
      </w:r>
      <w:r>
        <w:t xml:space="preserve"> </w:t>
      </w:r>
      <w:r>
        <w:t xml:space="preserve">to both elected government direction and citizen needs, since a capable-but-unresponsive bureaucracy would satisfy some dimensions of good governance (effectiveness, legality) while failing others (responsiveness, participation).</w:t>
      </w:r>
    </w:p>
    <w:bookmarkEnd w:id="193"/>
    <w:bookmarkStart w:id="194" w:name="gender-and-the-civil-service"/>
    <w:p>
      <w:pPr>
        <w:pStyle w:val="Heading2"/>
      </w:pPr>
      <w:r>
        <w:rPr>
          <w:rStyle w:val="SectionNumber"/>
        </w:rPr>
        <w:t xml:space="preserve">16.8</w:t>
      </w:r>
      <w:r>
        <w:tab/>
      </w:r>
      <w:r>
        <w:t xml:space="preserve">Gender and the Civil Service</w:t>
      </w:r>
    </w:p>
    <w:p>
      <w:pPr>
        <w:pStyle w:val="FirstParagraph"/>
      </w:pPr>
      <w:r>
        <w:t xml:space="preserve">Relevant analytical themes include workforce representation of women, genuine equal opportunity in recruitment and advancement, workplace safety, fair career progression, posting practices that do not systematically disadvantage women officers, and deliberately inclusive organizational design. Any specific numerical claim about representation levels should be grounded in current official data rather than impression or assumption.</w:t>
      </w:r>
    </w:p>
    <w:p>
      <w:pPr>
        <w:pStyle w:val="BodyText"/>
      </w:pPr>
      <w:r>
        <w:rPr>
          <w:bCs/>
          <w:b/>
        </w:rPr>
        <w:t xml:space="preserve">Key takeaways for Unit VIII</w:t>
      </w:r>
    </w:p>
    <w:p>
      <w:pPr>
        <w:numPr>
          <w:ilvl w:val="0"/>
          <w:numId w:val="1081"/>
        </w:numPr>
        <w:pStyle w:val="Compact"/>
      </w:pPr>
      <w:r>
        <w:t xml:space="preserve">Civil service management functions (recruitment through retirement) should be understood as one connected career system, not isolated processes — weakness at any one stage (e.g., promotion disconnected from performance evaluation) undermines the whole system’s incentive logic.</w:t>
      </w:r>
    </w:p>
    <w:p>
      <w:pPr>
        <w:numPr>
          <w:ilvl w:val="0"/>
          <w:numId w:val="1081"/>
        </w:numPr>
        <w:pStyle w:val="Compact"/>
      </w:pPr>
      <w:r>
        <w:t xml:space="preserve">Good governance is multi-dimensional (participation, legality, transparency, responsiveness, fairness, effectiveness, accountability); a capable but unresponsive civil service satisfies only some of these dimensions, not all of them simultaneously.</w:t>
      </w:r>
    </w:p>
    <w:p>
      <w:r>
        <w:pict>
          <v:rect style="width:0;height:1.5pt" o:hralign="center" o:hrstd="t" o:hr="t"/>
        </w:pict>
      </w:r>
    </w:p>
    <w:bookmarkEnd w:id="194"/>
    <w:bookmarkEnd w:id="195"/>
    <w:bookmarkStart w:id="204" w:name="Xb1947b39f43cbf44ffcfbce6cd29589c93a19f0"/>
    <w:p>
      <w:pPr>
        <w:pStyle w:val="Heading1"/>
      </w:pPr>
      <w:r>
        <w:rPr>
          <w:rStyle w:val="SectionNumber"/>
        </w:rPr>
        <w:t xml:space="preserve">17</w:t>
      </w:r>
      <w:r>
        <w:tab/>
      </w:r>
      <w:r>
        <w:t xml:space="preserve">IX. Organization of Provincial and Local Government</w:t>
      </w:r>
    </w:p>
    <w:bookmarkStart w:id="196" w:name="what-this-unit-is-about-13"/>
    <w:p>
      <w:pPr>
        <w:pStyle w:val="Heading2"/>
      </w:pPr>
      <w:r>
        <w:rPr>
          <w:rStyle w:val="SectionNumber"/>
        </w:rPr>
        <w:t xml:space="preserve">17.1</w:t>
      </w:r>
      <w:r>
        <w:tab/>
      </w:r>
      <w:r>
        <w:t xml:space="preserve">What This Unit Is About</w:t>
      </w:r>
    </w:p>
    <w:p>
      <w:pPr>
        <w:pStyle w:val="FirstParagraph"/>
      </w:pPr>
      <w:r>
        <w:t xml:space="preserve">Pakistan’s federal constitutional structure assigns provinces major administrative responsibilities, while local governments operate under legal frameworks that provincial legislatures themselves create. This unit traces the organizational chain from the constitutional level down through the province, its secretariat and departments, attached agencies and field administration, to local government — the recommended approach for any specific question in this unit.</w:t>
      </w:r>
    </w:p>
    <w:bookmarkEnd w:id="196"/>
    <w:bookmarkStart w:id="197" w:name="Xdb5e0657826beffecca7396def29c4da77982e9"/>
    <w:p>
      <w:pPr>
        <w:pStyle w:val="Heading2"/>
      </w:pPr>
      <w:r>
        <w:rPr>
          <w:rStyle w:val="SectionNumber"/>
        </w:rPr>
        <w:t xml:space="preserve">17.2</w:t>
      </w:r>
      <w:r>
        <w:tab/>
      </w:r>
      <w:r>
        <w:t xml:space="preserve">Governance Structure of Provincial Administration</w:t>
      </w:r>
    </w:p>
    <w:p>
      <w:pPr>
        <w:pStyle w:val="FirstParagraph"/>
      </w:pPr>
      <w:r>
        <w:t xml:space="preserve">Provincial governance combines elected political leadership (the Chief Minister and provincial cabinet) with the professional provincial civil administration — departments, attached bodies, and field formations — that implements political direction. The secretariat provides policy coordination between these two: political direction flows down into secretariat-coordinated policy and rules, which departments and field administration then execute.</w:t>
      </w:r>
    </w:p>
    <w:bookmarkEnd w:id="197"/>
    <w:bookmarkStart w:id="198" w:name="X8421c6a109603add5860ca40cde20e33a595e18"/>
    <w:p>
      <w:pPr>
        <w:pStyle w:val="Heading2"/>
      </w:pPr>
      <w:r>
        <w:rPr>
          <w:rStyle w:val="SectionNumber"/>
        </w:rPr>
        <w:t xml:space="preserve">17.3</w:t>
      </w:r>
      <w:r>
        <w:tab/>
      </w:r>
      <w:r>
        <w:t xml:space="preserve">Organization of the Provincial Secretariat</w:t>
      </w:r>
    </w:p>
    <w:p>
      <w:pPr>
        <w:pStyle w:val="FirstParagraph"/>
      </w:pPr>
      <w:r>
        <w:t xml:space="preserve">A secretariat supports ministers and the provincial cabinet through policy advice, formal rules of business (allocating specific subjects to specific departments), interdepartmental coordination, and oversight of subordinate agencies. The critical distinction, frequently tested: the secretariat is primarily concerned with</w:t>
      </w:r>
      <w:r>
        <w:t xml:space="preserve"> </w:t>
      </w:r>
      <w:r>
        <w:rPr>
          <w:bCs/>
          <w:b/>
        </w:rPr>
        <w:t xml:space="preserve">policy, coordination, and oversight</w:t>
      </w:r>
      <w:r>
        <w:t xml:space="preserve">; operational</w:t>
      </w:r>
      <w:r>
        <w:t xml:space="preserve"> </w:t>
      </w:r>
      <w:r>
        <w:rPr>
          <w:bCs/>
          <w:b/>
        </w:rPr>
        <w:t xml:space="preserve">field agencies</w:t>
      </w:r>
      <w:r>
        <w:t xml:space="preserve"> </w:t>
      </w:r>
      <w:r>
        <w:t xml:space="preserve">are more directly and immediately involved in actual implementation and citizen-facing service delivery — a policy decision made at the secretariat level is not itself service delivery, but rather the direction that field agencies then execute.</w:t>
      </w:r>
    </w:p>
    <w:bookmarkEnd w:id="198"/>
    <w:bookmarkStart w:id="199" w:name="provincial-authorities-and-agencies"/>
    <w:p>
      <w:pPr>
        <w:pStyle w:val="Heading2"/>
      </w:pPr>
      <w:r>
        <w:rPr>
          <w:rStyle w:val="SectionNumber"/>
        </w:rPr>
        <w:t xml:space="preserve">17.4</w:t>
      </w:r>
      <w:r>
        <w:tab/>
      </w:r>
      <w:r>
        <w:t xml:space="preserve">Provincial Authorities and Agencies</w:t>
      </w:r>
    </w:p>
    <w:p>
      <w:pPr>
        <w:pStyle w:val="FirstParagraph"/>
      </w:pPr>
      <w:r>
        <w:t xml:space="preserve">Authorities and autonomous or semi-autonomous bodies are created for specialized functions requiring a degree of operational independence from the standard departmental hierarchy (a development authority, a regulatory authority). Their precise relationship with the parent department depends on the specific legal framework establishing them, the composition of their governing board, their funding source, and their formal reporting and oversight arrangements — meaning</w:t>
      </w:r>
      <w:r>
        <w:t xml:space="preserve"> </w:t>
      </w:r>
      <w:r>
        <w:t xml:space="preserve">“</w:t>
      </w:r>
      <w:r>
        <w:t xml:space="preserve">autonomous</w:t>
      </w:r>
      <w:r>
        <w:t xml:space="preserve">”</w:t>
      </w:r>
      <w:r>
        <w:t xml:space="preserve"> </w:t>
      </w:r>
      <w:r>
        <w:t xml:space="preserve">bodies vary considerably in how much genuine independence they actually exercise in practice, depending on these specific legal details.</w:t>
      </w:r>
    </w:p>
    <w:bookmarkEnd w:id="199"/>
    <w:bookmarkStart w:id="200" w:name="post-devolution-local-governance"/>
    <w:p>
      <w:pPr>
        <w:pStyle w:val="Heading2"/>
      </w:pPr>
      <w:r>
        <w:rPr>
          <w:rStyle w:val="SectionNumber"/>
        </w:rPr>
        <w:t xml:space="preserve">17.5</w:t>
      </w:r>
      <w:r>
        <w:tab/>
      </w:r>
      <w:r>
        <w:t xml:space="preserve">Post-Devolution Local Governance</w:t>
      </w:r>
    </w:p>
    <w:p>
      <w:pPr>
        <w:pStyle w:val="FirstParagraph"/>
      </w:pPr>
      <w:r>
        <w:t xml:space="preserve">Devolution seeks to move governmental authority and service responsibility closer to citizens. The syllabus specifically asks that this be analysed along its</w:t>
      </w:r>
      <w:r>
        <w:t xml:space="preserve"> </w:t>
      </w:r>
      <w:r>
        <w:rPr>
          <w:bCs/>
          <w:b/>
        </w:rPr>
        <w:t xml:space="preserve">political, administrative, and fiscal dimensions together</w:t>
      </w:r>
      <w:r>
        <w:t xml:space="preserve"> </w:t>
      </w:r>
      <w:r>
        <w:t xml:space="preserve">— not simply treated as the creation of local offices. Genuine devolution requires elected local political leadership (political dimension), real administrative authority over local decisions and staff (administrative dimension), and adequate, predictable financial resources (fiscal dimension) — and, echoing the caution already made in Unit II,</w:t>
      </w:r>
      <w:r>
        <w:t xml:space="preserve"> </w:t>
      </w:r>
      <w:r>
        <w:rPr>
          <w:bCs/>
          <w:b/>
        </w:rPr>
        <w:t xml:space="preserve">administrative decentralization without matching fiscal decentralization</w:t>
      </w:r>
      <w:r>
        <w:t xml:space="preserve"> </w:t>
      </w:r>
      <w:r>
        <w:t xml:space="preserve">transfers formal responsibility without the real financial ability to actually deliver on it, which is precisely the recurring practical weakness of much of Pakistan’s local government history.</w:t>
      </w:r>
    </w:p>
    <w:bookmarkEnd w:id="200"/>
    <w:bookmarkStart w:id="201" w:name="district-government-and-administration"/>
    <w:p>
      <w:pPr>
        <w:pStyle w:val="Heading2"/>
      </w:pPr>
      <w:r>
        <w:rPr>
          <w:rStyle w:val="SectionNumber"/>
        </w:rPr>
        <w:t xml:space="preserve">17.6</w:t>
      </w:r>
      <w:r>
        <w:tab/>
      </w:r>
      <w:r>
        <w:t xml:space="preserve">District Government and Administration</w:t>
      </w:r>
    </w:p>
    <w:p>
      <w:pPr>
        <w:pStyle w:val="FirstParagraph"/>
      </w:pPr>
      <w:r>
        <w:t xml:space="preserve">District administration coordinates field-level public functions, law-and-order-related responsibilities where legally assigned to it, revenue and general administrative tasks, and interdepartmental coordination at the district level. Exact structures and mandates differ across provinces and across different legal periods (local government law has been repeatedly revised in Pakistan), so specific structural claims should be checked against the currently applicable provincial local government act.</w:t>
      </w:r>
    </w:p>
    <w:bookmarkEnd w:id="201"/>
    <w:bookmarkStart w:id="202" w:name="X22ccc316ca070296d7e6ef5e4a80b6b063a9b21"/>
    <w:p>
      <w:pPr>
        <w:pStyle w:val="Heading2"/>
      </w:pPr>
      <w:r>
        <w:rPr>
          <w:rStyle w:val="SectionNumber"/>
        </w:rPr>
        <w:t xml:space="preserve">17.7</w:t>
      </w:r>
      <w:r>
        <w:tab/>
      </w:r>
      <w:r>
        <w:t xml:space="preserve">City District Government / Metropolitan Governance</w:t>
      </w:r>
    </w:p>
    <w:p>
      <w:pPr>
        <w:pStyle w:val="FirstParagraph"/>
      </w:pPr>
      <w:r>
        <w:t xml:space="preserve">Metropolitan or city-district governance addresses the specific challenges of managing dense urban areas — municipal services, urban planning, transport, and coordination across overlapping jurisdictions that a purely rural district administrative model does not need to handle in the same way. As with district government generally, present-day structures should be drawn from the currently applicable provincial law rather than an earlier, potentially superseded framework.</w:t>
      </w:r>
    </w:p>
    <w:bookmarkEnd w:id="202"/>
    <w:bookmarkStart w:id="203" w:name="X4db2a992016bad6c3684ebf1bd85086576f9b9f"/>
    <w:p>
      <w:pPr>
        <w:pStyle w:val="Heading2"/>
      </w:pPr>
      <w:r>
        <w:rPr>
          <w:rStyle w:val="SectionNumber"/>
        </w:rPr>
        <w:t xml:space="preserve">17.8</w:t>
      </w:r>
      <w:r>
        <w:tab/>
      </w:r>
      <w:r>
        <w:t xml:space="preserve">Issues and Challenges of Local Governance</w:t>
      </w:r>
    </w:p>
    <w:p>
      <w:pPr>
        <w:pStyle w:val="FirstParagraph"/>
      </w:pPr>
      <w:r>
        <w:t xml:space="preserve">Recurring analytical themes include unclear functional assignments between levels of government, heavy fiscal dependence of local governments on provincial transfers, weak local administrative capacity, overlapping jurisdictions between local and provincial agencies, political discontinuity (local government terms and even the existence of elected local government have been inconsistent over Pakistan’s history), accountability gaps, and coordination difficulties with provincial-level agencies. Claims about the severity of any specific challenge should be supported with province-specific evidence rather than general assertion, given how much local government arrangements genuinely vary by province.</w:t>
      </w:r>
    </w:p>
    <w:p>
      <w:pPr>
        <w:pStyle w:val="BodyText"/>
      </w:pPr>
      <w:r>
        <w:rPr>
          <w:bCs/>
          <w:b/>
        </w:rPr>
        <w:t xml:space="preserve">Key takeaways for Unit IX</w:t>
      </w:r>
    </w:p>
    <w:p>
      <w:pPr>
        <w:numPr>
          <w:ilvl w:val="0"/>
          <w:numId w:val="1082"/>
        </w:numPr>
        <w:pStyle w:val="Compact"/>
      </w:pPr>
      <w:r>
        <w:t xml:space="preserve">The organizational chain — constitution → province → secretariat/department → attached agency/field administration → local government — structures every topic in this unit; locate any specific institution within this chain.</w:t>
      </w:r>
    </w:p>
    <w:p>
      <w:pPr>
        <w:numPr>
          <w:ilvl w:val="0"/>
          <w:numId w:val="1082"/>
        </w:numPr>
        <w:pStyle w:val="Compact"/>
      </w:pPr>
      <w:r>
        <w:t xml:space="preserve">Genuine devolution requires political, administrative,</w:t>
      </w:r>
      <w:r>
        <w:t xml:space="preserve"> </w:t>
      </w:r>
      <w:r>
        <w:rPr>
          <w:iCs/>
          <w:i/>
        </w:rPr>
        <w:t xml:space="preserve">and</w:t>
      </w:r>
      <w:r>
        <w:t xml:space="preserve"> </w:t>
      </w:r>
      <w:r>
        <w:t xml:space="preserve">fiscal dimensions together; administrative decentralization without fiscal decentralization is a recurring, specifically named weakness in Pakistan’s actual local government experience.</w:t>
      </w:r>
    </w:p>
    <w:p>
      <w:pPr>
        <w:numPr>
          <w:ilvl w:val="0"/>
          <w:numId w:val="1082"/>
        </w:numPr>
        <w:pStyle w:val="Compact"/>
      </w:pPr>
      <w:r>
        <w:t xml:space="preserve">Secretariat (policy/coordination) and field agency (implementation/delivery) are distinct roles within the same provincial administrative system — a frequently tested distinction.</w:t>
      </w:r>
    </w:p>
    <w:p>
      <w:r>
        <w:pict>
          <v:rect style="width:0;height:1.5pt" o:hralign="center" o:hrstd="t" o:hr="t"/>
        </w:pict>
      </w:r>
    </w:p>
    <w:bookmarkEnd w:id="203"/>
    <w:bookmarkEnd w:id="204"/>
    <w:bookmarkStart w:id="214" w:name="x.-governance-and-administrative-reforms"/>
    <w:p>
      <w:pPr>
        <w:pStyle w:val="Heading1"/>
      </w:pPr>
      <w:r>
        <w:rPr>
          <w:rStyle w:val="SectionNumber"/>
        </w:rPr>
        <w:t xml:space="preserve">18</w:t>
      </w:r>
      <w:r>
        <w:tab/>
      </w:r>
      <w:r>
        <w:t xml:space="preserve">X. Governance and Administrative Reforms</w:t>
      </w:r>
    </w:p>
    <w:bookmarkStart w:id="205" w:name="what-this-unit-is-about-14"/>
    <w:p>
      <w:pPr>
        <w:pStyle w:val="Heading2"/>
      </w:pPr>
      <w:r>
        <w:rPr>
          <w:rStyle w:val="SectionNumber"/>
        </w:rPr>
        <w:t xml:space="preserve">18.1</w:t>
      </w:r>
      <w:r>
        <w:tab/>
      </w:r>
      <w:r>
        <w:t xml:space="preserve">What This Unit Is About</w:t>
      </w:r>
    </w:p>
    <w:p>
      <w:pPr>
        <w:pStyle w:val="FirstParagraph"/>
      </w:pPr>
      <w:r>
        <w:t xml:space="preserve">Administrative reform changes government structures, rules, incentives, or processes with the goal of improving public performance and accountability. For every specific reform tool covered below, the recommended analytical structure is:</w:t>
      </w:r>
      <w:r>
        <w:t xml:space="preserve"> </w:t>
      </w:r>
      <w:r>
        <w:rPr>
          <w:bCs/>
          <w:b/>
        </w:rPr>
        <w:t xml:space="preserve">definition → why government uses it → a genuine potential benefit → a genuine potential risk → a verified Pakistan application, where available</w:t>
      </w:r>
      <w:r>
        <w:t xml:space="preserve"> </w:t>
      </w:r>
      <w:r>
        <w:t xml:space="preserve">— this consistent structure is what produces genuinely analytical rather than merely descriptive answers.</w:t>
      </w:r>
    </w:p>
    <w:bookmarkEnd w:id="205"/>
    <w:bookmarkStart w:id="206" w:name="X84805969928ddadcafdaf128dd2c30c027b9faa"/>
    <w:p>
      <w:pPr>
        <w:pStyle w:val="Heading2"/>
      </w:pPr>
      <w:r>
        <w:rPr>
          <w:rStyle w:val="SectionNumber"/>
        </w:rPr>
        <w:t xml:space="preserve">18.2</w:t>
      </w:r>
      <w:r>
        <w:tab/>
      </w:r>
      <w:r>
        <w:t xml:space="preserve">Theories and Types of Administrative Reform</w:t>
      </w:r>
    </w:p>
    <w:p>
      <w:pPr>
        <w:pStyle w:val="FirstParagraph"/>
      </w:pPr>
      <w:r>
        <w:t xml:space="preserve">Reform can be structural (reorganizing agencies), procedural (changing processes), personnel-related (civil service reform, covered in Unit VIII), fiscal (budget system reform, covered in Unit IV), regulatory, or digital. Theoretical explanations for</w:t>
      </w:r>
      <w:r>
        <w:t xml:space="preserve"> </w:t>
      </w:r>
      <w:r>
        <w:rPr>
          <w:iCs/>
          <w:i/>
        </w:rPr>
        <w:t xml:space="preserve">why</w:t>
      </w:r>
      <w:r>
        <w:t xml:space="preserve"> </w:t>
      </w:r>
      <w:r>
        <w:t xml:space="preserve">reform happens point to several distinct drivers: efficiency pressures, political incentives (elected leaders seeking visible improvement), institutional</w:t>
      </w:r>
      <w:r>
        <w:t xml:space="preserve"> </w:t>
      </w:r>
      <w:r>
        <w:rPr>
          <w:bCs/>
          <w:b/>
        </w:rPr>
        <w:t xml:space="preserve">path dependence</w:t>
      </w:r>
      <w:r>
        <w:t xml:space="preserve"> </w:t>
      </w:r>
      <w:r>
        <w:t xml:space="preserve">(existing institutional arrangements constraining which reforms are even feasible), globalization (international pressure and comparison), and direct public demand. As with organizational change generally (recall Managing Change in Unit VII and the Business Administration chapter), successful reform normally needs a clear stated reason, genuine stakeholder involvement, sustained communication, adequate resources, deliberate capability building, and consistent follow-up — reform announced without these supporting elements frequently stalls at the implementation stage, echoing the implementation-gap analysis from Unit III.</w:t>
      </w:r>
    </w:p>
    <w:bookmarkEnd w:id="206"/>
    <w:bookmarkStart w:id="207" w:name="privatization"/>
    <w:p>
      <w:pPr>
        <w:pStyle w:val="Heading2"/>
      </w:pPr>
      <w:r>
        <w:rPr>
          <w:rStyle w:val="SectionNumber"/>
        </w:rPr>
        <w:t xml:space="preserve">18.3</w:t>
      </w:r>
      <w:r>
        <w:tab/>
      </w:r>
      <w:r>
        <w:t xml:space="preserve">Privatization</w:t>
      </w:r>
    </w:p>
    <w:p>
      <w:pPr>
        <w:pStyle w:val="FirstParagraph"/>
      </w:pPr>
      <w:r>
        <w:t xml:space="preserve">Privatization transfers ownership or operation of an economic activity from government toward private actors, in varying degrees — ranging from complete sale of ownership, through contracting-out of specific service delivery, to concessions granting a private operator time-limited rights. A balanced evaluation weighs efficiency and fiscal arguments in favour (private operators may have stronger performance incentives, and privatization can relieve government of ongoing subsidy costs) against genuine concerns about competition (privatizing a natural monopoly without adequate regulation may simply replace public monopoly with unregulated private monopoly), regulatory capacity, service quality, equity (private providers may have less incentive to serve less profitable customers or regions), labour effects, and broader strategic public interests.</w:t>
      </w:r>
    </w:p>
    <w:bookmarkEnd w:id="207"/>
    <w:bookmarkStart w:id="208" w:name="regulation-and-deregulation"/>
    <w:p>
      <w:pPr>
        <w:pStyle w:val="Heading2"/>
      </w:pPr>
      <w:r>
        <w:rPr>
          <w:rStyle w:val="SectionNumber"/>
        </w:rPr>
        <w:t xml:space="preserve">18.4</w:t>
      </w:r>
      <w:r>
        <w:tab/>
      </w:r>
      <w:r>
        <w:t xml:space="preserve">Regulation and Deregulation</w:t>
      </w:r>
    </w:p>
    <w:p>
      <w:pPr>
        <w:pStyle w:val="FirstParagraph"/>
      </w:pPr>
      <w:r>
        <w:rPr>
          <w:bCs/>
          <w:b/>
        </w:rPr>
        <w:t xml:space="preserve">Regulation</w:t>
      </w:r>
      <w:r>
        <w:t xml:space="preserve"> </w:t>
      </w:r>
      <w:r>
        <w:t xml:space="preserve">uses legal rules and government oversight to influence behaviour specifically where markets or private activity affect broader public welfare — correcting market failures or managing genuine public risks. Good regulation requires a clearly stated objective, proportional (not excessive) rules, genuinely capable enforcement, and periodic review, alongside safeguards against</w:t>
      </w:r>
      <w:r>
        <w:t xml:space="preserve"> </w:t>
      </w:r>
      <w:r>
        <w:rPr>
          <w:bCs/>
          <w:b/>
        </w:rPr>
        <w:t xml:space="preserve">regulatory capture</w:t>
      </w:r>
      <w:r>
        <w:t xml:space="preserve"> </w:t>
      </w:r>
      <w:r>
        <w:t xml:space="preserve">(where the regulated industry comes to unduly influence its own regulator).</w:t>
      </w:r>
      <w:r>
        <w:t xml:space="preserve"> </w:t>
      </w:r>
      <w:r>
        <w:rPr>
          <w:bCs/>
          <w:b/>
        </w:rPr>
        <w:t xml:space="preserve">Deregulation</w:t>
      </w:r>
      <w:r>
        <w:t xml:space="preserve"> </w:t>
      </w:r>
      <w:r>
        <w:t xml:space="preserve">removes or simplifies rules judged unnecessary or excessively costly relative to their actual benefit — a frequently tested caution is that deregulation should not be confused with the complete absence of oversight; the genuine analytical question is always whether the</w:t>
      </w:r>
      <w:r>
        <w:t xml:space="preserve"> </w:t>
      </w:r>
      <w:r>
        <w:rPr>
          <w:iCs/>
          <w:i/>
        </w:rPr>
        <w:t xml:space="preserve">remaining</w:t>
      </w:r>
      <w:r>
        <w:t xml:space="preserve"> </w:t>
      </w:r>
      <w:r>
        <w:t xml:space="preserve">regulatory framework manages real risks proportionately, not whether all regulation has been eliminated.</w:t>
      </w:r>
    </w:p>
    <w:bookmarkEnd w:id="208"/>
    <w:bookmarkStart w:id="209" w:name="decentralization"/>
    <w:p>
      <w:pPr>
        <w:pStyle w:val="Heading2"/>
      </w:pPr>
      <w:r>
        <w:rPr>
          <w:rStyle w:val="SectionNumber"/>
        </w:rPr>
        <w:t xml:space="preserve">18.5</w:t>
      </w:r>
      <w:r>
        <w:tab/>
      </w:r>
      <w:r>
        <w:t xml:space="preserve">Decentralization</w:t>
      </w:r>
    </w:p>
    <w:p>
      <w:pPr>
        <w:pStyle w:val="FirstParagraph"/>
      </w:pPr>
      <w:r>
        <w:t xml:space="preserve">Decentralization transfers authority, responsibility, or resources downward or outward from central government, and the syllabus asks for three distinct forms to be clearly separated:</w:t>
      </w:r>
    </w:p>
    <w:p>
      <w:pPr>
        <w:numPr>
          <w:ilvl w:val="0"/>
          <w:numId w:val="1083"/>
        </w:numPr>
        <w:pStyle w:val="Compact"/>
      </w:pPr>
      <w:r>
        <w:rPr>
          <w:bCs/>
          <w:b/>
        </w:rPr>
        <w:t xml:space="preserve">Deconcentration</w:t>
      </w:r>
      <w:r>
        <w:t xml:space="preserve"> </w:t>
      </w:r>
      <w:r>
        <w:t xml:space="preserve">redistributes work within the</w:t>
      </w:r>
      <w:r>
        <w:t xml:space="preserve"> </w:t>
      </w:r>
      <w:r>
        <w:rPr>
          <w:iCs/>
          <w:i/>
        </w:rPr>
        <w:t xml:space="preserve">same</w:t>
      </w:r>
      <w:r>
        <w:t xml:space="preserve"> </w:t>
      </w:r>
      <w:r>
        <w:t xml:space="preserve">administrative hierarchy (a central ministry opening regional offices that remain fully under its own central control) — the weakest form of decentralization, since ultimate authority remains centralized.</w:t>
      </w:r>
    </w:p>
    <w:p>
      <w:pPr>
        <w:numPr>
          <w:ilvl w:val="0"/>
          <w:numId w:val="1083"/>
        </w:numPr>
        <w:pStyle w:val="Compact"/>
      </w:pPr>
      <w:r>
        <w:rPr>
          <w:bCs/>
          <w:b/>
        </w:rPr>
        <w:t xml:space="preserve">Delegation</w:t>
      </w:r>
      <w:r>
        <w:t xml:space="preserve"> </w:t>
      </w:r>
      <w:r>
        <w:t xml:space="preserve">assigns specified functions to semi-autonomous bodies or lower entities, which exercise them under the delegating authority’s continued oversight (recalling the delegation-of-authority principle from Unit VI: a delegate cannot exercise more authority than was actually granted).</w:t>
      </w:r>
    </w:p>
    <w:p>
      <w:pPr>
        <w:numPr>
          <w:ilvl w:val="0"/>
          <w:numId w:val="1083"/>
        </w:numPr>
        <w:pStyle w:val="Compact"/>
      </w:pPr>
      <w:r>
        <w:rPr>
          <w:bCs/>
          <w:b/>
        </w:rPr>
        <w:t xml:space="preserve">Devolution</w:t>
      </w:r>
      <w:r>
        <w:t xml:space="preserve"> </w:t>
      </w:r>
      <w:r>
        <w:t xml:space="preserve">transfers genuinely meaningful political, administrative, and typically fiscal authority to</w:t>
      </w:r>
      <w:r>
        <w:t xml:space="preserve"> </w:t>
      </w:r>
      <w:r>
        <w:rPr>
          <w:iCs/>
          <w:i/>
        </w:rPr>
        <w:t xml:space="preserve">elected</w:t>
      </w:r>
      <w:r>
        <w:t xml:space="preserve"> </w:t>
      </w:r>
      <w:r>
        <w:t xml:space="preserve">subnational governments — the strongest and most complete form, and the one intended (per Unit IX) by Pakistan’s post-18th-Amendment local government reforms, however incompletely realized in practice.</w:t>
      </w:r>
    </w:p>
    <w:p>
      <w:pPr>
        <w:pStyle w:val="FirstParagraph"/>
      </w:pPr>
      <w:r>
        <w:rPr>
          <w:bCs/>
          <w:b/>
        </w:rPr>
        <w:t xml:space="preserve">Worked illustration</w:t>
      </w:r>
      <w:r>
        <w:t xml:space="preserve"> </w:t>
      </w:r>
      <w:r>
        <w:t xml:space="preserve">distinguishing the three: a central ministry retaining national standards while genuinely transferring both responsibility and adequate funding for neighbourhood services to elected local governments is devolution; the same ministry merely opening a local branch office that still reports fully up its own central hierarchy is deconcentration, not devolution — a distinction frequently blurred in casual usage but precisely tested here.</w:t>
      </w:r>
    </w:p>
    <w:bookmarkEnd w:id="209"/>
    <w:bookmarkStart w:id="210" w:name="partnerships-and-collaboration"/>
    <w:p>
      <w:pPr>
        <w:pStyle w:val="Heading2"/>
      </w:pPr>
      <w:r>
        <w:rPr>
          <w:rStyle w:val="SectionNumber"/>
        </w:rPr>
        <w:t xml:space="preserve">18.6</w:t>
      </w:r>
      <w:r>
        <w:tab/>
      </w:r>
      <w:r>
        <w:t xml:space="preserve">Partnerships and Collaboration</w:t>
      </w:r>
    </w:p>
    <w:p>
      <w:pPr>
        <w:pStyle w:val="FirstParagraph"/>
      </w:pPr>
      <w:r>
        <w:t xml:space="preserve">Governments increasingly work with private firms, nonprofit organizations, communities, or other governments to pool authority, information, funding, or expertise across organizational boundaries. Such collaboration works best when roles, decision rights, risk allocation, data-sharing arrangements, and accountability are all</w:t>
      </w:r>
      <w:r>
        <w:t xml:space="preserve"> </w:t>
      </w:r>
      <w:r>
        <w:rPr>
          <w:bCs/>
          <w:b/>
        </w:rPr>
        <w:t xml:space="preserve">explicitly agreed in advance</w:t>
      </w:r>
      <w:r>
        <w:t xml:space="preserve"> </w:t>
      </w:r>
      <w:r>
        <w:t xml:space="preserve">— vague or informal collaborative arrangements tend to produce exactly the coordination failures and traceability-of-responsibility problems already flagged under Network Governance in Unit II.</w:t>
      </w:r>
    </w:p>
    <w:bookmarkEnd w:id="210"/>
    <w:bookmarkStart w:id="211" w:name="X4c686e46237da0650ae491eb1578b9c40b25f1e"/>
    <w:p>
      <w:pPr>
        <w:pStyle w:val="Heading2"/>
      </w:pPr>
      <w:r>
        <w:rPr>
          <w:rStyle w:val="SectionNumber"/>
        </w:rPr>
        <w:t xml:space="preserve">18.7</w:t>
      </w:r>
      <w:r>
        <w:tab/>
      </w:r>
      <w:r>
        <w:t xml:space="preserve">Business Process Re-engineering (in Government)</w:t>
      </w:r>
    </w:p>
    <w:p>
      <w:pPr>
        <w:pStyle w:val="FirstParagraph"/>
      </w:pPr>
      <w:r>
        <w:t xml:space="preserve">Applying the general business process re-engineering concept from the Business Administration chapter to government specifically: re-engineering asks whether a public process should be fundamentally redesigned around the desired result, rather than merely improved incrementally while preserving inefficient historical steps — but in government, this redesign must additionally respect legal constraints and public accountability requirements that a private-sector re-engineering exercise would not face in the same form, meaning public-sector process redesign has somewhat less latitude for radical restructuring than the private-sector version.</w:t>
      </w:r>
    </w:p>
    <w:bookmarkEnd w:id="211"/>
    <w:bookmarkStart w:id="212" w:name="quality-assurance"/>
    <w:p>
      <w:pPr>
        <w:pStyle w:val="Heading2"/>
      </w:pPr>
      <w:r>
        <w:rPr>
          <w:rStyle w:val="SectionNumber"/>
        </w:rPr>
        <w:t xml:space="preserve">18.8</w:t>
      </w:r>
      <w:r>
        <w:tab/>
      </w:r>
      <w:r>
        <w:t xml:space="preserve">Quality Assurance</w:t>
      </w:r>
    </w:p>
    <w:p>
      <w:pPr>
        <w:pStyle w:val="FirstParagraph"/>
      </w:pPr>
      <w:r>
        <w:t xml:space="preserve">Quality assurance builds standards, ongoing monitoring, and continuous improvement mechanisms directly into public services and processes. A useful distinction:</w:t>
      </w:r>
      <w:r>
        <w:t xml:space="preserve"> </w:t>
      </w:r>
      <w:r>
        <w:rPr>
          <w:bCs/>
          <w:b/>
        </w:rPr>
        <w:t xml:space="preserve">quality assurance</w:t>
      </w:r>
      <w:r>
        <w:t xml:space="preserve"> </w:t>
      </w:r>
      <w:r>
        <w:t xml:space="preserve">sets standards and builds processes specifically to</w:t>
      </w:r>
      <w:r>
        <w:t xml:space="preserve"> </w:t>
      </w:r>
      <w:r>
        <w:rPr>
          <w:iCs/>
          <w:i/>
        </w:rPr>
        <w:t xml:space="preserve">prevent or detect</w:t>
      </w:r>
      <w:r>
        <w:t xml:space="preserve"> </w:t>
      </w:r>
      <w:r>
        <w:t xml:space="preserve">poor service before or as it occurs;</w:t>
      </w:r>
      <w:r>
        <w:t xml:space="preserve"> </w:t>
      </w:r>
      <w:r>
        <w:rPr>
          <w:bCs/>
          <w:b/>
        </w:rPr>
        <w:t xml:space="preserve">quality improvement</w:t>
      </w:r>
      <w:r>
        <w:t xml:space="preserve"> </w:t>
      </w:r>
      <w:r>
        <w:t xml:space="preserve">then uses the resulting evidence and feedback to systematically raise performance over time. The syllabus’s important caution: quality measures should reflect actual</w:t>
      </w:r>
      <w:r>
        <w:t xml:space="preserve"> </w:t>
      </w:r>
      <w:r>
        <w:rPr>
          <w:bCs/>
          <w:b/>
        </w:rPr>
        <w:t xml:space="preserve">service quality and citizen outcomes</w:t>
      </w:r>
      <w:r>
        <w:t xml:space="preserve">, not merely internal activity counts (the number of applications processed, say, rather than whether those applications were processed correctly and to the citizen’s genuine satisfaction) — echoing the performance-budgeting caution from Unit IV against measures that can be</w:t>
      </w:r>
      <w:r>
        <w:t xml:space="preserve"> </w:t>
      </w:r>
      <w:r>
        <w:t xml:space="preserve">“</w:t>
      </w:r>
      <w:r>
        <w:t xml:space="preserve">gamed</w:t>
      </w:r>
      <w:r>
        <w:t xml:space="preserve">”</w:t>
      </w:r>
      <w:r>
        <w:t xml:space="preserve"> </w:t>
      </w:r>
      <w:r>
        <w:t xml:space="preserve">without reflecting real underlying performance.</w:t>
      </w:r>
    </w:p>
    <w:bookmarkEnd w:id="212"/>
    <w:bookmarkStart w:id="213" w:name="administrative-reform-in-pakistan"/>
    <w:p>
      <w:pPr>
        <w:pStyle w:val="Heading2"/>
      </w:pPr>
      <w:r>
        <w:rPr>
          <w:rStyle w:val="SectionNumber"/>
        </w:rPr>
        <w:t xml:space="preserve">18.9</w:t>
      </w:r>
      <w:r>
        <w:tab/>
      </w:r>
      <w:r>
        <w:t xml:space="preserve">Administrative Reform in Pakistan</w:t>
      </w:r>
    </w:p>
    <w:p>
      <w:pPr>
        <w:pStyle w:val="FirstParagraph"/>
      </w:pPr>
      <w:r>
        <w:t xml:space="preserve">Reform should be understood as a</w:t>
      </w:r>
      <w:r>
        <w:t xml:space="preserve"> </w:t>
      </w:r>
      <w:r>
        <w:rPr>
          <w:bCs/>
          <w:b/>
        </w:rPr>
        <w:t xml:space="preserve">continuing process rather than a single completed event</w:t>
      </w:r>
      <w:r>
        <w:t xml:space="preserve"> </w:t>
      </w:r>
      <w:r>
        <w:t xml:space="preserve">— a point worth stating explicitly, since it is easy to describe a specific reform initiative as though it definitively</w:t>
      </w:r>
      <w:r>
        <w:t xml:space="preserve"> </w:t>
      </w:r>
      <w:r>
        <w:t xml:space="preserve">“</w:t>
      </w:r>
      <w:r>
        <w:t xml:space="preserve">solved</w:t>
      </w:r>
      <w:r>
        <w:t xml:space="preserve">”</w:t>
      </w:r>
      <w:r>
        <w:t xml:space="preserve"> </w:t>
      </w:r>
      <w:r>
        <w:t xml:space="preserve">a structural problem once and for all. Contemporary examples should be drawn from official reform reports, current civil-service rules, and verified government initiatives, with a clear, explicit distinction maintained between</w:t>
      </w:r>
      <w:r>
        <w:t xml:space="preserve"> </w:t>
      </w:r>
      <w:r>
        <w:rPr>
          <w:iCs/>
          <w:i/>
        </w:rPr>
        <w:t xml:space="preserve">proposed</w:t>
      </w:r>
      <w:r>
        <w:t xml:space="preserve"> </w:t>
      </w:r>
      <w:r>
        <w:t xml:space="preserve">reforms (which may never be implemented) and reforms</w:t>
      </w:r>
      <w:r>
        <w:t xml:space="preserve"> </w:t>
      </w:r>
      <w:r>
        <w:rPr>
          <w:iCs/>
          <w:i/>
        </w:rPr>
        <w:t xml:space="preserve">actually implemented</w:t>
      </w:r>
      <w:r>
        <w:t xml:space="preserve"> </w:t>
      </w:r>
      <w:r>
        <w:t xml:space="preserve">in force.</w:t>
      </w:r>
    </w:p>
    <w:p>
      <w:pPr>
        <w:pStyle w:val="BodyText"/>
      </w:pPr>
      <w:r>
        <w:rPr>
          <w:bCs/>
          <w:b/>
        </w:rPr>
        <w:t xml:space="preserve">Key takeaways for Unit X</w:t>
      </w:r>
    </w:p>
    <w:p>
      <w:pPr>
        <w:numPr>
          <w:ilvl w:val="0"/>
          <w:numId w:val="1084"/>
        </w:numPr>
        <w:pStyle w:val="Compact"/>
      </w:pPr>
      <w:r>
        <w:t xml:space="preserve">The recommended structure for every reform tool — definition → rationale → benefit → risk → verified Pakistan example — is itself the exam-relevant skill this unit tests, more than memorizing any single tool’s definition in isolation.</w:t>
      </w:r>
    </w:p>
    <w:p>
      <w:pPr>
        <w:numPr>
          <w:ilvl w:val="0"/>
          <w:numId w:val="1084"/>
        </w:numPr>
        <w:pStyle w:val="Compact"/>
      </w:pPr>
      <w:r>
        <w:t xml:space="preserve">Deconcentration, delegation, and devolution are three genuinely distinct strengths of decentralization, frequently confused in casual usage but precisely distinguished by how much real authority actually moves and to whom.</w:t>
      </w:r>
    </w:p>
    <w:p>
      <w:pPr>
        <w:numPr>
          <w:ilvl w:val="0"/>
          <w:numId w:val="1084"/>
        </w:numPr>
        <w:pStyle w:val="Compact"/>
      </w:pPr>
      <w:r>
        <w:t xml:space="preserve">Deregulation is not the absence of regulation; privatization is not simply</w:t>
      </w:r>
      <w:r>
        <w:t xml:space="preserve"> </w:t>
      </w:r>
      <w:r>
        <w:t xml:space="preserve">“</w:t>
      </w:r>
      <w:r>
        <w:t xml:space="preserve">good</w:t>
      </w:r>
      <w:r>
        <w:t xml:space="preserve">”</w:t>
      </w:r>
      <w:r>
        <w:t xml:space="preserve"> </w:t>
      </w:r>
      <w:r>
        <w:t xml:space="preserve">or</w:t>
      </w:r>
      <w:r>
        <w:t xml:space="preserve"> </w:t>
      </w:r>
      <w:r>
        <w:t xml:space="preserve">“</w:t>
      </w:r>
      <w:r>
        <w:t xml:space="preserve">bad</w:t>
      </w:r>
      <w:r>
        <w:t xml:space="preserve">”</w:t>
      </w:r>
      <w:r>
        <w:t xml:space="preserve"> </w:t>
      </w:r>
      <w:r>
        <w:t xml:space="preserve">in the abstract — both require a genuine, two-sided weighing of stated benefits against stated risks.</w:t>
      </w:r>
    </w:p>
    <w:p>
      <w:r>
        <w:pict>
          <v:rect style="width:0;height:1.5pt" o:hralign="center" o:hrstd="t" o:hr="t"/>
        </w:pict>
      </w:r>
    </w:p>
    <w:bookmarkEnd w:id="213"/>
    <w:bookmarkEnd w:id="214"/>
    <w:bookmarkStart w:id="225" w:name="X87c0780cd1a398c63093620e3faf81c823a5b74"/>
    <w:p>
      <w:pPr>
        <w:pStyle w:val="Heading1"/>
      </w:pPr>
      <w:r>
        <w:rPr>
          <w:rStyle w:val="SectionNumber"/>
        </w:rPr>
        <w:t xml:space="preserve">19</w:t>
      </w:r>
      <w:r>
        <w:tab/>
      </w:r>
      <w:r>
        <w:t xml:space="preserve">XI. Public Administration Accountability and Control</w:t>
      </w:r>
    </w:p>
    <w:bookmarkStart w:id="215" w:name="what-this-unit-is-about-15"/>
    <w:p>
      <w:pPr>
        <w:pStyle w:val="Heading2"/>
      </w:pPr>
      <w:r>
        <w:rPr>
          <w:rStyle w:val="SectionNumber"/>
        </w:rPr>
        <w:t xml:space="preserve">19.1</w:t>
      </w:r>
      <w:r>
        <w:tab/>
      </w:r>
      <w:r>
        <w:t xml:space="preserve">What This Unit Is About</w:t>
      </w:r>
    </w:p>
    <w:p>
      <w:pPr>
        <w:pStyle w:val="FirstParagraph"/>
      </w:pPr>
      <w:r>
        <w:t xml:space="preserve">Public authority must be answerable for its legality, conduct, use of public money, and the results it achieves — accountability is therefore central to democratic administration, not an optional add-on to it. The recommended revision tool for this entire unit is an</w:t>
      </w:r>
      <w:r>
        <w:t xml:space="preserve"> </w:t>
      </w:r>
      <w:r>
        <w:rPr>
          <w:bCs/>
          <w:b/>
        </w:rPr>
        <w:t xml:space="preserve">accountability map</w:t>
      </w:r>
      <w:r>
        <w:t xml:space="preserve">: internal administrative control, legislative oversight, executive oversight, judicial review, dedicated audit/oversight bodies, and citizens/media/civil society — for each, state its specific power, its method of exercising that power, and its genuine limitation.</w:t>
      </w:r>
    </w:p>
    <w:bookmarkEnd w:id="215"/>
    <w:bookmarkStart w:id="216" w:name="bureaucratic-responsiveness"/>
    <w:p>
      <w:pPr>
        <w:pStyle w:val="Heading2"/>
      </w:pPr>
      <w:r>
        <w:rPr>
          <w:rStyle w:val="SectionNumber"/>
        </w:rPr>
        <w:t xml:space="preserve">19.2</w:t>
      </w:r>
      <w:r>
        <w:tab/>
      </w:r>
      <w:r>
        <w:t xml:space="preserve">Bureaucratic Responsiveness</w:t>
      </w:r>
    </w:p>
    <w:p>
      <w:pPr>
        <w:pStyle w:val="FirstParagraph"/>
      </w:pPr>
      <w:r>
        <w:t xml:space="preserve">Responsiveness means administrators genuinely recognize and react to legitimate public needs and lawful political direction, while still acting within law, professional standards, and actual institutional capacity. A precise, frequently tested caution: responsiveness is</w:t>
      </w:r>
      <w:r>
        <w:t xml:space="preserve"> </w:t>
      </w:r>
      <w:r>
        <w:rPr>
          <w:bCs/>
          <w:b/>
        </w:rPr>
        <w:t xml:space="preserve">not</w:t>
      </w:r>
      <w:r>
        <w:t xml:space="preserve"> </w:t>
      </w:r>
      <w:r>
        <w:t xml:space="preserve">the same as simply obeying every demand made of an official — public officials must also actively protect legality, procedural fairness, and the broader public interest, meaning genuine responsiveness sometimes requires declining an improper demand rather than complying with it.</w:t>
      </w:r>
    </w:p>
    <w:bookmarkEnd w:id="216"/>
    <w:bookmarkStart w:id="217" w:name="representative-bureaucracy"/>
    <w:p>
      <w:pPr>
        <w:pStyle w:val="Heading2"/>
      </w:pPr>
      <w:r>
        <w:rPr>
          <w:rStyle w:val="SectionNumber"/>
        </w:rPr>
        <w:t xml:space="preserve">19.3</w:t>
      </w:r>
      <w:r>
        <w:tab/>
      </w:r>
      <w:r>
        <w:t xml:space="preserve">Representative Bureaucracy</w:t>
      </w:r>
    </w:p>
    <w:p>
      <w:pPr>
        <w:pStyle w:val="FirstParagraph"/>
      </w:pPr>
      <w:r>
        <w:t xml:space="preserve">Representative bureaucracy asks whether public organizations demographically reflect the population they serve, and whether that representation genuinely improves legitimacy, understanding of diverse public needs, and fairness. A precise distinction, frequently tested:</w:t>
      </w:r>
      <w:r>
        <w:t xml:space="preserve"> </w:t>
      </w:r>
      <w:r>
        <w:rPr>
          <w:bCs/>
          <w:b/>
        </w:rPr>
        <w:t xml:space="preserve">passive representation</w:t>
      </w:r>
      <w:r>
        <w:t xml:space="preserve"> </w:t>
      </w:r>
      <w:r>
        <w:t xml:space="preserve">means the workforce’s composition demographically resembles the wider society;</w:t>
      </w:r>
      <w:r>
        <w:t xml:space="preserve"> </w:t>
      </w:r>
      <w:r>
        <w:rPr>
          <w:bCs/>
          <w:b/>
        </w:rPr>
        <w:t xml:space="preserve">active representation</w:t>
      </w:r>
      <w:r>
        <w:t xml:space="preserve"> </w:t>
      </w:r>
      <w:r>
        <w:t xml:space="preserve">asks the further, empirically separate question of whether that demographic presence actually</w:t>
      </w:r>
      <w:r>
        <w:t xml:space="preserve"> </w:t>
      </w:r>
      <w:r>
        <w:rPr>
          <w:iCs/>
          <w:i/>
        </w:rPr>
        <w:t xml:space="preserve">changes</w:t>
      </w:r>
      <w:r>
        <w:t xml:space="preserve"> </w:t>
      </w:r>
      <w:r>
        <w:t xml:space="preserve">decisions or outcomes in practice. The syllabus specifically cautions against assuming these two are automatically identical — a workforce can achieve passive representation (demographic resemblance) without necessarily achieving active representation (actual behavioural or decisional difference), and demonstrating awareness of this gap is precisely what distinguishes a strong answer here.</w:t>
      </w:r>
    </w:p>
    <w:bookmarkEnd w:id="217"/>
    <w:bookmarkStart w:id="218" w:name="citizen-engagement-in-public-service"/>
    <w:p>
      <w:pPr>
        <w:pStyle w:val="Heading2"/>
      </w:pPr>
      <w:r>
        <w:rPr>
          <w:rStyle w:val="SectionNumber"/>
        </w:rPr>
        <w:t xml:space="preserve">19.4</w:t>
      </w:r>
      <w:r>
        <w:tab/>
      </w:r>
      <w:r>
        <w:t xml:space="preserve">Citizen Engagement in Public Service</w:t>
      </w:r>
    </w:p>
    <w:p>
      <w:pPr>
        <w:pStyle w:val="FirstParagraph"/>
      </w:pPr>
      <w:r>
        <w:t xml:space="preserve">Citizen engagement spans a spectrum: one-way</w:t>
      </w:r>
      <w:r>
        <w:t xml:space="preserve"> </w:t>
      </w:r>
      <w:r>
        <w:rPr>
          <w:bCs/>
          <w:b/>
        </w:rPr>
        <w:t xml:space="preserve">information</w:t>
      </w:r>
      <w:r>
        <w:t xml:space="preserve"> </w:t>
      </w:r>
      <w:r>
        <w:t xml:space="preserve">provision, two-way</w:t>
      </w:r>
      <w:r>
        <w:t xml:space="preserve"> </w:t>
      </w:r>
      <w:r>
        <w:rPr>
          <w:bCs/>
          <w:b/>
        </w:rPr>
        <w:t xml:space="preserve">consultation</w:t>
      </w:r>
      <w:r>
        <w:t xml:space="preserve">, formal</w:t>
      </w:r>
      <w:r>
        <w:t xml:space="preserve"> </w:t>
      </w:r>
      <w:r>
        <w:rPr>
          <w:bCs/>
          <w:b/>
        </w:rPr>
        <w:t xml:space="preserve">complaints</w:t>
      </w:r>
      <w:r>
        <w:t xml:space="preserve"> </w:t>
      </w:r>
      <w:r>
        <w:t xml:space="preserve">mechanisms,</w:t>
      </w:r>
      <w:r>
        <w:t xml:space="preserve"> </w:t>
      </w:r>
      <w:r>
        <w:rPr>
          <w:bCs/>
          <w:b/>
        </w:rPr>
        <w:t xml:space="preserve">participatory planning</w:t>
      </w:r>
      <w:r>
        <w:t xml:space="preserve">, ongoing</w:t>
      </w:r>
      <w:r>
        <w:t xml:space="preserve"> </w:t>
      </w:r>
      <w:r>
        <w:rPr>
          <w:bCs/>
          <w:b/>
        </w:rPr>
        <w:t xml:space="preserve">community monitoring</w:t>
      </w:r>
      <w:r>
        <w:t xml:space="preserve">, and</w:t>
      </w:r>
      <w:r>
        <w:t xml:space="preserve"> </w:t>
      </w:r>
      <w:r>
        <w:rPr>
          <w:bCs/>
          <w:b/>
        </w:rPr>
        <w:t xml:space="preserve">co-production</w:t>
      </w:r>
      <w:r>
        <w:t xml:space="preserve"> </w:t>
      </w:r>
      <w:r>
        <w:t xml:space="preserve">of services (where citizens themselves actively participate in delivering, not merely receiving, a public service). The syllabus’s important caution: more participation is</w:t>
      </w:r>
      <w:r>
        <w:t xml:space="preserve"> </w:t>
      </w:r>
      <w:r>
        <w:rPr>
          <w:bCs/>
          <w:b/>
        </w:rPr>
        <w:t xml:space="preserve">not automatically better</w:t>
      </w:r>
      <w:r>
        <w:t xml:space="preserve"> </w:t>
      </w:r>
      <w:r>
        <w:t xml:space="preserve">— engagement genuinely adds value only when it is inclusive (reaching beyond already-privileged or already-vocal groups), informed (participants have genuine access to relevant information), and meaningfully connected to actual decision processes (rather than being purely symbolic consultation with no real influence on the eventual decision).</w:t>
      </w:r>
    </w:p>
    <w:bookmarkEnd w:id="218"/>
    <w:bookmarkStart w:id="219" w:name="X5410d17b156c665e0695e3466d5368faa65785a"/>
    <w:p>
      <w:pPr>
        <w:pStyle w:val="Heading2"/>
      </w:pPr>
      <w:r>
        <w:rPr>
          <w:rStyle w:val="SectionNumber"/>
        </w:rPr>
        <w:t xml:space="preserve">19.5</w:t>
      </w:r>
      <w:r>
        <w:tab/>
      </w:r>
      <w:r>
        <w:t xml:space="preserve">The Concept and Approaches to Public Accountability</w:t>
      </w:r>
    </w:p>
    <w:p>
      <w:pPr>
        <w:pStyle w:val="FirstParagraph"/>
      </w:pPr>
      <w:r>
        <w:t xml:space="preserve">Accountability generally involves an obligation to explain and justify one’s conduct to a forum that can question, judge, and potentially sanction that conduct. Two core dimensions, frequently tested as a pair:</w:t>
      </w:r>
      <w:r>
        <w:t xml:space="preserve"> </w:t>
      </w:r>
      <w:r>
        <w:rPr>
          <w:bCs/>
          <w:b/>
        </w:rPr>
        <w:t xml:space="preserve">answerability</w:t>
      </w:r>
      <w:r>
        <w:t xml:space="preserve"> </w:t>
      </w:r>
      <w:r>
        <w:t xml:space="preserve">(the duty to explain and justify conduct) and</w:t>
      </w:r>
      <w:r>
        <w:t xml:space="preserve"> </w:t>
      </w:r>
      <w:r>
        <w:rPr>
          <w:bCs/>
          <w:b/>
        </w:rPr>
        <w:t xml:space="preserve">enforcement</w:t>
      </w:r>
      <w:r>
        <w:t xml:space="preserve"> </w:t>
      </w:r>
      <w:r>
        <w:t xml:space="preserve">(the forum’s actual capacity to require correction or impose consequences). A complete accountability relationship requires all of the following elements together: a clearly identified actor, an applicable standard against which conduct is judged, adequate information about what actually happened, a genuine forum with standing to ask questions, and some real capacity in that forum to question conduct or act on its findings — an accountability mechanism missing any one of these elements (a forum with no real power to sanction, for instance) is correspondingly weaker even if the other elements are present.</w:t>
      </w:r>
    </w:p>
    <w:bookmarkEnd w:id="219"/>
    <w:bookmarkStart w:id="220" w:name="Xdf5cd1868909127d26aa4bd2c61f5956452e599"/>
    <w:p>
      <w:pPr>
        <w:pStyle w:val="Heading2"/>
      </w:pPr>
      <w:r>
        <w:rPr>
          <w:rStyle w:val="SectionNumber"/>
        </w:rPr>
        <w:t xml:space="preserve">19.6</w:t>
      </w:r>
      <w:r>
        <w:tab/>
      </w:r>
      <w:r>
        <w:t xml:space="preserve">The Institutional Framework for Administrative Accountability</w:t>
      </w:r>
    </w:p>
    <w:p>
      <w:pPr>
        <w:pStyle w:val="FirstParagraph"/>
      </w:pPr>
      <w:r>
        <w:t xml:space="preserve">Administrative accountability operates through several layers, worth listing precisely:</w:t>
      </w:r>
      <w:r>
        <w:t xml:space="preserve"> </w:t>
      </w:r>
      <w:r>
        <w:rPr>
          <w:bCs/>
          <w:b/>
        </w:rPr>
        <w:t xml:space="preserve">internal hierarchy</w:t>
      </w:r>
      <w:r>
        <w:t xml:space="preserve"> </w:t>
      </w:r>
      <w:r>
        <w:t xml:space="preserve">and internal controls (supervisory review within an agency),</w:t>
      </w:r>
      <w:r>
        <w:t xml:space="preserve"> </w:t>
      </w:r>
      <w:r>
        <w:rPr>
          <w:bCs/>
          <w:b/>
        </w:rPr>
        <w:t xml:space="preserve">audit</w:t>
      </w:r>
      <w:r>
        <w:t xml:space="preserve"> </w:t>
      </w:r>
      <w:r>
        <w:t xml:space="preserve">bodies (examining financial and performance compliance, per Unit IV),</w:t>
      </w:r>
      <w:r>
        <w:t xml:space="preserve"> </w:t>
      </w:r>
      <w:r>
        <w:rPr>
          <w:bCs/>
          <w:b/>
        </w:rPr>
        <w:t xml:space="preserve">legislative committees</w:t>
      </w:r>
      <w:r>
        <w:t xml:space="preserve"> </w:t>
      </w:r>
      <w:r>
        <w:t xml:space="preserve">(parliamentary oversight of the executive),</w:t>
      </w:r>
      <w:r>
        <w:t xml:space="preserve"> </w:t>
      </w:r>
      <w:r>
        <w:rPr>
          <w:bCs/>
          <w:b/>
        </w:rPr>
        <w:t xml:space="preserve">courts</w:t>
      </w:r>
      <w:r>
        <w:t xml:space="preserve"> </w:t>
      </w:r>
      <w:r>
        <w:t xml:space="preserve">(judicial review of legality), and</w:t>
      </w:r>
      <w:r>
        <w:t xml:space="preserve"> </w:t>
      </w:r>
      <w:r>
        <w:rPr>
          <w:bCs/>
          <w:b/>
        </w:rPr>
        <w:t xml:space="preserve">ombudsman/complaint mechanisms</w:t>
      </w:r>
      <w:r>
        <w:t xml:space="preserve"> </w:t>
      </w:r>
      <w:r>
        <w:t xml:space="preserve">(specialized bodies for citizen grievances against maladministration), among other statutory bodies as applicable. Because specific institutional mandates are established and revised by law, current mandates should be verified against the applicable statute rather than assumed.</w:t>
      </w:r>
    </w:p>
    <w:bookmarkEnd w:id="220"/>
    <w:bookmarkStart w:id="221" w:name="Xbde8359a7b6abb7a0c922c0db100d8cea8961bb"/>
    <w:p>
      <w:pPr>
        <w:pStyle w:val="Heading2"/>
      </w:pPr>
      <w:r>
        <w:rPr>
          <w:rStyle w:val="SectionNumber"/>
        </w:rPr>
        <w:t xml:space="preserve">19.7</w:t>
      </w:r>
      <w:r>
        <w:tab/>
      </w:r>
      <w:r>
        <w:t xml:space="preserve">Legislative, Executive, and Judicial Control</w:t>
      </w:r>
    </w:p>
    <w:p>
      <w:pPr>
        <w:pStyle w:val="FirstParagraph"/>
      </w:pPr>
      <w:r>
        <w:t xml:space="preserve">Three distinct forms of external control, precisely distinguished:</w:t>
      </w:r>
      <w:r>
        <w:t xml:space="preserve"> </w:t>
      </w:r>
      <w:r>
        <w:rPr>
          <w:bCs/>
          <w:b/>
        </w:rPr>
        <w:t xml:space="preserve">legislative control</w:t>
      </w:r>
      <w:r>
        <w:t xml:space="preserve"> </w:t>
      </w:r>
      <w:r>
        <w:t xml:space="preserve">works through law-making, budget authorization, and direct legislative oversight (committee hearings, questions to ministers);</w:t>
      </w:r>
      <w:r>
        <w:t xml:space="preserve"> </w:t>
      </w:r>
      <w:r>
        <w:rPr>
          <w:bCs/>
          <w:b/>
        </w:rPr>
        <w:t xml:space="preserve">executive control</w:t>
      </w:r>
      <w:r>
        <w:t xml:space="preserve"> </w:t>
      </w:r>
      <w:r>
        <w:t xml:space="preserve">works through internal direction, hierarchical supervision, and disciplinary authority within the administration itself;</w:t>
      </w:r>
      <w:r>
        <w:t xml:space="preserve"> </w:t>
      </w:r>
      <w:r>
        <w:rPr>
          <w:bCs/>
          <w:b/>
        </w:rPr>
        <w:t xml:space="preserve">judicial control</w:t>
      </w:r>
      <w:r>
        <w:t xml:space="preserve"> </w:t>
      </w:r>
      <w:r>
        <w:t xml:space="preserve">works through review of legality and protection of constitutional rights, operating strictly within the courts’ own constitutional jurisdiction (courts generally review the</w:t>
      </w:r>
      <w:r>
        <w:t xml:space="preserve"> </w:t>
      </w:r>
      <w:r>
        <w:rPr>
          <w:iCs/>
          <w:i/>
        </w:rPr>
        <w:t xml:space="preserve">legality</w:t>
      </w:r>
      <w:r>
        <w:t xml:space="preserve"> </w:t>
      </w:r>
      <w:r>
        <w:t xml:space="preserve">of an administrative decision, not its underlying policy</w:t>
      </w:r>
      <w:r>
        <w:t xml:space="preserve"> </w:t>
      </w:r>
      <w:r>
        <w:rPr>
          <w:iCs/>
          <w:i/>
        </w:rPr>
        <w:t xml:space="preserve">merits</w:t>
      </w:r>
      <w:r>
        <w:t xml:space="preserve">, echoing the judicial-review discussion in Unit VI).</w:t>
      </w:r>
    </w:p>
    <w:bookmarkEnd w:id="221"/>
    <w:bookmarkStart w:id="222" w:name="administrative-corruption"/>
    <w:p>
      <w:pPr>
        <w:pStyle w:val="Heading2"/>
      </w:pPr>
      <w:r>
        <w:rPr>
          <w:rStyle w:val="SectionNumber"/>
        </w:rPr>
        <w:t xml:space="preserve">19.8</w:t>
      </w:r>
      <w:r>
        <w:tab/>
      </w:r>
      <w:r>
        <w:t xml:space="preserve">Administrative Corruption</w:t>
      </w:r>
    </w:p>
    <w:p>
      <w:pPr>
        <w:pStyle w:val="FirstParagraph"/>
      </w:pPr>
      <w:r>
        <w:t xml:space="preserve">Administrative corruption is the abuse of entrusted public power for improper private or political benefit. A rigorous analytical treatment separates distinct stages —</w:t>
      </w:r>
      <w:r>
        <w:t xml:space="preserve"> </w:t>
      </w:r>
      <w:r>
        <w:rPr>
          <w:bCs/>
          <w:b/>
        </w:rPr>
        <w:t xml:space="preserve">prevention</w:t>
      </w:r>
      <w:r>
        <w:t xml:space="preserve">,</w:t>
      </w:r>
      <w:r>
        <w:t xml:space="preserve"> </w:t>
      </w:r>
      <w:r>
        <w:rPr>
          <w:bCs/>
          <w:b/>
        </w:rPr>
        <w:t xml:space="preserve">detection</w:t>
      </w:r>
      <w:r>
        <w:t xml:space="preserve">,</w:t>
      </w:r>
      <w:r>
        <w:t xml:space="preserve"> </w:t>
      </w:r>
      <w:r>
        <w:rPr>
          <w:bCs/>
          <w:b/>
        </w:rPr>
        <w:t xml:space="preserve">investigation</w:t>
      </w:r>
      <w:r>
        <w:t xml:space="preserve">,</w:t>
      </w:r>
      <w:r>
        <w:t xml:space="preserve"> </w:t>
      </w:r>
      <w:r>
        <w:rPr>
          <w:bCs/>
          <w:b/>
        </w:rPr>
        <w:t xml:space="preserve">adjudication</w:t>
      </w:r>
      <w:r>
        <w:t xml:space="preserve">, and longer-term</w:t>
      </w:r>
      <w:r>
        <w:t xml:space="preserve"> </w:t>
      </w:r>
      <w:r>
        <w:rPr>
          <w:bCs/>
          <w:b/>
        </w:rPr>
        <w:t xml:space="preserve">institutional reform</w:t>
      </w:r>
      <w:r>
        <w:t xml:space="preserve"> </w:t>
      </w:r>
      <w:r>
        <w:t xml:space="preserve">— rather than treating</w:t>
      </w:r>
      <w:r>
        <w:t xml:space="preserve"> </w:t>
      </w:r>
      <w:r>
        <w:t xml:space="preserve">“</w:t>
      </w:r>
      <w:r>
        <w:t xml:space="preserve">anti-corruption</w:t>
      </w:r>
      <w:r>
        <w:t xml:space="preserve">”</w:t>
      </w:r>
      <w:r>
        <w:t xml:space="preserve"> </w:t>
      </w:r>
      <w:r>
        <w:t xml:space="preserve">as one undifferentiated activity. Common risk factors worth naming specifically include excessive, unchecked administrative</w:t>
      </w:r>
      <w:r>
        <w:t xml:space="preserve"> </w:t>
      </w:r>
      <w:r>
        <w:rPr>
          <w:bCs/>
          <w:b/>
        </w:rPr>
        <w:t xml:space="preserve">discretion</w:t>
      </w:r>
      <w:r>
        <w:t xml:space="preserve">, opaque (non-transparent) procedures, unmanaged</w:t>
      </w:r>
      <w:r>
        <w:t xml:space="preserve"> </w:t>
      </w:r>
      <w:r>
        <w:rPr>
          <w:bCs/>
          <w:b/>
        </w:rPr>
        <w:t xml:space="preserve">conflicts of interest</w:t>
      </w:r>
      <w:r>
        <w:t xml:space="preserve">, and weak enforcement capacity — and any specific corruption claim made in an answer should be grounded in verified evidence rather than presented as an unverified accusation.</w:t>
      </w:r>
    </w:p>
    <w:bookmarkEnd w:id="222"/>
    <w:bookmarkStart w:id="223" w:name="civil-society-media-and-interest-groups"/>
    <w:p>
      <w:pPr>
        <w:pStyle w:val="Heading2"/>
      </w:pPr>
      <w:r>
        <w:rPr>
          <w:rStyle w:val="SectionNumber"/>
        </w:rPr>
        <w:t xml:space="preserve">19.9</w:t>
      </w:r>
      <w:r>
        <w:tab/>
      </w:r>
      <w:r>
        <w:t xml:space="preserve">Civil Society, Media, and Interest Groups</w:t>
      </w:r>
    </w:p>
    <w:p>
      <w:pPr>
        <w:pStyle w:val="FirstParagraph"/>
      </w:pPr>
      <w:r>
        <w:t xml:space="preserve">These non-state actors can provide independent information, advocacy, monitoring, and sustained pressure for transparency and accountability that formal government mechanisms alone may not generate. The syllabus’s important balancing caution: these actors can also be</w:t>
      </w:r>
      <w:r>
        <w:t xml:space="preserve"> </w:t>
      </w:r>
      <w:r>
        <w:rPr>
          <w:bCs/>
          <w:b/>
        </w:rPr>
        <w:t xml:space="preserve">unevenly representative</w:t>
      </w:r>
      <w:r>
        <w:t xml:space="preserve"> </w:t>
      </w:r>
      <w:r>
        <w:t xml:space="preserve">of the wider public (well-resourced advocacy groups may not represent marginalized populations, and media coverage may be skewed by commercial or political interests) — their accountability role should therefore be</w:t>
      </w:r>
      <w:r>
        <w:t xml:space="preserve"> </w:t>
      </w:r>
      <w:r>
        <w:rPr>
          <w:bCs/>
          <w:b/>
        </w:rPr>
        <w:t xml:space="preserve">analysed critically</w:t>
      </w:r>
      <w:r>
        <w:t xml:space="preserve">, not idealized as an automatically neutral or comprehensive check on government.</w:t>
      </w:r>
    </w:p>
    <w:bookmarkEnd w:id="223"/>
    <w:bookmarkStart w:id="224" w:name="the-situation-in-pakistan"/>
    <w:p>
      <w:pPr>
        <w:pStyle w:val="Heading2"/>
      </w:pPr>
      <w:r>
        <w:rPr>
          <w:rStyle w:val="SectionNumber"/>
        </w:rPr>
        <w:t xml:space="preserve">19.10</w:t>
      </w:r>
      <w:r>
        <w:tab/>
      </w:r>
      <w:r>
        <w:t xml:space="preserve">The Situation in Pakistan</w:t>
      </w:r>
    </w:p>
    <w:p>
      <w:pPr>
        <w:pStyle w:val="FirstParagraph"/>
      </w:pPr>
      <w:r>
        <w:t xml:space="preserve">Pakistan-specific accountability claims should be grounded in constitutional provisions, actual audit reports, ombudsman and oversight body reports, court judgments, and verified governance data — with sweeping, unsupported generalizations about specific institutions specifically avoided, consistent with the evidentiary standard applied throughout this unit.</w:t>
      </w:r>
    </w:p>
    <w:p>
      <w:pPr>
        <w:pStyle w:val="BodyText"/>
      </w:pPr>
      <w:r>
        <w:rPr>
          <w:bCs/>
          <w:b/>
        </w:rPr>
        <w:t xml:space="preserve">Key takeaways for Unit XI</w:t>
      </w:r>
    </w:p>
    <w:p>
      <w:pPr>
        <w:numPr>
          <w:ilvl w:val="0"/>
          <w:numId w:val="1085"/>
        </w:numPr>
        <w:pStyle w:val="Compact"/>
      </w:pPr>
      <w:r>
        <w:t xml:space="preserve">The complete accountability relationship needs actor + standard + information + forum + capacity to act — a mechanism missing any one element is correspondingly weaker, a useful diagnostic for evaluating any specific accountability institution described in a question.</w:t>
      </w:r>
    </w:p>
    <w:p>
      <w:pPr>
        <w:numPr>
          <w:ilvl w:val="0"/>
          <w:numId w:val="1085"/>
        </w:numPr>
        <w:pStyle w:val="Compact"/>
      </w:pPr>
      <w:r>
        <w:t xml:space="preserve">Passive representation (demographic resemblance) and active representation (actual behavioural difference) are empirically separate — do not assume one implies the other.</w:t>
      </w:r>
    </w:p>
    <w:p>
      <w:pPr>
        <w:numPr>
          <w:ilvl w:val="0"/>
          <w:numId w:val="1085"/>
        </w:numPr>
        <w:pStyle w:val="Compact"/>
      </w:pPr>
      <w:r>
        <w:t xml:space="preserve">Legislative, executive, and judicial control are three distinct mechanisms operating through different methods (law/budget/oversight; hierarchy/discipline; legality review) — a strong answer names which specific mechanism is at work in a given accountability scenario.</w:t>
      </w:r>
    </w:p>
    <w:p>
      <w:r>
        <w:pict>
          <v:rect style="width:0;height:1.5pt" o:hralign="center" o:hrstd="t" o:hr="t"/>
        </w:pict>
      </w:r>
    </w:p>
    <w:bookmarkEnd w:id="224"/>
    <w:bookmarkEnd w:id="225"/>
    <w:bookmarkStart w:id="232" w:name="Xe8b7e3c2d56aec4fff46cea7c875037ea4de5fd"/>
    <w:p>
      <w:pPr>
        <w:pStyle w:val="Heading1"/>
      </w:pPr>
      <w:r>
        <w:rPr>
          <w:rStyle w:val="SectionNumber"/>
        </w:rPr>
        <w:t xml:space="preserve">20</w:t>
      </w:r>
      <w:r>
        <w:tab/>
      </w:r>
      <w:r>
        <w:t xml:space="preserve">XII. Public Administration and Development</w:t>
      </w:r>
    </w:p>
    <w:bookmarkStart w:id="226" w:name="what-this-unit-is-about-16"/>
    <w:p>
      <w:pPr>
        <w:pStyle w:val="Heading2"/>
      </w:pPr>
      <w:r>
        <w:rPr>
          <w:rStyle w:val="SectionNumber"/>
        </w:rPr>
        <w:t xml:space="preserve">20.1</w:t>
      </w:r>
      <w:r>
        <w:tab/>
      </w:r>
      <w:r>
        <w:t xml:space="preserve">What This Unit Is About</w:t>
      </w:r>
    </w:p>
    <w:p>
      <w:pPr>
        <w:pStyle w:val="FirstParagraph"/>
      </w:pPr>
      <w:r>
        <w:t xml:space="preserve">This final unit examines how public institutions contribute to (or obstruct) economic and social development, with particular attention to the administrative capacity-building and program-implementation challenges facing developing states like Pakistan.</w:t>
      </w:r>
    </w:p>
    <w:bookmarkEnd w:id="226"/>
    <w:bookmarkStart w:id="227" w:name="X1a76308c73d0c2d085897158f6dda910e7299b5"/>
    <w:p>
      <w:pPr>
        <w:pStyle w:val="Heading2"/>
      </w:pPr>
      <w:r>
        <w:rPr>
          <w:rStyle w:val="SectionNumber"/>
        </w:rPr>
        <w:t xml:space="preserve">20.2</w:t>
      </w:r>
      <w:r>
        <w:tab/>
      </w:r>
      <w:r>
        <w:t xml:space="preserve">The Role of Public Administration in Development</w:t>
      </w:r>
    </w:p>
    <w:p>
      <w:pPr>
        <w:pStyle w:val="FirstParagraph"/>
      </w:pPr>
      <w:r>
        <w:t xml:space="preserve">Public administration converts stated development goals into actual policies, budgets, concrete projects, regulatory frameworks, and delivered services. The quality of administration is not incidental to development outcomes — it directly determines whether allocated resources actually reach their intended purposes, or are lost to weak implementation capacity, poor coordination, or the kinds of implementation gaps already analysed in Unit III.</w:t>
      </w:r>
    </w:p>
    <w:bookmarkEnd w:id="227"/>
    <w:bookmarkStart w:id="228" w:name="Xb6651c0a39060e5d541ca8e6b3ecf7dcb790de4"/>
    <w:p>
      <w:pPr>
        <w:pStyle w:val="Heading2"/>
      </w:pPr>
      <w:r>
        <w:rPr>
          <w:rStyle w:val="SectionNumber"/>
        </w:rPr>
        <w:t xml:space="preserve">20.3</w:t>
      </w:r>
      <w:r>
        <w:tab/>
      </w:r>
      <w:r>
        <w:t xml:space="preserve">The Concept of Development Administration</w:t>
      </w:r>
    </w:p>
    <w:p>
      <w:pPr>
        <w:pStyle w:val="FirstParagraph"/>
      </w:pPr>
      <w:r>
        <w:rPr>
          <w:bCs/>
          <w:b/>
        </w:rPr>
        <w:t xml:space="preserve">Development administration</w:t>
      </w:r>
      <w:r>
        <w:t xml:space="preserve"> </w:t>
      </w:r>
      <w:r>
        <w:t xml:space="preserve">is public administration deliberately oriented toward producing social and economic transformation and building lasting institutions, rather than being oriented only toward routine order-maintenance functions (revenue collection, law and order) inherited from the traditional colonial administrative model discussed in Unit I. It is, in effect, public administration with an explicitly change-oriented, transformative mandate.</w:t>
      </w:r>
    </w:p>
    <w:bookmarkEnd w:id="228"/>
    <w:bookmarkStart w:id="229" w:name="Xaa66dceeddbe7a593c883531237536c18f7a3b1"/>
    <w:p>
      <w:pPr>
        <w:pStyle w:val="Heading2"/>
      </w:pPr>
      <w:r>
        <w:rPr>
          <w:rStyle w:val="SectionNumber"/>
        </w:rPr>
        <w:t xml:space="preserve">20.4</w:t>
      </w:r>
      <w:r>
        <w:tab/>
      </w:r>
      <w:r>
        <w:t xml:space="preserve">Development Administration versus Development Management</w:t>
      </w:r>
    </w:p>
    <w:p>
      <w:pPr>
        <w:pStyle w:val="FirstParagraph"/>
      </w:pPr>
      <w:r>
        <w:rPr>
          <w:bCs/>
          <w:b/>
        </w:rPr>
        <w:t xml:space="preserve">Development administration</w:t>
      </w:r>
      <w:r>
        <w:t xml:space="preserve"> </w:t>
      </w:r>
      <w:r>
        <w:t xml:space="preserve">is historically and specifically associated with public-sector-led transformation and the deliberate building of state capacity.</w:t>
      </w:r>
      <w:r>
        <w:t xml:space="preserve"> </w:t>
      </w:r>
      <w:r>
        <w:rPr>
          <w:bCs/>
          <w:b/>
        </w:rPr>
        <w:t xml:space="preserve">Development management</w:t>
      </w:r>
      <w:r>
        <w:t xml:space="preserve"> </w:t>
      </w:r>
      <w:r>
        <w:t xml:space="preserve">is a broader managerial lens that extends beyond public agencies alone to include projects, NGOs, donors, communities, and multi-actor partnerships (recalling the Governance approach from Unit I and Partnerships from Unit X), with a strong emphasis specifically on implementation and measurable results. The two concepts overlap substantially rather than being sharply opposed — the useful analytical move, as with several other paired concepts in this subject, is to treat them as distinct starting points that converge considerably in actual practice, rather than as a strict either/or choice.</w:t>
      </w:r>
    </w:p>
    <w:bookmarkEnd w:id="229"/>
    <w:bookmarkStart w:id="230" w:name="X3850fc824816a3037941e4452a6fb6077eb7352"/>
    <w:p>
      <w:pPr>
        <w:pStyle w:val="Heading2"/>
      </w:pPr>
      <w:r>
        <w:rPr>
          <w:rStyle w:val="SectionNumber"/>
        </w:rPr>
        <w:t xml:space="preserve">20.5</w:t>
      </w:r>
      <w:r>
        <w:tab/>
      </w:r>
      <w:r>
        <w:t xml:space="preserve">The Changing Role of Public Administration in Development</w:t>
      </w:r>
    </w:p>
    <w:p>
      <w:pPr>
        <w:pStyle w:val="FirstParagraph"/>
      </w:pPr>
      <w:r>
        <w:t xml:space="preserve">Public administration’s development role has progressively expanded from an earlier emphasis on</w:t>
      </w:r>
      <w:r>
        <w:t xml:space="preserve"> </w:t>
      </w:r>
      <w:r>
        <w:rPr>
          <w:bCs/>
          <w:b/>
        </w:rPr>
        <w:t xml:space="preserve">direct provision and control</w:t>
      </w:r>
      <w:r>
        <w:t xml:space="preserve"> </w:t>
      </w:r>
      <w:r>
        <w:t xml:space="preserve">toward a broader repertoire including</w:t>
      </w:r>
      <w:r>
        <w:t xml:space="preserve"> </w:t>
      </w:r>
      <w:r>
        <w:rPr>
          <w:bCs/>
          <w:b/>
        </w:rPr>
        <w:t xml:space="preserve">regulation</w:t>
      </w:r>
      <w:r>
        <w:t xml:space="preserve"> </w:t>
      </w:r>
      <w:r>
        <w:t xml:space="preserve">(setting frameworks within which private and community actors operate),</w:t>
      </w:r>
      <w:r>
        <w:t xml:space="preserve"> </w:t>
      </w:r>
      <w:r>
        <w:rPr>
          <w:bCs/>
          <w:b/>
        </w:rPr>
        <w:t xml:space="preserve">facilitation</w:t>
      </w:r>
      <w:r>
        <w:t xml:space="preserve"> </w:t>
      </w:r>
      <w:r>
        <w:t xml:space="preserve">(enabling rather than directly delivering),</w:t>
      </w:r>
      <w:r>
        <w:t xml:space="preserve"> </w:t>
      </w:r>
      <w:r>
        <w:rPr>
          <w:bCs/>
          <w:b/>
        </w:rPr>
        <w:t xml:space="preserve">partnerships</w:t>
      </w:r>
      <w:r>
        <w:t xml:space="preserve"> </w:t>
      </w:r>
      <w:r>
        <w:t xml:space="preserve">(per Unit X),</w:t>
      </w:r>
      <w:r>
        <w:t xml:space="preserve"> </w:t>
      </w:r>
      <w:r>
        <w:rPr>
          <w:bCs/>
          <w:b/>
        </w:rPr>
        <w:t xml:space="preserve">digital service delivery</w:t>
      </w:r>
      <w:r>
        <w:t xml:space="preserve">,</w:t>
      </w:r>
      <w:r>
        <w:t xml:space="preserve"> </w:t>
      </w:r>
      <w:r>
        <w:rPr>
          <w:bCs/>
          <w:b/>
        </w:rPr>
        <w:t xml:space="preserve">evidence-based decision-making</w:t>
      </w:r>
      <w:r>
        <w:t xml:space="preserve">, and</w:t>
      </w:r>
      <w:r>
        <w:t xml:space="preserve"> </w:t>
      </w:r>
      <w:r>
        <w:rPr>
          <w:bCs/>
          <w:b/>
        </w:rPr>
        <w:t xml:space="preserve">citizen engagement</w:t>
      </w:r>
      <w:r>
        <w:t xml:space="preserve"> </w:t>
      </w:r>
      <w:r>
        <w:t xml:space="preserve">(per Unit XI) — while the state’s traditional</w:t>
      </w:r>
      <w:r>
        <w:t xml:space="preserve"> </w:t>
      </w:r>
      <w:r>
        <w:rPr>
          <w:bCs/>
          <w:b/>
        </w:rPr>
        <w:t xml:space="preserve">sovereign functions</w:t>
      </w:r>
      <w:r>
        <w:t xml:space="preserve"> </w:t>
      </w:r>
      <w:r>
        <w:t xml:space="preserve">(defence, law and order, justice, revenue collection) remain important and have not been displaced by this broader development role, simply supplemented by it.</w:t>
      </w:r>
    </w:p>
    <w:bookmarkEnd w:id="230"/>
    <w:bookmarkStart w:id="231" w:name="issues-and-challenges-in-pakistan"/>
    <w:p>
      <w:pPr>
        <w:pStyle w:val="Heading2"/>
      </w:pPr>
      <w:r>
        <w:rPr>
          <w:rStyle w:val="SectionNumber"/>
        </w:rPr>
        <w:t xml:space="preserve">20.6</w:t>
      </w:r>
      <w:r>
        <w:tab/>
      </w:r>
      <w:r>
        <w:t xml:space="preserve">Issues and Challenges in Pakistan</w:t>
      </w:r>
    </w:p>
    <w:p>
      <w:pPr>
        <w:pStyle w:val="FirstParagraph"/>
      </w:pPr>
      <w:r>
        <w:t xml:space="preserve">Recurring analytical themes include administrative capacity constraints, inter-agency coordination difficulties, persistent policy implementation gaps (per Unit III), fiscal constraints on development spending (per Unit IV), the complexity of federal-provincial-local relations in a devolved system (per Unit IX), rapid urbanization outpacing planning and service capacity, the ongoing challenge of building genuine digital governance capability, and sustained accountability demands (per Unit XI). As throughout this subject, the recommended analytical discipline is to</w:t>
      </w:r>
      <w:r>
        <w:t xml:space="preserve"> </w:t>
      </w:r>
      <w:r>
        <w:rPr>
          <w:bCs/>
          <w:b/>
        </w:rPr>
        <w:t xml:space="preserve">separate observed symptoms from underlying causes</w:t>
      </w:r>
      <w:r>
        <w:t xml:space="preserve">, then explicitly connect specific institutional, financial, legal, capacity, or coordination causes to their concrete effects and to correspondingly targeted remedies — grounding any specific claim in current, verifiable official evidence rather than general impression.</w:t>
      </w:r>
    </w:p>
    <w:p>
      <w:pPr>
        <w:pStyle w:val="BodyText"/>
      </w:pPr>
      <w:r>
        <w:rPr>
          <w:bCs/>
          <w:b/>
        </w:rPr>
        <w:t xml:space="preserve">Key takeaways for Unit XII</w:t>
      </w:r>
    </w:p>
    <w:p>
      <w:pPr>
        <w:numPr>
          <w:ilvl w:val="0"/>
          <w:numId w:val="1086"/>
        </w:numPr>
        <w:pStyle w:val="Compact"/>
      </w:pPr>
      <w:r>
        <w:t xml:space="preserve">Development administration (state-led, institution-building) and development management (broader, multi-actor, results-focused) overlap substantially rather than being opposed alternatives — most real development practice draws on both.</w:t>
      </w:r>
    </w:p>
    <w:p>
      <w:pPr>
        <w:numPr>
          <w:ilvl w:val="0"/>
          <w:numId w:val="1086"/>
        </w:numPr>
        <w:pStyle w:val="Compact"/>
      </w:pPr>
      <w:r>
        <w:t xml:space="preserve">Public administration’s development role has broadened (regulation, facilitation, partnership, digital delivery, evidence use, citizen engagement) without displacing its traditional sovereign functions — both operate together, not as a replacement of one by the other.</w:t>
      </w:r>
    </w:p>
    <w:p>
      <w:pPr>
        <w:numPr>
          <w:ilvl w:val="0"/>
          <w:numId w:val="1086"/>
        </w:numPr>
        <w:pStyle w:val="Compact"/>
      </w:pPr>
      <w:r>
        <w:t xml:space="preserve">This unit, and the subject as a whole, rewards connecting specific named causes to specific named effects and remedies — a list of</w:t>
      </w:r>
      <w:r>
        <w:t xml:space="preserve"> </w:t>
      </w:r>
      <w:r>
        <w:t xml:space="preserve">“</w:t>
      </w:r>
      <w:r>
        <w:t xml:space="preserve">challenges</w:t>
      </w:r>
      <w:r>
        <w:t xml:space="preserve">”</w:t>
      </w:r>
      <w:r>
        <w:t xml:space="preserve"> </w:t>
      </w:r>
      <w:r>
        <w:t xml:space="preserve">without this causal connection is descriptive rather than analytical, and analytical answers score more highly throughout this syllabus.</w:t>
      </w:r>
    </w:p>
    <w:p>
      <w:r>
        <w:pict>
          <v:rect style="width:0;height:1.5pt" o:hralign="center" o:hrstd="t" o:hr="t"/>
        </w:pict>
      </w:r>
    </w:p>
    <w:bookmarkEnd w:id="231"/>
    <w:bookmarkEnd w:id="232"/>
    <w:bookmarkStart w:id="234" w:name="bibliography-and-further-reading-1"/>
    <w:p>
      <w:pPr>
        <w:pStyle w:val="Heading1"/>
      </w:pPr>
      <w:r>
        <w:rPr>
          <w:rStyle w:val="SectionNumber"/>
        </w:rPr>
        <w:t xml:space="preserve">21</w:t>
      </w:r>
      <w:r>
        <w:tab/>
      </w:r>
      <w:r>
        <w:t xml:space="preserve">Bibliography and Further Reading</w:t>
      </w:r>
    </w:p>
    <w:p>
      <w:pPr>
        <w:numPr>
          <w:ilvl w:val="0"/>
          <w:numId w:val="1087"/>
        </w:numPr>
        <w:pStyle w:val="Compact"/>
      </w:pPr>
      <w:r>
        <w:t xml:space="preserve">Denhardt, R. B. —</w:t>
      </w:r>
      <w:r>
        <w:t xml:space="preserve"> </w:t>
      </w:r>
      <w:r>
        <w:rPr>
          <w:iCs/>
          <w:i/>
        </w:rPr>
        <w:t xml:space="preserve">Public Administration</w:t>
      </w:r>
      <w:r>
        <w:t xml:space="preserve"> </w:t>
      </w:r>
      <w:r>
        <w:t xml:space="preserve">— a core source for the Traditional Public Administration, NPM, and New Public Service comparison in Unit I.</w:t>
      </w:r>
    </w:p>
    <w:p>
      <w:pPr>
        <w:numPr>
          <w:ilvl w:val="0"/>
          <w:numId w:val="1087"/>
        </w:numPr>
        <w:pStyle w:val="Compact"/>
      </w:pPr>
      <w:r>
        <w:t xml:space="preserve">Rosenbloom, D. H. —</w:t>
      </w:r>
      <w:r>
        <w:t xml:space="preserve"> </w:t>
      </w:r>
      <w:r>
        <w:rPr>
          <w:iCs/>
          <w:i/>
        </w:rPr>
        <w:t xml:space="preserve">Public Administration: Understanding Management, Politics and Law</w:t>
      </w:r>
      <w:r>
        <w:t xml:space="preserve"> </w:t>
      </w:r>
      <w:r>
        <w:t xml:space="preserve">— standard source for the politics-administration and law-management-politics framing used throughout.</w:t>
      </w:r>
    </w:p>
    <w:p>
      <w:pPr>
        <w:numPr>
          <w:ilvl w:val="0"/>
          <w:numId w:val="1087"/>
        </w:numPr>
        <w:pStyle w:val="Compact"/>
      </w:pPr>
      <w:r>
        <w:t xml:space="preserve">Henry, N. —</w:t>
      </w:r>
      <w:r>
        <w:t xml:space="preserve"> </w:t>
      </w:r>
      <w:r>
        <w:rPr>
          <w:iCs/>
          <w:i/>
        </w:rPr>
        <w:t xml:space="preserve">Public Administration and Public Affairs</w:t>
      </w:r>
      <w:r>
        <w:t xml:space="preserve">.</w:t>
      </w:r>
    </w:p>
    <w:p>
      <w:pPr>
        <w:numPr>
          <w:ilvl w:val="0"/>
          <w:numId w:val="1087"/>
        </w:numPr>
        <w:pStyle w:val="Compact"/>
      </w:pPr>
      <w:r>
        <w:t xml:space="preserve">Kennedy, C. H. —</w:t>
      </w:r>
      <w:r>
        <w:t xml:space="preserve"> </w:t>
      </w:r>
      <w:r>
        <w:rPr>
          <w:iCs/>
          <w:i/>
        </w:rPr>
        <w:t xml:space="preserve">Bureaucracy in Pakistan</w:t>
      </w:r>
      <w:r>
        <w:t xml:space="preserve"> </w:t>
      </w:r>
      <w:r>
        <w:t xml:space="preserve">— a key source for Pakistan-specific administrative history and civil service material in Units I and VIII.</w:t>
      </w:r>
    </w:p>
    <w:p>
      <w:pPr>
        <w:numPr>
          <w:ilvl w:val="0"/>
          <w:numId w:val="1087"/>
        </w:numPr>
        <w:pStyle w:val="Compact"/>
      </w:pPr>
      <w:r>
        <w:t xml:space="preserve">Weber, M. — original source of the ideal-type bureaucracy framework in Unit II.</w:t>
      </w:r>
    </w:p>
    <w:p>
      <w:pPr>
        <w:numPr>
          <w:ilvl w:val="0"/>
          <w:numId w:val="1087"/>
        </w:numPr>
        <w:pStyle w:val="Compact"/>
      </w:pPr>
      <w:r>
        <w:t xml:space="preserve">Taylor, F. W. — original source of scientific management, referenced in Unit II.</w:t>
      </w:r>
    </w:p>
    <w:p>
      <w:pPr>
        <w:numPr>
          <w:ilvl w:val="0"/>
          <w:numId w:val="1087"/>
        </w:numPr>
        <w:pStyle w:val="Compact"/>
      </w:pPr>
      <w:r>
        <w:t xml:space="preserve">Wilson, W., and Goodnow, F. — associated with the classical politics-administration dichotomy referenced in Unit I.</w:t>
      </w:r>
    </w:p>
    <w:p>
      <w:pPr>
        <w:numPr>
          <w:ilvl w:val="0"/>
          <w:numId w:val="1087"/>
        </w:numPr>
        <w:pStyle w:val="Compact"/>
      </w:pPr>
      <w:r>
        <w:t xml:space="preserve">The Constitution of the Islamic Republic of Pakistan — essential primary source for institutional, federal, and provincial structure throughout Units VIII, IX, and XI.</w:t>
      </w:r>
    </w:p>
    <w:p>
      <w:pPr>
        <w:pStyle w:val="FirstParagraph"/>
      </w:pPr>
      <w:r>
        <w:rPr>
          <w:iCs/>
          <w:i/>
        </w:rPr>
        <w:t xml:space="preserve">Note on sourcing: the concepts and frameworks in this chapter (Weberian bureaucracy, scientific management, human relations theory, public choice theory, the politics-administration dichotomy, NPM, New Public Service, governance theory, and the standard policy-cycle and results-chain frameworks) are long-established, widely taught concepts drawn from the standard textbooks listed above. Pakistan-specific institutional, legal, and statistical details change over time with legislation and policy; any such specific detail should be verified against current official sources (the Constitution, applicable statutes, and current government publications) before being relied upon, as this chapter itself repeatedly notes.</w:t>
      </w:r>
      <w:r>
        <w:t xml:space="preserve"> </w:t>
      </w:r>
      <w:r>
        <w:t xml:space="preserve"># Governance &amp; Public Policies</w:t>
      </w:r>
    </w:p>
    <w:p>
      <w:pPr>
        <w:pStyle w:val="BodyText"/>
      </w:pPr>
      <w:r>
        <w:rPr>
          <w:iCs/>
          <w:i/>
        </w:rPr>
        <w:t xml:space="preserve">CSS/PMS Group III Optional Subject — Code 24, 100 marks</w:t>
      </w:r>
    </w:p>
    <w:bookmarkStart w:id="233" w:name="introduction-to-the-subject-2"/>
    <w:p>
      <w:pPr>
        <w:pStyle w:val="Heading2"/>
      </w:pPr>
      <w:r>
        <w:rPr>
          <w:rStyle w:val="SectionNumber"/>
        </w:rPr>
        <w:t xml:space="preserve">21.1</w:t>
      </w:r>
      <w:r>
        <w:tab/>
      </w:r>
      <w:r>
        <w:t xml:space="preserve">Introduction to the Subject</w:t>
      </w:r>
    </w:p>
    <w:p>
      <w:pPr>
        <w:pStyle w:val="FirstParagraph"/>
      </w:pPr>
      <w:r>
        <w:t xml:space="preserve">Governance &amp; Public Policies examines how power is exercised, how institutions are held accountable, how policy is actually made and implemented, and how citizens, the bureaucracy, and different levels of government interact — with Pakistan serving as the central running application throughout the syllabus. This chapter shares substantial conceptual ground with the Public Administration chapter (both cover accountability, bureaucracy, and policy implementation), but approaches these topics through a distinctly governance-theoretic and comparative-institutional lens, with heavier emphasis on internationally comparable governance indicators and normative governance theory.</w:t>
      </w:r>
    </w:p>
    <w:p>
      <w:pPr>
        <w:pStyle w:val="BodyText"/>
      </w:pPr>
      <w:r>
        <w:rPr>
          <w:bCs/>
          <w:b/>
        </w:rPr>
        <w:t xml:space="preserve">Foundational reading:</w:t>
      </w:r>
      <w:r>
        <w:t xml:space="preserve"> </w:t>
      </w:r>
      <w:r>
        <w:t xml:space="preserve">Anne Mette Kjaer’s</w:t>
      </w:r>
      <w:r>
        <w:t xml:space="preserve"> </w:t>
      </w:r>
      <w:r>
        <w:rPr>
          <w:iCs/>
          <w:i/>
        </w:rPr>
        <w:t xml:space="preserve">Governance</w:t>
      </w:r>
      <w:r>
        <w:t xml:space="preserve">, Mark Bevir’s</w:t>
      </w:r>
      <w:r>
        <w:t xml:space="preserve"> </w:t>
      </w:r>
      <w:r>
        <w:rPr>
          <w:iCs/>
          <w:i/>
        </w:rPr>
        <w:t xml:space="preserve">Encyclopedia of Governance</w:t>
      </w:r>
      <w:r>
        <w:t xml:space="preserve">, Hill and Hupe’s</w:t>
      </w:r>
      <w:r>
        <w:t xml:space="preserve"> </w:t>
      </w:r>
      <w:r>
        <w:rPr>
          <w:iCs/>
          <w:i/>
        </w:rPr>
        <w:t xml:space="preserve">Implementing Public Policy</w:t>
      </w:r>
      <w:r>
        <w:t xml:space="preserve">, Kraft and Furlong’s</w:t>
      </w:r>
      <w:r>
        <w:t xml:space="preserve"> </w:t>
      </w:r>
      <w:r>
        <w:rPr>
          <w:iCs/>
          <w:i/>
        </w:rPr>
        <w:t xml:space="preserve">Public Policy: Politics, Analysis, Alternatives</w:t>
      </w:r>
      <w:r>
        <w:t xml:space="preserve">, the Constitution of the Islamic Republic of Pakistan, and the World Bank’s Worldwide Governance Indicators documentation are the standard reference works behind this syllabus.</w:t>
      </w:r>
    </w:p>
    <w:p>
      <w:r>
        <w:pict>
          <v:rect style="width:0;height:1.5pt" o:hralign="center" o:hrstd="t" o:hr="t"/>
        </w:pict>
      </w:r>
    </w:p>
    <w:bookmarkEnd w:id="233"/>
    <w:bookmarkEnd w:id="234"/>
    <w:bookmarkStart w:id="239" w:name="i.-basic-concepts-of-governance"/>
    <w:p>
      <w:pPr>
        <w:pStyle w:val="Heading1"/>
      </w:pPr>
      <w:r>
        <w:rPr>
          <w:rStyle w:val="SectionNumber"/>
        </w:rPr>
        <w:t xml:space="preserve">22</w:t>
      </w:r>
      <w:r>
        <w:tab/>
      </w:r>
      <w:r>
        <w:t xml:space="preserve">I. Basic Concepts of Governance</w:t>
      </w:r>
    </w:p>
    <w:bookmarkStart w:id="235" w:name="what-this-unit-is-about-17"/>
    <w:p>
      <w:pPr>
        <w:pStyle w:val="Heading2"/>
      </w:pPr>
      <w:r>
        <w:rPr>
          <w:rStyle w:val="SectionNumber"/>
        </w:rPr>
        <w:t xml:space="preserve">22.1</w:t>
      </w:r>
      <w:r>
        <w:tab/>
      </w:r>
      <w:r>
        <w:t xml:space="preserve">What This Unit Is About</w:t>
      </w:r>
    </w:p>
    <w:p>
      <w:pPr>
        <w:pStyle w:val="FirstParagraph"/>
      </w:pPr>
      <w:r>
        <w:rPr>
          <w:bCs/>
          <w:b/>
        </w:rPr>
        <w:t xml:space="preserve">Governance</w:t>
      </w:r>
      <w:r>
        <w:t xml:space="preserve"> </w:t>
      </w:r>
      <w:r>
        <w:t xml:space="preserve">is broader than</w:t>
      </w:r>
      <w:r>
        <w:t xml:space="preserve"> </w:t>
      </w:r>
      <w:r>
        <w:rPr>
          <w:bCs/>
          <w:b/>
        </w:rPr>
        <w:t xml:space="preserve">government</w:t>
      </w:r>
      <w:r>
        <w:t xml:space="preserve">: it concerns the rules, institutions, processes, and relationships through which collective decisions are made, implemented, and held accountable — a distinction already introduced in the Public Administration chapter’s Unit I, and central enough to this subject that it recurs throughout nearly every unit here. This opening unit defines governance and</w:t>
      </w:r>
      <w:r>
        <w:t xml:space="preserve"> </w:t>
      </w:r>
      <w:r>
        <w:t xml:space="preserve">“</w:t>
      </w:r>
      <w:r>
        <w:t xml:space="preserve">good governance,</w:t>
      </w:r>
      <w:r>
        <w:t xml:space="preserve">”</w:t>
      </w:r>
      <w:r>
        <w:t xml:space="preserve"> </w:t>
      </w:r>
      <w:r>
        <w:t xml:space="preserve">works through the standard characteristics of good governance, and concludes with how governance failure should be diagnosed.</w:t>
      </w:r>
    </w:p>
    <w:bookmarkEnd w:id="235"/>
    <w:bookmarkStart w:id="236" w:name="the-origin-and-definition-of-governance"/>
    <w:p>
      <w:pPr>
        <w:pStyle w:val="Heading2"/>
      </w:pPr>
      <w:r>
        <w:rPr>
          <w:rStyle w:val="SectionNumber"/>
        </w:rPr>
        <w:t xml:space="preserve">22.2</w:t>
      </w:r>
      <w:r>
        <w:tab/>
      </w:r>
      <w:r>
        <w:t xml:space="preserve">The Origin and Definition of Governance</w:t>
      </w:r>
    </w:p>
    <w:p>
      <w:pPr>
        <w:pStyle w:val="FirstParagraph"/>
      </w:pPr>
      <w:r>
        <w:t xml:space="preserve">While the word</w:t>
      </w:r>
      <w:r>
        <w:t xml:space="preserve"> </w:t>
      </w:r>
      <w:r>
        <w:t xml:space="preserve">“</w:t>
      </w:r>
      <w:r>
        <w:t xml:space="preserve">governance</w:t>
      </w:r>
      <w:r>
        <w:t xml:space="preserve">”</w:t>
      </w:r>
      <w:r>
        <w:t xml:space="preserve"> </w:t>
      </w:r>
      <w:r>
        <w:t xml:space="preserve">has old linguistic roots, modern governance literature uses it specifically to study how authority and collective action operate not only through formal government but through a</w:t>
      </w:r>
      <w:r>
        <w:t xml:space="preserve"> </w:t>
      </w:r>
      <w:r>
        <w:rPr>
          <w:bCs/>
          <w:b/>
        </w:rPr>
        <w:t xml:space="preserve">wider network of actors</w:t>
      </w:r>
      <w:r>
        <w:t xml:space="preserve"> </w:t>
      </w:r>
      <w:r>
        <w:t xml:space="preserve">— echoing the Governance Approach already introduced in the Public Administration chapter. Formally, governance refers to the processes and institutions through which authority is exercised, collective decisions are made and implemented, and public affairs are managed — with the important caution that different organizations and scholars define the term somewhat differently, so any formal definition quoted in an answer should be attributed to its specific source.</w:t>
      </w:r>
    </w:p>
    <w:bookmarkEnd w:id="236"/>
    <w:bookmarkStart w:id="237" w:name="good-governance-and-its-characteristics"/>
    <w:p>
      <w:pPr>
        <w:pStyle w:val="Heading2"/>
      </w:pPr>
      <w:r>
        <w:rPr>
          <w:rStyle w:val="SectionNumber"/>
        </w:rPr>
        <w:t xml:space="preserve">22.3</w:t>
      </w:r>
      <w:r>
        <w:tab/>
      </w:r>
      <w:r>
        <w:t xml:space="preserve">Good Governance and Its Characteristics</w:t>
      </w:r>
    </w:p>
    <w:p>
      <w:pPr>
        <w:pStyle w:val="FirstParagraph"/>
      </w:pPr>
      <w:r>
        <w:rPr>
          <w:bCs/>
          <w:b/>
        </w:rPr>
        <w:t xml:space="preserve">Good governance</w:t>
      </w:r>
      <w:r>
        <w:t xml:space="preserve"> </w:t>
      </w:r>
      <w:r>
        <w:t xml:space="preserve">is a normative idea — a statement about desirable qualities institutions</w:t>
      </w:r>
      <w:r>
        <w:t xml:space="preserve"> </w:t>
      </w:r>
      <w:r>
        <w:rPr>
          <w:iCs/>
          <w:i/>
        </w:rPr>
        <w:t xml:space="preserve">should</w:t>
      </w:r>
      <w:r>
        <w:t xml:space="preserve"> </w:t>
      </w:r>
      <w:r>
        <w:t xml:space="preserve">have — rather than a single, universally agreed, precisely measured formula. The commonly cited characteristics, several of which overlap directly with the Core Values already introduced in the Public Administration chapter, are each worth understanding through their own precise logic:</w:t>
      </w:r>
    </w:p>
    <w:p>
      <w:pPr>
        <w:numPr>
          <w:ilvl w:val="0"/>
          <w:numId w:val="1088"/>
        </w:numPr>
        <w:pStyle w:val="Compact"/>
      </w:pPr>
      <w:r>
        <w:rPr>
          <w:bCs/>
          <w:b/>
        </w:rPr>
        <w:t xml:space="preserve">Participation</w:t>
      </w:r>
      <w:r>
        <w:t xml:space="preserve"> </w:t>
      </w:r>
      <w:r>
        <w:t xml:space="preserve">— affected people and groups should have meaningful channels (direct or through legitimate representation) to express interests and influence public decisions. Its actual quality depends on genuine access, adequate information, inclusiveness across different groups, real ability to influence the eventual decision, and feedback about what happened to the input provided — participation without feedback or real influence is participation in form only.</w:t>
      </w:r>
    </w:p>
    <w:p>
      <w:pPr>
        <w:numPr>
          <w:ilvl w:val="0"/>
          <w:numId w:val="1088"/>
        </w:numPr>
        <w:pStyle w:val="Compact"/>
      </w:pPr>
      <w:r>
        <w:rPr>
          <w:bCs/>
          <w:b/>
        </w:rPr>
        <w:t xml:space="preserve">Rule of law</w:t>
      </w:r>
      <w:r>
        <w:t xml:space="preserve"> </w:t>
      </w:r>
      <w:r>
        <w:t xml:space="preserve">— public authority should act strictly under law, rights should be protected, rules should be applied consistently to everyone, and lawful remedies should exist when authority is abused — developed in much greater depth as a specific governance indicator in Unit III below.</w:t>
      </w:r>
    </w:p>
    <w:p>
      <w:pPr>
        <w:numPr>
          <w:ilvl w:val="0"/>
          <w:numId w:val="1088"/>
        </w:numPr>
        <w:pStyle w:val="Compact"/>
      </w:pPr>
      <w:r>
        <w:rPr>
          <w:bCs/>
          <w:b/>
        </w:rPr>
        <w:t xml:space="preserve">Transparency</w:t>
      </w:r>
      <w:r>
        <w:t xml:space="preserve"> </w:t>
      </w:r>
      <w:r>
        <w:t xml:space="preserve">— relevant public information, procedures, and the reasons behind decisions should be accessible enough to allow genuine understanding and scrutiny, subject only to legitimate legal limits (protecting genuine privacy, security, or confidentiality needs) — transparency is bounded, not absolute.</w:t>
      </w:r>
    </w:p>
    <w:p>
      <w:pPr>
        <w:numPr>
          <w:ilvl w:val="0"/>
          <w:numId w:val="1088"/>
        </w:numPr>
        <w:pStyle w:val="Compact"/>
      </w:pPr>
      <w:r>
        <w:rPr>
          <w:bCs/>
          <w:b/>
        </w:rPr>
        <w:t xml:space="preserve">Responsiveness</w:t>
      </w:r>
      <w:r>
        <w:t xml:space="preserve"> </w:t>
      </w:r>
      <w:r>
        <w:t xml:space="preserve">— institutions should react to legitimate needs and complaints within a reasonable time, according to law and stated public priorities — importantly, this is not the same as unconditionally obeying every demand, since officials must also protect legality and the broader public interest (a point already made identically in the Public Administration chapter’s Bureaucratic Responsiveness topic).</w:t>
      </w:r>
    </w:p>
    <w:p>
      <w:pPr>
        <w:numPr>
          <w:ilvl w:val="0"/>
          <w:numId w:val="1088"/>
        </w:numPr>
        <w:pStyle w:val="Compact"/>
      </w:pPr>
      <w:r>
        <w:rPr>
          <w:bCs/>
          <w:b/>
        </w:rPr>
        <w:t xml:space="preserve">Equity</w:t>
      </w:r>
      <w:r>
        <w:t xml:space="preserve"> </w:t>
      </w:r>
      <w:r>
        <w:t xml:space="preserve">— governance should avoid arbitrary exclusion, and should weigh fairness in access, treatment, and the distribution of public opportunities and services.</w:t>
      </w:r>
    </w:p>
    <w:p>
      <w:pPr>
        <w:numPr>
          <w:ilvl w:val="0"/>
          <w:numId w:val="1088"/>
        </w:numPr>
        <w:pStyle w:val="Compact"/>
      </w:pPr>
      <w:r>
        <w:rPr>
          <w:bCs/>
          <w:b/>
        </w:rPr>
        <w:t xml:space="preserve">Effectiveness and efficiency</w:t>
      </w:r>
      <w:r>
        <w:t xml:space="preserve"> </w:t>
      </w:r>
      <w:r>
        <w:t xml:space="preserve">— effectiveness asks</w:t>
      </w:r>
      <w:r>
        <w:t xml:space="preserve"> </w:t>
      </w:r>
      <w:r>
        <w:t xml:space="preserve">“</w:t>
      </w:r>
      <w:r>
        <w:t xml:space="preserve">did we achieve the intended result?</w:t>
      </w:r>
      <w:r>
        <w:t xml:space="preserve">”</w:t>
      </w:r>
      <w:r>
        <w:t xml:space="preserve">; efficiency asks</w:t>
      </w:r>
      <w:r>
        <w:t xml:space="preserve"> </w:t>
      </w:r>
      <w:r>
        <w:t xml:space="preserve">“</w:t>
      </w:r>
      <w:r>
        <w:t xml:space="preserve">how much result did we obtain for the resources actually used?</w:t>
      </w:r>
      <w:r>
        <w:t xml:space="preserve">”</w:t>
      </w:r>
      <w:r>
        <w:t xml:space="preserve"> </w:t>
      </w:r>
      <w:r>
        <w:t xml:space="preserve">A frequently tested point: an organization can be highly efficient while pursuing entirely the wrong objective, which is precisely why</w:t>
      </w:r>
      <w:r>
        <w:t xml:space="preserve"> </w:t>
      </w:r>
      <w:r>
        <w:rPr>
          <w:bCs/>
          <w:b/>
        </w:rPr>
        <w:t xml:space="preserve">both</w:t>
      </w:r>
      <w:r>
        <w:t xml:space="preserve"> </w:t>
      </w:r>
      <w:r>
        <w:t xml:space="preserve">criteria matter together, not either alone.</w:t>
      </w:r>
    </w:p>
    <w:p>
      <w:pPr>
        <w:numPr>
          <w:ilvl w:val="0"/>
          <w:numId w:val="1088"/>
        </w:numPr>
        <w:pStyle w:val="Compact"/>
      </w:pPr>
      <w:r>
        <w:rPr>
          <w:bCs/>
          <w:b/>
        </w:rPr>
        <w:t xml:space="preserve">Accountability</w:t>
      </w:r>
      <w:r>
        <w:t xml:space="preserve"> </w:t>
      </w:r>
      <w:r>
        <w:t xml:space="preserve">— officials and institutions should be required to explain and justify their conduct to a body or to citizens capable of genuine review and, where appropriate, sanction — developed in much greater depth in Unit V below.</w:t>
      </w:r>
    </w:p>
    <w:p>
      <w:pPr>
        <w:numPr>
          <w:ilvl w:val="0"/>
          <w:numId w:val="1088"/>
        </w:numPr>
        <w:pStyle w:val="Compact"/>
      </w:pPr>
      <w:r>
        <w:rPr>
          <w:bCs/>
          <w:b/>
        </w:rPr>
        <w:t xml:space="preserve">Strategic vision</w:t>
      </w:r>
      <w:r>
        <w:t xml:space="preserve"> </w:t>
      </w:r>
      <w:r>
        <w:t xml:space="preserve">— governance should not be confined to reacting to immediate pressures; institutions need a genuinely long-term view of public challenges, their own capabilities, demographic and technological change, and the longer-term consequences of today’s decisions.</w:t>
      </w:r>
    </w:p>
    <w:bookmarkEnd w:id="237"/>
    <w:bookmarkStart w:id="238" w:name="X50d999a050569f1b9ad6af368616844922bf0bd"/>
    <w:p>
      <w:pPr>
        <w:pStyle w:val="Heading2"/>
      </w:pPr>
      <w:r>
        <w:rPr>
          <w:rStyle w:val="SectionNumber"/>
        </w:rPr>
        <w:t xml:space="preserve">22.4</w:t>
      </w:r>
      <w:r>
        <w:tab/>
      </w:r>
      <w:r>
        <w:t xml:space="preserve">Diagnosing Governance Collapse or Failure</w:t>
      </w:r>
    </w:p>
    <w:p>
      <w:pPr>
        <w:pStyle w:val="FirstParagraph"/>
      </w:pPr>
      <w:r>
        <w:t xml:space="preserve">Governance failure should be diagnosed through</w:t>
      </w:r>
      <w:r>
        <w:t xml:space="preserve"> </w:t>
      </w:r>
      <w:r>
        <w:rPr>
          <w:bCs/>
          <w:b/>
        </w:rPr>
        <w:t xml:space="preserve">evidence</w:t>
      </w:r>
      <w:r>
        <w:t xml:space="preserve">, not simply asserted as a label. Relevant evidence includes a demonstrated inability to provide core public services, persistent illegality, weak accountability mechanisms, genuine institutional breakdown, or a severe, evidenced loss of legitimacy or capacity. The syllabus’s important, frequently tested caution:</w:t>
      </w:r>
      <w:r>
        <w:t xml:space="preserve"> </w:t>
      </w:r>
      <w:r>
        <w:rPr>
          <w:bCs/>
          <w:b/>
        </w:rPr>
        <w:t xml:space="preserve">a single poor indicator on one specific governance dimension is not sufficient to establish total institutional failure</w:t>
      </w:r>
      <w:r>
        <w:t xml:space="preserve"> </w:t>
      </w:r>
      <w:r>
        <w:t xml:space="preserve">— genuine diagnosis requires converging evidence across capacity, legality, service delivery, accountability, and legitimacy together, and careless use of the label</w:t>
      </w:r>
      <w:r>
        <w:t xml:space="preserve"> </w:t>
      </w:r>
      <w:r>
        <w:t xml:space="preserve">“</w:t>
      </w:r>
      <w:r>
        <w:t xml:space="preserve">failed state</w:t>
      </w:r>
      <w:r>
        <w:t xml:space="preserve">”</w:t>
      </w:r>
      <w:r>
        <w:t xml:space="preserve"> </w:t>
      </w:r>
      <w:r>
        <w:t xml:space="preserve">or</w:t>
      </w:r>
      <w:r>
        <w:t xml:space="preserve"> </w:t>
      </w:r>
      <w:r>
        <w:t xml:space="preserve">“</w:t>
      </w:r>
      <w:r>
        <w:t xml:space="preserve">failed institution</w:t>
      </w:r>
      <w:r>
        <w:t xml:space="preserve">”</w:t>
      </w:r>
      <w:r>
        <w:t xml:space="preserve"> </w:t>
      </w:r>
      <w:r>
        <w:t xml:space="preserve">without this evidentiary basis is a common analytical error this unit specifically warns against.</w:t>
      </w:r>
    </w:p>
    <w:p>
      <w:pPr>
        <w:pStyle w:val="BodyText"/>
      </w:pPr>
      <w:r>
        <w:rPr>
          <w:bCs/>
          <w:b/>
        </w:rPr>
        <w:t xml:space="preserve">Key takeaways for Unit I</w:t>
      </w:r>
    </w:p>
    <w:p>
      <w:pPr>
        <w:numPr>
          <w:ilvl w:val="0"/>
          <w:numId w:val="1089"/>
        </w:numPr>
        <w:pStyle w:val="Compact"/>
      </w:pPr>
      <w:r>
        <w:t xml:space="preserve">Governance (the broader process) and government (the formal institution) are distinct — this distinction, introduced here, recurs throughout the subject and should be stated precisely whenever either term appears.</w:t>
      </w:r>
    </w:p>
    <w:p>
      <w:pPr>
        <w:numPr>
          <w:ilvl w:val="0"/>
          <w:numId w:val="1089"/>
        </w:numPr>
        <w:pStyle w:val="Compact"/>
      </w:pPr>
      <w:r>
        <w:t xml:space="preserve">Good governance’s characteristics are not independent checkboxes; several trade off against each other in practice (e.g., broad participation can slow the speed valued by responsiveness) — a sophisticated answer notes these tensions rather than listing characteristics as though they were always mutually reinforcing.</w:t>
      </w:r>
    </w:p>
    <w:p>
      <w:pPr>
        <w:numPr>
          <w:ilvl w:val="0"/>
          <w:numId w:val="1089"/>
        </w:numPr>
        <w:pStyle w:val="Compact"/>
      </w:pPr>
      <w:r>
        <w:t xml:space="preserve">Governance failure is a diagnosis requiring converging evidence across multiple dimensions, not a label applied on the strength of a single weak indicator.</w:t>
      </w:r>
    </w:p>
    <w:p>
      <w:r>
        <w:pict>
          <v:rect style="width:0;height:1.5pt" o:hralign="center" o:hrstd="t" o:hr="t"/>
        </w:pict>
      </w:r>
    </w:p>
    <w:bookmarkEnd w:id="238"/>
    <w:bookmarkEnd w:id="239"/>
    <w:bookmarkStart w:id="249" w:name="ii.-governance-theories"/>
    <w:p>
      <w:pPr>
        <w:pStyle w:val="Heading1"/>
      </w:pPr>
      <w:r>
        <w:rPr>
          <w:rStyle w:val="SectionNumber"/>
        </w:rPr>
        <w:t xml:space="preserve">23</w:t>
      </w:r>
      <w:r>
        <w:tab/>
      </w:r>
      <w:r>
        <w:t xml:space="preserve">II. Governance Theories</w:t>
      </w:r>
    </w:p>
    <w:bookmarkStart w:id="240" w:name="what-this-unit-is-about-18"/>
    <w:p>
      <w:pPr>
        <w:pStyle w:val="Heading2"/>
      </w:pPr>
      <w:r>
        <w:rPr>
          <w:rStyle w:val="SectionNumber"/>
        </w:rPr>
        <w:t xml:space="preserve">23.1</w:t>
      </w:r>
      <w:r>
        <w:tab/>
      </w:r>
      <w:r>
        <w:t xml:space="preserve">What This Unit Is About</w:t>
      </w:r>
    </w:p>
    <w:p>
      <w:pPr>
        <w:pStyle w:val="FirstParagraph"/>
      </w:pPr>
      <w:r>
        <w:t xml:space="preserve">Governance theories provide different explanatory lenses for how society should be governed, and how institutions, individuals, markets, and communities jointly shape collective outcomes. The recommended revision tool, given explicitly in the syllabus, is an eight-column comparison across all theories: view of the state, view of the individual/community, role of the market, source of power, coordination method, a genuine strength, a genuine criticism, and a practical application — the goal throughout is</w:t>
      </w:r>
      <w:r>
        <w:t xml:space="preserve"> </w:t>
      </w:r>
      <w:r>
        <w:rPr>
          <w:bCs/>
          <w:b/>
        </w:rPr>
        <w:t xml:space="preserve">conceptual clarity, not ideological advocacy</w:t>
      </w:r>
      <w:r>
        <w:t xml:space="preserve"> </w:t>
      </w:r>
      <w:r>
        <w:t xml:space="preserve">for any one theory over the others.</w:t>
      </w:r>
    </w:p>
    <w:bookmarkEnd w:id="240"/>
    <w:bookmarkStart w:id="241" w:name="communitarianism"/>
    <w:p>
      <w:pPr>
        <w:pStyle w:val="Heading2"/>
      </w:pPr>
      <w:r>
        <w:rPr>
          <w:rStyle w:val="SectionNumber"/>
        </w:rPr>
        <w:t xml:space="preserve">23.2</w:t>
      </w:r>
      <w:r>
        <w:tab/>
      </w:r>
      <w:r>
        <w:t xml:space="preserve">Communitarianism</w:t>
      </w:r>
    </w:p>
    <w:p>
      <w:pPr>
        <w:pStyle w:val="FirstParagraph"/>
      </w:pPr>
      <w:r>
        <w:t xml:space="preserve">Communitarian approaches emphasize that individuals are</w:t>
      </w:r>
      <w:r>
        <w:t xml:space="preserve"> </w:t>
      </w:r>
      <w:r>
        <w:rPr>
          <w:bCs/>
          <w:b/>
        </w:rPr>
        <w:t xml:space="preserve">socially embedded</w:t>
      </w:r>
      <w:r>
        <w:t xml:space="preserve"> </w:t>
      </w:r>
      <w:r>
        <w:t xml:space="preserve">— community bonds, shared values, and mutual social responsibilities matter alongside, not instead of, individual rights. Governance, on this view, should explicitly take collective bonds and shared community values into account, rather than treating governance purely as a matter of protecting individual rights and preferences in isolation from the surrounding community.</w:t>
      </w:r>
    </w:p>
    <w:bookmarkEnd w:id="241"/>
    <w:bookmarkStart w:id="242" w:name="decentered-theory"/>
    <w:p>
      <w:pPr>
        <w:pStyle w:val="Heading2"/>
      </w:pPr>
      <w:r>
        <w:rPr>
          <w:rStyle w:val="SectionNumber"/>
        </w:rPr>
        <w:t xml:space="preserve">23.3</w:t>
      </w:r>
      <w:r>
        <w:tab/>
      </w:r>
      <w:r>
        <w:t xml:space="preserve">Decentered Theory</w:t>
      </w:r>
    </w:p>
    <w:p>
      <w:pPr>
        <w:pStyle w:val="FirstParagraph"/>
      </w:pPr>
      <w:r>
        <w:t xml:space="preserve">Decentered governance theory focuses on the</w:t>
      </w:r>
      <w:r>
        <w:t xml:space="preserve"> </w:t>
      </w:r>
      <w:r>
        <w:rPr>
          <w:bCs/>
          <w:b/>
        </w:rPr>
        <w:t xml:space="preserve">beliefs, traditions, and everyday practices of diverse actors</w:t>
      </w:r>
      <w:r>
        <w:t xml:space="preserve">, rather than treating institutions as fixed structures that mechanically determine behaviour on their own. Its central insight: institutions genuinely influence behaviour, but actors continuously</w:t>
      </w:r>
      <w:r>
        <w:t xml:space="preserve"> </w:t>
      </w:r>
      <w:r>
        <w:rPr>
          <w:bCs/>
          <w:b/>
        </w:rPr>
        <w:t xml:space="preserve">interpret and reshape</w:t>
      </w:r>
      <w:r>
        <w:t xml:space="preserve"> </w:t>
      </w:r>
      <w:r>
        <w:t xml:space="preserve">those institutions through their own ongoing practice — governance is therefore never simply</w:t>
      </w:r>
      <w:r>
        <w:t xml:space="preserve"> </w:t>
      </w:r>
      <w:r>
        <w:t xml:space="preserve">“</w:t>
      </w:r>
      <w:r>
        <w:t xml:space="preserve">given</w:t>
      </w:r>
      <w:r>
        <w:t xml:space="preserve">”</w:t>
      </w:r>
      <w:r>
        <w:t xml:space="preserve"> </w:t>
      </w:r>
      <w:r>
        <w:t xml:space="preserve">by formal structure alone, but is continuously produced and reproduced through actors’ interpretive practice.</w:t>
      </w:r>
    </w:p>
    <w:bookmarkEnd w:id="242"/>
    <w:bookmarkStart w:id="243" w:name="libertarian-socialism"/>
    <w:p>
      <w:pPr>
        <w:pStyle w:val="Heading2"/>
      </w:pPr>
      <w:r>
        <w:rPr>
          <w:rStyle w:val="SectionNumber"/>
        </w:rPr>
        <w:t xml:space="preserve">23.4</w:t>
      </w:r>
      <w:r>
        <w:tab/>
      </w:r>
      <w:r>
        <w:t xml:space="preserve">Libertarian Socialism</w:t>
      </w:r>
    </w:p>
    <w:p>
      <w:pPr>
        <w:pStyle w:val="FirstParagraph"/>
      </w:pPr>
      <w:r>
        <w:t xml:space="preserve">Libertarian socialist thought combines</w:t>
      </w:r>
      <w:r>
        <w:t xml:space="preserve"> </w:t>
      </w:r>
      <w:r>
        <w:rPr>
          <w:bCs/>
          <w:b/>
        </w:rPr>
        <w:t xml:space="preserve">opposition to concentrated coercive authority</w:t>
      </w:r>
      <w:r>
        <w:t xml:space="preserve"> </w:t>
      </w:r>
      <w:r>
        <w:t xml:space="preserve">(rejecting both authoritarian state control and, distinctively, unchecked private concentrations of economic power) with support for</w:t>
      </w:r>
      <w:r>
        <w:t xml:space="preserve"> </w:t>
      </w:r>
      <w:r>
        <w:rPr>
          <w:bCs/>
          <w:b/>
        </w:rPr>
        <w:t xml:space="preserve">cooperative or socially owned arrangements</w:t>
      </w:r>
      <w:r>
        <w:t xml:space="preserve">, emphasizing decentralized self-management and voluntary association over both centralized state control and unregulated market hierarchy.</w:t>
      </w:r>
    </w:p>
    <w:bookmarkEnd w:id="243"/>
    <w:bookmarkStart w:id="244" w:name="institutionalism"/>
    <w:p>
      <w:pPr>
        <w:pStyle w:val="Heading2"/>
      </w:pPr>
      <w:r>
        <w:rPr>
          <w:rStyle w:val="SectionNumber"/>
        </w:rPr>
        <w:t xml:space="preserve">23.5</w:t>
      </w:r>
      <w:r>
        <w:tab/>
      </w:r>
      <w:r>
        <w:t xml:space="preserve">Institutionalism</w:t>
      </w:r>
    </w:p>
    <w:p>
      <w:pPr>
        <w:pStyle w:val="FirstParagraph"/>
      </w:pPr>
      <w:r>
        <w:t xml:space="preserve">Institutionalism explains governance outcomes through formal rules, informal norms, historical paths, and organizational structures — with three distinguishable schools, worth naming precisely:</w:t>
      </w:r>
    </w:p>
    <w:p>
      <w:pPr>
        <w:numPr>
          <w:ilvl w:val="0"/>
          <w:numId w:val="1090"/>
        </w:numPr>
        <w:pStyle w:val="Compact"/>
      </w:pPr>
      <w:r>
        <w:rPr>
          <w:bCs/>
          <w:b/>
        </w:rPr>
        <w:t xml:space="preserve">Historical institutionalism</w:t>
      </w:r>
      <w:r>
        <w:t xml:space="preserve"> </w:t>
      </w:r>
      <w:r>
        <w:t xml:space="preserve">stresses path dependence — how past institutional choices constrain and shape what is feasible later (echoing the path-dependence point made about administrative reform theory in the Public Administration chapter).</w:t>
      </w:r>
    </w:p>
    <w:p>
      <w:pPr>
        <w:numPr>
          <w:ilvl w:val="0"/>
          <w:numId w:val="1090"/>
        </w:numPr>
        <w:pStyle w:val="Compact"/>
      </w:pPr>
      <w:r>
        <w:rPr>
          <w:bCs/>
          <w:b/>
        </w:rPr>
        <w:t xml:space="preserve">Rational-choice institutionalism</w:t>
      </w:r>
      <w:r>
        <w:t xml:space="preserve"> </w:t>
      </w:r>
      <w:r>
        <w:t xml:space="preserve">stresses how institutions shape the incentives facing strategically self-interested actors.</w:t>
      </w:r>
    </w:p>
    <w:p>
      <w:pPr>
        <w:numPr>
          <w:ilvl w:val="0"/>
          <w:numId w:val="1090"/>
        </w:numPr>
        <w:pStyle w:val="Compact"/>
      </w:pPr>
      <w:r>
        <w:rPr>
          <w:bCs/>
          <w:b/>
        </w:rPr>
        <w:t xml:space="preserve">Sociological institutionalism</w:t>
      </w:r>
      <w:r>
        <w:t xml:space="preserve"> </w:t>
      </w:r>
      <w:r>
        <w:t xml:space="preserve">stresses norms, identities, and culturally appropriate behaviour — actors follow institutional templates partly because doing so is seen as appropriate or legitimate, not only because it is individually advantageous.</w:t>
      </w:r>
    </w:p>
    <w:bookmarkEnd w:id="244"/>
    <w:bookmarkStart w:id="245" w:name="marxism"/>
    <w:p>
      <w:pPr>
        <w:pStyle w:val="Heading2"/>
      </w:pPr>
      <w:r>
        <w:rPr>
          <w:rStyle w:val="SectionNumber"/>
        </w:rPr>
        <w:t xml:space="preserve">23.6</w:t>
      </w:r>
      <w:r>
        <w:tab/>
      </w:r>
      <w:r>
        <w:t xml:space="preserve">Marxism</w:t>
      </w:r>
    </w:p>
    <w:p>
      <w:pPr>
        <w:pStyle w:val="FirstParagraph"/>
      </w:pPr>
      <w:r>
        <w:t xml:space="preserve">Marxist approaches analyse governance through</w:t>
      </w:r>
      <w:r>
        <w:t xml:space="preserve"> </w:t>
      </w:r>
      <w:r>
        <w:rPr>
          <w:bCs/>
          <w:b/>
        </w:rPr>
        <w:t xml:space="preserve">class relations, ownership, and power within the political economy</w:t>
      </w:r>
      <w:r>
        <w:t xml:space="preserve">, generally viewing state institutions as shaped by (and reflecting) underlying economic structures and class conflicts, rather than as fully neutral arbiters standing above social interests. The analytical contribution worth naming precisely: Marxist analysis specifically</w:t>
      </w:r>
      <w:r>
        <w:t xml:space="preserve"> </w:t>
      </w:r>
      <w:r>
        <w:rPr>
          <w:bCs/>
          <w:b/>
        </w:rPr>
        <w:t xml:space="preserve">questions the claim that public institutions are fully neutral</w:t>
      </w:r>
      <w:r>
        <w:t xml:space="preserve"> </w:t>
      </w:r>
      <w:r>
        <w:t xml:space="preserve">between competing social interests — a genuinely distinct starting assumption from theories (like pluralist or institutionalist accounts) that treat the state as a more neutral arena.</w:t>
      </w:r>
    </w:p>
    <w:bookmarkEnd w:id="245"/>
    <w:bookmarkStart w:id="246" w:name="neoliberalism"/>
    <w:p>
      <w:pPr>
        <w:pStyle w:val="Heading2"/>
      </w:pPr>
      <w:r>
        <w:rPr>
          <w:rStyle w:val="SectionNumber"/>
        </w:rPr>
        <w:t xml:space="preserve">23.7</w:t>
      </w:r>
      <w:r>
        <w:tab/>
      </w:r>
      <w:r>
        <w:t xml:space="preserve">Neoliberalism</w:t>
      </w:r>
    </w:p>
    <w:p>
      <w:pPr>
        <w:pStyle w:val="FirstParagraph"/>
      </w:pPr>
      <w:r>
        <w:t xml:space="preserve">Neoliberal governance emphasizes markets, competition, private enterprise, contracting, and a state role oriented more toward</w:t>
      </w:r>
      <w:r>
        <w:t xml:space="preserve"> </w:t>
      </w:r>
      <w:r>
        <w:rPr>
          <w:bCs/>
          <w:b/>
        </w:rPr>
        <w:t xml:space="preserve">enabling and regulating</w:t>
      </w:r>
      <w:r>
        <w:t xml:space="preserve"> </w:t>
      </w:r>
      <w:r>
        <w:t xml:space="preserve">than toward direct production of goods and services — directly connecting to the New Public Management approach already covered in the Public Administration chapter’s Unit I. Its acknowledged criticisms, worth stating as a genuine counterweight in any balanced answer, concern inequality (market coordination can produce or worsen unequal outcomes), the erosion of non-market public values, and market failure (markets do not automatically produce socially optimal outcomes in every context, particularly for public goods).</w:t>
      </w:r>
    </w:p>
    <w:bookmarkEnd w:id="246"/>
    <w:bookmarkStart w:id="247" w:name="rational-choice-theory"/>
    <w:p>
      <w:pPr>
        <w:pStyle w:val="Heading2"/>
      </w:pPr>
      <w:r>
        <w:rPr>
          <w:rStyle w:val="SectionNumber"/>
        </w:rPr>
        <w:t xml:space="preserve">23.8</w:t>
      </w:r>
      <w:r>
        <w:tab/>
      </w:r>
      <w:r>
        <w:t xml:space="preserve">Rational Choice Theory</w:t>
      </w:r>
    </w:p>
    <w:p>
      <w:pPr>
        <w:pStyle w:val="FirstParagraph"/>
      </w:pPr>
      <w:r>
        <w:t xml:space="preserve">Rational choice theory explains behaviour by modelling actors as choosing among alternatives under specified incentives and constraints — directly paralleling Public Choice Theory from the Public Administration chapter’s Unit II, since public choice is essentially rational choice theory applied specifically to political and administrative actors. It is genuinely useful for analysing collective-action and principal-agent problems, but its acknowledged limitation, worth stating explicitly, is that it can oversimplify the role of values, identities, and bounded rationality (recall Herbert Simon’s concept from the Business Administration chapter) in actual human decision-making.</w:t>
      </w:r>
    </w:p>
    <w:bookmarkEnd w:id="247"/>
    <w:bookmarkStart w:id="248" w:name="regulation-theory"/>
    <w:p>
      <w:pPr>
        <w:pStyle w:val="Heading2"/>
      </w:pPr>
      <w:r>
        <w:rPr>
          <w:rStyle w:val="SectionNumber"/>
        </w:rPr>
        <w:t xml:space="preserve">23.9</w:t>
      </w:r>
      <w:r>
        <w:tab/>
      </w:r>
      <w:r>
        <w:t xml:space="preserve">Regulation Theory</w:t>
      </w:r>
    </w:p>
    <w:p>
      <w:pPr>
        <w:pStyle w:val="FirstParagraph"/>
      </w:pPr>
      <w:r>
        <w:t xml:space="preserve">Regulation theory studies why and how public authorities create rules, standards, and oversight mechanisms for economic and social activity — asking specifically</w:t>
      </w:r>
      <w:r>
        <w:t xml:space="preserve"> </w:t>
      </w:r>
      <w:r>
        <w:rPr>
          <w:iCs/>
          <w:i/>
        </w:rPr>
        <w:t xml:space="preserve">whose interests</w:t>
      </w:r>
      <w:r>
        <w:t xml:space="preserve"> </w:t>
      </w:r>
      <w:r>
        <w:t xml:space="preserve">regulation actually serves, how compliance is actually produced, and why regulation sometimes fails. Central problems it examines include</w:t>
      </w:r>
      <w:r>
        <w:t xml:space="preserve"> </w:t>
      </w:r>
      <w:r>
        <w:rPr>
          <w:bCs/>
          <w:b/>
        </w:rPr>
        <w:t xml:space="preserve">regulatory capture</w:t>
      </w:r>
      <w:r>
        <w:t xml:space="preserve"> </w:t>
      </w:r>
      <w:r>
        <w:t xml:space="preserve">(the regulated industry unduly influencing its own regulator — already introduced in the Public Administration chapter’s Unit X),</w:t>
      </w:r>
      <w:r>
        <w:t xml:space="preserve"> </w:t>
      </w:r>
      <w:r>
        <w:rPr>
          <w:bCs/>
          <w:b/>
        </w:rPr>
        <w:t xml:space="preserve">information asymmetry</w:t>
      </w:r>
      <w:r>
        <w:t xml:space="preserve"> </w:t>
      </w:r>
      <w:r>
        <w:t xml:space="preserve">(regulators typically knowing less about the regulated activity than the regulated parties themselves do), and genuine</w:t>
      </w:r>
      <w:r>
        <w:t xml:space="preserve"> </w:t>
      </w:r>
      <w:r>
        <w:rPr>
          <w:bCs/>
          <w:b/>
        </w:rPr>
        <w:t xml:space="preserve">enforcement capacity</w:t>
      </w:r>
      <w:r>
        <w:t xml:space="preserve"> </w:t>
      </w:r>
      <w:r>
        <w:t xml:space="preserve">constraints, alongside the constant underlying balance between necessary protection and avoidably excessive regulatory burden.</w:t>
      </w:r>
    </w:p>
    <w:p>
      <w:pPr>
        <w:pStyle w:val="BodyText"/>
      </w:pPr>
      <w:r>
        <w:rPr>
          <w:bCs/>
          <w:b/>
        </w:rPr>
        <w:t xml:space="preserve">Key takeaways for Unit II</w:t>
      </w:r>
    </w:p>
    <w:p>
      <w:pPr>
        <w:numPr>
          <w:ilvl w:val="0"/>
          <w:numId w:val="1091"/>
        </w:numPr>
        <w:pStyle w:val="Compact"/>
      </w:pPr>
      <w:r>
        <w:t xml:space="preserve">Use the eight-column comparison (state, individual/community, market, power source, coordination, strength, criticism, application) systematically across all seven theories — this structural discipline, more than memorizing any one theory’s definition alone, is what this unit actually rewards.</w:t>
      </w:r>
    </w:p>
    <w:p>
      <w:pPr>
        <w:numPr>
          <w:ilvl w:val="0"/>
          <w:numId w:val="1091"/>
        </w:numPr>
        <w:pStyle w:val="Compact"/>
      </w:pPr>
      <w:r>
        <w:t xml:space="preserve">Several theories here directly parallel concepts already introduced in the Public Administration chapter: neoliberalism parallels NPM, rational choice parallels public choice theory, and historical institutionalism’s path dependence parallels the reform-theory discussion — cross-referencing these connections strengthens an answer.</w:t>
      </w:r>
    </w:p>
    <w:p>
      <w:pPr>
        <w:numPr>
          <w:ilvl w:val="0"/>
          <w:numId w:val="1091"/>
        </w:numPr>
        <w:pStyle w:val="Compact"/>
      </w:pPr>
      <w:r>
        <w:t xml:space="preserve">The unit’s explicit instruction is conceptual clarity, not advocacy — a strong answer states each theory’s genuine strength</w:t>
      </w:r>
      <w:r>
        <w:t xml:space="preserve"> </w:t>
      </w:r>
      <w:r>
        <w:rPr>
          <w:iCs/>
          <w:i/>
        </w:rPr>
        <w:t xml:space="preserve">and</w:t>
      </w:r>
      <w:r>
        <w:t xml:space="preserve"> </w:t>
      </w:r>
      <w:r>
        <w:t xml:space="preserve">genuine criticism, never presenting one theory as simply correct and the others as simply wrong.</w:t>
      </w:r>
    </w:p>
    <w:p>
      <w:r>
        <w:pict>
          <v:rect style="width:0;height:1.5pt" o:hralign="center" o:hrstd="t" o:hr="t"/>
        </w:pict>
      </w:r>
    </w:p>
    <w:bookmarkEnd w:id="248"/>
    <w:bookmarkEnd w:id="249"/>
    <w:bookmarkStart w:id="253" w:name="X7fa90d81536ef5d4d17a3bf63f0778de011b2d8"/>
    <w:p>
      <w:pPr>
        <w:pStyle w:val="Heading1"/>
      </w:pPr>
      <w:r>
        <w:rPr>
          <w:rStyle w:val="SectionNumber"/>
        </w:rPr>
        <w:t xml:space="preserve">24</w:t>
      </w:r>
      <w:r>
        <w:tab/>
      </w:r>
      <w:r>
        <w:t xml:space="preserve">III. Governance Indicators and Their Application in Pakistan</w:t>
      </w:r>
    </w:p>
    <w:bookmarkStart w:id="250" w:name="what-this-unit-is-about-19"/>
    <w:p>
      <w:pPr>
        <w:pStyle w:val="Heading2"/>
      </w:pPr>
      <w:r>
        <w:rPr>
          <w:rStyle w:val="SectionNumber"/>
        </w:rPr>
        <w:t xml:space="preserve">24.1</w:t>
      </w:r>
      <w:r>
        <w:tab/>
      </w:r>
      <w:r>
        <w:t xml:space="preserve">What This Unit Is About</w:t>
      </w:r>
    </w:p>
    <w:p>
      <w:pPr>
        <w:pStyle w:val="FirstParagraph"/>
      </w:pPr>
      <w:r>
        <w:t xml:space="preserve">Governance indicators translate genuinely complex institutional qualities into measures that support comparison across countries and over time. They are useful precisely because they enable systematic diagnosis and comparison — but the syllabus’s central, repeated caution is that indicators necessarily</w:t>
      </w:r>
      <w:r>
        <w:t xml:space="preserve"> </w:t>
      </w:r>
      <w:r>
        <w:rPr>
          <w:bCs/>
          <w:b/>
        </w:rPr>
        <w:t xml:space="preserve">simplify</w:t>
      </w:r>
      <w:r>
        <w:t xml:space="preserve"> </w:t>
      </w:r>
      <w:r>
        <w:t xml:space="preserve">underlying institutional reality, and most of them (including the World Bank’s Worldwide Governance Indicators, the syllabus’s central reference framework) are substantially</w:t>
      </w:r>
      <w:r>
        <w:t xml:space="preserve"> </w:t>
      </w:r>
      <w:r>
        <w:rPr>
          <w:bCs/>
          <w:b/>
        </w:rPr>
        <w:t xml:space="preserve">perception-based</w:t>
      </w:r>
      <w:r>
        <w:t xml:space="preserve">, reflecting collected views from specified sources rather than direct, objective physical measurement — meaning methodology, margin of uncertainty, and the specific time period covered should always be considered before drawing firm conclusions from any single score or ranking.</w:t>
      </w:r>
    </w:p>
    <w:bookmarkEnd w:id="250"/>
    <w:bookmarkStart w:id="251" w:name="X88563f271504cbb397f59a6589ddc9b1521050c"/>
    <w:p>
      <w:pPr>
        <w:pStyle w:val="Heading2"/>
      </w:pPr>
      <w:r>
        <w:rPr>
          <w:rStyle w:val="SectionNumber"/>
        </w:rPr>
        <w:t xml:space="preserve">24.2</w:t>
      </w:r>
      <w:r>
        <w:tab/>
      </w:r>
      <w:r>
        <w:t xml:space="preserve">The Six Worldwide Governance Indicators (WGI)</w:t>
      </w:r>
    </w:p>
    <w:p>
      <w:pPr>
        <w:pStyle w:val="FirstParagraph"/>
      </w:pPr>
      <w:r>
        <w:t xml:space="preserve">The World Bank’s WGI framework organizes governance into six dimensions, and the syllabus’s explicit instruction is to learn these as genuine</w:t>
      </w:r>
      <w:r>
        <w:t xml:space="preserve"> </w:t>
      </w:r>
      <w:r>
        <w:rPr>
          <w:bCs/>
          <w:b/>
        </w:rPr>
        <w:t xml:space="preserve">concepts</w:t>
      </w:r>
      <w:r>
        <w:t xml:space="preserve">, not merely as memorized labels:</w:t>
      </w:r>
    </w:p>
    <w:p>
      <w:pPr>
        <w:numPr>
          <w:ilvl w:val="0"/>
          <w:numId w:val="1092"/>
        </w:numPr>
        <w:pStyle w:val="Compact"/>
      </w:pPr>
      <w:r>
        <w:rPr>
          <w:bCs/>
          <w:b/>
        </w:rPr>
        <w:t xml:space="preserve">Voice and Accountability</w:t>
      </w:r>
      <w:r>
        <w:t xml:space="preserve"> </w:t>
      </w:r>
      <w:r>
        <w:t xml:space="preserve">— citizens’ ability to participate in selecting their government, and the broader environment for freedoms of expression, association, and media.</w:t>
      </w:r>
    </w:p>
    <w:p>
      <w:pPr>
        <w:numPr>
          <w:ilvl w:val="0"/>
          <w:numId w:val="1092"/>
        </w:numPr>
        <w:pStyle w:val="Compact"/>
      </w:pPr>
      <w:r>
        <w:rPr>
          <w:bCs/>
          <w:b/>
        </w:rPr>
        <w:t xml:space="preserve">Political Stability and Absence of Violence/Terrorism</w:t>
      </w:r>
      <w:r>
        <w:t xml:space="preserve"> </w:t>
      </w:r>
      <w:r>
        <w:t xml:space="preserve">— perceptions of the likelihood of political instability and politically motivated violence; the syllabus specifically cautions this should</w:t>
      </w:r>
      <w:r>
        <w:t xml:space="preserve"> </w:t>
      </w:r>
      <w:r>
        <w:rPr>
          <w:bCs/>
          <w:b/>
        </w:rPr>
        <w:t xml:space="preserve">not</w:t>
      </w:r>
      <w:r>
        <w:t xml:space="preserve"> </w:t>
      </w:r>
      <w:r>
        <w:t xml:space="preserve">be treated as a comprehensive security index, since it captures perceived likelihood of specific political-violence risks rather than the full range of security conditions a country might face.</w:t>
      </w:r>
    </w:p>
    <w:p>
      <w:pPr>
        <w:numPr>
          <w:ilvl w:val="0"/>
          <w:numId w:val="1092"/>
        </w:numPr>
        <w:pStyle w:val="Compact"/>
      </w:pPr>
      <w:r>
        <w:rPr>
          <w:bCs/>
          <w:b/>
        </w:rPr>
        <w:t xml:space="preserve">Government Effectiveness</w:t>
      </w:r>
      <w:r>
        <w:t xml:space="preserve"> </w:t>
      </w:r>
      <w:r>
        <w:t xml:space="preserve">— the quality of public services, the quality and independence of the civil service, the quality of policy formulation and implementation, and the credibility of the government’s commitment to its stated policies.</w:t>
      </w:r>
    </w:p>
    <w:p>
      <w:pPr>
        <w:numPr>
          <w:ilvl w:val="0"/>
          <w:numId w:val="1092"/>
        </w:numPr>
        <w:pStyle w:val="Compact"/>
      </w:pPr>
      <w:r>
        <w:rPr>
          <w:bCs/>
          <w:b/>
        </w:rPr>
        <w:t xml:space="preserve">Regulatory Quality</w:t>
      </w:r>
      <w:r>
        <w:t xml:space="preserve"> </w:t>
      </w:r>
      <w:r>
        <w:t xml:space="preserve">— government’s ability to formulate and implement sound policies and regulations that genuinely enable (rather than needlessly obstruct) private-sector activity.</w:t>
      </w:r>
    </w:p>
    <w:p>
      <w:pPr>
        <w:numPr>
          <w:ilvl w:val="0"/>
          <w:numId w:val="1092"/>
        </w:numPr>
        <w:pStyle w:val="Compact"/>
      </w:pPr>
      <w:r>
        <w:rPr>
          <w:bCs/>
          <w:b/>
        </w:rPr>
        <w:t xml:space="preserve">Rule of Law</w:t>
      </w:r>
      <w:r>
        <w:t xml:space="preserve"> </w:t>
      </w:r>
      <w:r>
        <w:t xml:space="preserve">— confidence in and actual adherence to society’s rules, including contract enforcement, property rights, and the quality of the police and courts. The syllabus’s important clarifying point: rule of law is broader than merely</w:t>
      </w:r>
      <w:r>
        <w:t xml:space="preserve"> </w:t>
      </w:r>
      <w:r>
        <w:t xml:space="preserve">“</w:t>
      </w:r>
      <w:r>
        <w:t xml:space="preserve">having laws on the books</w:t>
      </w:r>
      <w:r>
        <w:t xml:space="preserve">”</w:t>
      </w:r>
      <w:r>
        <w:t xml:space="preserve"> </w:t>
      </w:r>
      <w:r>
        <w:t xml:space="preserve">— it also concerns genuine legality in practice, fair procedure, protected rights, and functioning institutional enforcement of those rights.</w:t>
      </w:r>
    </w:p>
    <w:p>
      <w:pPr>
        <w:numPr>
          <w:ilvl w:val="0"/>
          <w:numId w:val="1092"/>
        </w:numPr>
        <w:pStyle w:val="Compact"/>
      </w:pPr>
      <w:r>
        <w:rPr>
          <w:bCs/>
          <w:b/>
        </w:rPr>
        <w:t xml:space="preserve">Control of Corruption</w:t>
      </w:r>
      <w:r>
        <w:t xml:space="preserve"> </w:t>
      </w:r>
      <w:r>
        <w:t xml:space="preserve">— perceptions of the extent to which public power is exercised for private gain, spanning both petty corruption (small-scale, everyday bribery) and grand corruption (large-scale capture of policy or institutions by narrow private interests).</w:t>
      </w:r>
    </w:p>
    <w:bookmarkEnd w:id="251"/>
    <w:bookmarkStart w:id="252" w:name="applying-wgi-data-to-pakistan"/>
    <w:p>
      <w:pPr>
        <w:pStyle w:val="Heading2"/>
      </w:pPr>
      <w:r>
        <w:rPr>
          <w:rStyle w:val="SectionNumber"/>
        </w:rPr>
        <w:t xml:space="preserve">24.3</w:t>
      </w:r>
      <w:r>
        <w:tab/>
      </w:r>
      <w:r>
        <w:t xml:space="preserve">Applying WGI Data to Pakistan</w:t>
      </w:r>
    </w:p>
    <w:p>
      <w:pPr>
        <w:pStyle w:val="FirstParagraph"/>
      </w:pPr>
      <w:r>
        <w:t xml:space="preserve">Because WGI scores and percentile rankings are updated periodically, any specific claim about Pakistan’s current standing on any of these six dimensions should be obtained directly from the</w:t>
      </w:r>
      <w:r>
        <w:t xml:space="preserve"> </w:t>
      </w:r>
      <w:r>
        <w:rPr>
          <w:bCs/>
          <w:b/>
        </w:rPr>
        <w:t xml:space="preserve">current</w:t>
      </w:r>
      <w:r>
        <w:t xml:space="preserve"> </w:t>
      </w:r>
      <w:r>
        <w:t xml:space="preserve">World Bank WGI data release rather than from potentially outdated prior notes or secondary summaries — a specific, repeated instruction throughout this unit that reflects the general non-fabrication and currency-verification principle running through this entire chapter.</w:t>
      </w:r>
    </w:p>
    <w:p>
      <w:pPr>
        <w:pStyle w:val="BodyText"/>
      </w:pPr>
      <w:r>
        <w:rPr>
          <w:bCs/>
          <w:b/>
        </w:rPr>
        <w:t xml:space="preserve">Key takeaways for Unit III</w:t>
      </w:r>
    </w:p>
    <w:p>
      <w:pPr>
        <w:numPr>
          <w:ilvl w:val="0"/>
          <w:numId w:val="1093"/>
        </w:numPr>
        <w:pStyle w:val="Compact"/>
      </w:pPr>
      <w:r>
        <w:t xml:space="preserve">All six WGI dimensions should be understood as genuine concepts (what each dimension is actually trying to measure and why) rather than as a memorized list of six labels — the exam rewards demonstrating understanding of what each dimension captures and what it does not.</w:t>
      </w:r>
    </w:p>
    <w:p>
      <w:pPr>
        <w:numPr>
          <w:ilvl w:val="0"/>
          <w:numId w:val="1093"/>
        </w:numPr>
        <w:pStyle w:val="Compact"/>
      </w:pPr>
      <w:r>
        <w:t xml:space="preserve">Because these are substantially perception-based indicators, any specific score or ranking cited should be treated as informative but imprecise, and attributed to its specific data release and time period rather than presented as an unchanging fact.</w:t>
      </w:r>
    </w:p>
    <w:p>
      <w:pPr>
        <w:numPr>
          <w:ilvl w:val="0"/>
          <w:numId w:val="1093"/>
        </w:numPr>
        <w:pStyle w:val="Compact"/>
      </w:pPr>
      <w:r>
        <w:t xml:space="preserve">Rule of law (as a WGI dimension) is broader than the mere existence of laws — it requires actual adherence, fair procedure, and functioning enforcement, directly paralleling the fuller rule-of-law discussion in Unit I above.</w:t>
      </w:r>
    </w:p>
    <w:p>
      <w:r>
        <w:pict>
          <v:rect style="width:0;height:1.5pt" o:hralign="center" o:hrstd="t" o:hr="t"/>
        </w:pict>
      </w:r>
    </w:p>
    <w:bookmarkEnd w:id="252"/>
    <w:bookmarkEnd w:id="253"/>
    <w:bookmarkStart w:id="259" w:name="Xf30c1de6da1ca1e3fe7a28a61e8373bd0e7a79f"/>
    <w:p>
      <w:pPr>
        <w:pStyle w:val="Heading1"/>
      </w:pPr>
      <w:r>
        <w:rPr>
          <w:rStyle w:val="SectionNumber"/>
        </w:rPr>
        <w:t xml:space="preserve">25</w:t>
      </w:r>
      <w:r>
        <w:tab/>
      </w:r>
      <w:r>
        <w:t xml:space="preserve">IV. Public Policy and Planning Institutions and Their Role in Planning</w:t>
      </w:r>
    </w:p>
    <w:bookmarkStart w:id="254" w:name="what-this-unit-is-about-20"/>
    <w:p>
      <w:pPr>
        <w:pStyle w:val="Heading2"/>
      </w:pPr>
      <w:r>
        <w:rPr>
          <w:rStyle w:val="SectionNumber"/>
        </w:rPr>
        <w:t xml:space="preserve">25.1</w:t>
      </w:r>
      <w:r>
        <w:tab/>
      </w:r>
      <w:r>
        <w:t xml:space="preserve">What This Unit Is About</w:t>
      </w:r>
    </w:p>
    <w:p>
      <w:pPr>
        <w:pStyle w:val="FirstParagraph"/>
      </w:pPr>
      <w:r>
        <w:t xml:space="preserve">Public policy in Pakistan is never produced by a single office — it moves through a chain of ministries/divisions, planning and finance scrutiny, and cabinet-level coordination mechanisms, at both federal and subnational levels. The recommended way to hold this unit together, per the syllabus, is a flowchart:</w:t>
      </w:r>
      <w:r>
        <w:t xml:space="preserve"> </w:t>
      </w:r>
      <w:r>
        <w:rPr>
          <w:bCs/>
          <w:b/>
        </w:rPr>
        <w:t xml:space="preserve">proposal → ministry/division → planning/finance scrutiny → coordination/cabinet mechanism → approval → implementation → monitoring</w:t>
      </w:r>
      <w:r>
        <w:t xml:space="preserve">. Because institutional names, composition, and procedures can be revised through official notification, any specific contemporary claim about a named institution’s current mandate should be checked against current official Rules of Business and government sources rather than relied on from memory alone.</w:t>
      </w:r>
    </w:p>
    <w:bookmarkEnd w:id="254"/>
    <w:bookmarkStart w:id="255" w:name="Xffdb98167d08f395d9156251df90e54a6c81c52"/>
    <w:p>
      <w:pPr>
        <w:pStyle w:val="Heading2"/>
      </w:pPr>
      <w:r>
        <w:rPr>
          <w:rStyle w:val="SectionNumber"/>
        </w:rPr>
        <w:t xml:space="preserve">25.2</w:t>
      </w:r>
      <w:r>
        <w:tab/>
      </w:r>
      <w:r>
        <w:t xml:space="preserve">The Institutional Chain: A Unified Analytical Frame</w:t>
      </w:r>
    </w:p>
    <w:p>
      <w:pPr>
        <w:pStyle w:val="FirstParagraph"/>
      </w:pPr>
      <w:r>
        <w:t xml:space="preserve">Rather than treating each institution below as an isolated definition, the syllabus asks that institutional analysis consistently distinguish</w:t>
      </w:r>
      <w:r>
        <w:t xml:space="preserve"> </w:t>
      </w:r>
      <w:r>
        <w:rPr>
          <w:bCs/>
          <w:b/>
        </w:rPr>
        <w:t xml:space="preserve">five different kinds of role</w:t>
      </w:r>
      <w:r>
        <w:t xml:space="preserve"> </w:t>
      </w:r>
      <w:r>
        <w:t xml:space="preserve">any given body might play at a given stage:</w:t>
      </w:r>
      <w:r>
        <w:t xml:space="preserve"> </w:t>
      </w:r>
      <w:r>
        <w:rPr>
          <w:bCs/>
          <w:b/>
        </w:rPr>
        <w:t xml:space="preserve">political decision</w:t>
      </w:r>
      <w:r>
        <w:t xml:space="preserve"> </w:t>
      </w:r>
      <w:r>
        <w:t xml:space="preserve">(elected leadership setting direction),</w:t>
      </w:r>
      <w:r>
        <w:t xml:space="preserve"> </w:t>
      </w:r>
      <w:r>
        <w:rPr>
          <w:bCs/>
          <w:b/>
        </w:rPr>
        <w:t xml:space="preserve">administrative coordination</w:t>
      </w:r>
      <w:r>
        <w:t xml:space="preserve"> </w:t>
      </w:r>
      <w:r>
        <w:t xml:space="preserve">(aligning multiple departments/divisions),</w:t>
      </w:r>
      <w:r>
        <w:t xml:space="preserve"> </w:t>
      </w:r>
      <w:r>
        <w:rPr>
          <w:bCs/>
          <w:b/>
        </w:rPr>
        <w:t xml:space="preserve">financial scrutiny</w:t>
      </w:r>
      <w:r>
        <w:t xml:space="preserve"> </w:t>
      </w:r>
      <w:r>
        <w:t xml:space="preserve">(assessing cost and fiscal feasibility),</w:t>
      </w:r>
      <w:r>
        <w:t xml:space="preserve"> </w:t>
      </w:r>
      <w:r>
        <w:rPr>
          <w:bCs/>
          <w:b/>
        </w:rPr>
        <w:t xml:space="preserve">planning/appraisal</w:t>
      </w:r>
      <w:r>
        <w:t xml:space="preserve"> </w:t>
      </w:r>
      <w:r>
        <w:t xml:space="preserve">(assessing a project’s technical and developmental merit), and</w:t>
      </w:r>
      <w:r>
        <w:t xml:space="preserve"> </w:t>
      </w:r>
      <w:r>
        <w:rPr>
          <w:bCs/>
          <w:b/>
        </w:rPr>
        <w:t xml:space="preserve">implementation</w:t>
      </w:r>
      <w:r>
        <w:t xml:space="preserve"> </w:t>
      </w:r>
      <w:r>
        <w:t xml:space="preserve">(actual execution). Applying this five-role frame to each institution below is what turns a list of acronyms into genuine institutional analysis.</w:t>
      </w:r>
    </w:p>
    <w:p>
      <w:pPr>
        <w:numPr>
          <w:ilvl w:val="0"/>
          <w:numId w:val="1094"/>
        </w:numPr>
        <w:pStyle w:val="Compact"/>
      </w:pPr>
      <w:r>
        <w:rPr>
          <w:bCs/>
          <w:b/>
        </w:rPr>
        <w:t xml:space="preserve">ECNEC (Executive Committee of the National Economic Council)</w:t>
      </w:r>
      <w:r>
        <w:t xml:space="preserve"> </w:t>
      </w:r>
      <w:r>
        <w:t xml:space="preserve">is a high-level forum for major economic and development decisions within the constitutional planning framework — primarily a</w:t>
      </w:r>
      <w:r>
        <w:t xml:space="preserve"> </w:t>
      </w:r>
      <w:r>
        <w:rPr>
          <w:bCs/>
          <w:b/>
        </w:rPr>
        <w:t xml:space="preserve">planning/appraisal and approval</w:t>
      </w:r>
      <w:r>
        <w:t xml:space="preserve"> </w:t>
      </w:r>
      <w:r>
        <w:t xml:space="preserve">role for significant development projects.</w:t>
      </w:r>
    </w:p>
    <w:p>
      <w:pPr>
        <w:numPr>
          <w:ilvl w:val="0"/>
          <w:numId w:val="1094"/>
        </w:numPr>
        <w:pStyle w:val="Compact"/>
      </w:pPr>
      <w:r>
        <w:rPr>
          <w:bCs/>
          <w:b/>
        </w:rPr>
        <w:t xml:space="preserve">ECC (Economic Coordination Committee of the Cabinet)</w:t>
      </w:r>
      <w:r>
        <w:t xml:space="preserve"> </w:t>
      </w:r>
      <w:r>
        <w:t xml:space="preserve">is a cabinet committee used for important economic coordination and decisions — primarily an</w:t>
      </w:r>
      <w:r>
        <w:t xml:space="preserve"> </w:t>
      </w:r>
      <w:r>
        <w:rPr>
          <w:bCs/>
          <w:b/>
        </w:rPr>
        <w:t xml:space="preserve">administrative coordination</w:t>
      </w:r>
      <w:r>
        <w:t xml:space="preserve"> </w:t>
      </w:r>
      <w:r>
        <w:t xml:space="preserve">role for economic policy matters requiring cross-ministerial alignment.</w:t>
      </w:r>
    </w:p>
    <w:p>
      <w:pPr>
        <w:numPr>
          <w:ilvl w:val="0"/>
          <w:numId w:val="1094"/>
        </w:numPr>
        <w:pStyle w:val="Compact"/>
      </w:pPr>
      <w:r>
        <w:rPr>
          <w:bCs/>
          <w:b/>
        </w:rPr>
        <w:t xml:space="preserve">The Federal Cabinet</w:t>
      </w:r>
      <w:r>
        <w:t xml:space="preserve"> </w:t>
      </w:r>
      <w:r>
        <w:t xml:space="preserve">provides collective executive decision-making and political direction at the federal level, under the Constitution and the Rules of Business — the clearest example of the</w:t>
      </w:r>
      <w:r>
        <w:t xml:space="preserve"> </w:t>
      </w:r>
      <w:r>
        <w:rPr>
          <w:bCs/>
          <w:b/>
        </w:rPr>
        <w:t xml:space="preserve">political decision</w:t>
      </w:r>
      <w:r>
        <w:t xml:space="preserve"> </w:t>
      </w:r>
      <w:r>
        <w:t xml:space="preserve">role in this chain.</w:t>
      </w:r>
    </w:p>
    <w:p>
      <w:pPr>
        <w:numPr>
          <w:ilvl w:val="0"/>
          <w:numId w:val="1094"/>
        </w:numPr>
        <w:pStyle w:val="Compact"/>
      </w:pPr>
      <w:r>
        <w:rPr>
          <w:bCs/>
          <w:b/>
        </w:rPr>
        <w:t xml:space="preserve">The Secretaries Committee</w:t>
      </w:r>
      <w:r>
        <w:t xml:space="preserve"> </w:t>
      </w:r>
      <w:r>
        <w:t xml:space="preserve">supports senior administrative coordination across divisions on cross-cutting government business — an</w:t>
      </w:r>
      <w:r>
        <w:t xml:space="preserve"> </w:t>
      </w:r>
      <w:r>
        <w:rPr>
          <w:bCs/>
          <w:b/>
        </w:rPr>
        <w:t xml:space="preserve">administrative coordination</w:t>
      </w:r>
      <w:r>
        <w:t xml:space="preserve"> </w:t>
      </w:r>
      <w:r>
        <w:t xml:space="preserve">role at the bureaucratic (rather than political) level.</w:t>
      </w:r>
    </w:p>
    <w:p>
      <w:pPr>
        <w:numPr>
          <w:ilvl w:val="0"/>
          <w:numId w:val="1094"/>
        </w:numPr>
        <w:pStyle w:val="Compact"/>
      </w:pPr>
      <w:r>
        <w:rPr>
          <w:bCs/>
          <w:b/>
        </w:rPr>
        <w:t xml:space="preserve">The Prime Minister’s Secretariat/Office</w:t>
      </w:r>
      <w:r>
        <w:t xml:space="preserve"> </w:t>
      </w:r>
      <w:r>
        <w:t xml:space="preserve">supports the head of government in coordination, decision follow-up, and executive work — again primarily</w:t>
      </w:r>
      <w:r>
        <w:t xml:space="preserve"> </w:t>
      </w:r>
      <w:r>
        <w:rPr>
          <w:bCs/>
          <w:b/>
        </w:rPr>
        <w:t xml:space="preserve">administrative coordination</w:t>
      </w:r>
      <w:r>
        <w:t xml:space="preserve">, in direct support of the political decision-maker.</w:t>
      </w:r>
    </w:p>
    <w:p>
      <w:pPr>
        <w:numPr>
          <w:ilvl w:val="0"/>
          <w:numId w:val="1094"/>
        </w:numPr>
        <w:pStyle w:val="Compact"/>
      </w:pPr>
      <w:r>
        <w:rPr>
          <w:bCs/>
          <w:b/>
        </w:rPr>
        <w:t xml:space="preserve">The Planning Commission</w:t>
      </w:r>
      <w:r>
        <w:t xml:space="preserve"> </w:t>
      </w:r>
      <w:r>
        <w:t xml:space="preserve">(or Planning Ministry framework) supports national development planning, project appraisal, coordination, and monitoring — the clearest example of the</w:t>
      </w:r>
      <w:r>
        <w:t xml:space="preserve"> </w:t>
      </w:r>
      <w:r>
        <w:rPr>
          <w:bCs/>
          <w:b/>
        </w:rPr>
        <w:t xml:space="preserve">planning/appraisal</w:t>
      </w:r>
      <w:r>
        <w:t xml:space="preserve"> </w:t>
      </w:r>
      <w:r>
        <w:t xml:space="preserve">role, feeding technically-assessed proposals up toward ECNEC for approval.</w:t>
      </w:r>
    </w:p>
    <w:p>
      <w:pPr>
        <w:numPr>
          <w:ilvl w:val="0"/>
          <w:numId w:val="1094"/>
        </w:numPr>
        <w:pStyle w:val="Compact"/>
      </w:pPr>
      <w:r>
        <w:rPr>
          <w:bCs/>
          <w:b/>
        </w:rPr>
        <w:t xml:space="preserve">The Finance Division</w:t>
      </w:r>
      <w:r>
        <w:t xml:space="preserve"> </w:t>
      </w:r>
      <w:r>
        <w:t xml:space="preserve">leads core federal fiscal, budgetary, and financial-management functions, interacting closely with policy and planning decisions — the clearest example of the</w:t>
      </w:r>
      <w:r>
        <w:t xml:space="preserve"> </w:t>
      </w:r>
      <w:r>
        <w:rPr>
          <w:bCs/>
          <w:b/>
        </w:rPr>
        <w:t xml:space="preserve">financial scrutiny</w:t>
      </w:r>
      <w:r>
        <w:t xml:space="preserve"> </w:t>
      </w:r>
      <w:r>
        <w:t xml:space="preserve">role, since virtually no policy proposal can proceed without its fiscal implications being assessed here.</w:t>
      </w:r>
    </w:p>
    <w:p>
      <w:pPr>
        <w:numPr>
          <w:ilvl w:val="0"/>
          <w:numId w:val="1094"/>
        </w:numPr>
        <w:pStyle w:val="Compact"/>
      </w:pPr>
      <w:r>
        <w:rPr>
          <w:bCs/>
          <w:b/>
        </w:rPr>
        <w:t xml:space="preserve">The Cabinet Division</w:t>
      </w:r>
      <w:r>
        <w:t xml:space="preserve"> </w:t>
      </w:r>
      <w:r>
        <w:t xml:space="preserve">supports cabinet business, the Rules of Business themselves, and coordination functions assigned under the federal administrative framework — a specifically procedural coordination role, distinct from the Secretaries Committee’s cross-divisional coordination.</w:t>
      </w:r>
    </w:p>
    <w:p>
      <w:pPr>
        <w:numPr>
          <w:ilvl w:val="0"/>
          <w:numId w:val="1094"/>
        </w:numPr>
        <w:pStyle w:val="Compact"/>
      </w:pPr>
      <w:r>
        <w:rPr>
          <w:bCs/>
          <w:b/>
        </w:rPr>
        <w:t xml:space="preserve">Federal (line) ministries</w:t>
      </w:r>
      <w:r>
        <w:t xml:space="preserve"> </w:t>
      </w:r>
      <w:r>
        <w:t xml:space="preserve">develop and implement policy within their own allocated subjects, preparing proposals and managing programs subject to law, budget, and cabinet-level coordination — the origin point of most proposals entering the chain, and also the primary</w:t>
      </w:r>
      <w:r>
        <w:t xml:space="preserve"> </w:t>
      </w:r>
      <w:r>
        <w:rPr>
          <w:bCs/>
          <w:b/>
        </w:rPr>
        <w:t xml:space="preserve">implementation</w:t>
      </w:r>
      <w:r>
        <w:t xml:space="preserve"> </w:t>
      </w:r>
      <w:r>
        <w:t xml:space="preserve">actor once approval is granted.</w:t>
      </w:r>
    </w:p>
    <w:bookmarkEnd w:id="255"/>
    <w:bookmarkStart w:id="256" w:name="Xfbd83ba17d82d9011f8d69dddaedc6ff578c64f"/>
    <w:p>
      <w:pPr>
        <w:pStyle w:val="Heading2"/>
      </w:pPr>
      <w:r>
        <w:rPr>
          <w:rStyle w:val="SectionNumber"/>
        </w:rPr>
        <w:t xml:space="preserve">25.3</w:t>
      </w:r>
      <w:r>
        <w:tab/>
      </w:r>
      <w:r>
        <w:t xml:space="preserve">Strategic Planning Across Levels of Government</w:t>
      </w:r>
    </w:p>
    <w:p>
      <w:pPr>
        <w:pStyle w:val="FirstParagraph"/>
      </w:pPr>
      <w:r>
        <w:t xml:space="preserve">Strategic planning converts long-term priorities into concrete objectives, programs, allocated resources, and ongoing performance monitoring — directly paralleling the strategic planning material already covered in the Public Administration chapter’s Unit III. The key added principle here:</w:t>
      </w:r>
      <w:r>
        <w:t xml:space="preserve"> </w:t>
      </w:r>
      <w:r>
        <w:rPr>
          <w:bCs/>
          <w:b/>
        </w:rPr>
        <w:t xml:space="preserve">each level of government (federal, provincial, local) should plan within its own constitutional/legal responsibilities and actual administrative capacity</w:t>
      </w:r>
      <w:r>
        <w:t xml:space="preserve"> </w:t>
      </w:r>
      <w:r>
        <w:t xml:space="preserve">— a federal-level strategic plan that assumes provincial implementation capacity it does not actually possess will fail at the implementation stage regardless of how sound the plan looks on paper, echoing the implementation-gap analysis already developed in the Public Administration chapter.</w:t>
      </w:r>
    </w:p>
    <w:bookmarkEnd w:id="256"/>
    <w:bookmarkStart w:id="257" w:name="Xb919812e4f29284e84521a7e7bb9aaeaa464f70"/>
    <w:p>
      <w:pPr>
        <w:pStyle w:val="Heading2"/>
      </w:pPr>
      <w:r>
        <w:rPr>
          <w:rStyle w:val="SectionNumber"/>
        </w:rPr>
        <w:t xml:space="preserve">25.4</w:t>
      </w:r>
      <w:r>
        <w:tab/>
      </w:r>
      <w:r>
        <w:t xml:space="preserve">The Role of International Donors in Policy Formulation</w:t>
      </w:r>
    </w:p>
    <w:p>
      <w:pPr>
        <w:pStyle w:val="FirstParagraph"/>
      </w:pPr>
      <w:r>
        <w:t xml:space="preserve">Donors and international financial institutions can influence policy through direct finance, technical assistance, attached policy conditions, and independent analytical work — the same benefits-and-concerns analysis already introduced in the Public Administration chapter’s Unit III (domestic ownership, sustainability, local institutional fit, transparency, and whether conditionality genuinely improves or unduly constrains policy choice). The syllabus specifically names the</w:t>
      </w:r>
      <w:r>
        <w:t xml:space="preserve"> </w:t>
      </w:r>
      <w:r>
        <w:rPr>
          <w:bCs/>
          <w:b/>
        </w:rPr>
        <w:t xml:space="preserve">IMF Memorandum on Economic and Financial Policies 2013/14–2015/16</w:t>
      </w:r>
      <w:r>
        <w:t xml:space="preserve"> </w:t>
      </w:r>
      <w:r>
        <w:t xml:space="preserve">as a study reference — this should be treated explicitly as a</w:t>
      </w:r>
      <w:r>
        <w:t xml:space="preserve"> </w:t>
      </w:r>
      <w:r>
        <w:rPr>
          <w:bCs/>
          <w:b/>
        </w:rPr>
        <w:t xml:space="preserve">historical document</w:t>
      </w:r>
      <w:r>
        <w:t xml:space="preserve"> </w:t>
      </w:r>
      <w:r>
        <w:t xml:space="preserve">illustrating how such conditionality frameworks are structured, not as a description of any current program, since IMF programs and their specific conditions are periodically renegotiated.</w:t>
      </w:r>
    </w:p>
    <w:bookmarkEnd w:id="257"/>
    <w:bookmarkStart w:id="258" w:name="X29d058146b6d4e98243f7f90c484da712d3ab1e"/>
    <w:p>
      <w:pPr>
        <w:pStyle w:val="Heading2"/>
      </w:pPr>
      <w:r>
        <w:rPr>
          <w:rStyle w:val="SectionNumber"/>
        </w:rPr>
        <w:t xml:space="preserve">25.5</w:t>
      </w:r>
      <w:r>
        <w:tab/>
      </w:r>
      <w:r>
        <w:t xml:space="preserve">Public Policy and Implementation in Health and Education</w:t>
      </w:r>
    </w:p>
    <w:p>
      <w:pPr>
        <w:pStyle w:val="FirstParagraph"/>
      </w:pPr>
      <w:r>
        <w:t xml:space="preserve">Health and education serve as the syllabus’s chosen sectors for studying how stated policy goals meet real-world implementation constraints in practice: federal-provincial division of responsibility (especially significant after the 18th Amendment’s devolution of both sectors substantially to the provinces), financing adequacy, health/education workforce availability, data quality for monitoring, physical infrastructure, actual access for intended beneficiaries, and accountability for results. As throughout this subject, the</w:t>
      </w:r>
      <w:r>
        <w:t xml:space="preserve"> </w:t>
      </w:r>
      <w:r>
        <w:rPr>
          <w:bCs/>
          <w:b/>
        </w:rPr>
        <w:t xml:space="preserve">implementation gap</w:t>
      </w:r>
      <w:r>
        <w:t xml:space="preserve"> </w:t>
      </w:r>
      <w:r>
        <w:t xml:space="preserve">— the difference between what a health or education policy formally intends and what citizens actually experience — should be analysed through its specific underlying causes (echoing the implementation-gap framework from the Public Administration chapter’s Unit III), and any specific contemporary sector-policy example used should be drawn from current official sector policy documents.</w:t>
      </w:r>
    </w:p>
    <w:p>
      <w:pPr>
        <w:pStyle w:val="BodyText"/>
      </w:pPr>
      <w:r>
        <w:rPr>
          <w:bCs/>
          <w:b/>
        </w:rPr>
        <w:t xml:space="preserve">Key takeaways for Unit IV</w:t>
      </w:r>
    </w:p>
    <w:p>
      <w:pPr>
        <w:numPr>
          <w:ilvl w:val="0"/>
          <w:numId w:val="1095"/>
        </w:numPr>
        <w:pStyle w:val="Compact"/>
      </w:pPr>
      <w:r>
        <w:t xml:space="preserve">The five-role analytical frame (political decision, administrative coordination, financial scrutiny, planning/appraisal, implementation) is the actual skill this unit tests — apply it to any named institution rather than reciting its definition alone.</w:t>
      </w:r>
    </w:p>
    <w:p>
      <w:pPr>
        <w:numPr>
          <w:ilvl w:val="0"/>
          <w:numId w:val="1095"/>
        </w:numPr>
        <w:pStyle w:val="Compact"/>
      </w:pPr>
      <w:r>
        <w:t xml:space="preserve">The institutional chain (ministry → planning/finance scrutiny → cabinet-level coordination → approval → implementation → monitoring) is the master structure organizing every specific institution in this unit.</w:t>
      </w:r>
    </w:p>
    <w:p>
      <w:pPr>
        <w:numPr>
          <w:ilvl w:val="0"/>
          <w:numId w:val="1095"/>
        </w:numPr>
        <w:pStyle w:val="Compact"/>
      </w:pPr>
      <w:r>
        <w:t xml:space="preserve">Donor conditionality analysis (ownership, sustainability, local fit, transparency) directly parallels the Public Administration chapter’s treatment of the same topic — the specific IMF document named here is a historical illustration, not a current program description.</w:t>
      </w:r>
    </w:p>
    <w:p>
      <w:r>
        <w:pict>
          <v:rect style="width:0;height:1.5pt" o:hralign="center" o:hrstd="t" o:hr="t"/>
        </w:pict>
      </w:r>
    </w:p>
    <w:bookmarkEnd w:id="258"/>
    <w:bookmarkEnd w:id="259"/>
    <w:bookmarkStart w:id="265" w:name="v.-accountability"/>
    <w:p>
      <w:pPr>
        <w:pStyle w:val="Heading1"/>
      </w:pPr>
      <w:r>
        <w:rPr>
          <w:rStyle w:val="SectionNumber"/>
        </w:rPr>
        <w:t xml:space="preserve">26</w:t>
      </w:r>
      <w:r>
        <w:tab/>
      </w:r>
      <w:r>
        <w:t xml:space="preserve">V. Accountability</w:t>
      </w:r>
    </w:p>
    <w:bookmarkStart w:id="260" w:name="what-this-unit-is-about-21"/>
    <w:p>
      <w:pPr>
        <w:pStyle w:val="Heading2"/>
      </w:pPr>
      <w:r>
        <w:rPr>
          <w:rStyle w:val="SectionNumber"/>
        </w:rPr>
        <w:t xml:space="preserve">26.1</w:t>
      </w:r>
      <w:r>
        <w:tab/>
      </w:r>
      <w:r>
        <w:t xml:space="preserve">What This Unit Is About</w:t>
      </w:r>
    </w:p>
    <w:p>
      <w:pPr>
        <w:pStyle w:val="FirstParagraph"/>
      </w:pPr>
      <w:r>
        <w:t xml:space="preserve">Accountability ensures that those who exercise public power must explain their decisions, face genuine scrutiny, and — where rules are breached or performance fails — be subject to correction or sanction. This unit substantially deepens the accountability material already introduced in the Public Administration chapter’s Unit XI, adding a specific focus on the symbolic-versus-substantive distinction, comparative perspectives, and a fuller taxonomy of accountability types.</w:t>
      </w:r>
    </w:p>
    <w:bookmarkEnd w:id="260"/>
    <w:bookmarkStart w:id="261" w:name="standards-concepts-and-symbolism"/>
    <w:p>
      <w:pPr>
        <w:pStyle w:val="Heading2"/>
      </w:pPr>
      <w:r>
        <w:rPr>
          <w:rStyle w:val="SectionNumber"/>
        </w:rPr>
        <w:t xml:space="preserve">26.2</w:t>
      </w:r>
      <w:r>
        <w:tab/>
      </w:r>
      <w:r>
        <w:t xml:space="preserve">Standards, Concepts, and Symbolism</w:t>
      </w:r>
    </w:p>
    <w:p>
      <w:pPr>
        <w:pStyle w:val="FirstParagraph"/>
      </w:pPr>
      <w:r>
        <w:t xml:space="preserve">Accountability requires a</w:t>
      </w:r>
      <w:r>
        <w:t xml:space="preserve"> </w:t>
      </w:r>
      <w:r>
        <w:rPr>
          <w:bCs/>
          <w:b/>
        </w:rPr>
        <w:t xml:space="preserve">standard</w:t>
      </w:r>
      <w:r>
        <w:t xml:space="preserve"> </w:t>
      </w:r>
      <w:r>
        <w:t xml:space="preserve">against which conduct or performance can actually be judged, drawn from law, budgets, professional codes, specific policy targets, or ethical rules. A particularly important, frequently tested addition in this unit:</w:t>
      </w:r>
      <w:r>
        <w:t xml:space="preserve"> </w:t>
      </w:r>
      <w:r>
        <w:rPr>
          <w:bCs/>
          <w:b/>
        </w:rPr>
        <w:t xml:space="preserve">symbolic accountability</w:t>
      </w:r>
      <w:r>
        <w:t xml:space="preserve"> </w:t>
      </w:r>
      <w:r>
        <w:t xml:space="preserve">exists when institutions or procedures create only an</w:t>
      </w:r>
      <w:r>
        <w:t xml:space="preserve"> </w:t>
      </w:r>
      <w:r>
        <w:rPr>
          <w:iCs/>
          <w:i/>
        </w:rPr>
        <w:t xml:space="preserve">appearance</w:t>
      </w:r>
      <w:r>
        <w:t xml:space="preserve"> </w:t>
      </w:r>
      <w:r>
        <w:t xml:space="preserve">of control without producing meaningful information flow, genuine questioning, actual correction, or real consequences — a body that exists on paper, holds occasional meetings, but never actually alters a decision or sanctions a wrongdoer, is symbolically but not substantively accountable. Distinguishing symbolic compliance from substantive answerability and enforcement is precisely the analytical skill this topic rewards.</w:t>
      </w:r>
    </w:p>
    <w:bookmarkEnd w:id="261"/>
    <w:bookmarkStart w:id="262" w:name="Xfb83ab7f7c2409d3867f1f0a3759766dc1d5427"/>
    <w:p>
      <w:pPr>
        <w:pStyle w:val="Heading2"/>
      </w:pPr>
      <w:r>
        <w:rPr>
          <w:rStyle w:val="SectionNumber"/>
        </w:rPr>
        <w:t xml:space="preserve">26.3</w:t>
      </w:r>
      <w:r>
        <w:tab/>
      </w:r>
      <w:r>
        <w:t xml:space="preserve">Comparative Perspectives and Contemporary Research</w:t>
      </w:r>
    </w:p>
    <w:p>
      <w:pPr>
        <w:pStyle w:val="FirstParagraph"/>
      </w:pPr>
      <w:r>
        <w:t xml:space="preserve">Comparative governance analysis (comparing accountability arrangements across countries or regions) helps identify genuine institutional design differences and alternatives, but the syllabus’s important caution is to</w:t>
      </w:r>
      <w:r>
        <w:t xml:space="preserve"> </w:t>
      </w:r>
      <w:r>
        <w:rPr>
          <w:bCs/>
          <w:b/>
        </w:rPr>
        <w:t xml:space="preserve">avoid uncritically copying one country’s model</w:t>
      </w:r>
      <w:r>
        <w:t xml:space="preserve"> </w:t>
      </w:r>
      <w:r>
        <w:t xml:space="preserve">without carefully considering the differing legal, political, and administrative context it originated in — an accountability mechanism that works well in one constitutional and political setting may fail or even backfire in a different context. When comparing two specific accountability arrangements, the recommended comparison dimensions are purpose, structure, authority, process, strengths, limitations, and the context in which each design actually works better. When drawing on contemporary studies, always note the methodology behind any perception survey or composite indicator relied upon (echoing the same caution already made about the WGI indicators in Unit III).</w:t>
      </w:r>
    </w:p>
    <w:bookmarkEnd w:id="262"/>
    <w:bookmarkStart w:id="263" w:name="the-five-types-of-accountability"/>
    <w:p>
      <w:pPr>
        <w:pStyle w:val="Heading2"/>
      </w:pPr>
      <w:r>
        <w:rPr>
          <w:rStyle w:val="SectionNumber"/>
        </w:rPr>
        <w:t xml:space="preserve">26.4</w:t>
      </w:r>
      <w:r>
        <w:tab/>
      </w:r>
      <w:r>
        <w:t xml:space="preserve">The Five Types of Accountability</w:t>
      </w:r>
    </w:p>
    <w:p>
      <w:pPr>
        <w:pStyle w:val="FirstParagraph"/>
      </w:pPr>
      <w:r>
        <w:t xml:space="preserve">The syllabus organizes accountability by</w:t>
      </w:r>
      <w:r>
        <w:t xml:space="preserve"> </w:t>
      </w:r>
      <w:r>
        <w:rPr>
          <w:bCs/>
          <w:b/>
        </w:rPr>
        <w:t xml:space="preserve">forum</w:t>
      </w:r>
      <w:r>
        <w:t xml:space="preserve"> </w:t>
      </w:r>
      <w:r>
        <w:t xml:space="preserve">— the type of body or process actually doing the holding-to-account — into five distinct types, each worth stating precisely:</w:t>
      </w:r>
    </w:p>
    <w:p>
      <w:pPr>
        <w:numPr>
          <w:ilvl w:val="0"/>
          <w:numId w:val="1096"/>
        </w:numPr>
        <w:pStyle w:val="Compact"/>
      </w:pPr>
      <w:r>
        <w:rPr>
          <w:bCs/>
          <w:b/>
        </w:rPr>
        <w:t xml:space="preserve">Political accountability</w:t>
      </w:r>
      <w:r>
        <w:t xml:space="preserve"> </w:t>
      </w:r>
      <w:r>
        <w:t xml:space="preserve">operates through elections, legislatures, political party competition, cabinet collective responsibility, and public political scrutiny — it asks specifically whether office-holders remain answerable to democratic institutions and voters.</w:t>
      </w:r>
    </w:p>
    <w:p>
      <w:pPr>
        <w:numPr>
          <w:ilvl w:val="0"/>
          <w:numId w:val="1096"/>
        </w:numPr>
        <w:pStyle w:val="Compact"/>
      </w:pPr>
      <w:r>
        <w:rPr>
          <w:bCs/>
          <w:b/>
        </w:rPr>
        <w:t xml:space="preserve">Legal/judicial accountability</w:t>
      </w:r>
      <w:r>
        <w:t xml:space="preserve"> </w:t>
      </w:r>
      <w:r>
        <w:t xml:space="preserve">operates through courts and legal mechanisms testing whether public authorities acted within law, respected legally protected rights, and followed required procedure — directly paralleling judicial control as covered in the Public Administration chapter’s Unit XI.</w:t>
      </w:r>
    </w:p>
    <w:p>
      <w:pPr>
        <w:numPr>
          <w:ilvl w:val="0"/>
          <w:numId w:val="1096"/>
        </w:numPr>
        <w:pStyle w:val="Compact"/>
      </w:pPr>
      <w:r>
        <w:rPr>
          <w:bCs/>
          <w:b/>
        </w:rPr>
        <w:t xml:space="preserve">Administrative accountability</w:t>
      </w:r>
      <w:r>
        <w:t xml:space="preserve"> </w:t>
      </w:r>
      <w:r>
        <w:t xml:space="preserve">operates</w:t>
      </w:r>
      <w:r>
        <w:t xml:space="preserve"> </w:t>
      </w:r>
      <w:r>
        <w:rPr>
          <w:iCs/>
          <w:i/>
        </w:rPr>
        <w:t xml:space="preserve">within</w:t>
      </w:r>
      <w:r>
        <w:t xml:space="preserve"> </w:t>
      </w:r>
      <w:r>
        <w:t xml:space="preserve">the executive branch through hierarchy, internal controls, audit, inspection, disciplinary systems, and performance management — a form of accountability that does not require external actors at all, since it is built into the executive’s own internal structure.</w:t>
      </w:r>
    </w:p>
    <w:p>
      <w:pPr>
        <w:numPr>
          <w:ilvl w:val="0"/>
          <w:numId w:val="1096"/>
        </w:numPr>
        <w:pStyle w:val="Compact"/>
      </w:pPr>
      <w:r>
        <w:rPr>
          <w:bCs/>
          <w:b/>
        </w:rPr>
        <w:t xml:space="preserve">Professional accountability</w:t>
      </w:r>
      <w:r>
        <w:t xml:space="preserve"> </w:t>
      </w:r>
      <w:r>
        <w:t xml:space="preserve">relies on the standards of competence and ethics associated with a specific profession or public service, and is particularly important precisely where a supervisor</w:t>
      </w:r>
      <w:r>
        <w:t xml:space="preserve"> </w:t>
      </w:r>
      <w:r>
        <w:rPr>
          <w:bCs/>
          <w:b/>
        </w:rPr>
        <w:t xml:space="preserve">cannot directly observe</w:t>
      </w:r>
      <w:r>
        <w:t xml:space="preserve"> </w:t>
      </w:r>
      <w:r>
        <w:t xml:space="preserve">every technical judgment made (a doctor’s specific clinical decision, an engineer’s specific technical calculation) — professional accountability substitutes peer and professional-body judgment for direct hierarchical observation in these cases.</w:t>
      </w:r>
    </w:p>
    <w:p>
      <w:pPr>
        <w:numPr>
          <w:ilvl w:val="0"/>
          <w:numId w:val="1096"/>
        </w:numPr>
        <w:pStyle w:val="Compact"/>
      </w:pPr>
      <w:r>
        <w:rPr>
          <w:bCs/>
          <w:b/>
        </w:rPr>
        <w:t xml:space="preserve">Private versus public accountability</w:t>
      </w:r>
      <w:r>
        <w:t xml:space="preserve">: private organizations are primarily accountable to owners, customers, regulators, and contract/commercial law; public bodies face all of these</w:t>
      </w:r>
      <w:r>
        <w:t xml:space="preserve"> </w:t>
      </w:r>
      <w:r>
        <w:rPr>
          <w:iCs/>
          <w:i/>
        </w:rPr>
        <w:t xml:space="preserve">plus</w:t>
      </w:r>
      <w:r>
        <w:t xml:space="preserve"> </w:t>
      </w:r>
      <w:r>
        <w:t xml:space="preserve">additional democratic, constitutional, budgetary, and public-interest accountability that a private organization simply does not face in the same form — the added layer, not present in the private sector, is the exam-relevant point here.</w:t>
      </w:r>
    </w:p>
    <w:bookmarkEnd w:id="263"/>
    <w:bookmarkStart w:id="264" w:name="X5d7d0d69f2254b426c3f2185cf9c541c7e1429d"/>
    <w:p>
      <w:pPr>
        <w:pStyle w:val="Heading2"/>
      </w:pPr>
      <w:r>
        <w:rPr>
          <w:rStyle w:val="SectionNumber"/>
        </w:rPr>
        <w:t xml:space="preserve">26.5</w:t>
      </w:r>
      <w:r>
        <w:tab/>
      </w:r>
      <w:r>
        <w:t xml:space="preserve">National Strategies Against Corruption and Remedies</w:t>
      </w:r>
    </w:p>
    <w:p>
      <w:pPr>
        <w:pStyle w:val="FirstParagraph"/>
      </w:pPr>
      <w:r>
        <w:t xml:space="preserve">Effective anti-corruption strategy typically combines several distinct elements:</w:t>
      </w:r>
      <w:r>
        <w:t xml:space="preserve"> </w:t>
      </w:r>
      <w:r>
        <w:rPr>
          <w:bCs/>
          <w:b/>
        </w:rPr>
        <w:t xml:space="preserve">conflict-of-interest controls</w:t>
      </w:r>
      <w:r>
        <w:t xml:space="preserve">,</w:t>
      </w:r>
      <w:r>
        <w:t xml:space="preserve"> </w:t>
      </w:r>
      <w:r>
        <w:rPr>
          <w:bCs/>
          <w:b/>
        </w:rPr>
        <w:t xml:space="preserve">transparent procurement</w:t>
      </w:r>
      <w:r>
        <w:t xml:space="preserve"> </w:t>
      </w:r>
      <w:r>
        <w:t xml:space="preserve">procedures, independent</w:t>
      </w:r>
      <w:r>
        <w:t xml:space="preserve"> </w:t>
      </w:r>
      <w:r>
        <w:rPr>
          <w:bCs/>
          <w:b/>
        </w:rPr>
        <w:t xml:space="preserve">audit</w:t>
      </w:r>
      <w:r>
        <w:t xml:space="preserve"> </w:t>
      </w:r>
      <w:r>
        <w:t xml:space="preserve">(per the Public Administration chapter’s Unit IV),</w:t>
      </w:r>
      <w:r>
        <w:t xml:space="preserve"> </w:t>
      </w:r>
      <w:r>
        <w:rPr>
          <w:bCs/>
          <w:b/>
        </w:rPr>
        <w:t xml:space="preserve">asset-declaration regimes</w:t>
      </w:r>
      <w:r>
        <w:t xml:space="preserve"> </w:t>
      </w:r>
      <w:r>
        <w:t xml:space="preserve">where legally applicable, accessible</w:t>
      </w:r>
      <w:r>
        <w:t xml:space="preserve"> </w:t>
      </w:r>
      <w:r>
        <w:rPr>
          <w:bCs/>
          <w:b/>
        </w:rPr>
        <w:t xml:space="preserve">complaint mechanisms</w:t>
      </w:r>
      <w:r>
        <w:t xml:space="preserve">, effective</w:t>
      </w:r>
      <w:r>
        <w:t xml:space="preserve"> </w:t>
      </w:r>
      <w:r>
        <w:rPr>
          <w:bCs/>
          <w:b/>
        </w:rPr>
        <w:t xml:space="preserve">prosecution</w:t>
      </w:r>
      <w:r>
        <w:t xml:space="preserve"> </w:t>
      </w:r>
      <w:r>
        <w:t xml:space="preserve">capacity,</w:t>
      </w:r>
      <w:r>
        <w:t xml:space="preserve"> </w:t>
      </w:r>
      <w:r>
        <w:rPr>
          <w:bCs/>
          <w:b/>
        </w:rPr>
        <w:t xml:space="preserve">digitalization</w:t>
      </w:r>
      <w:r>
        <w:t xml:space="preserve"> </w:t>
      </w:r>
      <w:r>
        <w:t xml:space="preserve">of processes (reducing the discretionary human contact points where corruption often occurs), and broader</w:t>
      </w:r>
      <w:r>
        <w:t xml:space="preserve"> </w:t>
      </w:r>
      <w:r>
        <w:rPr>
          <w:bCs/>
          <w:b/>
        </w:rPr>
        <w:t xml:space="preserve">institutional checks</w:t>
      </w:r>
      <w:r>
        <w:t xml:space="preserve">. As established already in the Public Administration chapter’s Unit XI, rigorous corruption analysis separates</w:t>
      </w:r>
      <w:r>
        <w:t xml:space="preserve"> </w:t>
      </w:r>
      <w:r>
        <w:rPr>
          <w:bCs/>
          <w:b/>
        </w:rPr>
        <w:t xml:space="preserve">prevention, detection, investigation, adjudication, and institutional reform</w:t>
      </w:r>
      <w:r>
        <w:t xml:space="preserve"> </w:t>
      </w:r>
      <w:r>
        <w:t xml:space="preserve">as distinct stages, rather than treating</w:t>
      </w:r>
      <w:r>
        <w:t xml:space="preserve"> </w:t>
      </w:r>
      <w:r>
        <w:t xml:space="preserve">“</w:t>
      </w:r>
      <w:r>
        <w:t xml:space="preserve">anti-corruption strategy</w:t>
      </w:r>
      <w:r>
        <w:t xml:space="preserve">”</w:t>
      </w:r>
      <w:r>
        <w:t xml:space="preserve"> </w:t>
      </w:r>
      <w:r>
        <w:t xml:space="preserve">as a single undifferentiated activity — and for Pakistan specifically, current statutes and officially adopted strategies should be used rather than outdated or informal labels for anti-corruption institutions and programs.</w:t>
      </w:r>
    </w:p>
    <w:p>
      <w:pPr>
        <w:pStyle w:val="BodyText"/>
      </w:pPr>
      <w:r>
        <w:rPr>
          <w:bCs/>
          <w:b/>
        </w:rPr>
        <w:t xml:space="preserve">Key takeaways for Unit V</w:t>
      </w:r>
    </w:p>
    <w:p>
      <w:pPr>
        <w:numPr>
          <w:ilvl w:val="0"/>
          <w:numId w:val="1097"/>
        </w:numPr>
        <w:pStyle w:val="Compact"/>
      </w:pPr>
      <w:r>
        <w:t xml:space="preserve">Symbolic accountability (appearance of control without genuine consequence) versus substantive accountability (genuine information, questioning, and correction) is this unit’s central added distinction beyond the Public Administration chapter’s accountability material — apply it whenever evaluating whether a described accountability mechanism actually works.</w:t>
      </w:r>
    </w:p>
    <w:p>
      <w:pPr>
        <w:numPr>
          <w:ilvl w:val="0"/>
          <w:numId w:val="1097"/>
        </w:numPr>
        <w:pStyle w:val="Compact"/>
      </w:pPr>
      <w:r>
        <w:t xml:space="preserve">The five accountability types (political, legal/judicial, administrative, professional, private-vs-public) are distinguished specifically by their</w:t>
      </w:r>
      <w:r>
        <w:t xml:space="preserve"> </w:t>
      </w:r>
      <w:r>
        <w:rPr>
          <w:bCs/>
          <w:b/>
        </w:rPr>
        <w:t xml:space="preserve">forum</w:t>
      </w:r>
      <w:r>
        <w:t xml:space="preserve"> </w:t>
      </w:r>
      <w:r>
        <w:t xml:space="preserve">— identify which forum is actually doing the holding-to-account in any given scenario.</w:t>
      </w:r>
    </w:p>
    <w:p>
      <w:pPr>
        <w:numPr>
          <w:ilvl w:val="0"/>
          <w:numId w:val="1097"/>
        </w:numPr>
        <w:pStyle w:val="Compact"/>
      </w:pPr>
      <w:r>
        <w:t xml:space="preserve">Comparative institutional analysis is valuable for identifying design alternatives, but institutional transplant without attention to differing legal/political/administrative context is a specifically flagged analytical error.</w:t>
      </w:r>
    </w:p>
    <w:p>
      <w:r>
        <w:pict>
          <v:rect style="width:0;height:1.5pt" o:hralign="center" o:hrstd="t" o:hr="t"/>
        </w:pict>
      </w:r>
    </w:p>
    <w:bookmarkEnd w:id="264"/>
    <w:bookmarkEnd w:id="265"/>
    <w:bookmarkStart w:id="276" w:name="vi.-bureaucracy"/>
    <w:p>
      <w:pPr>
        <w:pStyle w:val="Heading1"/>
      </w:pPr>
      <w:r>
        <w:rPr>
          <w:rStyle w:val="SectionNumber"/>
        </w:rPr>
        <w:t xml:space="preserve">27</w:t>
      </w:r>
      <w:r>
        <w:tab/>
      </w:r>
      <w:r>
        <w:t xml:space="preserve">VI. Bureaucracy</w:t>
      </w:r>
    </w:p>
    <w:bookmarkStart w:id="266" w:name="what-this-unit-is-about-22"/>
    <w:p>
      <w:pPr>
        <w:pStyle w:val="Heading2"/>
      </w:pPr>
      <w:r>
        <w:rPr>
          <w:rStyle w:val="SectionNumber"/>
        </w:rPr>
        <w:t xml:space="preserve">27.1</w:t>
      </w:r>
      <w:r>
        <w:tab/>
      </w:r>
      <w:r>
        <w:t xml:space="preserve">What This Unit Is About</w:t>
      </w:r>
    </w:p>
    <w:p>
      <w:pPr>
        <w:pStyle w:val="FirstParagraph"/>
      </w:pPr>
      <w:r>
        <w:t xml:space="preserve">Bureaucracy is the professional administrative machinery through which most state action is actually organized — capable of providing genuine continuity and expertise, but also capable of producing rigidity or excessive concentration of administrative power. This unit moves from history and the classic theoretical voices (Weber, Marx, Mill, Wilson) through Pakistan’s specific bureaucratic legacy, civil-military relations, constitutional protections, and administrative ethics.</w:t>
      </w:r>
    </w:p>
    <w:bookmarkEnd w:id="266"/>
    <w:bookmarkStart w:id="267" w:name="Xf8e4dcf55f5a27df9d31f1a467609a9276d516c"/>
    <w:p>
      <w:pPr>
        <w:pStyle w:val="Heading2"/>
      </w:pPr>
      <w:r>
        <w:rPr>
          <w:rStyle w:val="SectionNumber"/>
        </w:rPr>
        <w:t xml:space="preserve">27.2</w:t>
      </w:r>
      <w:r>
        <w:tab/>
      </w:r>
      <w:r>
        <w:t xml:space="preserve">History, Neutrality, and the</w:t>
      </w:r>
      <w:r>
        <w:t xml:space="preserve"> </w:t>
      </w:r>
      <w:r>
        <w:t xml:space="preserve">“</w:t>
      </w:r>
      <w:r>
        <w:t xml:space="preserve">Steel Frame</w:t>
      </w:r>
      <w:r>
        <w:t xml:space="preserve">”</w:t>
      </w:r>
      <w:r>
        <w:t xml:space="preserve"> </w:t>
      </w:r>
      <w:r>
        <w:t xml:space="preserve">Idea</w:t>
      </w:r>
    </w:p>
    <w:p>
      <w:pPr>
        <w:pStyle w:val="FirstParagraph"/>
      </w:pPr>
      <w:r>
        <w:t xml:space="preserve">Modern bureaucracies grew alongside the growth of larger, more complex states requiring specialized administration.</w:t>
      </w:r>
      <w:r>
        <w:t xml:space="preserve"> </w:t>
      </w:r>
      <w:r>
        <w:rPr>
          <w:bCs/>
          <w:b/>
        </w:rPr>
        <w:t xml:space="preserve">Administrative neutrality</w:t>
      </w:r>
      <w:r>
        <w:t xml:space="preserve"> </w:t>
      </w:r>
      <w:r>
        <w:t xml:space="preserve">means serving the</w:t>
      </w:r>
      <w:r>
        <w:t xml:space="preserve"> </w:t>
      </w:r>
      <w:r>
        <w:rPr>
          <w:iCs/>
          <w:i/>
        </w:rPr>
        <w:t xml:space="preserve">lawful</w:t>
      </w:r>
      <w:r>
        <w:t xml:space="preserve"> </w:t>
      </w:r>
      <w:r>
        <w:t xml:space="preserve">government of the day professionally, without improper partisan bias — importantly, this does</w:t>
      </w:r>
      <w:r>
        <w:t xml:space="preserve"> </w:t>
      </w:r>
      <w:r>
        <w:rPr>
          <w:bCs/>
          <w:b/>
        </w:rPr>
        <w:t xml:space="preserve">not</w:t>
      </w:r>
      <w:r>
        <w:t xml:space="preserve"> </w:t>
      </w:r>
      <w:r>
        <w:t xml:space="preserve">require an official to hold no private political beliefs, only that those beliefs not improperly influence official conduct. The</w:t>
      </w:r>
      <w:r>
        <w:t xml:space="preserve"> </w:t>
      </w:r>
      <w:r>
        <w:rPr>
          <w:bCs/>
          <w:b/>
        </w:rPr>
        <w:t xml:space="preserve">“</w:t>
      </w:r>
      <w:r>
        <w:rPr>
          <w:bCs/>
          <w:b/>
        </w:rPr>
        <w:t xml:space="preserve">steel frame</w:t>
      </w:r>
      <w:r>
        <w:rPr>
          <w:bCs/>
          <w:b/>
        </w:rPr>
        <w:t xml:space="preserve">”</w:t>
      </w:r>
      <w:r>
        <w:t xml:space="preserve"> </w:t>
      </w:r>
      <w:r>
        <w:t xml:space="preserve">phrase, prominent in South Asian colonial administrative history, describes a strong career civil service functioning as a stabilizing administrative backbone across political change. The syllabus’s specific instruction: this concept should be analysed</w:t>
      </w:r>
      <w:r>
        <w:t xml:space="preserve"> </w:t>
      </w:r>
      <w:r>
        <w:rPr>
          <w:bCs/>
          <w:b/>
        </w:rPr>
        <w:t xml:space="preserve">together with</w:t>
      </w:r>
      <w:r>
        <w:t xml:space="preserve"> </w:t>
      </w:r>
      <w:r>
        <w:t xml:space="preserve">democratic accountability and its specific colonial historical origin, rather than treated as an uncomplicated compliment — a</w:t>
      </w:r>
      <w:r>
        <w:t xml:space="preserve"> </w:t>
      </w:r>
      <w:r>
        <w:t xml:space="preserve">“</w:t>
      </w:r>
      <w:r>
        <w:t xml:space="preserve">steel frame</w:t>
      </w:r>
      <w:r>
        <w:t xml:space="preserve">”</w:t>
      </w:r>
      <w:r>
        <w:t xml:space="preserve"> </w:t>
      </w:r>
      <w:r>
        <w:t xml:space="preserve">strong enough to survive political turnover can also, if insufficiently accountable, become resistant to legitimate democratic direction.</w:t>
      </w:r>
    </w:p>
    <w:bookmarkEnd w:id="267"/>
    <w:bookmarkStart w:id="268" w:name="negative-connotations-of-bureaucracy"/>
    <w:p>
      <w:pPr>
        <w:pStyle w:val="Heading2"/>
      </w:pPr>
      <w:r>
        <w:rPr>
          <w:rStyle w:val="SectionNumber"/>
        </w:rPr>
        <w:t xml:space="preserve">27.3</w:t>
      </w:r>
      <w:r>
        <w:tab/>
      </w:r>
      <w:r>
        <w:t xml:space="preserve">Negative Connotations of Bureaucracy</w:t>
      </w:r>
    </w:p>
    <w:p>
      <w:pPr>
        <w:pStyle w:val="FirstParagraph"/>
      </w:pPr>
      <w:r>
        <w:t xml:space="preserve">Common criticisms of bureaucracy include</w:t>
      </w:r>
      <w:r>
        <w:t xml:space="preserve"> </w:t>
      </w:r>
      <w:r>
        <w:rPr>
          <w:bCs/>
          <w:b/>
        </w:rPr>
        <w:t xml:space="preserve">red tape</w:t>
      </w:r>
      <w:r>
        <w:t xml:space="preserve">, delay, rigidity, impersonality, and institutional self-protection — echoing the same tension between predictability and rigidity already flagged in the Public Administration chapter’s Unit II. A genuinely strong answer, per the syllabus’s own instruction, also explains the</w:t>
      </w:r>
      <w:r>
        <w:t xml:space="preserve"> </w:t>
      </w:r>
      <w:r>
        <w:rPr>
          <w:bCs/>
          <w:b/>
        </w:rPr>
        <w:t xml:space="preserve">other side</w:t>
      </w:r>
      <w:r>
        <w:t xml:space="preserve">: the same rules and procedures generating these criticisms simultaneously protect fairness (consistent treatment), continuity (institutional memory across political change), and legality (predictable, rule-bound rather than arbitrary action) — bureaucratic criticism and bureaucratic defence are two sides of the identical underlying features, not independent facts.</w:t>
      </w:r>
    </w:p>
    <w:bookmarkEnd w:id="268"/>
    <w:bookmarkStart w:id="269" w:name="X27d02924b8d3b3d13bef68b711b46351d7e0b53"/>
    <w:p>
      <w:pPr>
        <w:pStyle w:val="Heading2"/>
      </w:pPr>
      <w:r>
        <w:rPr>
          <w:rStyle w:val="SectionNumber"/>
        </w:rPr>
        <w:t xml:space="preserve">27.4</w:t>
      </w:r>
      <w:r>
        <w:tab/>
      </w:r>
      <w:r>
        <w:t xml:space="preserve">Four Classic Theoretical Voices on Bureaucracy</w:t>
      </w:r>
    </w:p>
    <w:p>
      <w:pPr>
        <w:numPr>
          <w:ilvl w:val="0"/>
          <w:numId w:val="1098"/>
        </w:numPr>
        <w:pStyle w:val="Compact"/>
      </w:pPr>
      <w:r>
        <w:rPr>
          <w:bCs/>
          <w:b/>
        </w:rPr>
        <w:t xml:space="preserve">Max Weber’s</w:t>
      </w:r>
      <w:r>
        <w:t xml:space="preserve"> </w:t>
      </w:r>
      <w:r>
        <w:t xml:space="preserve">ideal-type bureaucracy — hierarchy, formal rules, functional specialization, merit-based technical competence, and impersonal offices (developed fully in the Public Administration chapter’s Unit II) — is explicitly an</w:t>
      </w:r>
      <w:r>
        <w:t xml:space="preserve"> </w:t>
      </w:r>
      <w:r>
        <w:rPr>
          <w:bCs/>
          <w:b/>
        </w:rPr>
        <w:t xml:space="preserve">analytical ideal type</w:t>
      </w:r>
      <w:r>
        <w:t xml:space="preserve">, a model for comparison, not a claim that any real bureaucracy fully and perfectly matches it.</w:t>
      </w:r>
    </w:p>
    <w:p>
      <w:pPr>
        <w:numPr>
          <w:ilvl w:val="0"/>
          <w:numId w:val="1098"/>
        </w:numPr>
        <w:pStyle w:val="Compact"/>
      </w:pPr>
      <w:r>
        <w:rPr>
          <w:bCs/>
          <w:b/>
        </w:rPr>
        <w:t xml:space="preserve">Marx</w:t>
      </w:r>
      <w:r>
        <w:t xml:space="preserve"> </w:t>
      </w:r>
      <w:r>
        <w:t xml:space="preserve">links bureaucracy and the state to underlying class structure and political economy, explicitly</w:t>
      </w:r>
      <w:r>
        <w:t xml:space="preserve"> </w:t>
      </w:r>
      <w:r>
        <w:rPr>
          <w:bCs/>
          <w:b/>
        </w:rPr>
        <w:t xml:space="preserve">questioning the claim that administration is fully neutral</w:t>
      </w:r>
      <w:r>
        <w:t xml:space="preserve"> </w:t>
      </w:r>
      <w:r>
        <w:t xml:space="preserve">between competing social interests — directly paralleling the Marxist governance theory already covered in Unit II above.</w:t>
      </w:r>
    </w:p>
    <w:p>
      <w:pPr>
        <w:numPr>
          <w:ilvl w:val="0"/>
          <w:numId w:val="1098"/>
        </w:numPr>
        <w:pStyle w:val="Compact"/>
      </w:pPr>
      <w:r>
        <w:rPr>
          <w:bCs/>
          <w:b/>
        </w:rPr>
        <w:t xml:space="preserve">John Stuart Mill’s</w:t>
      </w:r>
      <w:r>
        <w:t xml:space="preserve"> </w:t>
      </w:r>
      <w:r>
        <w:t xml:space="preserve">writing on representative government valued genuine administrative expertise, while explicitly worrying that a powerful</w:t>
      </w:r>
      <w:r>
        <w:t xml:space="preserve"> </w:t>
      </w:r>
      <w:r>
        <w:rPr>
          <w:iCs/>
          <w:i/>
        </w:rPr>
        <w:t xml:space="preserve">permanent</w:t>
      </w:r>
      <w:r>
        <w:t xml:space="preserve"> </w:t>
      </w:r>
      <w:r>
        <w:t xml:space="preserve">bureaucracy could weaken representative self-government unless kept under democratic institutional control and genuine public participation — Mill’s concern is essentially the same democracy-versus-bureaucracy tension from the Public Administration chapter’s Unit I, stated from the specific angle of protecting representative government against bureaucratic overreach.</w:t>
      </w:r>
    </w:p>
    <w:p>
      <w:pPr>
        <w:numPr>
          <w:ilvl w:val="0"/>
          <w:numId w:val="1098"/>
        </w:numPr>
        <w:pStyle w:val="Compact"/>
      </w:pPr>
      <w:r>
        <w:rPr>
          <w:bCs/>
          <w:b/>
        </w:rPr>
        <w:t xml:space="preserve">Woodrow Wilson’s</w:t>
      </w:r>
      <w:r>
        <w:t xml:space="preserve"> </w:t>
      </w:r>
      <w:r>
        <w:t xml:space="preserve">classic essay argued that administration deserved systematic scholarly study in its own right, and drew the classic (though, as Wilson’s later interpreters and the Public Administration chapter’s Unit I both note, not absolute) distinction between political questions and administrative execution.</w:t>
      </w:r>
    </w:p>
    <w:p>
      <w:pPr>
        <w:pStyle w:val="FirstParagraph"/>
      </w:pPr>
      <w:r>
        <w:t xml:space="preserve">For any of these four thinkers, the recommended revision structure is: central idea, key assumption, what the theory explains well, and its main limitation or criticism — the same discipline recommended for the governance theories in Unit II.</w:t>
      </w:r>
    </w:p>
    <w:bookmarkEnd w:id="269"/>
    <w:bookmarkStart w:id="270" w:name="the-british-legacy-in-pakistan"/>
    <w:p>
      <w:pPr>
        <w:pStyle w:val="Heading2"/>
      </w:pPr>
      <w:r>
        <w:rPr>
          <w:rStyle w:val="SectionNumber"/>
        </w:rPr>
        <w:t xml:space="preserve">27.5</w:t>
      </w:r>
      <w:r>
        <w:tab/>
      </w:r>
      <w:r>
        <w:t xml:space="preserve">The British Legacy in Pakistan</w:t>
      </w:r>
    </w:p>
    <w:p>
      <w:pPr>
        <w:pStyle w:val="FirstParagraph"/>
      </w:pPr>
      <w:r>
        <w:t xml:space="preserve">Pakistan inherited significant administrative institutions, procedures, and an elite-service tradition from British India — the same colonial legacy already discussed in the Public Administration chapter’s Unit I, here analysed specifically through the lens of the bureaucratic institution itself. A balanced analysis weighs the genuine administrative capacity this inheritance provided against the long-term effects of its inherently centralized colonial administrative patterns, which were originally designed for revenue extraction and law-and-order maintenance rather than for democratic responsiveness or development.</w:t>
      </w:r>
    </w:p>
    <w:bookmarkEnd w:id="270"/>
    <w:bookmarkStart w:id="271" w:name="X5a584866ec434c69f23f6f47a33d5af534d3e8a"/>
    <w:p>
      <w:pPr>
        <w:pStyle w:val="Heading2"/>
      </w:pPr>
      <w:r>
        <w:rPr>
          <w:rStyle w:val="SectionNumber"/>
        </w:rPr>
        <w:t xml:space="preserve">27.6</w:t>
      </w:r>
      <w:r>
        <w:tab/>
      </w:r>
      <w:r>
        <w:t xml:space="preserve">Civil-Military Relations, Neutrality, and Political Allegiance</w:t>
      </w:r>
    </w:p>
    <w:p>
      <w:pPr>
        <w:pStyle w:val="FirstParagraph"/>
      </w:pPr>
      <w:r>
        <w:t xml:space="preserve">This theme examines how bureaucratic institutions interact with both political and military power — specifically, the distribution of authority among elected civilian institutions, the professional bureaucracy, and military institutions. The syllabus’s explicit methodological instruction: analysis here must rely on</w:t>
      </w:r>
      <w:r>
        <w:t xml:space="preserve"> </w:t>
      </w:r>
      <w:r>
        <w:rPr>
          <w:bCs/>
          <w:b/>
        </w:rPr>
        <w:t xml:space="preserve">constitutional arrangements and credible scholarship</w:t>
      </w:r>
      <w:r>
        <w:t xml:space="preserve">, deliberately avoiding partisan or personalized allegations — this is a normatively and politically sensitive topic where the standard of evidence matters especially strongly.</w:t>
      </w:r>
    </w:p>
    <w:bookmarkEnd w:id="271"/>
    <w:bookmarkStart w:id="272" w:name="X4e8ce543b039f80d4fcb5ffe4572b4d1d9865df"/>
    <w:p>
      <w:pPr>
        <w:pStyle w:val="Heading2"/>
      </w:pPr>
      <w:r>
        <w:rPr>
          <w:rStyle w:val="SectionNumber"/>
        </w:rPr>
        <w:t xml:space="preserve">27.7</w:t>
      </w:r>
      <w:r>
        <w:tab/>
      </w:r>
      <w:r>
        <w:t xml:space="preserve">Power, Institutional Degradation, and</w:t>
      </w:r>
      <w:r>
        <w:t xml:space="preserve"> </w:t>
      </w:r>
      <w:r>
        <w:t xml:space="preserve">“</w:t>
      </w:r>
      <w:r>
        <w:t xml:space="preserve">Corrupting the Incumbent</w:t>
      </w:r>
      <w:r>
        <w:t xml:space="preserve">”</w:t>
      </w:r>
    </w:p>
    <w:p>
      <w:pPr>
        <w:pStyle w:val="FirstParagraph"/>
      </w:pPr>
      <w:r>
        <w:t xml:space="preserve">This theme studies how concentrated administrative discretion, weak accountability mechanisms, and patronage pressures can distort institutions over time — while also considering the legal safeguards and professional norms that can resist this distortion. The syllabus’s explicit instruction: this wording should be treated</w:t>
      </w:r>
      <w:r>
        <w:t xml:space="preserve"> </w:t>
      </w:r>
      <w:r>
        <w:rPr>
          <w:bCs/>
          <w:b/>
        </w:rPr>
        <w:t xml:space="preserve">analytically</w:t>
      </w:r>
      <w:r>
        <w:t xml:space="preserve">, as a description of an institutional risk pattern, not as a factual allegation against any particular named person or party.</w:t>
      </w:r>
    </w:p>
    <w:bookmarkEnd w:id="272"/>
    <w:bookmarkStart w:id="273" w:name="X457d3ae27cd3eeba107df18e8b6c3b700e807f2"/>
    <w:p>
      <w:pPr>
        <w:pStyle w:val="Heading2"/>
      </w:pPr>
      <w:r>
        <w:rPr>
          <w:rStyle w:val="SectionNumber"/>
        </w:rPr>
        <w:t xml:space="preserve">27.8</w:t>
      </w:r>
      <w:r>
        <w:tab/>
      </w:r>
      <w:r>
        <w:t xml:space="preserve">Constitutional Guarantees for the Civil Service</w:t>
      </w:r>
    </w:p>
    <w:p>
      <w:pPr>
        <w:pStyle w:val="FirstParagraph"/>
      </w:pPr>
      <w:r>
        <w:t xml:space="preserve">Constitutional and legal protections aim to make public authority lawful and predictable — protecting due process, tenure security, and the institutional independence of the professional civil service from arbitrary political interference. Because exact protections, appointment rules, and available remedies are established by specific constitutional and statutory text, any specific claim here should be read directly from the current constitutional provisions and relevant service laws rather than paraphrased from memory.</w:t>
      </w:r>
    </w:p>
    <w:bookmarkEnd w:id="273"/>
    <w:bookmarkStart w:id="274" w:name="indexing-public-salaries-with-cpi"/>
    <w:p>
      <w:pPr>
        <w:pStyle w:val="Heading2"/>
      </w:pPr>
      <w:r>
        <w:rPr>
          <w:rStyle w:val="SectionNumber"/>
        </w:rPr>
        <w:t xml:space="preserve">27.9</w:t>
      </w:r>
      <w:r>
        <w:tab/>
      </w:r>
      <w:r>
        <w:t xml:space="preserve">Indexing Public Salaries with CPI</w:t>
      </w:r>
    </w:p>
    <w:p>
      <w:pPr>
        <w:pStyle w:val="FirstParagraph"/>
      </w:pPr>
      <w:r>
        <w:t xml:space="preserve">This topic concerns whether public-sector pay keeps pace with inflation (measured by the Consumer Price Index, tracking changes in the price of a representative basket of goods and services), and how the resulting</w:t>
      </w:r>
      <w:r>
        <w:t xml:space="preserve"> </w:t>
      </w:r>
      <w:r>
        <w:rPr>
          <w:bCs/>
          <w:b/>
        </w:rPr>
        <w:t xml:space="preserve">real wage</w:t>
      </w:r>
      <w:r>
        <w:t xml:space="preserve"> </w:t>
      </w:r>
      <w:r>
        <w:t xml:space="preserve">(nominal pay adjusted for inflation) affects staff incentives, retention, and fiscal cost to government. The important, balanced point: comparing pay growth against inflation is a useful diagnostic of real purchasing power, but sound salary policy must also weigh available fiscal space, labour-market conditions for comparable skills, and the broader compensation structure (including non-cash benefits) — not inflation-indexing alone. Any specific current pay or inflation figure cited should be directly sourced rather than assumed.</w:t>
      </w:r>
    </w:p>
    <w:bookmarkEnd w:id="274"/>
    <w:bookmarkStart w:id="275" w:name="X8f21ee4d2ef2c1e04f1fb1f1601a762a92dafc5"/>
    <w:p>
      <w:pPr>
        <w:pStyle w:val="Heading2"/>
      </w:pPr>
      <w:r>
        <w:rPr>
          <w:rStyle w:val="SectionNumber"/>
        </w:rPr>
        <w:t xml:space="preserve">27.10</w:t>
      </w:r>
      <w:r>
        <w:tab/>
      </w:r>
      <w:r>
        <w:t xml:space="preserve">Public Administration Code of Ethics / Estacode</w:t>
      </w:r>
    </w:p>
    <w:p>
      <w:pPr>
        <w:pStyle w:val="FirstParagraph"/>
      </w:pPr>
      <w:r>
        <w:t xml:space="preserve">A code of conduct sets expected standards — integrity, impartiality, confidentiality, avoidance of conflicts of interest, and proper use of official resources — for public officials (in Pakistan, historically compiled in reference works such as the Estacode). The syllabus’s important, repeated practical point:</w:t>
      </w:r>
      <w:r>
        <w:t xml:space="preserve"> </w:t>
      </w:r>
      <w:r>
        <w:rPr>
          <w:bCs/>
          <w:b/>
        </w:rPr>
        <w:t xml:space="preserve">formal codes work only when leadership commitment, aligned incentives, and genuine enforcement actually support them</w:t>
      </w:r>
      <w:r>
        <w:t xml:space="preserve"> </w:t>
      </w:r>
      <w:r>
        <w:t xml:space="preserve">— a written code with no enforcement mechanism behind it produces exactly the symbolic-versus-substantive accountability gap already discussed in Unit V above. Any comparison with other countries’ ethics frameworks should draw on verified sources.</w:t>
      </w:r>
    </w:p>
    <w:p>
      <w:pPr>
        <w:pStyle w:val="BodyText"/>
      </w:pPr>
      <w:r>
        <w:rPr>
          <w:bCs/>
          <w:b/>
        </w:rPr>
        <w:t xml:space="preserve">Key takeaways for Unit VI</w:t>
      </w:r>
    </w:p>
    <w:p>
      <w:pPr>
        <w:numPr>
          <w:ilvl w:val="0"/>
          <w:numId w:val="1099"/>
        </w:numPr>
        <w:pStyle w:val="Compact"/>
      </w:pPr>
      <w:r>
        <w:t xml:space="preserve">The four classic theoretical voices (Weber, Marx, Mill, Wilson) each contribute a different lens: Weber describes bureaucracy’s ideal structure, Marx questions its neutrality, Mill worries about its power relative to representative government, and Wilson argues for its systematic study and (qualified) separation from politics.</w:t>
      </w:r>
    </w:p>
    <w:p>
      <w:pPr>
        <w:numPr>
          <w:ilvl w:val="0"/>
          <w:numId w:val="1099"/>
        </w:numPr>
        <w:pStyle w:val="Compact"/>
      </w:pPr>
      <w:r>
        <w:t xml:space="preserve">Bureaucratic criticism (red tape, rigidity) and bureaucratic defence (fairness, continuity, legality) arise from the</w:t>
      </w:r>
      <w:r>
        <w:t xml:space="preserve"> </w:t>
      </w:r>
      <w:r>
        <w:rPr>
          <w:iCs/>
          <w:i/>
        </w:rPr>
        <w:t xml:space="preserve">same</w:t>
      </w:r>
      <w:r>
        <w:t xml:space="preserve"> </w:t>
      </w:r>
      <w:r>
        <w:t xml:space="preserve">underlying features (rules, hierarchy, impersonality) — a strong answer explains both sides together, not one in isolation.</w:t>
      </w:r>
    </w:p>
    <w:p>
      <w:pPr>
        <w:numPr>
          <w:ilvl w:val="0"/>
          <w:numId w:val="1099"/>
        </w:numPr>
        <w:pStyle w:val="Compact"/>
      </w:pPr>
      <w:r>
        <w:t xml:space="preserve">Formal ethics codes and constitutional protections function only when actually enforced — echoing the symbolic-versus-substantive accountability distinction from Unit V, this unit’s civil-military relations and institutional-degradation topics both specifically require analytical, evidence-based treatment rather than partisan allegation.</w:t>
      </w:r>
    </w:p>
    <w:p>
      <w:r>
        <w:pict>
          <v:rect style="width:0;height:1.5pt" o:hralign="center" o:hrstd="t" o:hr="t"/>
        </w:pict>
      </w:r>
    </w:p>
    <w:bookmarkEnd w:id="275"/>
    <w:bookmarkEnd w:id="276"/>
    <w:bookmarkStart w:id="283" w:name="Xed844fcd0c5a424f0c80210a5106cf226f93546"/>
    <w:p>
      <w:pPr>
        <w:pStyle w:val="Heading1"/>
      </w:pPr>
      <w:r>
        <w:rPr>
          <w:rStyle w:val="SectionNumber"/>
        </w:rPr>
        <w:t xml:space="preserve">28</w:t>
      </w:r>
      <w:r>
        <w:tab/>
      </w:r>
      <w:r>
        <w:t xml:space="preserve">VII. Public Policy Formulation and Implementation</w:t>
      </w:r>
    </w:p>
    <w:bookmarkStart w:id="277" w:name="what-this-unit-is-about-23"/>
    <w:p>
      <w:pPr>
        <w:pStyle w:val="Heading2"/>
      </w:pPr>
      <w:r>
        <w:rPr>
          <w:rStyle w:val="SectionNumber"/>
        </w:rPr>
        <w:t xml:space="preserve">28.1</w:t>
      </w:r>
      <w:r>
        <w:tab/>
      </w:r>
      <w:r>
        <w:t xml:space="preserve">What This Unit Is About</w:t>
      </w:r>
    </w:p>
    <w:p>
      <w:pPr>
        <w:pStyle w:val="FirstParagraph"/>
      </w:pPr>
      <w:r>
        <w:rPr>
          <w:bCs/>
          <w:b/>
        </w:rPr>
        <w:t xml:space="preserve">Policy formulation</w:t>
      </w:r>
      <w:r>
        <w:t xml:space="preserve"> </w:t>
      </w:r>
      <w:r>
        <w:t xml:space="preserve">decides what government should do;</w:t>
      </w:r>
      <w:r>
        <w:t xml:space="preserve"> </w:t>
      </w:r>
      <w:r>
        <w:rPr>
          <w:bCs/>
          <w:b/>
        </w:rPr>
        <w:t xml:space="preserve">implementation</w:t>
      </w:r>
      <w:r>
        <w:t xml:space="preserve"> </w:t>
      </w:r>
      <w:r>
        <w:t xml:space="preserve">determines what actually happens once that decision is made — the gap between the two is a core, recurring governance problem this unit dissects in unusual depth, naming eight distinct specific causes of implementation failure rather than treating</w:t>
      </w:r>
      <w:r>
        <w:t xml:space="preserve"> </w:t>
      </w:r>
      <w:r>
        <w:t xml:space="preserve">“</w:t>
      </w:r>
      <w:r>
        <w:t xml:space="preserve">implementation problems</w:t>
      </w:r>
      <w:r>
        <w:t xml:space="preserve">”</w:t>
      </w:r>
      <w:r>
        <w:t xml:space="preserve"> </w:t>
      </w:r>
      <w:r>
        <w:t xml:space="preserve">as one undifferentiated category.</w:t>
      </w:r>
    </w:p>
    <w:bookmarkEnd w:id="277"/>
    <w:bookmarkStart w:id="278" w:name="the-policy-making-process-six-stages"/>
    <w:p>
      <w:pPr>
        <w:pStyle w:val="Heading2"/>
      </w:pPr>
      <w:r>
        <w:rPr>
          <w:rStyle w:val="SectionNumber"/>
        </w:rPr>
        <w:t xml:space="preserve">28.2</w:t>
      </w:r>
      <w:r>
        <w:tab/>
      </w:r>
      <w:r>
        <w:t xml:space="preserve">The Policy-Making Process: Six Stages</w:t>
      </w:r>
    </w:p>
    <w:p>
      <w:pPr>
        <w:pStyle w:val="FirstParagraph"/>
      </w:pPr>
      <w:r>
        <w:t xml:space="preserve">A useful learning sequence:</w:t>
      </w:r>
      <w:r>
        <w:t xml:space="preserve"> </w:t>
      </w:r>
      <w:r>
        <w:rPr>
          <w:bCs/>
          <w:b/>
        </w:rPr>
        <w:t xml:space="preserve">problem diagnosis → agenda-setting/prioritization → option formulation → decision/adoption → implementation → evaluation/feedback</w:t>
      </w:r>
      <w:r>
        <w:t xml:space="preserve">. The syllabus’s important methodological caution, worth stating in any answer using this model: different textbooks divide the stages somewhat differently, and real policy processes are frequently</w:t>
      </w:r>
      <w:r>
        <w:t xml:space="preserve"> </w:t>
      </w:r>
      <w:r>
        <w:rPr>
          <w:bCs/>
          <w:b/>
        </w:rPr>
        <w:t xml:space="preserve">non-linear</w:t>
      </w:r>
      <w:r>
        <w:t xml:space="preserve"> </w:t>
      </w:r>
      <w:r>
        <w:t xml:space="preserve">— problems can re-enter the agenda after apparent resolution, implementation experience can reshape the original design, and evaluation findings can trigger entirely new formulation, rather than the process running neatly through six stages exactly once. State explicitly which model is being used rather than presenting any one sequence as a universally fixed law of how policy actually happens.</w:t>
      </w:r>
    </w:p>
    <w:bookmarkEnd w:id="278"/>
    <w:bookmarkStart w:id="279" w:name="diagnosis-and-cautions-at-each-stage"/>
    <w:p>
      <w:pPr>
        <w:pStyle w:val="Heading2"/>
      </w:pPr>
      <w:r>
        <w:rPr>
          <w:rStyle w:val="SectionNumber"/>
        </w:rPr>
        <w:t xml:space="preserve">28.3</w:t>
      </w:r>
      <w:r>
        <w:tab/>
      </w:r>
      <w:r>
        <w:t xml:space="preserve">Diagnosis and Cautions at Each Stage</w:t>
      </w:r>
    </w:p>
    <w:p>
      <w:pPr>
        <w:pStyle w:val="FirstParagraph"/>
      </w:pPr>
      <w:r>
        <w:t xml:space="preserve">Good diagnosis at any stage separates observed</w:t>
      </w:r>
      <w:r>
        <w:t xml:space="preserve"> </w:t>
      </w:r>
      <w:r>
        <w:rPr>
          <w:bCs/>
          <w:b/>
        </w:rPr>
        <w:t xml:space="preserve">symptoms</w:t>
      </w:r>
      <w:r>
        <w:t xml:space="preserve"> </w:t>
      </w:r>
      <w:r>
        <w:t xml:space="preserve">from underlying</w:t>
      </w:r>
      <w:r>
        <w:t xml:space="preserve"> </w:t>
      </w:r>
      <w:r>
        <w:rPr>
          <w:bCs/>
          <w:b/>
        </w:rPr>
        <w:t xml:space="preserve">causes</w:t>
      </w:r>
      <w:r>
        <w:t xml:space="preserve"> </w:t>
      </w:r>
      <w:r>
        <w:t xml:space="preserve">(a principle already emphasized repeatedly in the Public Administration chapter), identifies the relevant stakeholders, checks the actual evidence rather than assumption, and anticipates implementation constraints</w:t>
      </w:r>
      <w:r>
        <w:t xml:space="preserve"> </w:t>
      </w:r>
      <w:r>
        <w:rPr>
          <w:iCs/>
          <w:i/>
        </w:rPr>
        <w:t xml:space="preserve">before</w:t>
      </w:r>
      <w:r>
        <w:t xml:space="preserve"> </w:t>
      </w:r>
      <w:r>
        <w:t xml:space="preserve">a policy is adopted rather than discovering them afterward. Each stage specifically requires attention to legality, cost, distributional impact (who actually bears the costs and receives the benefits), feasibility, and potential unintended consequences.</w:t>
      </w:r>
    </w:p>
    <w:bookmarkEnd w:id="279"/>
    <w:bookmarkStart w:id="280" w:name="Xc5e60a4d6ce37966f2f6bc0eeb30118ac62b920"/>
    <w:p>
      <w:pPr>
        <w:pStyle w:val="Heading2"/>
      </w:pPr>
      <w:r>
        <w:rPr>
          <w:rStyle w:val="SectionNumber"/>
        </w:rPr>
        <w:t xml:space="preserve">28.4</w:t>
      </w:r>
      <w:r>
        <w:tab/>
      </w:r>
      <w:r>
        <w:t xml:space="preserve">Eight Specific Diagnosed Causes of Implementation Failure</w:t>
      </w:r>
    </w:p>
    <w:p>
      <w:pPr>
        <w:pStyle w:val="FirstParagraph"/>
      </w:pPr>
      <w:r>
        <w:t xml:space="preserve">This unit’s most distinctive contribution is naming eight specific, analytically distinct causes of implementation failure — a genuinely useful diagnostic checklist for any implementation scenario:</w:t>
      </w:r>
    </w:p>
    <w:p>
      <w:pPr>
        <w:numPr>
          <w:ilvl w:val="0"/>
          <w:numId w:val="1100"/>
        </w:numPr>
        <w:pStyle w:val="Compact"/>
      </w:pPr>
      <w:r>
        <w:rPr>
          <w:bCs/>
          <w:b/>
        </w:rPr>
        <w:t xml:space="preserve">Inadequate training</w:t>
      </w:r>
      <w:r>
        <w:t xml:space="preserve"> </w:t>
      </w:r>
      <w:r>
        <w:t xml:space="preserve">— implementation requires officials to genuinely understand new rules, systems, and skills; training must be connected to actual job requirements and reinforced by ongoing supervision, aligned incentives, and adequate resources, or the training itself becomes merely symbolic.</w:t>
      </w:r>
    </w:p>
    <w:p>
      <w:pPr>
        <w:numPr>
          <w:ilvl w:val="0"/>
          <w:numId w:val="1100"/>
        </w:numPr>
        <w:pStyle w:val="Compact"/>
      </w:pPr>
      <w:r>
        <w:rPr>
          <w:bCs/>
          <w:b/>
        </w:rPr>
        <w:t xml:space="preserve">Pervasive institutional inertia</w:t>
      </w:r>
      <w:r>
        <w:t xml:space="preserve"> </w:t>
      </w:r>
      <w:r>
        <w:t xml:space="preserve">— arising from routines that reduce uncertainty for staff, genuine sunk investments in existing systems, risk-averse decision-makers, and incentive structures that reward continued compliance with existing practice rather than change. Breaking inertia requires visible leadership commitment, realigned incentives, genuine staff participation in designing the change, pilot testing before full rollout, and allowing gradual institutional learning rather than attempting an abrupt, complete transition.</w:t>
      </w:r>
    </w:p>
    <w:p>
      <w:pPr>
        <w:numPr>
          <w:ilvl w:val="0"/>
          <w:numId w:val="1100"/>
        </w:numPr>
        <w:pStyle w:val="Compact"/>
      </w:pPr>
      <w:r>
        <w:rPr>
          <w:bCs/>
          <w:b/>
        </w:rPr>
        <w:t xml:space="preserve">Lack of decision-making / a culture of delay</w:t>
      </w:r>
      <w:r>
        <w:t xml:space="preserve"> </w:t>
      </w:r>
      <w:r>
        <w:t xml:space="preserve">— arising from unclear decision authority, fear of audit or blame for a wrong call, excessive approval layers, inadequate information to decide confidently, or genuine political uncertainty. The critical diagnostic point:</w:t>
      </w:r>
      <w:r>
        <w:t xml:space="preserve"> </w:t>
      </w:r>
      <w:r>
        <w:rPr>
          <w:bCs/>
          <w:b/>
        </w:rPr>
        <w:t xml:space="preserve">a remedy must target the actual specific cause of delay</w:t>
      </w:r>
      <w:r>
        <w:t xml:space="preserve"> </w:t>
      </w:r>
      <w:r>
        <w:t xml:space="preserve">— merely imposing a deadline on a process delayed by unclear authority or fear of blame will not resolve the underlying problem, since the deadline does nothing to clarify authority or remove the fear driving the delay.</w:t>
      </w:r>
    </w:p>
    <w:p>
      <w:pPr>
        <w:numPr>
          <w:ilvl w:val="0"/>
          <w:numId w:val="1100"/>
        </w:numPr>
        <w:pStyle w:val="Compact"/>
      </w:pPr>
      <w:r>
        <w:rPr>
          <w:bCs/>
          <w:b/>
        </w:rPr>
        <w:t xml:space="preserve">Lack of resources</w:t>
      </w:r>
      <w:r>
        <w:t xml:space="preserve"> </w:t>
      </w:r>
      <w:r>
        <w:t xml:space="preserve">— resources for implementation include not only money but staff numbers, skills, technology, data, time, legal authority, and managerial attention; the frequently tested point is that</w:t>
      </w:r>
      <w:r>
        <w:t xml:space="preserve"> </w:t>
      </w:r>
      <w:r>
        <w:rPr>
          <w:bCs/>
          <w:b/>
        </w:rPr>
        <w:t xml:space="preserve">a policy can be fully funded financially and still lack genuine implementation capacity</w:t>
      </w:r>
      <w:r>
        <w:t xml:space="preserve"> </w:t>
      </w:r>
      <w:r>
        <w:t xml:space="preserve">if these other resource types (skilled staff, adequate data systems, sufficient managerial attention) are missing.</w:t>
      </w:r>
    </w:p>
    <w:p>
      <w:pPr>
        <w:numPr>
          <w:ilvl w:val="0"/>
          <w:numId w:val="1100"/>
        </w:numPr>
        <w:pStyle w:val="Compact"/>
      </w:pPr>
      <w:r>
        <w:rPr>
          <w:bCs/>
          <w:b/>
        </w:rPr>
        <w:t xml:space="preserve">Political interference and the ability to say</w:t>
      </w:r>
      <w:r>
        <w:rPr>
          <w:bCs/>
          <w:b/>
        </w:rPr>
        <w:t xml:space="preserve"> </w:t>
      </w:r>
      <w:r>
        <w:rPr>
          <w:bCs/>
          <w:b/>
        </w:rPr>
        <w:t xml:space="preserve">“</w:t>
      </w:r>
      <w:r>
        <w:rPr>
          <w:bCs/>
          <w:b/>
        </w:rPr>
        <w:t xml:space="preserve">no</w:t>
      </w:r>
      <w:r>
        <w:rPr>
          <w:bCs/>
          <w:b/>
        </w:rPr>
        <w:t xml:space="preserve">”</w:t>
      </w:r>
      <w:r>
        <w:t xml:space="preserve"> </w:t>
      </w:r>
      <w:r>
        <w:t xml:space="preserve">— professional administration requires genuine responsiveness to</w:t>
      </w:r>
      <w:r>
        <w:t xml:space="preserve"> </w:t>
      </w:r>
      <w:r>
        <w:rPr>
          <w:iCs/>
          <w:i/>
        </w:rPr>
        <w:t xml:space="preserve">lawful</w:t>
      </w:r>
      <w:r>
        <w:t xml:space="preserve"> </w:t>
      </w:r>
      <w:r>
        <w:t xml:space="preserve">political direction, combined with the institutional and personal capacity to resist instructions that are illegal, procedurally improper, or outside delegated authority. Institutional clarity, written procedures, and professional ethics (recall the Estacode discussion in Unit VI) are central to sustaining this balance in practice.</w:t>
      </w:r>
    </w:p>
    <w:p>
      <w:pPr>
        <w:numPr>
          <w:ilvl w:val="0"/>
          <w:numId w:val="1100"/>
        </w:numPr>
        <w:pStyle w:val="Compact"/>
      </w:pPr>
      <w:r>
        <w:rPr>
          <w:bCs/>
          <w:b/>
        </w:rPr>
        <w:t xml:space="preserve">Lack of research and policy analysis</w:t>
      </w:r>
      <w:r>
        <w:t xml:space="preserve"> </w:t>
      </w:r>
      <w:r>
        <w:t xml:space="preserve">— weak underlying data or analysis leads directly to poorly designed policy from the outset; improvement requires credible data systems, genuine research capacity, systematic evaluation, real consultation, and transparent statement of assumptions (recall the good-policy-analysis standard from the Public Administration chapter’s Unit III).</w:t>
      </w:r>
    </w:p>
    <w:p>
      <w:pPr>
        <w:numPr>
          <w:ilvl w:val="0"/>
          <w:numId w:val="1100"/>
        </w:numPr>
        <w:pStyle w:val="Compact"/>
      </w:pPr>
      <w:r>
        <w:rPr>
          <w:bCs/>
          <w:b/>
        </w:rPr>
        <w:t xml:space="preserve">Lack of coordination among departments</w:t>
      </w:r>
      <w:r>
        <w:t xml:space="preserve"> </w:t>
      </w:r>
      <w:r>
        <w:t xml:space="preserve">— cross-cutting policy issues require a clearly identified lead responsible actor, genuinely shared information, compatible timelines across the involved departments, explicitly agreed decision rights, and a working dispute-resolution mechanism. The frequently tested caution:</w:t>
      </w:r>
      <w:r>
        <w:t xml:space="preserve"> </w:t>
      </w:r>
      <w:r>
        <w:rPr>
          <w:bCs/>
          <w:b/>
        </w:rPr>
        <w:t xml:space="preserve">simply creating a coordinating committee does not, by itself, guarantee actual coordination</w:t>
      </w:r>
      <w:r>
        <w:t xml:space="preserve"> </w:t>
      </w:r>
      <w:r>
        <w:t xml:space="preserve">— without these specific supporting elements, a coordination committee can itself become another symbolic mechanism (recall Unit V’s symbolic-versus-substantive distinction) rather than a genuinely functioning one.</w:t>
      </w:r>
    </w:p>
    <w:p>
      <w:pPr>
        <w:numPr>
          <w:ilvl w:val="0"/>
          <w:numId w:val="1100"/>
        </w:numPr>
        <w:pStyle w:val="Compact"/>
      </w:pPr>
      <w:r>
        <w:rPr>
          <w:bCs/>
          <w:b/>
        </w:rPr>
        <w:t xml:space="preserve">Secrecy versus openness</w:t>
      </w:r>
      <w:r>
        <w:t xml:space="preserve"> </w:t>
      </w:r>
      <w:r>
        <w:t xml:space="preserve">— some information legitimately requires confidentiality (genuine privacy, security, or ongoing-process concerns), but unnecessary secrecy weakens both institutional learning and accountability. The analytical question this unit asks is specifically whether a given instance of secrecy is</w:t>
      </w:r>
      <w:r>
        <w:t xml:space="preserve"> </w:t>
      </w:r>
      <w:r>
        <w:rPr>
          <w:bCs/>
          <w:b/>
        </w:rPr>
        <w:t xml:space="preserve">legally justified and proportionate</w:t>
      </w:r>
      <w:r>
        <w:t xml:space="preserve">, not whether all government information should categorically always be public.</w:t>
      </w:r>
    </w:p>
    <w:bookmarkEnd w:id="280"/>
    <w:bookmarkStart w:id="281" w:name="policy-evaluation"/>
    <w:p>
      <w:pPr>
        <w:pStyle w:val="Heading2"/>
      </w:pPr>
      <w:r>
        <w:rPr>
          <w:rStyle w:val="SectionNumber"/>
        </w:rPr>
        <w:t xml:space="preserve">28.5</w:t>
      </w:r>
      <w:r>
        <w:tab/>
      </w:r>
      <w:r>
        <w:t xml:space="preserve">Policy Evaluation</w:t>
      </w:r>
    </w:p>
    <w:p>
      <w:pPr>
        <w:pStyle w:val="FirstParagraph"/>
      </w:pPr>
      <w:r>
        <w:t xml:space="preserve">Policy evaluation assesses</w:t>
      </w:r>
      <w:r>
        <w:t xml:space="preserve"> </w:t>
      </w:r>
      <w:r>
        <w:rPr>
          <w:bCs/>
          <w:b/>
        </w:rPr>
        <w:t xml:space="preserve">relevance</w:t>
      </w:r>
      <w:r>
        <w:t xml:space="preserve"> </w:t>
      </w:r>
      <w:r>
        <w:t xml:space="preserve">(is the policy still addressing a genuine, current problem),</w:t>
      </w:r>
      <w:r>
        <w:t xml:space="preserve"> </w:t>
      </w:r>
      <w:r>
        <w:rPr>
          <w:bCs/>
          <w:b/>
        </w:rPr>
        <w:t xml:space="preserve">effectiveness</w:t>
      </w:r>
      <w:r>
        <w:t xml:space="preserve">,</w:t>
      </w:r>
      <w:r>
        <w:t xml:space="preserve"> </w:t>
      </w:r>
      <w:r>
        <w:rPr>
          <w:bCs/>
          <w:b/>
        </w:rPr>
        <w:t xml:space="preserve">efficiency</w:t>
      </w:r>
      <w:r>
        <w:t xml:space="preserve">,</w:t>
      </w:r>
      <w:r>
        <w:t xml:space="preserve"> </w:t>
      </w:r>
      <w:r>
        <w:rPr>
          <w:bCs/>
          <w:b/>
        </w:rPr>
        <w:t xml:space="preserve">equity</w:t>
      </w:r>
      <w:r>
        <w:t xml:space="preserve">,</w:t>
      </w:r>
      <w:r>
        <w:t xml:space="preserve"> </w:t>
      </w:r>
      <w:r>
        <w:rPr>
          <w:bCs/>
          <w:b/>
        </w:rPr>
        <w:t xml:space="preserve">sustainability</w:t>
      </w:r>
      <w:r>
        <w:t xml:space="preserve">, and</w:t>
      </w:r>
      <w:r>
        <w:t xml:space="preserve"> </w:t>
      </w:r>
      <w:r>
        <w:rPr>
          <w:bCs/>
          <w:b/>
        </w:rPr>
        <w:t xml:space="preserve">unintended effects</w:t>
      </w:r>
      <w:r>
        <w:t xml:space="preserve">, as appropriate to the specific policy — with process evaluation (examining how implementation actually unfolded), outcome evaluation (examining resulting changes), and impact evaluation (examining attribution of change specifically to the policy) kept analytically distinct, directly paralleling the monitoring/evaluation and results-chain vocabulary already developed fully in the Public Administration chapter’s Unit III.</w:t>
      </w:r>
      <w:r>
        <w:t xml:space="preserve"> </w:t>
      </w:r>
      <w:r>
        <w:rPr>
          <w:bCs/>
          <w:b/>
        </w:rPr>
        <w:t xml:space="preserve">Worked illustration:</w:t>
      </w:r>
      <w:r>
        <w:t xml:space="preserve"> </w:t>
      </w:r>
      <w:r>
        <w:t xml:space="preserve">if a training program delivered 1,000 training sessions, that figure is an</w:t>
      </w:r>
      <w:r>
        <w:t xml:space="preserve"> </w:t>
      </w:r>
      <w:r>
        <w:rPr>
          <w:bCs/>
          <w:b/>
        </w:rPr>
        <w:t xml:space="preserve">output</w:t>
      </w:r>
      <w:r>
        <w:t xml:space="preserve">; whether participants actually acquired the intended skills and subsequently used them at work is a genuinely separate</w:t>
      </w:r>
      <w:r>
        <w:t xml:space="preserve"> </w:t>
      </w:r>
      <w:r>
        <w:rPr>
          <w:bCs/>
          <w:b/>
        </w:rPr>
        <w:t xml:space="preserve">outcome</w:t>
      </w:r>
      <w:r>
        <w:t xml:space="preserve"> </w:t>
      </w:r>
      <w:r>
        <w:t xml:space="preserve">question, and one an output count alone cannot answer.</w:t>
      </w:r>
    </w:p>
    <w:bookmarkEnd w:id="281"/>
    <w:bookmarkStart w:id="282" w:name="success-and-failure-of-government"/>
    <w:p>
      <w:pPr>
        <w:pStyle w:val="Heading2"/>
      </w:pPr>
      <w:r>
        <w:rPr>
          <w:rStyle w:val="SectionNumber"/>
        </w:rPr>
        <w:t xml:space="preserve">28.6</w:t>
      </w:r>
      <w:r>
        <w:tab/>
      </w:r>
      <w:r>
        <w:t xml:space="preserve">Success and Failure of Government</w:t>
      </w:r>
    </w:p>
    <w:p>
      <w:pPr>
        <w:pStyle w:val="FirstParagraph"/>
      </w:pPr>
      <w:r>
        <w:t xml:space="preserve">Government performance should be judged against</w:t>
      </w:r>
      <w:r>
        <w:t xml:space="preserve"> </w:t>
      </w:r>
      <w:r>
        <w:rPr>
          <w:bCs/>
          <w:b/>
        </w:rPr>
        <w:t xml:space="preserve">explicit stated objectives</w:t>
      </w:r>
      <w:r>
        <w:t xml:space="preserve">, actual evidence, and the surrounding context — the same evidentiary standard for governance-failure diagnosis already established in Unit I above, now applied specifically to evaluating overall government performance. The syllabus’s repeated, explicit caution: avoid simplistic</w:t>
      </w:r>
      <w:r>
        <w:t xml:space="preserve"> </w:t>
      </w:r>
      <w:r>
        <w:t xml:space="preserve">“</w:t>
      </w:r>
      <w:r>
        <w:t xml:space="preserve">success</w:t>
      </w:r>
      <w:r>
        <w:t xml:space="preserve">”</w:t>
      </w:r>
      <w:r>
        <w:t xml:space="preserve"> </w:t>
      </w:r>
      <w:r>
        <w:t xml:space="preserve">or</w:t>
      </w:r>
      <w:r>
        <w:t xml:space="preserve"> </w:t>
      </w:r>
      <w:r>
        <w:t xml:space="preserve">“</w:t>
      </w:r>
      <w:r>
        <w:t xml:space="preserve">failure</w:t>
      </w:r>
      <w:r>
        <w:t xml:space="preserve">”</w:t>
      </w:r>
      <w:r>
        <w:t xml:space="preserve"> </w:t>
      </w:r>
      <w:r>
        <w:t xml:space="preserve">labels when outcomes genuinely depend on multiple actors (other levels of government, external partners) or on external shocks (economic conditions, natural disasters) beyond any single government’s control — attributing a complex, multi-causal outcome entirely to</w:t>
      </w:r>
      <w:r>
        <w:t xml:space="preserve"> </w:t>
      </w:r>
      <w:r>
        <w:t xml:space="preserve">“</w:t>
      </w:r>
      <w:r>
        <w:t xml:space="preserve">government success</w:t>
      </w:r>
      <w:r>
        <w:t xml:space="preserve">”</w:t>
      </w:r>
      <w:r>
        <w:t xml:space="preserve"> </w:t>
      </w:r>
      <w:r>
        <w:t xml:space="preserve">or</w:t>
      </w:r>
      <w:r>
        <w:t xml:space="preserve"> </w:t>
      </w:r>
      <w:r>
        <w:t xml:space="preserve">“</w:t>
      </w:r>
      <w:r>
        <w:t xml:space="preserve">government failure</w:t>
      </w:r>
      <w:r>
        <w:t xml:space="preserve">”</w:t>
      </w:r>
      <w:r>
        <w:t xml:space="preserve"> </w:t>
      </w:r>
      <w:r>
        <w:t xml:space="preserve">oversimplifies exactly the kind of attribution problem already flagged for impact evaluation above.</w:t>
      </w:r>
    </w:p>
    <w:p>
      <w:pPr>
        <w:pStyle w:val="BodyText"/>
      </w:pPr>
      <w:r>
        <w:rPr>
          <w:bCs/>
          <w:b/>
        </w:rPr>
        <w:t xml:space="preserve">Key takeaways for Unit VII</w:t>
      </w:r>
    </w:p>
    <w:p>
      <w:pPr>
        <w:numPr>
          <w:ilvl w:val="0"/>
          <w:numId w:val="1101"/>
        </w:numPr>
        <w:pStyle w:val="Compact"/>
      </w:pPr>
      <w:r>
        <w:t xml:space="preserve">The eight specific implementation-failure causes named in this unit (training, inertia, delay, resources, political interference, weak analysis, poor coordination, secrecy) form a genuinely useful diagnostic checklist — a strong implementation-gap answer identifies which</w:t>
      </w:r>
      <w:r>
        <w:t xml:space="preserve"> </w:t>
      </w:r>
      <w:r>
        <w:rPr>
          <w:iCs/>
          <w:i/>
        </w:rPr>
        <w:t xml:space="preserve">specific</w:t>
      </w:r>
      <w:r>
        <w:t xml:space="preserve"> </w:t>
      </w:r>
      <w:r>
        <w:t xml:space="preserve">one(s) from this list are operating in a described scenario, rather than describing</w:t>
      </w:r>
      <w:r>
        <w:t xml:space="preserve"> </w:t>
      </w:r>
      <w:r>
        <w:t xml:space="preserve">“</w:t>
      </w:r>
      <w:r>
        <w:t xml:space="preserve">implementation problems</w:t>
      </w:r>
      <w:r>
        <w:t xml:space="preserve">”</w:t>
      </w:r>
      <w:r>
        <w:t xml:space="preserve"> </w:t>
      </w:r>
      <w:r>
        <w:t xml:space="preserve">vaguely.</w:t>
      </w:r>
    </w:p>
    <w:p>
      <w:pPr>
        <w:numPr>
          <w:ilvl w:val="0"/>
          <w:numId w:val="1101"/>
        </w:numPr>
        <w:pStyle w:val="Compact"/>
      </w:pPr>
      <w:r>
        <w:t xml:space="preserve">The remedy-must-match-cause principle (illustrated with the delay example) applies across all eight causes: a generic remedy (more funding, a new committee, a stricter deadline) that does not address the actual underlying cause will not resolve the implementation failure.</w:t>
      </w:r>
    </w:p>
    <w:p>
      <w:pPr>
        <w:numPr>
          <w:ilvl w:val="0"/>
          <w:numId w:val="1101"/>
        </w:numPr>
        <w:pStyle w:val="Compact"/>
      </w:pPr>
      <w:r>
        <w:t xml:space="preserve">Policy evaluation’s process/outcome/impact distinction, and the caution against oversimplified success/failure labels for multi-causal outcomes, both directly extend the Public Administration chapter’s evaluation and governance-failure frameworks into this subject’s specific policy-implementation context.</w:t>
      </w:r>
    </w:p>
    <w:p>
      <w:r>
        <w:pict>
          <v:rect style="width:0;height:1.5pt" o:hralign="center" o:hrstd="t" o:hr="t"/>
        </w:pict>
      </w:r>
    </w:p>
    <w:bookmarkEnd w:id="282"/>
    <w:bookmarkEnd w:id="283"/>
    <w:bookmarkStart w:id="292" w:name="viii.-multi-level-governance-in-pakistan"/>
    <w:p>
      <w:pPr>
        <w:pStyle w:val="Heading1"/>
      </w:pPr>
      <w:r>
        <w:rPr>
          <w:rStyle w:val="SectionNumber"/>
        </w:rPr>
        <w:t xml:space="preserve">29</w:t>
      </w:r>
      <w:r>
        <w:tab/>
      </w:r>
      <w:r>
        <w:t xml:space="preserve">VIII. Multi-level Governance in Pakistan</w:t>
      </w:r>
    </w:p>
    <w:bookmarkStart w:id="284" w:name="what-this-unit-is-about-24"/>
    <w:p>
      <w:pPr>
        <w:pStyle w:val="Heading2"/>
      </w:pPr>
      <w:r>
        <w:rPr>
          <w:rStyle w:val="SectionNumber"/>
        </w:rPr>
        <w:t xml:space="preserve">29.1</w:t>
      </w:r>
      <w:r>
        <w:tab/>
      </w:r>
      <w:r>
        <w:t xml:space="preserve">What This Unit Is About</w:t>
      </w:r>
    </w:p>
    <w:p>
      <w:pPr>
        <w:pStyle w:val="FirstParagraph"/>
      </w:pPr>
      <w:r>
        <w:t xml:space="preserve">Multi-level governance studies how authority and coordination operate across federal, provincial, and local institutions, and across the legislative, executive, and judicial branches — essentially an institutional map of the entire Pakistani state. The recommended revision tool, per the syllabus, is a three-column chart:</w:t>
      </w:r>
      <w:r>
        <w:t xml:space="preserve"> </w:t>
      </w:r>
      <w:r>
        <w:rPr>
          <w:bCs/>
          <w:b/>
        </w:rPr>
        <w:t xml:space="preserve">institution → its core constitutional/administrative role → its relationship with other institutions</w:t>
      </w:r>
      <w:r>
        <w:t xml:space="preserve"> </w:t>
      </w:r>
      <w:r>
        <w:t xml:space="preserve">— applied systematically to every institution below, using the Constitution as the primary source throughout.</w:t>
      </w:r>
    </w:p>
    <w:bookmarkEnd w:id="284"/>
    <w:bookmarkStart w:id="285" w:name="X3755842cac728efba4c20128eeb462c8c8244b3"/>
    <w:p>
      <w:pPr>
        <w:pStyle w:val="Heading2"/>
      </w:pPr>
      <w:r>
        <w:rPr>
          <w:rStyle w:val="SectionNumber"/>
        </w:rPr>
        <w:t xml:space="preserve">29.2</w:t>
      </w:r>
      <w:r>
        <w:tab/>
      </w:r>
      <w:r>
        <w:t xml:space="preserve">The Legislative Branch: National Assembly, Senate, and Provincial Assemblies</w:t>
      </w:r>
    </w:p>
    <w:p>
      <w:pPr>
        <w:pStyle w:val="FirstParagraph"/>
      </w:pPr>
      <w:r>
        <w:t xml:space="preserve">The</w:t>
      </w:r>
      <w:r>
        <w:t xml:space="preserve"> </w:t>
      </w:r>
      <w:r>
        <w:rPr>
          <w:bCs/>
          <w:b/>
        </w:rPr>
        <w:t xml:space="preserve">National Assembly and Senate</w:t>
      </w:r>
      <w:r>
        <w:t xml:space="preserve"> </w:t>
      </w:r>
      <w:r>
        <w:t xml:space="preserve">together form the federal Parliament, performing legislation, representation, budgetary authorization, and executive oversight functions, with each chamber holding some chamber-specific powers reflecting Pakistan’s</w:t>
      </w:r>
      <w:r>
        <w:t xml:space="preserve"> </w:t>
      </w:r>
      <w:r>
        <w:rPr>
          <w:bCs/>
          <w:b/>
        </w:rPr>
        <w:t xml:space="preserve">bicameral</w:t>
      </w:r>
      <w:r>
        <w:t xml:space="preserve"> </w:t>
      </w:r>
      <w:r>
        <w:t xml:space="preserve">federal design — a design that, as bicameral systems generally do, creates two different forms of representation (typically population-based for one chamber, equal-per-unit for the other) to balance national majority interests against the interests of the constituent federal units.</w:t>
      </w:r>
      <w:r>
        <w:t xml:space="preserve"> </w:t>
      </w:r>
      <w:r>
        <w:rPr>
          <w:bCs/>
          <w:b/>
        </w:rPr>
        <w:t xml:space="preserve">Provincial assemblies</w:t>
      </w:r>
      <w:r>
        <w:t xml:space="preserve"> </w:t>
      </w:r>
      <w:r>
        <w:t xml:space="preserve">perform the equivalent legislative, budgetary, and executive-oversight functions at the provincial level, within their own constitutionally assigned legislative competence.</w:t>
      </w:r>
    </w:p>
    <w:bookmarkEnd w:id="285"/>
    <w:bookmarkStart w:id="286" w:name="X6aa6345db12b8e867ebf10160c4f8311a111473"/>
    <w:p>
      <w:pPr>
        <w:pStyle w:val="Heading2"/>
      </w:pPr>
      <w:r>
        <w:rPr>
          <w:rStyle w:val="SectionNumber"/>
        </w:rPr>
        <w:t xml:space="preserve">29.3</w:t>
      </w:r>
      <w:r>
        <w:tab/>
      </w:r>
      <w:r>
        <w:t xml:space="preserve">The Judicial Branch: Supreme Court, High Courts, and Lower Courts</w:t>
      </w:r>
    </w:p>
    <w:p>
      <w:pPr>
        <w:pStyle w:val="FirstParagraph"/>
      </w:pPr>
      <w:r>
        <w:t xml:space="preserve">The judiciary interprets and applies law, exercising jurisdiction specifically assigned to it by the Constitution and by statute. A safe general conceptual distinction, useful for organizing this topic:</w:t>
      </w:r>
      <w:r>
        <w:t xml:space="preserve"> </w:t>
      </w:r>
      <w:r>
        <w:rPr>
          <w:bCs/>
          <w:b/>
        </w:rPr>
        <w:t xml:space="preserve">constitutional and superior judicial review functions</w:t>
      </w:r>
      <w:r>
        <w:t xml:space="preserve"> </w:t>
      </w:r>
      <w:r>
        <w:t xml:space="preserve">sit at the higher levels of the court system (the Supreme Court and High Courts), while</w:t>
      </w:r>
      <w:r>
        <w:t xml:space="preserve"> </w:t>
      </w:r>
      <w:r>
        <w:rPr>
          <w:bCs/>
          <w:b/>
        </w:rPr>
        <w:t xml:space="preserve">trial and appellate functions</w:t>
      </w:r>
      <w:r>
        <w:t xml:space="preserve"> </w:t>
      </w:r>
      <w:r>
        <w:t xml:space="preserve">are allocated across the broader court system by statute. Because exact current jurisdictional details can be revised by constitutional amendment or statute, specific jurisdictional claims should be checked against the latest constitutional text and applicable laws.</w:t>
      </w:r>
    </w:p>
    <w:bookmarkEnd w:id="286"/>
    <w:bookmarkStart w:id="287" w:name="Xdd762b988da7b90c046355b6f01108072127b58"/>
    <w:p>
      <w:pPr>
        <w:pStyle w:val="Heading2"/>
      </w:pPr>
      <w:r>
        <w:rPr>
          <w:rStyle w:val="SectionNumber"/>
        </w:rPr>
        <w:t xml:space="preserve">29.4</w:t>
      </w:r>
      <w:r>
        <w:tab/>
      </w:r>
      <w:r>
        <w:t xml:space="preserve">The Executive Branch: President, Prime Minister, Governor, and Chief Minister</w:t>
      </w:r>
    </w:p>
    <w:p>
      <w:pPr>
        <w:pStyle w:val="FirstParagraph"/>
      </w:pPr>
      <w:r>
        <w:t xml:space="preserve">In Pakistan’s parliamentary constitutional framework, the</w:t>
      </w:r>
      <w:r>
        <w:t xml:space="preserve"> </w:t>
      </w:r>
      <w:r>
        <w:rPr>
          <w:bCs/>
          <w:b/>
        </w:rPr>
        <w:t xml:space="preserve">President</w:t>
      </w:r>
      <w:r>
        <w:t xml:space="preserve"> </w:t>
      </w:r>
      <w:r>
        <w:t xml:space="preserve">is the constitutional head of state, exercising functions according to the Constitution, while day-to-day executive leadership is exercised through the</w:t>
      </w:r>
      <w:r>
        <w:t xml:space="preserve"> </w:t>
      </w:r>
      <w:r>
        <w:rPr>
          <w:bCs/>
          <w:b/>
        </w:rPr>
        <w:t xml:space="preserve">Prime Minister</w:t>
      </w:r>
      <w:r>
        <w:t xml:space="preserve"> </w:t>
      </w:r>
      <w:r>
        <w:t xml:space="preserve">and Cabinet, subject to constitutional provisions — the same head-of-state/head-of-government distinction found in most parliamentary systems. At the provincial level, this structure is mirrored: the</w:t>
      </w:r>
      <w:r>
        <w:t xml:space="preserve"> </w:t>
      </w:r>
      <w:r>
        <w:rPr>
          <w:bCs/>
          <w:b/>
        </w:rPr>
        <w:t xml:space="preserve">Governor</w:t>
      </w:r>
      <w:r>
        <w:t xml:space="preserve"> </w:t>
      </w:r>
      <w:r>
        <w:t xml:space="preserve">is the constitutional head of the province, while the elected</w:t>
      </w:r>
      <w:r>
        <w:t xml:space="preserve"> </w:t>
      </w:r>
      <w:r>
        <w:rPr>
          <w:bCs/>
          <w:b/>
        </w:rPr>
        <w:t xml:space="preserve">Chief Minister</w:t>
      </w:r>
      <w:r>
        <w:t xml:space="preserve"> </w:t>
      </w:r>
      <w:r>
        <w:t xml:space="preserve">leads the provincial government and cabinet, again subject to constitutional provisions.</w:t>
      </w:r>
    </w:p>
    <w:bookmarkEnd w:id="287"/>
    <w:bookmarkStart w:id="288" w:name="Xe1500ecc8a0b869163e2e17516aa4db5e5f9f17"/>
    <w:p>
      <w:pPr>
        <w:pStyle w:val="Heading2"/>
      </w:pPr>
      <w:r>
        <w:rPr>
          <w:rStyle w:val="SectionNumber"/>
        </w:rPr>
        <w:t xml:space="preserve">29.5</w:t>
      </w:r>
      <w:r>
        <w:tab/>
      </w:r>
      <w:r>
        <w:t xml:space="preserve">The Federal Cabinet and Cabinet Committees</w:t>
      </w:r>
    </w:p>
    <w:p>
      <w:pPr>
        <w:pStyle w:val="FirstParagraph"/>
      </w:pPr>
      <w:r>
        <w:t xml:space="preserve">The Cabinet provides collective executive leadership at the federal level; cabinet</w:t>
      </w:r>
      <w:r>
        <w:t xml:space="preserve"> </w:t>
      </w:r>
      <w:r>
        <w:rPr>
          <w:bCs/>
          <w:b/>
        </w:rPr>
        <w:t xml:space="preserve">committees</w:t>
      </w:r>
      <w:r>
        <w:t xml:space="preserve"> </w:t>
      </w:r>
      <w:r>
        <w:t xml:space="preserve">(recall ECNEC and the ECC from Unit IV above) handle specialized or cross-cutting subjects under specifically assigned terms of reference, allowing the full Cabinet to delegate detailed work on complex or technical matters to a smaller, focused body while retaining ultimate collective responsibility.</w:t>
      </w:r>
    </w:p>
    <w:bookmarkEnd w:id="288"/>
    <w:bookmarkStart w:id="289" w:name="federal-and-provincial-secretariats"/>
    <w:p>
      <w:pPr>
        <w:pStyle w:val="Heading2"/>
      </w:pPr>
      <w:r>
        <w:rPr>
          <w:rStyle w:val="SectionNumber"/>
        </w:rPr>
        <w:t xml:space="preserve">29.6</w:t>
      </w:r>
      <w:r>
        <w:tab/>
      </w:r>
      <w:r>
        <w:t xml:space="preserve">Federal and Provincial Secretariats</w:t>
      </w:r>
    </w:p>
    <w:p>
      <w:pPr>
        <w:pStyle w:val="FirstParagraph"/>
      </w:pPr>
      <w:r>
        <w:t xml:space="preserve">Secretariats support their respective political executives (the federal Cabinet or the provincial cabinet) through policy advice, coordination, formal rules of business, budgeting input, and oversight of implementation — precisely the secretariat role already developed for the provincial level specifically in the Public Administration chapter’s Unit IX, here generalized to both federal and provincial levels together. As established there, the secretariat’s role is primarily policy, coordination, and oversight;</w:t>
      </w:r>
      <w:r>
        <w:t xml:space="preserve"> </w:t>
      </w:r>
      <w:r>
        <w:rPr>
          <w:bCs/>
          <w:b/>
        </w:rPr>
        <w:t xml:space="preserve">operational field agencies</w:t>
      </w:r>
      <w:r>
        <w:t xml:space="preserve"> </w:t>
      </w:r>
      <w:r>
        <w:t xml:space="preserve">remain more directly involved in actual implementation and citizen-facing service delivery.</w:t>
      </w:r>
    </w:p>
    <w:bookmarkEnd w:id="289"/>
    <w:bookmarkStart w:id="290" w:name="the-local-government-system"/>
    <w:p>
      <w:pPr>
        <w:pStyle w:val="Heading2"/>
      </w:pPr>
      <w:r>
        <w:rPr>
          <w:rStyle w:val="SectionNumber"/>
        </w:rPr>
        <w:t xml:space="preserve">29.7</w:t>
      </w:r>
      <w:r>
        <w:tab/>
      </w:r>
      <w:r>
        <w:t xml:space="preserve">The Local Government System</w:t>
      </w:r>
    </w:p>
    <w:p>
      <w:pPr>
        <w:pStyle w:val="FirstParagraph"/>
      </w:pPr>
      <w:r>
        <w:t xml:space="preserve">Local governments are established through provincial legal frameworks, enacted pursuant to the Constitution — meaning local government’s actual structure and powers are ultimately a provincial legislative choice, not a fixed constitutional guarantee in the same way federal and provincial government structures are. Because structures and specific names vary by province and change over time (as already emphasized in the Public Administration chapter’s Unit IX), current provincial local government law must be checked directly for any specific structural claim.</w:t>
      </w:r>
    </w:p>
    <w:bookmarkEnd w:id="290"/>
    <w:bookmarkStart w:id="291" w:name="X027225e6f1554b7cdf057bdecfde417af42d0b7"/>
    <w:p>
      <w:pPr>
        <w:pStyle w:val="Heading2"/>
      </w:pPr>
      <w:r>
        <w:rPr>
          <w:rStyle w:val="SectionNumber"/>
        </w:rPr>
        <w:t xml:space="preserve">29.8</w:t>
      </w:r>
      <w:r>
        <w:tab/>
      </w:r>
      <w:r>
        <w:t xml:space="preserve">Efficacy, Performance, and Causes of Success or Failure</w:t>
      </w:r>
    </w:p>
    <w:p>
      <w:pPr>
        <w:pStyle w:val="FirstParagraph"/>
      </w:pPr>
      <w:r>
        <w:t xml:space="preserve">Local (and multi-level governance generally) should be evaluated through</w:t>
      </w:r>
      <w:r>
        <w:t xml:space="preserve"> </w:t>
      </w:r>
      <w:r>
        <w:rPr>
          <w:bCs/>
          <w:b/>
        </w:rPr>
        <w:t xml:space="preserve">clarity of functional assignment</w:t>
      </w:r>
      <w:r>
        <w:t xml:space="preserve">, adequate</w:t>
      </w:r>
      <w:r>
        <w:t xml:space="preserve"> </w:t>
      </w:r>
      <w:r>
        <w:rPr>
          <w:bCs/>
          <w:b/>
        </w:rPr>
        <w:t xml:space="preserve">fiscal resources</w:t>
      </w:r>
      <w:r>
        <w:t xml:space="preserve">, genuine</w:t>
      </w:r>
      <w:r>
        <w:t xml:space="preserve"> </w:t>
      </w:r>
      <w:r>
        <w:rPr>
          <w:bCs/>
          <w:b/>
        </w:rPr>
        <w:t xml:space="preserve">administrative capacity</w:t>
      </w:r>
      <w:r>
        <w:t xml:space="preserve">,</w:t>
      </w:r>
      <w:r>
        <w:t xml:space="preserve"> </w:t>
      </w:r>
      <w:r>
        <w:rPr>
          <w:bCs/>
          <w:b/>
        </w:rPr>
        <w:t xml:space="preserve">political continuity</w:t>
      </w:r>
      <w:r>
        <w:t xml:space="preserve">, functioning</w:t>
      </w:r>
      <w:r>
        <w:t xml:space="preserve"> </w:t>
      </w:r>
      <w:r>
        <w:rPr>
          <w:bCs/>
          <w:b/>
        </w:rPr>
        <w:t xml:space="preserve">accountability</w:t>
      </w:r>
      <w:r>
        <w:t xml:space="preserve">, real</w:t>
      </w:r>
      <w:r>
        <w:t xml:space="preserve"> </w:t>
      </w:r>
      <w:r>
        <w:rPr>
          <w:bCs/>
          <w:b/>
        </w:rPr>
        <w:t xml:space="preserve">citizen participation</w:t>
      </w:r>
      <w:r>
        <w:t xml:space="preserve">, and effective</w:t>
      </w:r>
      <w:r>
        <w:t xml:space="preserve"> </w:t>
      </w:r>
      <w:r>
        <w:rPr>
          <w:bCs/>
          <w:b/>
        </w:rPr>
        <w:t xml:space="preserve">coordination with provincial agencies</w:t>
      </w:r>
      <w:r>
        <w:t xml:space="preserve"> </w:t>
      </w:r>
      <w:r>
        <w:t xml:space="preserve">— directly echoing the local-governance evaluation criteria already established in the Public Administration chapter’s Unit IX, and the general governance-failure diagnostic principle from Unit I above that</w:t>
      </w:r>
      <w:r>
        <w:t xml:space="preserve"> </w:t>
      </w:r>
      <w:r>
        <w:rPr>
          <w:bCs/>
          <w:b/>
        </w:rPr>
        <w:t xml:space="preserve">a single weak indicator does not establish total institutional failure</w:t>
      </w:r>
      <w:r>
        <w:t xml:space="preserve">; genuine evaluation requires evidence across these several dimensions together.</w:t>
      </w:r>
    </w:p>
    <w:p>
      <w:pPr>
        <w:pStyle w:val="BodyText"/>
      </w:pPr>
      <w:r>
        <w:rPr>
          <w:bCs/>
          <w:b/>
        </w:rPr>
        <w:t xml:space="preserve">Key takeaways for Unit VIII</w:t>
      </w:r>
    </w:p>
    <w:p>
      <w:pPr>
        <w:numPr>
          <w:ilvl w:val="0"/>
          <w:numId w:val="1102"/>
        </w:numPr>
        <w:pStyle w:val="Compact"/>
      </w:pPr>
      <w:r>
        <w:t xml:space="preserve">The three-column chart (institution → constitutional/administrative role → relationship with other institutions) is the actual organizing skill this unit tests — apply it systematically to every named institution.</w:t>
      </w:r>
    </w:p>
    <w:p>
      <w:pPr>
        <w:numPr>
          <w:ilvl w:val="0"/>
          <w:numId w:val="1102"/>
        </w:numPr>
        <w:pStyle w:val="Compact"/>
      </w:pPr>
      <w:r>
        <w:t xml:space="preserve">The head-of-state/head-of-government distinction (President/Prime Minister federally; Governor/Chief Minister provincially) is structurally identical at both levels — a frequently useful parallel for exam answers covering both levels together.</w:t>
      </w:r>
    </w:p>
    <w:p>
      <w:pPr>
        <w:numPr>
          <w:ilvl w:val="0"/>
          <w:numId w:val="1102"/>
        </w:numPr>
        <w:pStyle w:val="Compact"/>
      </w:pPr>
      <w:r>
        <w:t xml:space="preserve">Local government’s structure is set by provincial law under constitutional authority, not fixed directly by the Constitution itself — an important nuance distinguishing it from the federal-provincial division of power, which the Constitution does fix directly.</w:t>
      </w:r>
    </w:p>
    <w:p>
      <w:r>
        <w:pict>
          <v:rect style="width:0;height:1.5pt" o:hralign="center" o:hrstd="t" o:hr="t"/>
        </w:pict>
      </w:r>
    </w:p>
    <w:bookmarkEnd w:id="291"/>
    <w:bookmarkEnd w:id="292"/>
    <w:bookmarkStart w:id="297" w:name="X781703a3d14f0019eb5555fbe9c68203a4122da"/>
    <w:p>
      <w:pPr>
        <w:pStyle w:val="Heading1"/>
      </w:pPr>
      <w:r>
        <w:rPr>
          <w:rStyle w:val="SectionNumber"/>
        </w:rPr>
        <w:t xml:space="preserve">30</w:t>
      </w:r>
      <w:r>
        <w:tab/>
      </w:r>
      <w:r>
        <w:t xml:space="preserve">IX. Federalism, Devolution, and Decentralization</w:t>
      </w:r>
    </w:p>
    <w:bookmarkStart w:id="293" w:name="what-this-unit-is-about-25"/>
    <w:p>
      <w:pPr>
        <w:pStyle w:val="Heading2"/>
      </w:pPr>
      <w:r>
        <w:rPr>
          <w:rStyle w:val="SectionNumber"/>
        </w:rPr>
        <w:t xml:space="preserve">30.1</w:t>
      </w:r>
      <w:r>
        <w:tab/>
      </w:r>
      <w:r>
        <w:t xml:space="preserve">What This Unit Is About</w:t>
      </w:r>
    </w:p>
    <w:p>
      <w:pPr>
        <w:pStyle w:val="FirstParagraph"/>
      </w:pPr>
      <w:r>
        <w:rPr>
          <w:bCs/>
          <w:b/>
        </w:rPr>
        <w:t xml:space="preserve">Federalism</w:t>
      </w:r>
      <w:r>
        <w:t xml:space="preserve"> </w:t>
      </w:r>
      <w:r>
        <w:t xml:space="preserve">constitutionally divides governmental authority between national and provincial (constituent) units;</w:t>
      </w:r>
      <w:r>
        <w:t xml:space="preserve"> </w:t>
      </w:r>
      <w:r>
        <w:rPr>
          <w:bCs/>
          <w:b/>
        </w:rPr>
        <w:t xml:space="preserve">decentralization</w:t>
      </w:r>
      <w:r>
        <w:t xml:space="preserve"> </w:t>
      </w:r>
      <w:r>
        <w:t xml:space="preserve">shifts functions, authority, or resources closer to lower levels or to specialized bodies within either level. The syllabus’s first recommended step: clearly distinguish</w:t>
      </w:r>
      <w:r>
        <w:t xml:space="preserve"> </w:t>
      </w:r>
      <w:r>
        <w:rPr>
          <w:bCs/>
          <w:b/>
        </w:rPr>
        <w:t xml:space="preserve">federalism</w:t>
      </w:r>
      <w:r>
        <w:t xml:space="preserve"> </w:t>
      </w:r>
      <w:r>
        <w:t xml:space="preserve">(a constitutional division of sovereign authority between two or more levels of government, each with its own constitutionally protected sphere),</w:t>
      </w:r>
      <w:r>
        <w:t xml:space="preserve"> </w:t>
      </w:r>
      <w:r>
        <w:rPr>
          <w:bCs/>
          <w:b/>
        </w:rPr>
        <w:t xml:space="preserve">devolution</w:t>
      </w:r>
      <w:r>
        <w:t xml:space="preserve">,</w:t>
      </w:r>
      <w:r>
        <w:t xml:space="preserve"> </w:t>
      </w:r>
      <w:r>
        <w:rPr>
          <w:bCs/>
          <w:b/>
        </w:rPr>
        <w:t xml:space="preserve">delegation</w:t>
      </w:r>
      <w:r>
        <w:t xml:space="preserve">, and</w:t>
      </w:r>
      <w:r>
        <w:t xml:space="preserve"> </w:t>
      </w:r>
      <w:r>
        <w:rPr>
          <w:bCs/>
          <w:b/>
        </w:rPr>
        <w:t xml:space="preserve">deconcentration</w:t>
      </w:r>
      <w:r>
        <w:t xml:space="preserve"> </w:t>
      </w:r>
      <w:r>
        <w:t xml:space="preserve">(the three decentralization sub-types already precisely defined in the Public Administration chapter’s Unit X) — federalism is a constitutional structure; the other three are administrative or governance choices that can occur</w:t>
      </w:r>
      <w:r>
        <w:t xml:space="preserve"> </w:t>
      </w:r>
      <w:r>
        <w:rPr>
          <w:iCs/>
          <w:i/>
        </w:rPr>
        <w:t xml:space="preserve">within</w:t>
      </w:r>
      <w:r>
        <w:t xml:space="preserve"> </w:t>
      </w:r>
      <w:r>
        <w:t xml:space="preserve">a federal (or unitary) system.</w:t>
      </w:r>
    </w:p>
    <w:bookmarkEnd w:id="293"/>
    <w:bookmarkStart w:id="294" w:name="X00570cb4cf8ee787fdb1616273f0e617dda189d"/>
    <w:p>
      <w:pPr>
        <w:pStyle w:val="Heading2"/>
      </w:pPr>
      <w:r>
        <w:rPr>
          <w:rStyle w:val="SectionNumber"/>
        </w:rPr>
        <w:t xml:space="preserve">30.2</w:t>
      </w:r>
      <w:r>
        <w:tab/>
      </w:r>
      <w:r>
        <w:t xml:space="preserve">Constituents’ Participation in Federal Structure</w:t>
      </w:r>
    </w:p>
    <w:p>
      <w:pPr>
        <w:pStyle w:val="FirstParagraph"/>
      </w:pPr>
      <w:r>
        <w:t xml:space="preserve">Federal systems require specific mechanisms through which constituent provincial units genuinely participate in national decision-making, coordination, and resource-sharing arrangements — in Pakistan, this includes constitutional bodies and processes such as the Council of Common Interests and the National Finance Commission (already referenced in the Public Administration chapter’s Unit II discussion of inter-governmental relations). As with participation generally (recall Unit I above), the quality of this constituent participation depends on genuine access, adequate information, real inclusiveness, actual ability to influence the resulting decisions, and feedback on outcomes — a federal consultative mechanism that exists formally but does not meet these conditions risks becoming another example of symbolic rather than substantive accountability (Unit V).</w:t>
      </w:r>
    </w:p>
    <w:bookmarkEnd w:id="294"/>
    <w:bookmarkStart w:id="295" w:name="the-principle-of-subsidiarity"/>
    <w:p>
      <w:pPr>
        <w:pStyle w:val="Heading2"/>
      </w:pPr>
      <w:r>
        <w:rPr>
          <w:rStyle w:val="SectionNumber"/>
        </w:rPr>
        <w:t xml:space="preserve">30.3</w:t>
      </w:r>
      <w:r>
        <w:tab/>
      </w:r>
      <w:r>
        <w:t xml:space="preserve">The Principle of Subsidiarity</w:t>
      </w:r>
    </w:p>
    <w:p>
      <w:pPr>
        <w:pStyle w:val="FirstParagraph"/>
      </w:pPr>
      <w:r>
        <w:rPr>
          <w:bCs/>
          <w:b/>
        </w:rPr>
        <w:t xml:space="preserve">Subsidiarity</w:t>
      </w:r>
      <w:r>
        <w:t xml:space="preserve"> </w:t>
      </w:r>
      <w:r>
        <w:t xml:space="preserve">holds that a public function should normally be performed at the</w:t>
      </w:r>
      <w:r>
        <w:t xml:space="preserve"> </w:t>
      </w:r>
      <w:r>
        <w:rPr>
          <w:bCs/>
          <w:b/>
        </w:rPr>
        <w:t xml:space="preserve">lowest level of government capable of performing it effectively</w:t>
      </w:r>
      <w:r>
        <w:t xml:space="preserve">, while higher levels retain responsibility for tasks genuinely requiring scale, cross-boundary coordination, redistribution, or uniform national standards.</w:t>
      </w:r>
      <w:r>
        <w:t xml:space="preserve"> </w:t>
      </w:r>
      <w:r>
        <w:rPr>
          <w:bCs/>
          <w:b/>
        </w:rPr>
        <w:t xml:space="preserve">Worked illustration:</w:t>
      </w:r>
      <w:r>
        <w:t xml:space="preserve"> </w:t>
      </w:r>
      <w:r>
        <w:t xml:space="preserve">street cleaning is usually best managed close to the locality that experiences it directly, since local knowledge and accountability are strongest there; national defence, by contrast, requires a higher (national) level of government, because the function cannot sensibly be divided and coordinated neighbourhood by neighbourhood — the underlying logic in both cases is matching the level of government to the actual scale and nature of the function, not a general preference for either centralization or decentralization as such.</w:t>
      </w:r>
    </w:p>
    <w:bookmarkEnd w:id="295"/>
    <w:bookmarkStart w:id="296" w:name="the-decentralization-model-of-kerala"/>
    <w:p>
      <w:pPr>
        <w:pStyle w:val="Heading2"/>
      </w:pPr>
      <w:r>
        <w:rPr>
          <w:rStyle w:val="SectionNumber"/>
        </w:rPr>
        <w:t xml:space="preserve">30.4</w:t>
      </w:r>
      <w:r>
        <w:tab/>
      </w:r>
      <w:r>
        <w:t xml:space="preserve">The Decentralization Model of Kerala</w:t>
      </w:r>
    </w:p>
    <w:p>
      <w:pPr>
        <w:pStyle w:val="FirstParagraph"/>
      </w:pPr>
      <w:r>
        <w:t xml:space="preserve">Kerala (a state in India) is frequently studied as a comparative case for</w:t>
      </w:r>
      <w:r>
        <w:t xml:space="preserve"> </w:t>
      </w:r>
      <w:r>
        <w:rPr>
          <w:bCs/>
          <w:b/>
        </w:rPr>
        <w:t xml:space="preserve">participatory decentralization</w:t>
      </w:r>
      <w:r>
        <w:t xml:space="preserve">, notable for strong local planning processes, genuine local participation mechanisms, and a substantial transfer of both functional responsibility and fiscal resources to local bodies, supported by deliberate local capacity-building. The syllabus’s explicit and important instruction here directly echoes the comparative-governance caution from Unit V above: Kerala should be studied for its underlying</w:t>
      </w:r>
      <w:r>
        <w:t xml:space="preserve"> </w:t>
      </w:r>
      <w:r>
        <w:rPr>
          <w:bCs/>
          <w:b/>
        </w:rPr>
        <w:t xml:space="preserve">design principles</w:t>
      </w:r>
      <w:r>
        <w:t xml:space="preserve"> </w:t>
      </w:r>
      <w:r>
        <w:t xml:space="preserve">(local planning, genuine participation, combined fiscal-and-functional transfer, capacity-building) and the specific institutional and political</w:t>
      </w:r>
      <w:r>
        <w:t xml:space="preserve"> </w:t>
      </w:r>
      <w:r>
        <w:rPr>
          <w:bCs/>
          <w:b/>
        </w:rPr>
        <w:t xml:space="preserve">context</w:t>
      </w:r>
      <w:r>
        <w:t xml:space="preserve"> </w:t>
      </w:r>
      <w:r>
        <w:t xml:space="preserve">that enabled them —</w:t>
      </w:r>
      <w:r>
        <w:t xml:space="preserve"> </w:t>
      </w:r>
      <w:r>
        <w:rPr>
          <w:bCs/>
          <w:b/>
        </w:rPr>
        <w:t xml:space="preserve">not treated as a model to be mechanically copied</w:t>
      </w:r>
      <w:r>
        <w:t xml:space="preserve"> </w:t>
      </w:r>
      <w:r>
        <w:t xml:space="preserve">into Pakistan’s different constitutional, political, and administrative context.</w:t>
      </w:r>
    </w:p>
    <w:p>
      <w:pPr>
        <w:pStyle w:val="BodyText"/>
      </w:pPr>
      <w:r>
        <w:rPr>
          <w:bCs/>
          <w:b/>
        </w:rPr>
        <w:t xml:space="preserve">Key takeaways for Unit IX</w:t>
      </w:r>
    </w:p>
    <w:p>
      <w:pPr>
        <w:numPr>
          <w:ilvl w:val="0"/>
          <w:numId w:val="1103"/>
        </w:numPr>
        <w:pStyle w:val="Compact"/>
      </w:pPr>
      <w:r>
        <w:t xml:space="preserve">Federalism (constitutional division of authority) is distinct from decentralization (administrative/governance choices about deconcentration, delegation, or devolution) — federalism is the constitutional framework within which decentralization choices are then made.</w:t>
      </w:r>
    </w:p>
    <w:p>
      <w:pPr>
        <w:numPr>
          <w:ilvl w:val="0"/>
          <w:numId w:val="1103"/>
        </w:numPr>
        <w:pStyle w:val="Compact"/>
      </w:pPr>
      <w:r>
        <w:t xml:space="preserve">Subsidiarity’s test is the</w:t>
      </w:r>
      <w:r>
        <w:t xml:space="preserve"> </w:t>
      </w:r>
      <w:r>
        <w:rPr>
          <w:iCs/>
          <w:i/>
        </w:rPr>
        <w:t xml:space="preserve">nature of the function</w:t>
      </w:r>
      <w:r>
        <w:t xml:space="preserve"> </w:t>
      </w:r>
      <w:r>
        <w:t xml:space="preserve">(does it require scale, coordination, or redistribution, or not) — not a general ideological preference for centralization or decentralization.</w:t>
      </w:r>
    </w:p>
    <w:p>
      <w:pPr>
        <w:numPr>
          <w:ilvl w:val="0"/>
          <w:numId w:val="1103"/>
        </w:numPr>
        <w:pStyle w:val="Compact"/>
      </w:pPr>
      <w:r>
        <w:t xml:space="preserve">Kerala illustrates the comparative-governance principle from Unit V in a specific concrete case: extract design principles and context, do not mechanically transplant institutional forms.</w:t>
      </w:r>
    </w:p>
    <w:p>
      <w:r>
        <w:pict>
          <v:rect style="width:0;height:1.5pt" o:hralign="center" o:hrstd="t" o:hr="t"/>
        </w:pict>
      </w:r>
    </w:p>
    <w:bookmarkEnd w:id="296"/>
    <w:bookmarkEnd w:id="297"/>
    <w:bookmarkStart w:id="305" w:name="x.-the-role-of-citizens-in-governance"/>
    <w:p>
      <w:pPr>
        <w:pStyle w:val="Heading1"/>
      </w:pPr>
      <w:r>
        <w:rPr>
          <w:rStyle w:val="SectionNumber"/>
        </w:rPr>
        <w:t xml:space="preserve">31</w:t>
      </w:r>
      <w:r>
        <w:tab/>
      </w:r>
      <w:r>
        <w:t xml:space="preserve">X. The Role of Citizens in Governance</w:t>
      </w:r>
    </w:p>
    <w:bookmarkStart w:id="298" w:name="what-this-unit-is-about-26"/>
    <w:p>
      <w:pPr>
        <w:pStyle w:val="Heading2"/>
      </w:pPr>
      <w:r>
        <w:rPr>
          <w:rStyle w:val="SectionNumber"/>
        </w:rPr>
        <w:t xml:space="preserve">31.1</w:t>
      </w:r>
      <w:r>
        <w:tab/>
      </w:r>
      <w:r>
        <w:t xml:space="preserve">What This Unit Is About</w:t>
      </w:r>
    </w:p>
    <w:p>
      <w:pPr>
        <w:pStyle w:val="FirstParagraph"/>
      </w:pPr>
      <w:r>
        <w:t xml:space="preserve">Citizens are not merely passive recipients of public services — they are rights-holders, voters, taxpayers, community members, and active sources of information and oversight. The recommended organizing device is a</w:t>
      </w:r>
      <w:r>
        <w:t xml:space="preserve"> </w:t>
      </w:r>
      <w:r>
        <w:rPr>
          <w:bCs/>
          <w:b/>
        </w:rPr>
        <w:t xml:space="preserve">participation ladder</w:t>
      </w:r>
      <w:r>
        <w:t xml:space="preserve">, rising through increasing levels of citizen involvement:</w:t>
      </w:r>
      <w:r>
        <w:t xml:space="preserve"> </w:t>
      </w:r>
      <w:r>
        <w:rPr>
          <w:bCs/>
          <w:b/>
        </w:rPr>
        <w:t xml:space="preserve">information provision → consultation → partnership/participation → co-production/monitoring</w:t>
      </w:r>
      <w:r>
        <w:t xml:space="preserve"> </w:t>
      </w:r>
      <w:r>
        <w:t xml:space="preserve">— the same spectrum already introduced for citizen engagement in the Public Administration chapter’s Unit XI, developed here in fuller depth across five specific mechanisms.</w:t>
      </w:r>
    </w:p>
    <w:bookmarkEnd w:id="298"/>
    <w:bookmarkStart w:id="299" w:name="citizen-participation"/>
    <w:p>
      <w:pPr>
        <w:pStyle w:val="Heading2"/>
      </w:pPr>
      <w:r>
        <w:rPr>
          <w:rStyle w:val="SectionNumber"/>
        </w:rPr>
        <w:t xml:space="preserve">31.2</w:t>
      </w:r>
      <w:r>
        <w:tab/>
      </w:r>
      <w:r>
        <w:t xml:space="preserve">Citizen Participation</w:t>
      </w:r>
    </w:p>
    <w:p>
      <w:pPr>
        <w:pStyle w:val="FirstParagraph"/>
      </w:pPr>
      <w:r>
        <w:t xml:space="preserve">Citizens participate through elections, public consultation processes, formal hearings, community bodies, petitions, local planning processes, and other lawful channels. As established repeatedly throughout this subject, participation’s actual quality depends on genuine access, adequate information, real inclusiveness across different groups (not only the already well-connected), a genuine ability to influence the eventual decision, and feedback about what actually happened to the input provided.</w:t>
      </w:r>
    </w:p>
    <w:bookmarkEnd w:id="299"/>
    <w:bookmarkStart w:id="300" w:name="right-to-information-and-transparency"/>
    <w:p>
      <w:pPr>
        <w:pStyle w:val="Heading2"/>
      </w:pPr>
      <w:r>
        <w:rPr>
          <w:rStyle w:val="SectionNumber"/>
        </w:rPr>
        <w:t xml:space="preserve">31.3</w:t>
      </w:r>
      <w:r>
        <w:tab/>
      </w:r>
      <w:r>
        <w:t xml:space="preserve">Right to Information and Transparency</w:t>
      </w:r>
    </w:p>
    <w:p>
      <w:pPr>
        <w:pStyle w:val="FirstParagraph"/>
      </w:pPr>
      <w:r>
        <w:t xml:space="preserve">Access to public information enables informed participation and genuine oversight, subject to legitimate constitutional and statutory limits.</w:t>
      </w:r>
      <w:r>
        <w:t xml:space="preserve"> </w:t>
      </w:r>
      <w:r>
        <w:rPr>
          <w:bCs/>
          <w:b/>
        </w:rPr>
        <w:t xml:space="preserve">Right-to-information systems</w:t>
      </w:r>
      <w:r>
        <w:t xml:space="preserve"> </w:t>
      </w:r>
      <w:r>
        <w:t xml:space="preserve">convert the general principle of transparency (Unit I) into a concrete</w:t>
      </w:r>
      <w:r>
        <w:t xml:space="preserve"> </w:t>
      </w:r>
      <w:r>
        <w:rPr>
          <w:bCs/>
          <w:b/>
        </w:rPr>
        <w:t xml:space="preserve">legal process</w:t>
      </w:r>
      <w:r>
        <w:t xml:space="preserve"> </w:t>
      </w:r>
      <w:r>
        <w:t xml:space="preserve">for requesting specific records, governed by defined exemptions and procedures established in law. The syllabus’s practical point: an effective right-to-information system requires functioning records management (information that cannot be located cannot be disclosed regardless of the legal right to request it), defined response time limits, and a genuine review/appeal mechanism for when a request is refused — a right-to-information law without these supporting elements risks becoming, again, a symbolic rather than substantive mechanism (Unit V). Pakistan-specific answers should draw on the currently applicable federal and provincial right-to-information laws.</w:t>
      </w:r>
    </w:p>
    <w:bookmarkEnd w:id="300"/>
    <w:bookmarkStart w:id="301" w:name="complaints-and-grievance-redress"/>
    <w:p>
      <w:pPr>
        <w:pStyle w:val="Heading2"/>
      </w:pPr>
      <w:r>
        <w:rPr>
          <w:rStyle w:val="SectionNumber"/>
        </w:rPr>
        <w:t xml:space="preserve">31.4</w:t>
      </w:r>
      <w:r>
        <w:tab/>
      </w:r>
      <w:r>
        <w:t xml:space="preserve">Complaints and Grievance Redress</w:t>
      </w:r>
    </w:p>
    <w:p>
      <w:pPr>
        <w:pStyle w:val="FirstParagraph"/>
      </w:pPr>
      <w:r>
        <w:t xml:space="preserve">Accessible complaint systems serve two distinct functions: correcting individual service failures, and revealing recurring, systemic administrative problems visible only when complaint patterns are analysed in aggregate. The syllabus’s explicit standard for an effective grievance system: genuine ease of access, case</w:t>
      </w:r>
      <w:r>
        <w:t xml:space="preserve"> </w:t>
      </w:r>
      <w:r>
        <w:rPr>
          <w:bCs/>
          <w:b/>
        </w:rPr>
        <w:t xml:space="preserve">tracking</w:t>
      </w:r>
      <w:r>
        <w:t xml:space="preserve"> </w:t>
      </w:r>
      <w:r>
        <w:t xml:space="preserve">(so a complainant and the institution can both follow a case’s status), defined time standards for response, stated</w:t>
      </w:r>
      <w:r>
        <w:t xml:space="preserve"> </w:t>
      </w:r>
      <w:r>
        <w:rPr>
          <w:bCs/>
          <w:b/>
        </w:rPr>
        <w:t xml:space="preserve">reasons</w:t>
      </w:r>
      <w:r>
        <w:t xml:space="preserve"> </w:t>
      </w:r>
      <w:r>
        <w:t xml:space="preserve">for the eventual decision, an</w:t>
      </w:r>
      <w:r>
        <w:t xml:space="preserve"> </w:t>
      </w:r>
      <w:r>
        <w:rPr>
          <w:bCs/>
          <w:b/>
        </w:rPr>
        <w:t xml:space="preserve">escalation</w:t>
      </w:r>
      <w:r>
        <w:t xml:space="preserve"> </w:t>
      </w:r>
      <w:r>
        <w:t xml:space="preserve">path when the initial response is unsatisfactory, and — critically —</w:t>
      </w:r>
      <w:r>
        <w:t xml:space="preserve"> </w:t>
      </w:r>
      <w:r>
        <w:rPr>
          <w:bCs/>
          <w:b/>
        </w:rPr>
        <w:t xml:space="preserve">institutional learning</w:t>
      </w:r>
      <w:r>
        <w:t xml:space="preserve"> </w:t>
      </w:r>
      <w:r>
        <w:t xml:space="preserve">from recurring complaint patterns, not merely a passive</w:t>
      </w:r>
      <w:r>
        <w:t xml:space="preserve"> </w:t>
      </w:r>
      <w:r>
        <w:t xml:space="preserve">“</w:t>
      </w:r>
      <w:r>
        <w:t xml:space="preserve">complaint box</w:t>
      </w:r>
      <w:r>
        <w:t xml:space="preserve">”</w:t>
      </w:r>
      <w:r>
        <w:t xml:space="preserve"> </w:t>
      </w:r>
      <w:r>
        <w:t xml:space="preserve">that receives grievances without any of these supporting mechanisms.</w:t>
      </w:r>
    </w:p>
    <w:bookmarkEnd w:id="301"/>
    <w:bookmarkStart w:id="302" w:name="Xe47563944c4632313b47faa3052cdb2c09b98ee"/>
    <w:p>
      <w:pPr>
        <w:pStyle w:val="Heading2"/>
      </w:pPr>
      <w:r>
        <w:rPr>
          <w:rStyle w:val="SectionNumber"/>
        </w:rPr>
        <w:t xml:space="preserve">31.5</w:t>
      </w:r>
      <w:r>
        <w:tab/>
      </w:r>
      <w:r>
        <w:t xml:space="preserve">Citizen Monitoring and Social Accountability</w:t>
      </w:r>
    </w:p>
    <w:p>
      <w:pPr>
        <w:pStyle w:val="FirstParagraph"/>
      </w:pPr>
      <w:r>
        <w:rPr>
          <w:bCs/>
          <w:b/>
        </w:rPr>
        <w:t xml:space="preserve">Social accountability</w:t>
      </w:r>
      <w:r>
        <w:t xml:space="preserve"> </w:t>
      </w:r>
      <w:r>
        <w:t xml:space="preserve">uses citizen, community, media, or civil-society scrutiny to</w:t>
      </w:r>
      <w:r>
        <w:t xml:space="preserve"> </w:t>
      </w:r>
      <w:r>
        <w:rPr>
          <w:iCs/>
          <w:i/>
        </w:rPr>
        <w:t xml:space="preserve">complement</w:t>
      </w:r>
      <w:r>
        <w:t xml:space="preserve"> </w:t>
      </w:r>
      <w:r>
        <w:t xml:space="preserve">(not replace) formal accountability institutions (recall the formal institutional framework from the Public Administration chapter’s Unit XI). Its effectiveness depends on the availability of</w:t>
      </w:r>
      <w:r>
        <w:t xml:space="preserve"> </w:t>
      </w:r>
      <w:r>
        <w:rPr>
          <w:bCs/>
          <w:b/>
        </w:rPr>
        <w:t xml:space="preserve">credible information</w:t>
      </w:r>
      <w:r>
        <w:t xml:space="preserve">, genuine</w:t>
      </w:r>
      <w:r>
        <w:t xml:space="preserve"> </w:t>
      </w:r>
      <w:r>
        <w:rPr>
          <w:bCs/>
          <w:b/>
        </w:rPr>
        <w:t xml:space="preserve">inclusion</w:t>
      </w:r>
      <w:r>
        <w:t xml:space="preserve"> </w:t>
      </w:r>
      <w:r>
        <w:t xml:space="preserve">of affected groups (not only vocal or well-resourced ones — recall the same caution already made about civil society and media in the Public Administration chapter), and functioning</w:t>
      </w:r>
      <w:r>
        <w:t xml:space="preserve"> </w:t>
      </w:r>
      <w:r>
        <w:rPr>
          <w:bCs/>
          <w:b/>
        </w:rPr>
        <w:t xml:space="preserve">channels through which findings can actually trigger a response</w:t>
      </w:r>
      <w:r>
        <w:t xml:space="preserve"> </w:t>
      </w:r>
      <w:r>
        <w:t xml:space="preserve">— social accountability without this last element produces information and criticism that never actually reaches or influences the responsible decision-makers.</w:t>
      </w:r>
    </w:p>
    <w:bookmarkEnd w:id="302"/>
    <w:bookmarkStart w:id="303" w:name="co-production-of-services"/>
    <w:p>
      <w:pPr>
        <w:pStyle w:val="Heading2"/>
      </w:pPr>
      <w:r>
        <w:rPr>
          <w:rStyle w:val="SectionNumber"/>
        </w:rPr>
        <w:t xml:space="preserve">31.6</w:t>
      </w:r>
      <w:r>
        <w:tab/>
      </w:r>
      <w:r>
        <w:t xml:space="preserve">Co-production of Services</w:t>
      </w:r>
    </w:p>
    <w:p>
      <w:pPr>
        <w:pStyle w:val="FirstParagraph"/>
      </w:pPr>
      <w:r>
        <w:rPr>
          <w:bCs/>
          <w:b/>
        </w:rPr>
        <w:t xml:space="preserve">Co-production</w:t>
      </w:r>
      <w:r>
        <w:t xml:space="preserve"> </w:t>
      </w:r>
      <w:r>
        <w:t xml:space="preserve">means citizens and communities actively contribute to the design or delivery of public services — for example, through local community-based management arrangements for a shared resource or facility — representing the highest rung of the participation ladder introduced above. The syllabus’s important clarifying point: co-production does</w:t>
      </w:r>
      <w:r>
        <w:t xml:space="preserve"> </w:t>
      </w:r>
      <w:r>
        <w:rPr>
          <w:bCs/>
          <w:b/>
        </w:rPr>
        <w:t xml:space="preserve">not</w:t>
      </w:r>
      <w:r>
        <w:t xml:space="preserve"> </w:t>
      </w:r>
      <w:r>
        <w:t xml:space="preserve">remove government’s underlying responsibility for legality, equity, and service standards — a co-produced service is still ultimately a public service, and government remains accountable for it meeting these standards, even when citizens play an active delivery role.</w:t>
      </w:r>
    </w:p>
    <w:bookmarkEnd w:id="303"/>
    <w:bookmarkStart w:id="304" w:name="civic-responsibilities"/>
    <w:p>
      <w:pPr>
        <w:pStyle w:val="Heading2"/>
      </w:pPr>
      <w:r>
        <w:rPr>
          <w:rStyle w:val="SectionNumber"/>
        </w:rPr>
        <w:t xml:space="preserve">31.7</w:t>
      </w:r>
      <w:r>
        <w:tab/>
      </w:r>
      <w:r>
        <w:t xml:space="preserve">Civic Responsibilities</w:t>
      </w:r>
    </w:p>
    <w:p>
      <w:pPr>
        <w:pStyle w:val="FirstParagraph"/>
      </w:pPr>
      <w:r>
        <w:t xml:space="preserve">Effective governance is not solely a matter of government performance — it also depends on citizens’ own</w:t>
      </w:r>
      <w:r>
        <w:t xml:space="preserve"> </w:t>
      </w:r>
      <w:r>
        <w:rPr>
          <w:bCs/>
          <w:b/>
        </w:rPr>
        <w:t xml:space="preserve">civic responsibilities</w:t>
      </w:r>
      <w:r>
        <w:t xml:space="preserve">: lawful conduct, tax compliance where legally due, respect for others’ rights, genuinely informed (rather than uninformed or manipulated) participation, and active protection of shared public resources. This point completes the unit’s overall argument: governance is a</w:t>
      </w:r>
      <w:r>
        <w:t xml:space="preserve"> </w:t>
      </w:r>
      <w:r>
        <w:rPr>
          <w:bCs/>
          <w:b/>
        </w:rPr>
        <w:t xml:space="preserve">two-way relationship</w:t>
      </w:r>
      <w:r>
        <w:t xml:space="preserve"> </w:t>
      </w:r>
      <w:r>
        <w:t xml:space="preserve">between institutions and citizens, not a one-directional flow of services and accountability from government to citizen alone.</w:t>
      </w:r>
    </w:p>
    <w:p>
      <w:pPr>
        <w:pStyle w:val="BodyText"/>
      </w:pPr>
      <w:r>
        <w:rPr>
          <w:bCs/>
          <w:b/>
        </w:rPr>
        <w:t xml:space="preserve">Key takeaways for Unit X</w:t>
      </w:r>
    </w:p>
    <w:p>
      <w:pPr>
        <w:numPr>
          <w:ilvl w:val="0"/>
          <w:numId w:val="1104"/>
        </w:numPr>
        <w:pStyle w:val="Compact"/>
      </w:pPr>
      <w:r>
        <w:t xml:space="preserve">The participation ladder (information → consultation → partnership/participation → co-production/monitoring) organizes this entire unit — each of the five specific mechanisms discussed sits at a different rung of this ladder.</w:t>
      </w:r>
    </w:p>
    <w:p>
      <w:pPr>
        <w:numPr>
          <w:ilvl w:val="0"/>
          <w:numId w:val="1104"/>
        </w:numPr>
        <w:pStyle w:val="Compact"/>
      </w:pPr>
      <w:r>
        <w:t xml:space="preserve">Right-to-information, grievance-redress, and social-accountability mechanisms all share the same structural requirement already established in Unit V: they function substantively only when backed by genuine supporting elements (records management and appeal for RTI; tracking and escalation for grievances; credible information and response channels for social accountability) — without these, each risks becoming symbolic rather than substantive.</w:t>
      </w:r>
    </w:p>
    <w:p>
      <w:pPr>
        <w:numPr>
          <w:ilvl w:val="0"/>
          <w:numId w:val="1104"/>
        </w:numPr>
        <w:pStyle w:val="Compact"/>
      </w:pPr>
      <w:r>
        <w:t xml:space="preserve">Co-production does not transfer government’s underlying accountability for legality, equity, and standards to the participating citizens or communities — this final point completes the unit’s argument that governance is a genuinely two-way relationship.</w:t>
      </w:r>
    </w:p>
    <w:p>
      <w:r>
        <w:pict>
          <v:rect style="width:0;height:1.5pt" o:hralign="center" o:hrstd="t" o:hr="t"/>
        </w:pict>
      </w:r>
    </w:p>
    <w:bookmarkEnd w:id="304"/>
    <w:bookmarkEnd w:id="305"/>
    <w:bookmarkStart w:id="311" w:name="xi.-good-governance-in-islam"/>
    <w:p>
      <w:pPr>
        <w:pStyle w:val="Heading1"/>
      </w:pPr>
      <w:r>
        <w:rPr>
          <w:rStyle w:val="SectionNumber"/>
        </w:rPr>
        <w:t xml:space="preserve">32</w:t>
      </w:r>
      <w:r>
        <w:tab/>
      </w:r>
      <w:r>
        <w:t xml:space="preserve">XI. Good Governance in Islam</w:t>
      </w:r>
    </w:p>
    <w:bookmarkStart w:id="306" w:name="what-this-unit-is-about-27"/>
    <w:p>
      <w:pPr>
        <w:pStyle w:val="Heading2"/>
      </w:pPr>
      <w:r>
        <w:rPr>
          <w:rStyle w:val="SectionNumber"/>
        </w:rPr>
        <w:t xml:space="preserve">32.1</w:t>
      </w:r>
      <w:r>
        <w:tab/>
      </w:r>
      <w:r>
        <w:t xml:space="preserve">What This Unit Is About</w:t>
      </w:r>
    </w:p>
    <w:p>
      <w:pPr>
        <w:pStyle w:val="FirstParagraph"/>
      </w:pPr>
      <w:r>
        <w:t xml:space="preserve">This unit asks how principles of governance can be understood through Islamic textual and jurisprudential sources — the Qur’an, the Sunnah, and Fiqh (Islamic jurisprudence) — extending the brief Islamic Concept of Public Administration topic already introduced in the Public Administration chapter’s Unit I into its own full unit here. The syllabus’s explicit, repeated methodological instruction, worth stating at the outset of any answer in this unit: use</w:t>
      </w:r>
      <w:r>
        <w:t xml:space="preserve"> </w:t>
      </w:r>
      <w:r>
        <w:rPr>
          <w:bCs/>
          <w:b/>
        </w:rPr>
        <w:t xml:space="preserve">verified translations and reliable scholarship</w:t>
      </w:r>
      <w:r>
        <w:t xml:space="preserve"> </w:t>
      </w:r>
      <w:r>
        <w:t xml:space="preserve">throughout, organize the material around clearly stated</w:t>
      </w:r>
      <w:r>
        <w:t xml:space="preserve"> </w:t>
      </w:r>
      <w:r>
        <w:rPr>
          <w:bCs/>
          <w:b/>
        </w:rPr>
        <w:t xml:space="preserve">principles</w:t>
      </w:r>
      <w:r>
        <w:t xml:space="preserve"> </w:t>
      </w:r>
      <w:r>
        <w:t xml:space="preserve">(justice, trust, consultation, accountability, welfare, rule-bound authority, and equality before law), and attach only</w:t>
      </w:r>
      <w:r>
        <w:t xml:space="preserve"> </w:t>
      </w:r>
      <w:r>
        <w:rPr>
          <w:bCs/>
          <w:b/>
        </w:rPr>
        <w:t xml:space="preserve">authentic, verifiable references</w:t>
      </w:r>
      <w:r>
        <w:t xml:space="preserve"> </w:t>
      </w:r>
      <w:r>
        <w:t xml:space="preserve">to those principles — never inventing a quotation or a specific verse/hadith reference from memory.</w:t>
      </w:r>
    </w:p>
    <w:bookmarkEnd w:id="306"/>
    <w:bookmarkStart w:id="307" w:name="quranic-guidance-on-good-governance"/>
    <w:p>
      <w:pPr>
        <w:pStyle w:val="Heading2"/>
      </w:pPr>
      <w:r>
        <w:rPr>
          <w:rStyle w:val="SectionNumber"/>
        </w:rPr>
        <w:t xml:space="preserve">32.2</w:t>
      </w:r>
      <w:r>
        <w:tab/>
      </w:r>
      <w:r>
        <w:t xml:space="preserve">Qur’anic Guidance on Good Governance</w:t>
      </w:r>
    </w:p>
    <w:p>
      <w:pPr>
        <w:pStyle w:val="FirstParagraph"/>
      </w:pPr>
      <w:r>
        <w:t xml:space="preserve">Commonly discussed themes include</w:t>
      </w:r>
      <w:r>
        <w:t xml:space="preserve"> </w:t>
      </w:r>
      <w:r>
        <w:rPr>
          <w:bCs/>
          <w:b/>
        </w:rPr>
        <w:t xml:space="preserve">justice</w:t>
      </w:r>
      <w:r>
        <w:t xml:space="preserve"> </w:t>
      </w:r>
      <w:r>
        <w:t xml:space="preserve">(’adl), fulfilling</w:t>
      </w:r>
      <w:r>
        <w:t xml:space="preserve"> </w:t>
      </w:r>
      <w:r>
        <w:rPr>
          <w:bCs/>
          <w:b/>
        </w:rPr>
        <w:t xml:space="preserve">trusts</w:t>
      </w:r>
      <w:r>
        <w:t xml:space="preserve"> </w:t>
      </w:r>
      <w:r>
        <w:t xml:space="preserve">(amanah — recall the discussion of public authority as a trust from the Public Administration chapter’s Unit I),</w:t>
      </w:r>
      <w:r>
        <w:t xml:space="preserve"> </w:t>
      </w:r>
      <w:r>
        <w:rPr>
          <w:bCs/>
          <w:b/>
        </w:rPr>
        <w:t xml:space="preserve">consultation</w:t>
      </w:r>
      <w:r>
        <w:t xml:space="preserve"> </w:t>
      </w:r>
      <w:r>
        <w:t xml:space="preserve">(shura),</w:t>
      </w:r>
      <w:r>
        <w:t xml:space="preserve"> </w:t>
      </w:r>
      <w:r>
        <w:rPr>
          <w:bCs/>
          <w:b/>
        </w:rPr>
        <w:t xml:space="preserve">accountability</w:t>
      </w:r>
      <w:r>
        <w:t xml:space="preserve">, and the</w:t>
      </w:r>
      <w:r>
        <w:t xml:space="preserve"> </w:t>
      </w:r>
      <w:r>
        <w:rPr>
          <w:bCs/>
          <w:b/>
        </w:rPr>
        <w:t xml:space="preserve">protection of rights</w:t>
      </w:r>
      <w:r>
        <w:t xml:space="preserve">. As throughout this unit, any specific verse cited should have its exact text and translation verified from a recognized source before being quoted, and the conceptual explanation of a principle should be kept clearly separated from any historically disputed interpretation of a specific text.</w:t>
      </w:r>
    </w:p>
    <w:bookmarkEnd w:id="307"/>
    <w:bookmarkStart w:id="308" w:name="governance-in-light-of-the-quran"/>
    <w:p>
      <w:pPr>
        <w:pStyle w:val="Heading2"/>
      </w:pPr>
      <w:r>
        <w:rPr>
          <w:rStyle w:val="SectionNumber"/>
        </w:rPr>
        <w:t xml:space="preserve">32.3</w:t>
      </w:r>
      <w:r>
        <w:tab/>
      </w:r>
      <w:r>
        <w:t xml:space="preserve">Governance in Light of the Qur’an</w:t>
      </w:r>
    </w:p>
    <w:p>
      <w:pPr>
        <w:pStyle w:val="FirstParagraph"/>
      </w:pPr>
      <w:r>
        <w:t xml:space="preserve">This topic asks for normative principles drawn from Qur’anic guidance, and how they relate to public authority, justice, and collective responsibility — with the syllabus’s explicit caution against making</w:t>
      </w:r>
      <w:r>
        <w:t xml:space="preserve"> </w:t>
      </w:r>
      <w:r>
        <w:rPr>
          <w:bCs/>
          <w:b/>
        </w:rPr>
        <w:t xml:space="preserve">unsupported claims about a single, fixed Qur’anic</w:t>
      </w:r>
      <w:r>
        <w:rPr>
          <w:bCs/>
          <w:b/>
        </w:rPr>
        <w:t xml:space="preserve"> </w:t>
      </w:r>
      <w:r>
        <w:rPr>
          <w:bCs/>
          <w:b/>
        </w:rPr>
        <w:t xml:space="preserve">“</w:t>
      </w:r>
      <w:r>
        <w:rPr>
          <w:bCs/>
          <w:b/>
        </w:rPr>
        <w:t xml:space="preserve">administrative model.</w:t>
      </w:r>
      <w:r>
        <w:rPr>
          <w:bCs/>
          <w:b/>
        </w:rPr>
        <w:t xml:space="preserve">”</w:t>
      </w:r>
      <w:r>
        <w:t xml:space="preserve"> </w:t>
      </w:r>
      <w:r>
        <w:t xml:space="preserve">The Qur’an establishes normative principles (justice, trust, accountability) rather than a single specified administrative blueprint, and an answer claiming otherwise would overstate what the primary source actually specifies, conflating normative principle with a particular historical or scholarly interpretation of institutional design.</w:t>
      </w:r>
    </w:p>
    <w:bookmarkEnd w:id="308"/>
    <w:bookmarkStart w:id="309" w:name="governance-in-light-of-the-sunnah"/>
    <w:p>
      <w:pPr>
        <w:pStyle w:val="Heading2"/>
      </w:pPr>
      <w:r>
        <w:rPr>
          <w:rStyle w:val="SectionNumber"/>
        </w:rPr>
        <w:t xml:space="preserve">32.4</w:t>
      </w:r>
      <w:r>
        <w:tab/>
      </w:r>
      <w:r>
        <w:t xml:space="preserve">Governance in Light of the Sunnah</w:t>
      </w:r>
    </w:p>
    <w:p>
      <w:pPr>
        <w:pStyle w:val="FirstParagraph"/>
      </w:pPr>
      <w:r>
        <w:t xml:space="preserve">This topic draws on well-authenticated examples and traditions concerning leadership, justice, consultation, and public trust from the practice (Sunnah) of the Prophet Muhammad (peace be upon him). The syllabus’s specific methodological caution here:</w:t>
      </w:r>
      <w:r>
        <w:t xml:space="preserve"> </w:t>
      </w:r>
      <w:r>
        <w:rPr>
          <w:bCs/>
          <w:b/>
        </w:rPr>
        <w:t xml:space="preserve">distinguish verified, authenticated source material from popular but weak or unauthenticated quotations</w:t>
      </w:r>
      <w:r>
        <w:t xml:space="preserve"> </w:t>
      </w:r>
      <w:r>
        <w:t xml:space="preserve">— a distinction of real practical importance in this specific field, where popularly circulated attributions are not always traceable to a reliably authenticated source.</w:t>
      </w:r>
    </w:p>
    <w:bookmarkEnd w:id="309"/>
    <w:bookmarkStart w:id="310" w:name="governance-in-light-of-fiqh"/>
    <w:p>
      <w:pPr>
        <w:pStyle w:val="Heading2"/>
      </w:pPr>
      <w:r>
        <w:rPr>
          <w:rStyle w:val="SectionNumber"/>
        </w:rPr>
        <w:t xml:space="preserve">32.5</w:t>
      </w:r>
      <w:r>
        <w:tab/>
      </w:r>
      <w:r>
        <w:t xml:space="preserve">Governance in Light of Fiqh</w:t>
      </w:r>
    </w:p>
    <w:p>
      <w:pPr>
        <w:pStyle w:val="FirstParagraph"/>
      </w:pPr>
      <w:r>
        <w:rPr>
          <w:bCs/>
          <w:b/>
        </w:rPr>
        <w:t xml:space="preserve">Fiqh</w:t>
      </w:r>
      <w:r>
        <w:t xml:space="preserve"> </w:t>
      </w:r>
      <w:r>
        <w:t xml:space="preserve">provides juristic reasoning about public authority, rights, duties, and public interest (maslaha), developed across different</w:t>
      </w:r>
      <w:r>
        <w:t xml:space="preserve"> </w:t>
      </w:r>
      <w:r>
        <w:rPr>
          <w:bCs/>
          <w:b/>
        </w:rPr>
        <w:t xml:space="preserve">schools of Islamic jurisprudence</w:t>
      </w:r>
      <w:r>
        <w:t xml:space="preserve"> </w:t>
      </w:r>
      <w:r>
        <w:t xml:space="preserve">and across different historical contexts. The syllabus’s explicit instruction: present the genuine</w:t>
      </w:r>
      <w:r>
        <w:t xml:space="preserve"> </w:t>
      </w:r>
      <w:r>
        <w:rPr>
          <w:bCs/>
          <w:b/>
        </w:rPr>
        <w:t xml:space="preserve">diversity of interpretation</w:t>
      </w:r>
      <w:r>
        <w:t xml:space="preserve"> </w:t>
      </w:r>
      <w:r>
        <w:t xml:space="preserve">across these schools and historical periods where it exists, rather than claiming scholarly unanimity that the evidence does not actually support — echoing the general principle, applied throughout the Public Administration and Governance chapters alike, that acknowledging genuine scholarly or interpretive disagreement is a mark of rigorous analysis, not a weakness in an answer.</w:t>
      </w:r>
    </w:p>
    <w:p>
      <w:pPr>
        <w:pStyle w:val="BodyText"/>
      </w:pPr>
      <w:r>
        <w:rPr>
          <w:bCs/>
          <w:b/>
        </w:rPr>
        <w:t xml:space="preserve">Key takeaways for Unit XI</w:t>
      </w:r>
    </w:p>
    <w:p>
      <w:pPr>
        <w:numPr>
          <w:ilvl w:val="0"/>
          <w:numId w:val="1105"/>
        </w:numPr>
        <w:pStyle w:val="Compact"/>
      </w:pPr>
      <w:r>
        <w:t xml:space="preserve">This unit’s four sub-topics move from broad Qur’anic principles to the Prophetic Sunnah to the more elaborated juristic reasoning of Fiqh — each successive source adding interpretive and practical detail to the principles established at the Qur’anic level.</w:t>
      </w:r>
    </w:p>
    <w:p>
      <w:pPr>
        <w:numPr>
          <w:ilvl w:val="0"/>
          <w:numId w:val="1105"/>
        </w:numPr>
        <w:pStyle w:val="Compact"/>
      </w:pPr>
      <w:r>
        <w:t xml:space="preserve">The unit’s repeated, non-negotiable methodological standard — verified sources only, no invented quotations or references, explicit acknowledgment of genuine scholarly diversity — is itself as much a tested skill in this unit as the substantive content of the principles themselves.</w:t>
      </w:r>
    </w:p>
    <w:p>
      <w:pPr>
        <w:numPr>
          <w:ilvl w:val="0"/>
          <w:numId w:val="1105"/>
        </w:numPr>
        <w:pStyle w:val="Compact"/>
      </w:pPr>
      <w:r>
        <w:t xml:space="preserve">The core principles here (justice, trust, consultation, accountability, welfare, rule-bound authority, equality before law) map closely onto the secular good-governance characteristics from Unit I — a genuinely useful comparative observation for an answer connecting the two units.</w:t>
      </w:r>
    </w:p>
    <w:p>
      <w:r>
        <w:pict>
          <v:rect style="width:0;height:1.5pt" o:hralign="center" o:hrstd="t" o:hr="t"/>
        </w:pict>
      </w:r>
    </w:p>
    <w:bookmarkEnd w:id="310"/>
    <w:bookmarkEnd w:id="311"/>
    <w:bookmarkStart w:id="313" w:name="bibliography-and-further-reading-2"/>
    <w:p>
      <w:pPr>
        <w:pStyle w:val="Heading1"/>
      </w:pPr>
      <w:r>
        <w:rPr>
          <w:rStyle w:val="SectionNumber"/>
        </w:rPr>
        <w:t xml:space="preserve">33</w:t>
      </w:r>
      <w:r>
        <w:tab/>
      </w:r>
      <w:r>
        <w:t xml:space="preserve">Bibliography and Further Reading</w:t>
      </w:r>
    </w:p>
    <w:p>
      <w:pPr>
        <w:numPr>
          <w:ilvl w:val="0"/>
          <w:numId w:val="1106"/>
        </w:numPr>
        <w:pStyle w:val="Compact"/>
      </w:pPr>
      <w:r>
        <w:t xml:space="preserve">Kjaer, A. M. —</w:t>
      </w:r>
      <w:r>
        <w:t xml:space="preserve"> </w:t>
      </w:r>
      <w:r>
        <w:rPr>
          <w:iCs/>
          <w:i/>
        </w:rPr>
        <w:t xml:space="preserve">Governance</w:t>
      </w:r>
      <w:r>
        <w:t xml:space="preserve"> </w:t>
      </w:r>
      <w:r>
        <w:t xml:space="preserve">— core source for the definitional and theoretical material in Units I and II.</w:t>
      </w:r>
    </w:p>
    <w:p>
      <w:pPr>
        <w:numPr>
          <w:ilvl w:val="0"/>
          <w:numId w:val="1106"/>
        </w:numPr>
        <w:pStyle w:val="Compact"/>
      </w:pPr>
      <w:r>
        <w:t xml:space="preserve">Bevir, M. —</w:t>
      </w:r>
      <w:r>
        <w:t xml:space="preserve"> </w:t>
      </w:r>
      <w:r>
        <w:rPr>
          <w:iCs/>
          <w:i/>
        </w:rPr>
        <w:t xml:space="preserve">Encyclopedia of Governance</w:t>
      </w:r>
      <w:r>
        <w:t xml:space="preserve"> </w:t>
      </w:r>
      <w:r>
        <w:t xml:space="preserve">— a key source for Decentered Theory and the broader governance-theory landscape in Unit II.</w:t>
      </w:r>
    </w:p>
    <w:p>
      <w:pPr>
        <w:numPr>
          <w:ilvl w:val="0"/>
          <w:numId w:val="1106"/>
        </w:numPr>
        <w:pStyle w:val="Compact"/>
      </w:pPr>
      <w:r>
        <w:t xml:space="preserve">Hill, M., and Hupe, P. —</w:t>
      </w:r>
      <w:r>
        <w:t xml:space="preserve"> </w:t>
      </w:r>
      <w:r>
        <w:rPr>
          <w:iCs/>
          <w:i/>
        </w:rPr>
        <w:t xml:space="preserve">Implementing Public Policy</w:t>
      </w:r>
      <w:r>
        <w:t xml:space="preserve"> </w:t>
      </w:r>
      <w:r>
        <w:t xml:space="preserve">— standard source for the implementation material in Unit VII.</w:t>
      </w:r>
    </w:p>
    <w:p>
      <w:pPr>
        <w:numPr>
          <w:ilvl w:val="0"/>
          <w:numId w:val="1106"/>
        </w:numPr>
        <w:pStyle w:val="Compact"/>
      </w:pPr>
      <w:r>
        <w:t xml:space="preserve">Kraft, M. E., and Furlong, S. R. —</w:t>
      </w:r>
      <w:r>
        <w:t xml:space="preserve"> </w:t>
      </w:r>
      <w:r>
        <w:rPr>
          <w:iCs/>
          <w:i/>
        </w:rPr>
        <w:t xml:space="preserve">Public Policy: Politics, Analysis, Alternatives</w:t>
      </w:r>
      <w:r>
        <w:t xml:space="preserve"> </w:t>
      </w:r>
      <w:r>
        <w:t xml:space="preserve">— standard source for the policy-cycle and policy-analysis material in Units IV and VII.</w:t>
      </w:r>
    </w:p>
    <w:p>
      <w:pPr>
        <w:numPr>
          <w:ilvl w:val="0"/>
          <w:numId w:val="1106"/>
        </w:numPr>
        <w:pStyle w:val="Compact"/>
      </w:pPr>
      <w:r>
        <w:t xml:space="preserve">The World Bank — Worldwide Governance Indicators documentation — the primary reference for the six WGI dimensions in Unit III; current data should always be obtained directly from this source.</w:t>
      </w:r>
    </w:p>
    <w:p>
      <w:pPr>
        <w:numPr>
          <w:ilvl w:val="0"/>
          <w:numId w:val="1106"/>
        </w:numPr>
        <w:pStyle w:val="Compact"/>
      </w:pPr>
      <w:r>
        <w:t xml:space="preserve">Weber, M.; Marx, K.; Mill, J. S.; Wilson, W. — the four classic theoretical voices on bureaucracy in Unit VI.</w:t>
      </w:r>
    </w:p>
    <w:p>
      <w:pPr>
        <w:numPr>
          <w:ilvl w:val="0"/>
          <w:numId w:val="1106"/>
        </w:numPr>
        <w:pStyle w:val="Compact"/>
      </w:pPr>
      <w:r>
        <w:t xml:space="preserve">The Constitution of the Islamic Republic of Pakistan — essential primary source for the multi-level governance material in Unit VIII and the federalism material in Unit IX.</w:t>
      </w:r>
    </w:p>
    <w:p>
      <w:pPr>
        <w:pStyle w:val="FirstParagraph"/>
      </w:pPr>
      <w:r>
        <w:rPr>
          <w:iCs/>
          <w:i/>
        </w:rPr>
        <w:t xml:space="preserve">Note on sourcing: the governance concepts, theories, and frameworks in this chapter (the WGI dimensions, the classic governance theories, the accountability taxonomy, and the policy-cycle framework) are drawn from the standard reference works listed above and from the World Bank’s own published methodology. Specific institutional names, current officeholders, current WGI scores, and specific legal provisions for Pakistan change over time; any such specific detail should be verified against current official sources before being relied upon, exactly as this chapter itself repeatedly instructs. Qur’anic, Sunnah, and Fiqh material in Unit XI should be verified against recognized, authenticated translations and scholarship before any specific textual claim is used.</w:t>
      </w:r>
      <w:r>
        <w:t xml:space="preserve"> </w:t>
      </w:r>
      <w:r>
        <w:t xml:space="preserve"># Town Planning &amp; Urban Management</w:t>
      </w:r>
    </w:p>
    <w:p>
      <w:pPr>
        <w:pStyle w:val="BodyText"/>
      </w:pPr>
      <w:r>
        <w:rPr>
          <w:iCs/>
          <w:i/>
        </w:rPr>
        <w:t xml:space="preserve">CSS/PMS Group III Optional Subject — Code 25, 100 marks</w:t>
      </w:r>
    </w:p>
    <w:bookmarkStart w:id="312" w:name="introduction-to-the-subject-3"/>
    <w:p>
      <w:pPr>
        <w:pStyle w:val="Heading2"/>
      </w:pPr>
      <w:r>
        <w:rPr>
          <w:rStyle w:val="SectionNumber"/>
        </w:rPr>
        <w:t xml:space="preserve">33.1</w:t>
      </w:r>
      <w:r>
        <w:tab/>
      </w:r>
      <w:r>
        <w:t xml:space="preserve">Introduction to the Subject</w:t>
      </w:r>
    </w:p>
    <w:p>
      <w:pPr>
        <w:pStyle w:val="FirstParagraph"/>
      </w:pPr>
      <w:r>
        <w:t xml:space="preserve">Town Planning &amp; Urban Management studies how settlements grow, how land and infrastructure are organized, how cities are governed, and how urban development can remain both socially fair and environmentally sustainable. The paper deliberately mixes planning history, the study of urbanization itself, Pakistan-specific planning institutions, urban policy and design, sustainability, and basic spatial-information tools (GIS) — reflecting town planning’s genuinely multidisciplinary character, developed explicitly as the subject’s own first topic.</w:t>
      </w:r>
    </w:p>
    <w:p>
      <w:pPr>
        <w:pStyle w:val="BodyText"/>
      </w:pPr>
      <w:r>
        <w:rPr>
          <w:bCs/>
          <w:b/>
        </w:rPr>
        <w:t xml:space="preserve">Foundational reading:</w:t>
      </w:r>
      <w:r>
        <w:t xml:space="preserve"> </w:t>
      </w:r>
      <w:r>
        <w:t xml:space="preserve">Clara Greed’s</w:t>
      </w:r>
      <w:r>
        <w:t xml:space="preserve"> </w:t>
      </w:r>
      <w:r>
        <w:rPr>
          <w:iCs/>
          <w:i/>
        </w:rPr>
        <w:t xml:space="preserve">Introducing Town Planning</w:t>
      </w:r>
      <w:r>
        <w:t xml:space="preserve">, John Ratcliffe’s</w:t>
      </w:r>
      <w:r>
        <w:t xml:space="preserve"> </w:t>
      </w:r>
      <w:r>
        <w:rPr>
          <w:iCs/>
          <w:i/>
        </w:rPr>
        <w:t xml:space="preserve">Introduction to Town and Country Planning</w:t>
      </w:r>
      <w:r>
        <w:t xml:space="preserve">, J. M. Levy’s</w:t>
      </w:r>
      <w:r>
        <w:t xml:space="preserve"> </w:t>
      </w:r>
      <w:r>
        <w:rPr>
          <w:iCs/>
          <w:i/>
        </w:rPr>
        <w:t xml:space="preserve">Contemporary Urban Planning</w:t>
      </w:r>
      <w:r>
        <w:t xml:space="preserve">, J. B. Cullingworth and Vincent Nadin’s</w:t>
      </w:r>
      <w:r>
        <w:t xml:space="preserve"> </w:t>
      </w:r>
      <w:r>
        <w:rPr>
          <w:iCs/>
          <w:i/>
        </w:rPr>
        <w:t xml:space="preserve">Town and Country Planning in the UK</w:t>
      </w:r>
      <w:r>
        <w:t xml:space="preserve">, and Anthony Townsend’s</w:t>
      </w:r>
      <w:r>
        <w:t xml:space="preserve"> </w:t>
      </w:r>
      <w:r>
        <w:rPr>
          <w:iCs/>
          <w:i/>
        </w:rPr>
        <w:t xml:space="preserve">Smart Cities</w:t>
      </w:r>
      <w:r>
        <w:t xml:space="preserve"> </w:t>
      </w:r>
      <w:r>
        <w:t xml:space="preserve">are the standard reference works behind this syllabus.</w:t>
      </w:r>
    </w:p>
    <w:p>
      <w:r>
        <w:pict>
          <v:rect style="width:0;height:1.5pt" o:hralign="center" o:hrstd="t" o:hr="t"/>
        </w:pict>
      </w:r>
    </w:p>
    <w:bookmarkEnd w:id="312"/>
    <w:bookmarkEnd w:id="313"/>
    <w:bookmarkStart w:id="319" w:name="X1e20e97356b512a5b07672aad0a9730633b6aab"/>
    <w:p>
      <w:pPr>
        <w:pStyle w:val="Heading1"/>
      </w:pPr>
      <w:r>
        <w:rPr>
          <w:rStyle w:val="SectionNumber"/>
        </w:rPr>
        <w:t xml:space="preserve">34</w:t>
      </w:r>
      <w:r>
        <w:tab/>
      </w:r>
      <w:r>
        <w:t xml:space="preserve">I. Definition, Goals, and Objectives of Town Planning</w:t>
      </w:r>
    </w:p>
    <w:bookmarkStart w:id="314" w:name="what-this-unit-is-about-28"/>
    <w:p>
      <w:pPr>
        <w:pStyle w:val="Heading2"/>
      </w:pPr>
      <w:r>
        <w:rPr>
          <w:rStyle w:val="SectionNumber"/>
        </w:rPr>
        <w:t xml:space="preserve">34.1</w:t>
      </w:r>
      <w:r>
        <w:tab/>
      </w:r>
      <w:r>
        <w:t xml:space="preserve">What This Unit Is About</w:t>
      </w:r>
    </w:p>
    <w:p>
      <w:pPr>
        <w:pStyle w:val="FirstParagraph"/>
      </w:pPr>
      <w:r>
        <w:t xml:space="preserve">This opening unit defines town planning, sets out its common goals, and establishes its genuinely multidisciplinary character — the framework every later unit in this subject builds on.</w:t>
      </w:r>
    </w:p>
    <w:bookmarkEnd w:id="314"/>
    <w:bookmarkStart w:id="315" w:name="definition-of-town-planning"/>
    <w:p>
      <w:pPr>
        <w:pStyle w:val="Heading2"/>
      </w:pPr>
      <w:r>
        <w:rPr>
          <w:rStyle w:val="SectionNumber"/>
        </w:rPr>
        <w:t xml:space="preserve">34.2</w:t>
      </w:r>
      <w:r>
        <w:tab/>
      </w:r>
      <w:r>
        <w:t xml:space="preserve">Definition of Town Planning</w:t>
      </w:r>
    </w:p>
    <w:p>
      <w:pPr>
        <w:pStyle w:val="FirstParagraph"/>
      </w:pPr>
      <w:r>
        <w:t xml:space="preserve">Town planning guides the use and development of land and the arrangement of activities, infrastructure, and public spaces within settlements, organizing land use, movement, infrastructure, facilities, housing, public space, and environmental protection</w:t>
      </w:r>
      <w:r>
        <w:t xml:space="preserve"> </w:t>
      </w:r>
      <w:r>
        <w:rPr>
          <w:bCs/>
          <w:b/>
        </w:rPr>
        <w:t xml:space="preserve">over time</w:t>
      </w:r>
      <w:r>
        <w:t xml:space="preserve"> </w:t>
      </w:r>
      <w:r>
        <w:t xml:space="preserve">— planning is inherently forward-looking, not a one-time arrangement. Because formal definitions vary across different legal systems and jurisdictions, it is worth distinguishing the</w:t>
      </w:r>
      <w:r>
        <w:t xml:space="preserve"> </w:t>
      </w:r>
      <w:r>
        <w:rPr>
          <w:bCs/>
          <w:b/>
        </w:rPr>
        <w:t xml:space="preserve">general conceptual definition</w:t>
      </w:r>
      <w:r>
        <w:t xml:space="preserve"> </w:t>
      </w:r>
      <w:r>
        <w:t xml:space="preserve">(used throughout this chapter) from any specific</w:t>
      </w:r>
      <w:r>
        <w:t xml:space="preserve"> </w:t>
      </w:r>
      <w:r>
        <w:rPr>
          <w:bCs/>
          <w:b/>
        </w:rPr>
        <w:t xml:space="preserve">statutory definition</w:t>
      </w:r>
      <w:r>
        <w:t xml:space="preserve"> </w:t>
      </w:r>
      <w:r>
        <w:t xml:space="preserve">that might apply in a particular jurisdiction’s planning law. Town planning operates at multiple, nested spatial scales — from a single site or neighbourhood, up through the city and metropolitan region, to the wider regional scale — and a plan made at one scale must remain consistent with, and responsive to, plans made at the scales above and below it.</w:t>
      </w:r>
    </w:p>
    <w:bookmarkEnd w:id="315"/>
    <w:bookmarkStart w:id="316" w:name="goals-and-objectives-of-planning"/>
    <w:p>
      <w:pPr>
        <w:pStyle w:val="Heading2"/>
      </w:pPr>
      <w:r>
        <w:rPr>
          <w:rStyle w:val="SectionNumber"/>
        </w:rPr>
        <w:t xml:space="preserve">34.3</w:t>
      </w:r>
      <w:r>
        <w:tab/>
      </w:r>
      <w:r>
        <w:t xml:space="preserve">Goals and Objectives of Planning</w:t>
      </w:r>
    </w:p>
    <w:p>
      <w:pPr>
        <w:pStyle w:val="FirstParagraph"/>
      </w:pPr>
      <w:r>
        <w:t xml:space="preserve">Commonly stated planning goals include orderly land use, accessibility, adequate housing and services, public health and safety, economic functionality, environmental protection, resilience, and improved overall quality of life. The syllabus’s important, frequently tested caution: these goals can genuinely</w:t>
      </w:r>
      <w:r>
        <w:t xml:space="preserve"> </w:t>
      </w:r>
      <w:r>
        <w:rPr>
          <w:bCs/>
          <w:b/>
        </w:rPr>
        <w:t xml:space="preserve">conflict</w:t>
      </w:r>
      <w:r>
        <w:t xml:space="preserve"> </w:t>
      </w:r>
      <w:r>
        <w:t xml:space="preserve">with one another (a highly accessible, dense development might reduce the availability of green space; rapid economic development might come at some environmental cost) — planning is therefore not simply the pursuit of a single goal, but a continuous</w:t>
      </w:r>
      <w:r>
        <w:t xml:space="preserve"> </w:t>
      </w:r>
      <w:r>
        <w:rPr>
          <w:bCs/>
          <w:b/>
        </w:rPr>
        <w:t xml:space="preserve">process of balancing trade-offs</w:t>
      </w:r>
      <w:r>
        <w:t xml:space="preserve"> </w:t>
      </w:r>
      <w:r>
        <w:t xml:space="preserve">among goals that a plan cannot fully maximize simultaneously.</w:t>
      </w:r>
    </w:p>
    <w:bookmarkEnd w:id="316"/>
    <w:bookmarkStart w:id="317" w:name="the-multidisciplinary-approach"/>
    <w:p>
      <w:pPr>
        <w:pStyle w:val="Heading2"/>
      </w:pPr>
      <w:r>
        <w:rPr>
          <w:rStyle w:val="SectionNumber"/>
        </w:rPr>
        <w:t xml:space="preserve">34.4</w:t>
      </w:r>
      <w:r>
        <w:tab/>
      </w:r>
      <w:r>
        <w:t xml:space="preserve">The Multidisciplinary Approach</w:t>
      </w:r>
    </w:p>
    <w:p>
      <w:pPr>
        <w:pStyle w:val="FirstParagraph"/>
      </w:pPr>
      <w:r>
        <w:t xml:space="preserve">Cities are complex social, economic, physical, and environmental systems, and planning consequently draws on knowledge from engineering, architecture, economics, sociology, geography, law, environmental science, public policy, and data analysis. The exam-relevant point worth stating explicitly:</w:t>
      </w:r>
      <w:r>
        <w:t xml:space="preserve"> </w:t>
      </w:r>
      <w:r>
        <w:rPr>
          <w:bCs/>
          <w:b/>
        </w:rPr>
        <w:t xml:space="preserve">no single profession can solve a genuine city problem alone</w:t>
      </w:r>
      <w:r>
        <w:t xml:space="preserve"> </w:t>
      </w:r>
      <w:r>
        <w:t xml:space="preserve">— a traffic congestion problem, for example, involves engineering (road capacity), economics (the cost of alternatives), sociology (travel behaviour), environmental science (emissions), and public policy (regulation and pricing) simultaneously, and a solution addressing only one of these dimensions will likely prove incomplete.</w:t>
      </w:r>
    </w:p>
    <w:bookmarkEnd w:id="317"/>
    <w:bookmarkStart w:id="318" w:name="Xb104567becf9ef9d776289f6b67c72271b9f2a3"/>
    <w:p>
      <w:pPr>
        <w:pStyle w:val="Heading2"/>
      </w:pPr>
      <w:r>
        <w:rPr>
          <w:rStyle w:val="SectionNumber"/>
        </w:rPr>
        <w:t xml:space="preserve">34.5</w:t>
      </w:r>
      <w:r>
        <w:tab/>
      </w:r>
      <w:r>
        <w:t xml:space="preserve">Town Planning’s Relationship with Other Professions</w:t>
      </w:r>
    </w:p>
    <w:p>
      <w:pPr>
        <w:pStyle w:val="FirstParagraph"/>
      </w:pPr>
      <w:r>
        <w:t xml:space="preserve">Planners specifically</w:t>
      </w:r>
      <w:r>
        <w:t xml:space="preserve"> </w:t>
      </w:r>
      <w:r>
        <w:rPr>
          <w:bCs/>
          <w:b/>
        </w:rPr>
        <w:t xml:space="preserve">coordinate</w:t>
      </w:r>
      <w:r>
        <w:t xml:space="preserve"> </w:t>
      </w:r>
      <w:r>
        <w:t xml:space="preserve">among a range of other professions, each contributing a different specialized lens:</w:t>
      </w:r>
      <w:r>
        <w:t xml:space="preserve"> </w:t>
      </w:r>
      <w:r>
        <w:rPr>
          <w:bCs/>
          <w:b/>
        </w:rPr>
        <w:t xml:space="preserve">architects</w:t>
      </w:r>
      <w:r>
        <w:t xml:space="preserve"> </w:t>
      </w:r>
      <w:r>
        <w:t xml:space="preserve">focus strongly on individual buildings and their design;</w:t>
      </w:r>
      <w:r>
        <w:t xml:space="preserve"> </w:t>
      </w:r>
      <w:r>
        <w:rPr>
          <w:bCs/>
          <w:b/>
        </w:rPr>
        <w:t xml:space="preserve">engineers</w:t>
      </w:r>
      <w:r>
        <w:t xml:space="preserve"> </w:t>
      </w:r>
      <w:r>
        <w:t xml:space="preserve">focus on infrastructure and technical systems (roads, water, drainage);</w:t>
      </w:r>
      <w:r>
        <w:t xml:space="preserve"> </w:t>
      </w:r>
      <w:r>
        <w:rPr>
          <w:bCs/>
          <w:b/>
        </w:rPr>
        <w:t xml:space="preserve">economists</w:t>
      </w:r>
      <w:r>
        <w:t xml:space="preserve"> </w:t>
      </w:r>
      <w:r>
        <w:t xml:space="preserve">focus on development costs, feasibility, and economic impact;</w:t>
      </w:r>
      <w:r>
        <w:t xml:space="preserve"> </w:t>
      </w:r>
      <w:r>
        <w:rPr>
          <w:bCs/>
          <w:b/>
        </w:rPr>
        <w:t xml:space="preserve">lawyers</w:t>
      </w:r>
      <w:r>
        <w:t xml:space="preserve"> </w:t>
      </w:r>
      <w:r>
        <w:t xml:space="preserve">focus on legal and regulatory controls;</w:t>
      </w:r>
      <w:r>
        <w:t xml:space="preserve"> </w:t>
      </w:r>
      <w:r>
        <w:rPr>
          <w:bCs/>
          <w:b/>
        </w:rPr>
        <w:t xml:space="preserve">environmental specialists</w:t>
      </w:r>
      <w:r>
        <w:t xml:space="preserve"> </w:t>
      </w:r>
      <w:r>
        <w:t xml:space="preserve">focus on ecological impacts; and</w:t>
      </w:r>
      <w:r>
        <w:t xml:space="preserve"> </w:t>
      </w:r>
      <w:r>
        <w:rPr>
          <w:bCs/>
          <w:b/>
        </w:rPr>
        <w:t xml:space="preserve">public administrators</w:t>
      </w:r>
      <w:r>
        <w:t xml:space="preserve"> </w:t>
      </w:r>
      <w:r>
        <w:t xml:space="preserve">focus on governance and implementation capacity. The planner’s distinctive professional role is precisely this</w:t>
      </w:r>
      <w:r>
        <w:t xml:space="preserve"> </w:t>
      </w:r>
      <w:r>
        <w:rPr>
          <w:bCs/>
          <w:b/>
        </w:rPr>
        <w:t xml:space="preserve">coordinating</w:t>
      </w:r>
      <w:r>
        <w:t xml:space="preserve"> </w:t>
      </w:r>
      <w:r>
        <w:t xml:space="preserve">function — integrating these specialized perspectives into a single coherent plan, rather than possessing deeper technical expertise than any of these specialists in their own specific domain.</w:t>
      </w:r>
    </w:p>
    <w:p>
      <w:pPr>
        <w:pStyle w:val="BodyText"/>
      </w:pPr>
      <w:r>
        <w:rPr>
          <w:bCs/>
          <w:b/>
        </w:rPr>
        <w:t xml:space="preserve">Key takeaways for Unit I</w:t>
      </w:r>
    </w:p>
    <w:p>
      <w:pPr>
        <w:numPr>
          <w:ilvl w:val="0"/>
          <w:numId w:val="1107"/>
        </w:numPr>
        <w:pStyle w:val="Compact"/>
      </w:pPr>
      <w:r>
        <w:t xml:space="preserve">Planning goals genuinely conflict with each other; a strong answer identifies which specific goals are in tension in a given scenario and discusses how the trade-off might be balanced, rather than listing goals as though they were all simultaneously maximizable.</w:t>
      </w:r>
    </w:p>
    <w:p>
      <w:pPr>
        <w:numPr>
          <w:ilvl w:val="0"/>
          <w:numId w:val="1107"/>
        </w:numPr>
        <w:pStyle w:val="Compact"/>
      </w:pPr>
      <w:r>
        <w:t xml:space="preserve">The planner’s distinctive role, relative to architects, engineers, economists, lawyers, environmental specialists, and administrators, is specifically</w:t>
      </w:r>
      <w:r>
        <w:t xml:space="preserve"> </w:t>
      </w:r>
      <w:r>
        <w:rPr>
          <w:bCs/>
          <w:b/>
        </w:rPr>
        <w:t xml:space="preserve">coordination and integration</w:t>
      </w:r>
      <w:r>
        <w:t xml:space="preserve"> </w:t>
      </w:r>
      <w:r>
        <w:t xml:space="preserve">across these specialties — not superior technical expertise within any one of them.</w:t>
      </w:r>
    </w:p>
    <w:p>
      <w:pPr>
        <w:numPr>
          <w:ilvl w:val="0"/>
          <w:numId w:val="1107"/>
        </w:numPr>
        <w:pStyle w:val="Compact"/>
      </w:pPr>
      <w:r>
        <w:t xml:space="preserve">Planning operates at multiple nested spatial scales (site/neighbourhood → city → metropolitan region → wider region), and consistency across these scales is itself a planning challenge.</w:t>
      </w:r>
    </w:p>
    <w:p>
      <w:r>
        <w:pict>
          <v:rect style="width:0;height:1.5pt" o:hralign="center" o:hrstd="t" o:hr="t"/>
        </w:pict>
      </w:r>
    </w:p>
    <w:bookmarkEnd w:id="318"/>
    <w:bookmarkEnd w:id="319"/>
    <w:bookmarkStart w:id="327" w:name="X1828d788e0ea818942d97b3ab3eca5b298a760a"/>
    <w:p>
      <w:pPr>
        <w:pStyle w:val="Heading1"/>
      </w:pPr>
      <w:r>
        <w:rPr>
          <w:rStyle w:val="SectionNumber"/>
        </w:rPr>
        <w:t xml:space="preserve">35</w:t>
      </w:r>
      <w:r>
        <w:tab/>
      </w:r>
      <w:r>
        <w:t xml:space="preserve">II. Historical Perspective of Urban Planning</w:t>
      </w:r>
    </w:p>
    <w:bookmarkStart w:id="320" w:name="what-this-unit-is-about-29"/>
    <w:p>
      <w:pPr>
        <w:pStyle w:val="Heading2"/>
      </w:pPr>
      <w:r>
        <w:rPr>
          <w:rStyle w:val="SectionNumber"/>
        </w:rPr>
        <w:t xml:space="preserve">35.1</w:t>
      </w:r>
      <w:r>
        <w:tab/>
      </w:r>
      <w:r>
        <w:t xml:space="preserve">What This Unit Is About</w:t>
      </w:r>
    </w:p>
    <w:p>
      <w:pPr>
        <w:pStyle w:val="FirstParagraph"/>
      </w:pPr>
      <w:r>
        <w:t xml:space="preserve">Historical settlements demonstrate that planning is not a modern invention — different civilizations organized streets, water systems, defence, markets, religious and civic spaces, and housing according to their available technologies and institutions. The syllabus’s explicit instruction for this unit: for each civilization or historical example, ask a consistent set of questions —</w:t>
      </w:r>
      <w:r>
        <w:t xml:space="preserve"> </w:t>
      </w:r>
      <w:r>
        <w:rPr>
          <w:bCs/>
          <w:b/>
        </w:rPr>
        <w:t xml:space="preserve">settlement pattern, street form, water/drainage, public buildings, land use, defence, and what specific planning lesson it illustrates</w:t>
      </w:r>
      <w:r>
        <w:t xml:space="preserve"> </w:t>
      </w:r>
      <w:r>
        <w:t xml:space="preserve">— rather than turning the unit into pure, disconnected historical memorization. Any precise archaeological claim should be grounded in established archaeological sources.</w:t>
      </w:r>
    </w:p>
    <w:bookmarkEnd w:id="320"/>
    <w:bookmarkStart w:id="321" w:name="historical-towns-in-europe"/>
    <w:p>
      <w:pPr>
        <w:pStyle w:val="Heading2"/>
      </w:pPr>
      <w:r>
        <w:rPr>
          <w:rStyle w:val="SectionNumber"/>
        </w:rPr>
        <w:t xml:space="preserve">35.2</w:t>
      </w:r>
      <w:r>
        <w:tab/>
      </w:r>
      <w:r>
        <w:t xml:space="preserve">Historical Towns in Europe</w:t>
      </w:r>
    </w:p>
    <w:p>
      <w:pPr>
        <w:pStyle w:val="FirstParagraph"/>
      </w:pPr>
      <w:r>
        <w:t xml:space="preserve">European planning history moves through several distinct forms, worth naming precisely:</w:t>
      </w:r>
      <w:r>
        <w:t xml:space="preserve"> </w:t>
      </w:r>
      <w:r>
        <w:rPr>
          <w:bCs/>
          <w:b/>
        </w:rPr>
        <w:t xml:space="preserve">Greek</w:t>
      </w:r>
      <w:r>
        <w:t xml:space="preserve"> </w:t>
      </w:r>
      <w:r>
        <w:t xml:space="preserve">planning often emphasized ordered civic space and structured street layouts in certain settlements;</w:t>
      </w:r>
      <w:r>
        <w:t xml:space="preserve"> </w:t>
      </w:r>
      <w:r>
        <w:rPr>
          <w:bCs/>
          <w:b/>
        </w:rPr>
        <w:t xml:space="preserve">Roman</w:t>
      </w:r>
      <w:r>
        <w:t xml:space="preserve"> </w:t>
      </w:r>
      <w:r>
        <w:t xml:space="preserve">planning developed extensive road networks, engineered infrastructure, and gridded colonial/military camp forms (a distinctly systematic, repeatable planning approach applied across a wide empire);</w:t>
      </w:r>
      <w:r>
        <w:t xml:space="preserve"> </w:t>
      </w:r>
      <w:r>
        <w:rPr>
          <w:bCs/>
          <w:b/>
        </w:rPr>
        <w:t xml:space="preserve">medieval</w:t>
      </w:r>
      <w:r>
        <w:t xml:space="preserve"> </w:t>
      </w:r>
      <w:r>
        <w:t xml:space="preserve">cities, by contrast, often grew more</w:t>
      </w:r>
      <w:r>
        <w:t xml:space="preserve"> </w:t>
      </w:r>
      <w:r>
        <w:rPr>
          <w:bCs/>
          <w:b/>
        </w:rPr>
        <w:t xml:space="preserve">organically</w:t>
      </w:r>
      <w:r>
        <w:t xml:space="preserve">, without the same degree of centrally imposed geometric order; and</w:t>
      </w:r>
      <w:r>
        <w:t xml:space="preserve"> </w:t>
      </w:r>
      <w:r>
        <w:rPr>
          <w:bCs/>
          <w:b/>
        </w:rPr>
        <w:t xml:space="preserve">Renaissance and later</w:t>
      </w:r>
      <w:r>
        <w:t xml:space="preserve"> </w:t>
      </w:r>
      <w:r>
        <w:t xml:space="preserve">planning reintroduced formal geometry and monumental design axes, reflecting a deliberate revival of classical planning ideals. The recommended focus, per the syllabus, is on these underlying</w:t>
      </w:r>
      <w:r>
        <w:t xml:space="preserve"> </w:t>
      </w:r>
      <w:r>
        <w:rPr>
          <w:bCs/>
          <w:b/>
        </w:rPr>
        <w:t xml:space="preserve">planning ideas and resulting urban form</w:t>
      </w:r>
      <w:r>
        <w:t xml:space="preserve">, rather than attempting to memorize an exhaustive list of individual European cities.</w:t>
      </w:r>
    </w:p>
    <w:bookmarkEnd w:id="321"/>
    <w:bookmarkStart w:id="322" w:name="the-nile-valley-region"/>
    <w:p>
      <w:pPr>
        <w:pStyle w:val="Heading2"/>
      </w:pPr>
      <w:r>
        <w:rPr>
          <w:rStyle w:val="SectionNumber"/>
        </w:rPr>
        <w:t xml:space="preserve">35.3</w:t>
      </w:r>
      <w:r>
        <w:tab/>
      </w:r>
      <w:r>
        <w:t xml:space="preserve">The Nile Valley Region</w:t>
      </w:r>
    </w:p>
    <w:p>
      <w:pPr>
        <w:pStyle w:val="FirstParagraph"/>
      </w:pPr>
      <w:r>
        <w:t xml:space="preserve">Ancient Egyptian settlement was strongly shaped by the Nile’s river geography, supporting agriculture, transport, and the growth of religious and administrative centres. The existence of</w:t>
      </w:r>
      <w:r>
        <w:t xml:space="preserve"> </w:t>
      </w:r>
      <w:r>
        <w:rPr>
          <w:bCs/>
          <w:b/>
        </w:rPr>
        <w:t xml:space="preserve">planned worker settlements</w:t>
      </w:r>
      <w:r>
        <w:t xml:space="preserve"> </w:t>
      </w:r>
      <w:r>
        <w:t xml:space="preserve">in certain documented contexts (built to house labourers for major state construction projects) demonstrates that deliberately organized, planned layouts existed alongside more organic settlement growth in this civilization — a useful point for illustrating that</w:t>
      </w:r>
      <w:r>
        <w:t xml:space="preserve"> </w:t>
      </w:r>
      <w:r>
        <w:t xml:space="preserve">“</w:t>
      </w:r>
      <w:r>
        <w:t xml:space="preserve">planned</w:t>
      </w:r>
      <w:r>
        <w:t xml:space="preserve">”</w:t>
      </w:r>
      <w:r>
        <w:t xml:space="preserve"> </w:t>
      </w:r>
      <w:r>
        <w:t xml:space="preserve">and</w:t>
      </w:r>
      <w:r>
        <w:t xml:space="preserve"> </w:t>
      </w:r>
      <w:r>
        <w:t xml:space="preserve">“</w:t>
      </w:r>
      <w:r>
        <w:t xml:space="preserve">organic</w:t>
      </w:r>
      <w:r>
        <w:t xml:space="preserve">”</w:t>
      </w:r>
      <w:r>
        <w:t xml:space="preserve"> </w:t>
      </w:r>
      <w:r>
        <w:t xml:space="preserve">settlement forms are not mutually exclusive even within a single ancient civilization.</w:t>
      </w:r>
    </w:p>
    <w:bookmarkEnd w:id="322"/>
    <w:bookmarkStart w:id="323" w:name="X3b9e8c02a1ac7f49681beabcc7b69dd20b9dd44"/>
    <w:p>
      <w:pPr>
        <w:pStyle w:val="Heading2"/>
      </w:pPr>
      <w:r>
        <w:rPr>
          <w:rStyle w:val="SectionNumber"/>
        </w:rPr>
        <w:t xml:space="preserve">35.4</w:t>
      </w:r>
      <w:r>
        <w:tab/>
      </w:r>
      <w:r>
        <w:t xml:space="preserve">The Euphrates and Tigris Valley (Mesopotamia)</w:t>
      </w:r>
    </w:p>
    <w:p>
      <w:pPr>
        <w:pStyle w:val="FirstParagraph"/>
      </w:pPr>
      <w:r>
        <w:t xml:space="preserve">Mesopotamian cities developed around river and canal systems, combined with temples, defensive walls, trade infrastructure, and administrative centres — illustrating a close, direct connection between water management capability and the resulting form of the city. Dense neighbourhood patterns alongside centralized religious and administrative structures show an early example of functional zoning driven by both practical (water access) and institutional (religious/administrative authority) factors together.</w:t>
      </w:r>
    </w:p>
    <w:bookmarkEnd w:id="323"/>
    <w:bookmarkStart w:id="324" w:name="X030127b406a96fe28242dd55c556019a0080cab"/>
    <w:p>
      <w:pPr>
        <w:pStyle w:val="Heading2"/>
      </w:pPr>
      <w:r>
        <w:rPr>
          <w:rStyle w:val="SectionNumber"/>
        </w:rPr>
        <w:t xml:space="preserve">35.5</w:t>
      </w:r>
      <w:r>
        <w:tab/>
      </w:r>
      <w:r>
        <w:t xml:space="preserve">Mohenjo-daro and Harappa (the Indus Valley Civilization)</w:t>
      </w:r>
    </w:p>
    <w:p>
      <w:pPr>
        <w:pStyle w:val="FirstParagraph"/>
      </w:pPr>
      <w:r>
        <w:t xml:space="preserve">These mature Indus Civilization cities are particularly significant for their</w:t>
      </w:r>
      <w:r>
        <w:t xml:space="preserve"> </w:t>
      </w:r>
      <w:r>
        <w:rPr>
          <w:bCs/>
          <w:b/>
        </w:rPr>
        <w:t xml:space="preserve">organized street networks</w:t>
      </w:r>
      <w:r>
        <w:t xml:space="preserve">, sophisticated</w:t>
      </w:r>
      <w:r>
        <w:t xml:space="preserve"> </w:t>
      </w:r>
      <w:r>
        <w:rPr>
          <w:bCs/>
          <w:b/>
        </w:rPr>
        <w:t xml:space="preserve">drainage systems</w:t>
      </w:r>
      <w:r>
        <w:t xml:space="preserve">,</w:t>
      </w:r>
      <w:r>
        <w:t xml:space="preserve"> </w:t>
      </w:r>
      <w:r>
        <w:rPr>
          <w:bCs/>
          <w:b/>
        </w:rPr>
        <w:t xml:space="preserve">standardized construction practices</w:t>
      </w:r>
      <w:r>
        <w:t xml:space="preserve"> </w:t>
      </w:r>
      <w:r>
        <w:t xml:space="preserve">(suggesting some form of centralized building regulation or shared building convention), and</w:t>
      </w:r>
      <w:r>
        <w:t xml:space="preserve"> </w:t>
      </w:r>
      <w:r>
        <w:rPr>
          <w:bCs/>
          <w:b/>
        </w:rPr>
        <w:t xml:space="preserve">differentiated urban areas</w:t>
      </w:r>
      <w:r>
        <w:t xml:space="preserve"> </w:t>
      </w:r>
      <w:r>
        <w:t xml:space="preserve">(distinct zones for different functions or social groups) — genuinely notable planning achievements for their era. The syllabus’s explicit methodological caution: these archaeological features should be discussed based on the actual physical evidence,</w:t>
      </w:r>
      <w:r>
        <w:t xml:space="preserve"> </w:t>
      </w:r>
      <w:r>
        <w:rPr>
          <w:bCs/>
          <w:b/>
        </w:rPr>
        <w:t xml:space="preserve">without inventing unsupported claims about the exact political institutions</w:t>
      </w:r>
      <w:r>
        <w:t xml:space="preserve"> </w:t>
      </w:r>
      <w:r>
        <w:t xml:space="preserve">that produced them, since the specific governance system of the Indus Civilization remains genuinely uncertain in current scholarship (the Indus script itself remains undeciphered).</w:t>
      </w:r>
    </w:p>
    <w:bookmarkEnd w:id="324"/>
    <w:bookmarkStart w:id="325" w:name="kot-diji-and-mehrgarh"/>
    <w:p>
      <w:pPr>
        <w:pStyle w:val="Heading2"/>
      </w:pPr>
      <w:r>
        <w:rPr>
          <w:rStyle w:val="SectionNumber"/>
        </w:rPr>
        <w:t xml:space="preserve">35.6</w:t>
      </w:r>
      <w:r>
        <w:tab/>
      </w:r>
      <w:r>
        <w:t xml:space="preserve">Kot Diji and Mehrgarh</w:t>
      </w:r>
    </w:p>
    <w:p>
      <w:pPr>
        <w:pStyle w:val="FirstParagraph"/>
      </w:pPr>
      <w:r>
        <w:t xml:space="preserve">These sites are significant for understanding the longer-term</w:t>
      </w:r>
      <w:r>
        <w:t xml:space="preserve"> </w:t>
      </w:r>
      <w:r>
        <w:rPr>
          <w:bCs/>
          <w:b/>
        </w:rPr>
        <w:t xml:space="preserve">prehistoric and early-urban development</w:t>
      </w:r>
      <w:r>
        <w:t xml:space="preserve"> </w:t>
      </w:r>
      <w:r>
        <w:t xml:space="preserve">trajectory of the wider South Asian region, providing an earlier developmental stage than the mature Indus cities discussed above. The syllabus’s specific caution: these sites belong to</w:t>
      </w:r>
      <w:r>
        <w:t xml:space="preserve"> </w:t>
      </w:r>
      <w:r>
        <w:rPr>
          <w:bCs/>
          <w:b/>
        </w:rPr>
        <w:t xml:space="preserve">different time periods and scales</w:t>
      </w:r>
      <w:r>
        <w:t xml:space="preserve"> </w:t>
      </w:r>
      <w:r>
        <w:t xml:space="preserve">than Mohenjo-daro and Harappa, and should not be presented as though they were identical in urban scale or form — a frequently tested point of chronological and scalar precision.</w:t>
      </w:r>
    </w:p>
    <w:bookmarkEnd w:id="325"/>
    <w:bookmarkStart w:id="326" w:name="the-gandhara-civilization"/>
    <w:p>
      <w:pPr>
        <w:pStyle w:val="Heading2"/>
      </w:pPr>
      <w:r>
        <w:rPr>
          <w:rStyle w:val="SectionNumber"/>
        </w:rPr>
        <w:t xml:space="preserve">35.7</w:t>
      </w:r>
      <w:r>
        <w:tab/>
      </w:r>
      <w:r>
        <w:t xml:space="preserve">The Gandhara Civilization</w:t>
      </w:r>
    </w:p>
    <w:p>
      <w:pPr>
        <w:pStyle w:val="FirstParagraph"/>
      </w:pPr>
      <w:r>
        <w:t xml:space="preserve">Gandharan urban and religious centres were closely connected with regional trade routes and broader cultural exchange, reflecting the region’s position along significant historical trade and cultural corridors. As throughout this unit, site-specific claims about particular Gandharan settlements should be grounded in established archaeological and museum scholarship rather than broad, unsupported generalization.</w:t>
      </w:r>
    </w:p>
    <w:p>
      <w:pPr>
        <w:pStyle w:val="BodyText"/>
      </w:pPr>
      <w:r>
        <w:rPr>
          <w:bCs/>
          <w:b/>
        </w:rPr>
        <w:t xml:space="preserve">Key takeaways for Unit II</w:t>
      </w:r>
    </w:p>
    <w:p>
      <w:pPr>
        <w:numPr>
          <w:ilvl w:val="0"/>
          <w:numId w:val="1108"/>
        </w:numPr>
        <w:pStyle w:val="Compact"/>
      </w:pPr>
      <w:r>
        <w:t xml:space="preserve">Apply the same consistent question set (settlement pattern, street form, water/drainage, public buildings, land use, defence, planning lesson) to every historical example in this unit — this consistency, more than historical detail memorization, is the actual skill being tested.</w:t>
      </w:r>
    </w:p>
    <w:p>
      <w:pPr>
        <w:numPr>
          <w:ilvl w:val="0"/>
          <w:numId w:val="1108"/>
        </w:numPr>
        <w:pStyle w:val="Compact"/>
      </w:pPr>
      <w:r>
        <w:t xml:space="preserve">Kot Diji/Mehrgarh and Mohenjo-daro/Harappa represent genuinely different periods and urban scales within the same broader regional prehistory — a frequently tested chronological precision point.</w:t>
      </w:r>
    </w:p>
    <w:p>
      <w:pPr>
        <w:numPr>
          <w:ilvl w:val="0"/>
          <w:numId w:val="1108"/>
        </w:numPr>
        <w:pStyle w:val="Compact"/>
      </w:pPr>
      <w:r>
        <w:t xml:space="preserve">The Indus cities’ organized street networks and drainage are well-evidenced archaeologically; specific claims about their political institutions are not — a strong answer keeps this evidentiary distinction explicit.</w:t>
      </w:r>
    </w:p>
    <w:p>
      <w:r>
        <w:pict>
          <v:rect style="width:0;height:1.5pt" o:hralign="center" o:hrstd="t" o:hr="t"/>
        </w:pict>
      </w:r>
    </w:p>
    <w:bookmarkEnd w:id="326"/>
    <w:bookmarkEnd w:id="327"/>
    <w:bookmarkStart w:id="333" w:name="X3ad50dead216ad50c65c7354c77d9089db4b610"/>
    <w:p>
      <w:pPr>
        <w:pStyle w:val="Heading1"/>
      </w:pPr>
      <w:r>
        <w:rPr>
          <w:rStyle w:val="SectionNumber"/>
        </w:rPr>
        <w:t xml:space="preserve">36</w:t>
      </w:r>
      <w:r>
        <w:tab/>
      </w:r>
      <w:r>
        <w:t xml:space="preserve">III. Urban-Rural Differences and Hierarchy of Settlements</w:t>
      </w:r>
    </w:p>
    <w:bookmarkStart w:id="328" w:name="what-this-unit-is-about-30"/>
    <w:p>
      <w:pPr>
        <w:pStyle w:val="Heading2"/>
      </w:pPr>
      <w:r>
        <w:rPr>
          <w:rStyle w:val="SectionNumber"/>
        </w:rPr>
        <w:t xml:space="preserve">36.1</w:t>
      </w:r>
      <w:r>
        <w:tab/>
      </w:r>
      <w:r>
        <w:t xml:space="preserve">What This Unit Is About</w:t>
      </w:r>
    </w:p>
    <w:p>
      <w:pPr>
        <w:pStyle w:val="FirstParagraph"/>
      </w:pPr>
      <w:r>
        <w:t xml:space="preserve">Settlements exist along a continuum from small rural communities to large metropolitan regions, differing in density, dominant occupations, service provision, and connectivity. This unit builds the vocabulary for classifying settlements and understanding how urbanization changes their character over time.</w:t>
      </w:r>
    </w:p>
    <w:bookmarkEnd w:id="328"/>
    <w:bookmarkStart w:id="329" w:name="urban-rural-differences"/>
    <w:p>
      <w:pPr>
        <w:pStyle w:val="Heading2"/>
      </w:pPr>
      <w:r>
        <w:rPr>
          <w:rStyle w:val="SectionNumber"/>
        </w:rPr>
        <w:t xml:space="preserve">36.2</w:t>
      </w:r>
      <w:r>
        <w:tab/>
      </w:r>
      <w:r>
        <w:t xml:space="preserve">Urban-Rural Differences</w:t>
      </w:r>
    </w:p>
    <w:p>
      <w:pPr>
        <w:pStyle w:val="FirstParagraph"/>
      </w:pPr>
      <w:r>
        <w:t xml:space="preserve">Urban areas generally exhibit higher population density, a greater share of non-agricultural employment, more complex infrastructure, and more specialized services; rural areas generally exhibit lower density and stronger links to land-based (agricultural) activity. The syllabus’s important, frequently tested caution:</w:t>
      </w:r>
      <w:r>
        <w:t xml:space="preserve"> </w:t>
      </w:r>
      <w:r>
        <w:rPr>
          <w:bCs/>
          <w:b/>
        </w:rPr>
        <w:t xml:space="preserve">urban and rural are not absolute opposites but form a continuum</w:t>
      </w:r>
      <w:r>
        <w:t xml:space="preserve">, and specific classification thresholds (based on population, density, administrative status, economic activity, built form, or service access) are</w:t>
      </w:r>
      <w:r>
        <w:t xml:space="preserve"> </w:t>
      </w:r>
      <w:r>
        <w:rPr>
          <w:bCs/>
          <w:b/>
        </w:rPr>
        <w:t xml:space="preserve">context-specific statistical and legal categories that vary by country</w:t>
      </w:r>
      <w:r>
        <w:t xml:space="preserve"> </w:t>
      </w:r>
      <w:r>
        <w:t xml:space="preserve">— they should never be treated as universal, naturally occurring boundaries.</w:t>
      </w:r>
    </w:p>
    <w:bookmarkEnd w:id="329"/>
    <w:bookmarkStart w:id="330" w:name="hierarchy-of-settlements"/>
    <w:p>
      <w:pPr>
        <w:pStyle w:val="Heading2"/>
      </w:pPr>
      <w:r>
        <w:rPr>
          <w:rStyle w:val="SectionNumber"/>
        </w:rPr>
        <w:t xml:space="preserve">36.3</w:t>
      </w:r>
      <w:r>
        <w:tab/>
      </w:r>
      <w:r>
        <w:t xml:space="preserve">Hierarchy of Settlements</w:t>
      </w:r>
    </w:p>
    <w:p>
      <w:pPr>
        <w:pStyle w:val="FirstParagraph"/>
      </w:pPr>
      <w:r>
        <w:t xml:space="preserve">Settlement hierarchy ranks places by size, population, function, service provision, and their</w:t>
      </w:r>
      <w:r>
        <w:t xml:space="preserve"> </w:t>
      </w:r>
      <w:r>
        <w:rPr>
          <w:bCs/>
          <w:b/>
        </w:rPr>
        <w:t xml:space="preserve">sphere of influence</w:t>
      </w:r>
      <w:r>
        <w:t xml:space="preserve"> </w:t>
      </w:r>
      <w:r>
        <w:t xml:space="preserve">(the surrounding catchment area they serve) — moving from smaller settlements offering only basic functions up to larger centres offering more specialized, higher-order services to progressively wider catchment areas. The frequently tested point:</w:t>
      </w:r>
      <w:r>
        <w:t xml:space="preserve"> </w:t>
      </w:r>
      <w:r>
        <w:rPr>
          <w:bCs/>
          <w:b/>
        </w:rPr>
        <w:t xml:space="preserve">population size alone does not fully describe a settlement’s functional importance</w:t>
      </w:r>
      <w:r>
        <w:t xml:space="preserve"> </w:t>
      </w:r>
      <w:r>
        <w:t xml:space="preserve">— a smaller settlement offering a distinctive specialized service (a regional hospital, a major market) can hold greater functional significance within the hierarchy than its raw population figure alone would suggest.</w:t>
      </w:r>
    </w:p>
    <w:bookmarkEnd w:id="330"/>
    <w:bookmarkStart w:id="331" w:name="urbanization"/>
    <w:p>
      <w:pPr>
        <w:pStyle w:val="Heading2"/>
      </w:pPr>
      <w:r>
        <w:rPr>
          <w:rStyle w:val="SectionNumber"/>
        </w:rPr>
        <w:t xml:space="preserve">36.4</w:t>
      </w:r>
      <w:r>
        <w:tab/>
      </w:r>
      <w:r>
        <w:t xml:space="preserve">Urbanization</w:t>
      </w:r>
    </w:p>
    <w:p>
      <w:pPr>
        <w:pStyle w:val="FirstParagraph"/>
      </w:pPr>
      <w:r>
        <w:t xml:space="preserve">Urbanization is the increasing share or concentration of population in urban areas, combined with the expansion of urban economic and physical systems. The syllabus specifically names</w:t>
      </w:r>
      <w:r>
        <w:t xml:space="preserve"> </w:t>
      </w:r>
      <w:r>
        <w:rPr>
          <w:bCs/>
          <w:b/>
        </w:rPr>
        <w:t xml:space="preserve">four distinct causes</w:t>
      </w:r>
      <w:r>
        <w:t xml:space="preserve">, worth listing precisely rather than collapsing into</w:t>
      </w:r>
      <w:r>
        <w:t xml:space="preserve"> </w:t>
      </w:r>
      <w:r>
        <w:t xml:space="preserve">“</w:t>
      </w:r>
      <w:r>
        <w:t xml:space="preserve">migration</w:t>
      </w:r>
      <w:r>
        <w:t xml:space="preserve">”</w:t>
      </w:r>
      <w:r>
        <w:t xml:space="preserve"> </w:t>
      </w:r>
      <w:r>
        <w:t xml:space="preserve">alone:</w:t>
      </w:r>
      <w:r>
        <w:t xml:space="preserve"> </w:t>
      </w:r>
      <w:r>
        <w:rPr>
          <w:bCs/>
          <w:b/>
        </w:rPr>
        <w:t xml:space="preserve">natural increase</w:t>
      </w:r>
      <w:r>
        <w:t xml:space="preserve"> </w:t>
      </w:r>
      <w:r>
        <w:t xml:space="preserve">(births exceeding deaths within the existing urban population),</w:t>
      </w:r>
      <w:r>
        <w:t xml:space="preserve"> </w:t>
      </w:r>
      <w:r>
        <w:rPr>
          <w:bCs/>
          <w:b/>
        </w:rPr>
        <w:t xml:space="preserve">migration</w:t>
      </w:r>
      <w:r>
        <w:t xml:space="preserve"> </w:t>
      </w:r>
      <w:r>
        <w:t xml:space="preserve">(people moving into urban areas from elsewhere),</w:t>
      </w:r>
      <w:r>
        <w:t xml:space="preserve"> </w:t>
      </w:r>
      <w:r>
        <w:rPr>
          <w:bCs/>
          <w:b/>
        </w:rPr>
        <w:t xml:space="preserve">economic change</w:t>
      </w:r>
      <w:r>
        <w:t xml:space="preserve"> </w:t>
      </w:r>
      <w:r>
        <w:t xml:space="preserve">(shifting economic activity toward urban-based sectors), and</w:t>
      </w:r>
      <w:r>
        <w:t xml:space="preserve"> </w:t>
      </w:r>
      <w:r>
        <w:rPr>
          <w:bCs/>
          <w:b/>
        </w:rPr>
        <w:t xml:space="preserve">reclassification/expansion</w:t>
      </w:r>
      <w:r>
        <w:t xml:space="preserve"> </w:t>
      </w:r>
      <w:r>
        <w:t xml:space="preserve">(a settlement’s boundary or official classification itself changing, converting previously</w:t>
      </w:r>
      <w:r>
        <w:t xml:space="preserve"> </w:t>
      </w:r>
      <w:r>
        <w:t xml:space="preserve">“</w:t>
      </w:r>
      <w:r>
        <w:t xml:space="preserve">rural</w:t>
      </w:r>
      <w:r>
        <w:t xml:space="preserve">”</w:t>
      </w:r>
      <w:r>
        <w:t xml:space="preserve"> </w:t>
      </w:r>
      <w:r>
        <w:t xml:space="preserve">areas into</w:t>
      </w:r>
      <w:r>
        <w:t xml:space="preserve"> </w:t>
      </w:r>
      <w:r>
        <w:t xml:space="preserve">“</w:t>
      </w:r>
      <w:r>
        <w:t xml:space="preserve">urban</w:t>
      </w:r>
      <w:r>
        <w:t xml:space="preserve">”</w:t>
      </w:r>
      <w:r>
        <w:t xml:space="preserve"> </w:t>
      </w:r>
      <w:r>
        <w:t xml:space="preserve">ones without any physical relocation of people at all) — a frequently overlooked but analytically important fourth cause.</w:t>
      </w:r>
    </w:p>
    <w:bookmarkEnd w:id="331"/>
    <w:bookmarkStart w:id="332" w:name="environmental-effects-of-urbanization"/>
    <w:p>
      <w:pPr>
        <w:pStyle w:val="Heading2"/>
      </w:pPr>
      <w:r>
        <w:rPr>
          <w:rStyle w:val="SectionNumber"/>
        </w:rPr>
        <w:t xml:space="preserve">36.5</w:t>
      </w:r>
      <w:r>
        <w:tab/>
      </w:r>
      <w:r>
        <w:t xml:space="preserve">Environmental Effects of Urbanization</w:t>
      </w:r>
    </w:p>
    <w:p>
      <w:pPr>
        <w:pStyle w:val="FirstParagraph"/>
      </w:pPr>
      <w:r>
        <w:t xml:space="preserve">Poorly managed urban growth can increase air and water pollution, waste generation, traffic congestion, the</w:t>
      </w:r>
      <w:r>
        <w:t xml:space="preserve"> </w:t>
      </w:r>
      <w:r>
        <w:rPr>
          <w:bCs/>
          <w:b/>
        </w:rPr>
        <w:t xml:space="preserve">urban heat-island effect</w:t>
      </w:r>
      <w:r>
        <w:t xml:space="preserve"> </w:t>
      </w:r>
      <w:r>
        <w:t xml:space="preserve">(built-up areas retaining more heat than surrounding rural land), habitat loss, and pressure on water and land resources. The syllabus’s important balancing point, worth stating in any answer:</w:t>
      </w:r>
      <w:r>
        <w:t xml:space="preserve"> </w:t>
      </w:r>
      <w:r>
        <w:rPr>
          <w:bCs/>
          <w:b/>
        </w:rPr>
        <w:t xml:space="preserve">well-planned density and infrastructure can also improve resource efficiency and service access</w:t>
      </w:r>
      <w:r>
        <w:t xml:space="preserve"> </w:t>
      </w:r>
      <w:r>
        <w:t xml:space="preserve">— compact, well-served cities can actually reduce per-person infrastructure and travel requirements compared to more dispersed, lower-density development, meaning urbanization’s environmental impact depends substantially on</w:t>
      </w:r>
      <w:r>
        <w:t xml:space="preserve"> </w:t>
      </w:r>
      <w:r>
        <w:rPr>
          <w:bCs/>
          <w:b/>
        </w:rPr>
        <w:t xml:space="preserve">how</w:t>
      </w:r>
      <w:r>
        <w:t xml:space="preserve"> </w:t>
      </w:r>
      <w:r>
        <w:t xml:space="preserve">growth is planned and managed, not on the fact of urban growth itself.</w:t>
      </w:r>
    </w:p>
    <w:p>
      <w:pPr>
        <w:pStyle w:val="BodyText"/>
      </w:pPr>
      <w:r>
        <w:rPr>
          <w:bCs/>
          <w:b/>
        </w:rPr>
        <w:t xml:space="preserve">Key takeaways for Unit III</w:t>
      </w:r>
    </w:p>
    <w:p>
      <w:pPr>
        <w:numPr>
          <w:ilvl w:val="0"/>
          <w:numId w:val="1109"/>
        </w:numPr>
        <w:pStyle w:val="Compact"/>
      </w:pPr>
      <w:r>
        <w:t xml:space="preserve">Urban and rural classifications are context-specific statistical/legal categories, not universal natural boundaries — a strong answer states this explicitly rather than treating the urban-rural distinction as self-evident.</w:t>
      </w:r>
    </w:p>
    <w:p>
      <w:pPr>
        <w:numPr>
          <w:ilvl w:val="0"/>
          <w:numId w:val="1109"/>
        </w:numPr>
        <w:pStyle w:val="Compact"/>
      </w:pPr>
      <w:r>
        <w:t xml:space="preserve">Settlement hierarchy is ranked by function and sphere of influence, not by population size alone.</w:t>
      </w:r>
    </w:p>
    <w:p>
      <w:pPr>
        <w:numPr>
          <w:ilvl w:val="0"/>
          <w:numId w:val="1109"/>
        </w:numPr>
        <w:pStyle w:val="Compact"/>
      </w:pPr>
      <w:r>
        <w:t xml:space="preserve">Urbanization has four distinct causes (natural increase, migration, economic change, reclassification) — and its environmental impact depends on planning quality, not on the fact of growth itself; density can either worsen or improve environmental outcomes depending on how it is managed.</w:t>
      </w:r>
    </w:p>
    <w:p>
      <w:r>
        <w:pict>
          <v:rect style="width:0;height:1.5pt" o:hralign="center" o:hrstd="t" o:hr="t"/>
        </w:pict>
      </w:r>
    </w:p>
    <w:bookmarkEnd w:id="332"/>
    <w:bookmarkEnd w:id="333"/>
    <w:bookmarkStart w:id="338" w:name="iv.-history-of-planning-in-pakistan"/>
    <w:p>
      <w:pPr>
        <w:pStyle w:val="Heading1"/>
      </w:pPr>
      <w:r>
        <w:rPr>
          <w:rStyle w:val="SectionNumber"/>
        </w:rPr>
        <w:t xml:space="preserve">37</w:t>
      </w:r>
      <w:r>
        <w:tab/>
      </w:r>
      <w:r>
        <w:t xml:space="preserve">IV. History of Planning in Pakistan</w:t>
      </w:r>
    </w:p>
    <w:bookmarkStart w:id="334" w:name="what-this-unit-is-about-31"/>
    <w:p>
      <w:pPr>
        <w:pStyle w:val="Heading2"/>
      </w:pPr>
      <w:r>
        <w:rPr>
          <w:rStyle w:val="SectionNumber"/>
        </w:rPr>
        <w:t xml:space="preserve">37.1</w:t>
      </w:r>
      <w:r>
        <w:tab/>
      </w:r>
      <w:r>
        <w:t xml:space="preserve">What This Unit Is About</w:t>
      </w:r>
    </w:p>
    <w:p>
      <w:pPr>
        <w:pStyle w:val="FirstParagraph"/>
      </w:pPr>
      <w:r>
        <w:t xml:space="preserve">Pakistan has used national economic plans, regional planning, and city master plans at different points to guide development, with the specific institutional approach evolving considerably over time. The recommended focus, per the syllabus, is on</w:t>
      </w:r>
      <w:r>
        <w:t xml:space="preserve"> </w:t>
      </w:r>
      <w:r>
        <w:rPr>
          <w:bCs/>
          <w:b/>
        </w:rPr>
        <w:t xml:space="preserve">what each planning scale is actually intended to coordinate</w:t>
      </w:r>
      <w:r>
        <w:t xml:space="preserve">, rather than memorizing an exhaustive chronology of specific plans — and any specific plan named in an answer should have its exact period and current official status verified against Planning Commission archives, since Pakistan’s planning system has not maintained identical five-year cycles continuously throughout its history.</w:t>
      </w:r>
    </w:p>
    <w:bookmarkEnd w:id="334"/>
    <w:bookmarkStart w:id="335" w:name="five-year-plans"/>
    <w:p>
      <w:pPr>
        <w:pStyle w:val="Heading2"/>
      </w:pPr>
      <w:r>
        <w:rPr>
          <w:rStyle w:val="SectionNumber"/>
        </w:rPr>
        <w:t xml:space="preserve">37.2</w:t>
      </w:r>
      <w:r>
        <w:tab/>
      </w:r>
      <w:r>
        <w:t xml:space="preserve">Five-Year Plans</w:t>
      </w:r>
    </w:p>
    <w:p>
      <w:pPr>
        <w:pStyle w:val="FirstParagraph"/>
      </w:pPr>
      <w:r>
        <w:t xml:space="preserve">Five-year planning has historically been used to set</w:t>
      </w:r>
      <w:r>
        <w:t xml:space="preserve"> </w:t>
      </w:r>
      <w:r>
        <w:rPr>
          <w:bCs/>
          <w:b/>
        </w:rPr>
        <w:t xml:space="preserve">medium-term national development priorities</w:t>
      </w:r>
      <w:r>
        <w:t xml:space="preserve">, sector-specific targets, and the overall direction of public investment. The important caution: their legal status, actual implementation, and continuity have varied considerably by period — a Five-Year Plan is a</w:t>
      </w:r>
      <w:r>
        <w:t xml:space="preserve"> </w:t>
      </w:r>
      <w:r>
        <w:rPr>
          <w:bCs/>
          <w:b/>
        </w:rPr>
        <w:t xml:space="preserve">national-level</w:t>
      </w:r>
      <w:r>
        <w:t xml:space="preserve"> </w:t>
      </w:r>
      <w:r>
        <w:t xml:space="preserve">planning instrument, coordinating priorities across the entire country’s development sectors.</w:t>
      </w:r>
    </w:p>
    <w:bookmarkEnd w:id="335"/>
    <w:bookmarkStart w:id="336" w:name="regional-plans"/>
    <w:p>
      <w:pPr>
        <w:pStyle w:val="Heading2"/>
      </w:pPr>
      <w:r>
        <w:rPr>
          <w:rStyle w:val="SectionNumber"/>
        </w:rPr>
        <w:t xml:space="preserve">37.3</w:t>
      </w:r>
      <w:r>
        <w:tab/>
      </w:r>
      <w:r>
        <w:t xml:space="preserve">Regional Plans</w:t>
      </w:r>
    </w:p>
    <w:p>
      <w:pPr>
        <w:pStyle w:val="FirstParagraph"/>
      </w:pPr>
      <w:r>
        <w:t xml:space="preserve">Regional planning coordinates development across an area</w:t>
      </w:r>
      <w:r>
        <w:t xml:space="preserve"> </w:t>
      </w:r>
      <w:r>
        <w:rPr>
          <w:bCs/>
          <w:b/>
        </w:rPr>
        <w:t xml:space="preserve">larger than a single city</w:t>
      </w:r>
      <w:r>
        <w:t xml:space="preserve"> </w:t>
      </w:r>
      <w:r>
        <w:t xml:space="preserve">— addressing settlement systems, infrastructure, natural resources, economic functions, and environmental relationships spanning several local jurisdictions or a wider geographic area. Regional plans sit at an intermediate scale between the national Five-Year Plan and the city-level Master Plan discussed next — coordinating a specific geographic region’s settlements and resources in a way neither the national plan (too broad) nor a single city’s master plan (too narrow) can achieve alone.</w:t>
      </w:r>
    </w:p>
    <w:bookmarkEnd w:id="336"/>
    <w:bookmarkStart w:id="337" w:name="master-plans"/>
    <w:p>
      <w:pPr>
        <w:pStyle w:val="Heading2"/>
      </w:pPr>
      <w:r>
        <w:rPr>
          <w:rStyle w:val="SectionNumber"/>
        </w:rPr>
        <w:t xml:space="preserve">37.4</w:t>
      </w:r>
      <w:r>
        <w:tab/>
      </w:r>
      <w:r>
        <w:t xml:space="preserve">Master Plans</w:t>
      </w:r>
    </w:p>
    <w:p>
      <w:pPr>
        <w:pStyle w:val="FirstParagraph"/>
      </w:pPr>
      <w:r>
        <w:t xml:space="preserve">A master plan provides a</w:t>
      </w:r>
      <w:r>
        <w:t xml:space="preserve"> </w:t>
      </w:r>
      <w:r>
        <w:rPr>
          <w:bCs/>
          <w:b/>
        </w:rPr>
        <w:t xml:space="preserve">long-range spatial framework</w:t>
      </w:r>
      <w:r>
        <w:t xml:space="preserve"> </w:t>
      </w:r>
      <w:r>
        <w:t xml:space="preserve">for land use, transport, infrastructure, public facilities, and growth at the city (or similar local) level. The syllabus’s central, frequently tested point: a master plan’s actual value depends entirely on its</w:t>
      </w:r>
      <w:r>
        <w:t xml:space="preserve"> </w:t>
      </w:r>
      <w:r>
        <w:rPr>
          <w:bCs/>
          <w:b/>
        </w:rPr>
        <w:t xml:space="preserve">legal backing, realistic underlying data, secured financing, periodic revision, and genuine implementation capacity</w:t>
      </w:r>
      <w:r>
        <w:t xml:space="preserve"> </w:t>
      </w:r>
      <w:r>
        <w:t xml:space="preserve">— a master plan lacking these supporting elements remains an aspirational document rather than an effective planning instrument.</w:t>
      </w:r>
      <w:r>
        <w:t xml:space="preserve"> </w:t>
      </w:r>
      <w:r>
        <w:rPr>
          <w:bCs/>
          <w:b/>
        </w:rPr>
        <w:t xml:space="preserve">Worked illustration:</w:t>
      </w:r>
      <w:r>
        <w:t xml:space="preserve"> </w:t>
      </w:r>
      <w:r>
        <w:t xml:space="preserve">a master plan may reserve specific corridors of land for future roads or public facilities, but those reservations only matter in practice if</w:t>
      </w:r>
      <w:r>
        <w:t xml:space="preserve"> </w:t>
      </w:r>
      <w:r>
        <w:rPr>
          <w:bCs/>
          <w:b/>
        </w:rPr>
        <w:t xml:space="preserve">development control</w:t>
      </w:r>
      <w:r>
        <w:t xml:space="preserve"> </w:t>
      </w:r>
      <w:r>
        <w:t xml:space="preserve">(Unit V) actually enforces them and</w:t>
      </w:r>
      <w:r>
        <w:t xml:space="preserve"> </w:t>
      </w:r>
      <w:r>
        <w:rPr>
          <w:bCs/>
          <w:b/>
        </w:rPr>
        <w:t xml:space="preserve">public investment</w:t>
      </w:r>
      <w:r>
        <w:t xml:space="preserve"> </w:t>
      </w:r>
      <w:r>
        <w:t xml:space="preserve">actually follows the plan’s spatial framework over time — a reserved corridor with no enforcement or funding behind it will simply be built over by uncoordinated private development, rendering the master plan’s spatial framework meaningless on the ground.</w:t>
      </w:r>
    </w:p>
    <w:p>
      <w:pPr>
        <w:pStyle w:val="BodyText"/>
      </w:pPr>
      <w:r>
        <w:rPr>
          <w:bCs/>
          <w:b/>
        </w:rPr>
        <w:t xml:space="preserve">Key takeaways for Unit IV</w:t>
      </w:r>
    </w:p>
    <w:p>
      <w:pPr>
        <w:numPr>
          <w:ilvl w:val="0"/>
          <w:numId w:val="1110"/>
        </w:numPr>
        <w:pStyle w:val="Compact"/>
      </w:pPr>
      <w:r>
        <w:t xml:space="preserve">The three planning scales — Five-Year Plan (national), Regional Plan (multi-jurisdictional region), Master Plan (city/local) — are nested and distinct; identify which scale a described planning instrument operates at.</w:t>
      </w:r>
    </w:p>
    <w:p>
      <w:pPr>
        <w:numPr>
          <w:ilvl w:val="0"/>
          <w:numId w:val="1110"/>
        </w:numPr>
        <w:pStyle w:val="Compact"/>
      </w:pPr>
      <w:r>
        <w:t xml:space="preserve">A master plan’s value depends on its supporting legal, financial, and institutional infrastructure, not on the spatial framework document alone — this is the unit’s single most exam-relevant point.</w:t>
      </w:r>
    </w:p>
    <w:p>
      <w:pPr>
        <w:numPr>
          <w:ilvl w:val="0"/>
          <w:numId w:val="1110"/>
        </w:numPr>
        <w:pStyle w:val="Compact"/>
      </w:pPr>
      <w:r>
        <w:t xml:space="preserve">Any specific named plan should have its period and official status verified, since Pakistan’s planning history has not followed a single continuous or uniform institutional pattern.</w:t>
      </w:r>
    </w:p>
    <w:p>
      <w:r>
        <w:pict>
          <v:rect style="width:0;height:1.5pt" o:hralign="center" o:hrstd="t" o:hr="t"/>
        </w:pict>
      </w:r>
    </w:p>
    <w:bookmarkEnd w:id="337"/>
    <w:bookmarkEnd w:id="338"/>
    <w:bookmarkStart w:id="346" w:name="v.-managing-urbanization"/>
    <w:p>
      <w:pPr>
        <w:pStyle w:val="Heading1"/>
      </w:pPr>
      <w:r>
        <w:rPr>
          <w:rStyle w:val="SectionNumber"/>
        </w:rPr>
        <w:t xml:space="preserve">38</w:t>
      </w:r>
      <w:r>
        <w:tab/>
      </w:r>
      <w:r>
        <w:t xml:space="preserve">V. Managing Urbanization</w:t>
      </w:r>
    </w:p>
    <w:bookmarkStart w:id="339" w:name="what-this-unit-is-about-32"/>
    <w:p>
      <w:pPr>
        <w:pStyle w:val="Heading2"/>
      </w:pPr>
      <w:r>
        <w:rPr>
          <w:rStyle w:val="SectionNumber"/>
        </w:rPr>
        <w:t xml:space="preserve">38.1</w:t>
      </w:r>
      <w:r>
        <w:tab/>
      </w:r>
      <w:r>
        <w:t xml:space="preserve">What This Unit Is About</w:t>
      </w:r>
    </w:p>
    <w:p>
      <w:pPr>
        <w:pStyle w:val="FirstParagraph"/>
      </w:pPr>
      <w:r>
        <w:t xml:space="preserve">Urbanization cannot realistically be managed by attempting to stop city growth — the actual planning task is to</w:t>
      </w:r>
      <w:r>
        <w:t xml:space="preserve"> </w:t>
      </w:r>
      <w:r>
        <w:rPr>
          <w:bCs/>
          <w:b/>
        </w:rPr>
        <w:t xml:space="preserve">guide</w:t>
      </w:r>
      <w:r>
        <w:t xml:space="preserve"> </w:t>
      </w:r>
      <w:r>
        <w:t xml:space="preserve">land, housing, transport, infrastructure, and services so that growth becomes safer, more productive, and more inclusive. The syllabus’s recommended structure for every specific management tool in this unit:</w:t>
      </w:r>
      <w:r>
        <w:t xml:space="preserve"> </w:t>
      </w:r>
      <w:r>
        <w:rPr>
          <w:bCs/>
          <w:b/>
        </w:rPr>
        <w:t xml:space="preserve">objective → instrument → implementing authority → expected benefit → risk/limitation</w:t>
      </w:r>
      <w:r>
        <w:t xml:space="preserve"> </w:t>
      </w:r>
      <w:r>
        <w:t xml:space="preserve">— apply this structure consistently across all five tools below.</w:t>
      </w:r>
    </w:p>
    <w:bookmarkEnd w:id="339"/>
    <w:bookmarkStart w:id="340" w:name="how-to-manage-urbanization-the-toolkit"/>
    <w:p>
      <w:pPr>
        <w:pStyle w:val="Heading2"/>
      </w:pPr>
      <w:r>
        <w:rPr>
          <w:rStyle w:val="SectionNumber"/>
        </w:rPr>
        <w:t xml:space="preserve">38.2</w:t>
      </w:r>
      <w:r>
        <w:tab/>
      </w:r>
      <w:r>
        <w:t xml:space="preserve">How to Manage Urbanization: The Toolkit</w:t>
      </w:r>
    </w:p>
    <w:p>
      <w:pPr>
        <w:pStyle w:val="FirstParagraph"/>
      </w:pPr>
      <w:r>
        <w:t xml:space="preserve">Managing urbanization effectively requires</w:t>
      </w:r>
      <w:r>
        <w:t xml:space="preserve"> </w:t>
      </w:r>
      <w:r>
        <w:rPr>
          <w:bCs/>
          <w:b/>
        </w:rPr>
        <w:t xml:space="preserve">simultaneous</w:t>
      </w:r>
      <w:r>
        <w:t xml:space="preserve"> </w:t>
      </w:r>
      <w:r>
        <w:t xml:space="preserve">attention to a wide range of interconnected instruments: spatial planning, serviced land supply, housing policy, public transport, water and sanitation, solid-waste management, resilient infrastructure, environmental protection, municipal finance, and metropolitan-level coordination across jurisdictions. The frequently tested point: these instruments must be addressed</w:t>
      </w:r>
      <w:r>
        <w:t xml:space="preserve"> </w:t>
      </w:r>
      <w:r>
        <w:rPr>
          <w:bCs/>
          <w:b/>
        </w:rPr>
        <w:t xml:space="preserve">together</w:t>
      </w:r>
      <w:r>
        <w:t xml:space="preserve">, not sequentially or in isolation — housing policy without corresponding transport and serviced-land planning, for example, tends to produce poorly connected, under-serviced new settlements regardless of how sound the housing policy itself might be in isolation.</w:t>
      </w:r>
    </w:p>
    <w:bookmarkEnd w:id="340"/>
    <w:bookmarkStart w:id="341" w:name="best-practices-a-genuine-caution"/>
    <w:p>
      <w:pPr>
        <w:pStyle w:val="Heading2"/>
      </w:pPr>
      <w:r>
        <w:rPr>
          <w:rStyle w:val="SectionNumber"/>
        </w:rPr>
        <w:t xml:space="preserve">38.3</w:t>
      </w:r>
      <w:r>
        <w:tab/>
      </w:r>
      <w:r>
        <w:t xml:space="preserve">Best Practices: A Genuine Caution</w:t>
      </w:r>
    </w:p>
    <w:p>
      <w:pPr>
        <w:pStyle w:val="FirstParagraph"/>
      </w:pPr>
      <w:r>
        <w:t xml:space="preserve">The syllabus’s specific instruction here is a genuine methodological caution, not a simple endorsement of</w:t>
      </w:r>
      <w:r>
        <w:t xml:space="preserve"> </w:t>
      </w:r>
      <w:r>
        <w:t xml:space="preserve">“</w:t>
      </w:r>
      <w:r>
        <w:t xml:space="preserve">best practice</w:t>
      </w:r>
      <w:r>
        <w:t xml:space="preserve">”</w:t>
      </w:r>
      <w:r>
        <w:t xml:space="preserve">: a</w:t>
      </w:r>
      <w:r>
        <w:t xml:space="preserve"> </w:t>
      </w:r>
      <w:r>
        <w:t xml:space="preserve">“</w:t>
      </w:r>
      <w:r>
        <w:t xml:space="preserve">best practice</w:t>
      </w:r>
      <w:r>
        <w:t xml:space="preserve">”</w:t>
      </w:r>
      <w:r>
        <w:t xml:space="preserve"> </w:t>
      </w:r>
      <w:r>
        <w:t xml:space="preserve">is valuable</w:t>
      </w:r>
      <w:r>
        <w:t xml:space="preserve"> </w:t>
      </w:r>
      <w:r>
        <w:rPr>
          <w:bCs/>
          <w:b/>
        </w:rPr>
        <w:t xml:space="preserve">only if it can be adapted to local conditions</w:t>
      </w:r>
      <w:r>
        <w:t xml:space="preserve"> </w:t>
      </w:r>
      <w:r>
        <w:t xml:space="preserve">— legal framework, available finance, institutional capacity, geography, and social conditions — and blind copying of an approach that worked in a different context is explicitly discouraged.</w:t>
      </w:r>
      <w:r>
        <w:t xml:space="preserve"> </w:t>
      </w:r>
      <w:r>
        <w:rPr>
          <w:bCs/>
          <w:b/>
        </w:rPr>
        <w:t xml:space="preserve">Transferability should always be tested</w:t>
      </w:r>
      <w:r>
        <w:t xml:space="preserve">, echoing the same caution already made about the Kerala decentralization model in the Governance and Public Policies chapter.</w:t>
      </w:r>
    </w:p>
    <w:bookmarkEnd w:id="341"/>
    <w:bookmarkStart w:id="342" w:name="land-use-classification-policy"/>
    <w:p>
      <w:pPr>
        <w:pStyle w:val="Heading2"/>
      </w:pPr>
      <w:r>
        <w:rPr>
          <w:rStyle w:val="SectionNumber"/>
        </w:rPr>
        <w:t xml:space="preserve">38.4</w:t>
      </w:r>
      <w:r>
        <w:tab/>
      </w:r>
      <w:r>
        <w:t xml:space="preserve">Land Use Classification Policy</w:t>
      </w:r>
    </w:p>
    <w:p>
      <w:pPr>
        <w:pStyle w:val="FirstParagraph"/>
      </w:pPr>
      <w:r>
        <w:t xml:space="preserve">Land-use classification groups land by function — residential, commercial, industrial, institutional, recreational, agricultural, or mixed use — with the specific categories and their legal effect depending on the applicable local planning law.</w:t>
      </w:r>
      <w:r>
        <w:t xml:space="preserve"> </w:t>
      </w:r>
      <w:r>
        <w:rPr>
          <w:bCs/>
          <w:b/>
        </w:rPr>
        <w:t xml:space="preserve">Mixed use</w:t>
      </w:r>
      <w:r>
        <w:t xml:space="preserve"> </w:t>
      </w:r>
      <w:r>
        <w:t xml:space="preserve">can reduce travel needs and increase street-level activity and vibrancy; conversely, genuinely</w:t>
      </w:r>
      <w:r>
        <w:t xml:space="preserve"> </w:t>
      </w:r>
      <w:r>
        <w:rPr>
          <w:bCs/>
          <w:b/>
        </w:rPr>
        <w:t xml:space="preserve">incompatible</w:t>
      </w:r>
      <w:r>
        <w:t xml:space="preserve"> </w:t>
      </w:r>
      <w:r>
        <w:t xml:space="preserve">uses (a high-pollution industrial activity directly adjacent to housing) may need to be kept separated for health, safety, or nuisance reasons — the planning judgment in each specific case is whether particular adjacent uses are complementary (favouring mixing) or genuinely incompatible (favouring separation), not a blanket preference for either approach.</w:t>
      </w:r>
    </w:p>
    <w:bookmarkEnd w:id="342"/>
    <w:bookmarkStart w:id="343" w:name="building-and-development-control"/>
    <w:p>
      <w:pPr>
        <w:pStyle w:val="Heading2"/>
      </w:pPr>
      <w:r>
        <w:rPr>
          <w:rStyle w:val="SectionNumber"/>
        </w:rPr>
        <w:t xml:space="preserve">38.5</w:t>
      </w:r>
      <w:r>
        <w:tab/>
      </w:r>
      <w:r>
        <w:t xml:space="preserve">Building and Development Control</w:t>
      </w:r>
    </w:p>
    <w:p>
      <w:pPr>
        <w:pStyle w:val="FirstParagraph"/>
      </w:pPr>
      <w:r>
        <w:rPr>
          <w:bCs/>
          <w:b/>
        </w:rPr>
        <w:t xml:space="preserve">Development control</w:t>
      </w:r>
      <w:r>
        <w:t xml:space="preserve"> </w:t>
      </w:r>
      <w:r>
        <w:t xml:space="preserve">(planning permission) regulates the location and permitted use of development;</w:t>
      </w:r>
      <w:r>
        <w:t xml:space="preserve"> </w:t>
      </w:r>
      <w:r>
        <w:rPr>
          <w:bCs/>
          <w:b/>
        </w:rPr>
        <w:t xml:space="preserve">building control</w:t>
      </w:r>
      <w:r>
        <w:t xml:space="preserve"> </w:t>
      </w:r>
      <w:r>
        <w:t xml:space="preserve">focuses specifically on construction safety and technical building standards — a distinction worth stating precisely, since these are related but analytically separate regulatory functions. The syllabus’s important, frequently tested caution:</w:t>
      </w:r>
      <w:r>
        <w:t xml:space="preserve"> </w:t>
      </w:r>
      <w:r>
        <w:rPr>
          <w:bCs/>
          <w:b/>
        </w:rPr>
        <w:t xml:space="preserve">excessively rigid or poorly enforced controls can actually encourage informality</w:t>
      </w:r>
      <w:r>
        <w:t xml:space="preserve"> </w:t>
      </w:r>
      <w:r>
        <w:t xml:space="preserve">— if legal development approval is too slow, costly, or unpredictable, development simply proceeds informally outside the regulated system instead, producing exactly the unregulated, poorly serviced growth the control system was originally intended to prevent. Good development control systems are therefore</w:t>
      </w:r>
      <w:r>
        <w:t xml:space="preserve"> </w:t>
      </w:r>
      <w:r>
        <w:rPr>
          <w:bCs/>
          <w:b/>
        </w:rPr>
        <w:t xml:space="preserve">clear, genuinely enforceable, and proportionate</w:t>
      </w:r>
      <w:r>
        <w:t xml:space="preserve"> </w:t>
      </w:r>
      <w:r>
        <w:t xml:space="preserve">to the actual risk being managed.</w:t>
      </w:r>
    </w:p>
    <w:bookmarkEnd w:id="343"/>
    <w:bookmarkStart w:id="344" w:name="removal-of-encroachments"/>
    <w:p>
      <w:pPr>
        <w:pStyle w:val="Heading2"/>
      </w:pPr>
      <w:r>
        <w:rPr>
          <w:rStyle w:val="SectionNumber"/>
        </w:rPr>
        <w:t xml:space="preserve">38.6</w:t>
      </w:r>
      <w:r>
        <w:tab/>
      </w:r>
      <w:r>
        <w:t xml:space="preserve">Removal of Encroachments</w:t>
      </w:r>
    </w:p>
    <w:p>
      <w:pPr>
        <w:pStyle w:val="FirstParagraph"/>
      </w:pPr>
      <w:r>
        <w:t xml:space="preserve">Encroachments involve the unauthorized occupation or use of public or otherwise regulated space. Effective, lawful encroachment management requires accurate land ownership records, clear public-space objectives, formal legality,</w:t>
      </w:r>
      <w:r>
        <w:t xml:space="preserve"> </w:t>
      </w:r>
      <w:r>
        <w:rPr>
          <w:bCs/>
          <w:b/>
        </w:rPr>
        <w:t xml:space="preserve">due process</w:t>
      </w:r>
      <w:r>
        <w:t xml:space="preserve">, functioning enforcement capacity, and — critically, where livelihoods or housing are genuinely affected —</w:t>
      </w:r>
      <w:r>
        <w:t xml:space="preserve"> </w:t>
      </w:r>
      <w:r>
        <w:rPr>
          <w:bCs/>
          <w:b/>
        </w:rPr>
        <w:t xml:space="preserve">socially responsible planning and appropriate legal safeguards</w:t>
      </w:r>
      <w:r>
        <w:t xml:space="preserve">. This last element is a specifically flagged, important nuance: encroachment removal is not purely a technical or legal enforcement exercise when it displaces people’s homes or livelihoods — it also raises genuine social-policy considerations that a purely legalistic approach to enforcement would overlook.</w:t>
      </w:r>
    </w:p>
    <w:bookmarkEnd w:id="344"/>
    <w:bookmarkStart w:id="345" w:name="intelligent-transport-systems-its"/>
    <w:p>
      <w:pPr>
        <w:pStyle w:val="Heading2"/>
      </w:pPr>
      <w:r>
        <w:rPr>
          <w:rStyle w:val="SectionNumber"/>
        </w:rPr>
        <w:t xml:space="preserve">38.7</w:t>
      </w:r>
      <w:r>
        <w:tab/>
      </w:r>
      <w:r>
        <w:t xml:space="preserve">Intelligent Transport Systems (ITS)</w:t>
      </w:r>
    </w:p>
    <w:p>
      <w:pPr>
        <w:pStyle w:val="FirstParagraph"/>
      </w:pPr>
      <w:r>
        <w:t xml:space="preserve">ITS uses sensors, communications, data, and control technologies to improve transport operation, safety, and user information — for example, adaptive traffic-signal coordination (adjusting signal timing based on live traffic data), real-time passenger information systems (informing bus riders when the next vehicle will actually arrive), and coordinated incident management. The important, frequently tested caution:</w:t>
      </w:r>
      <w:r>
        <w:t xml:space="preserve"> </w:t>
      </w:r>
      <w:r>
        <w:rPr>
          <w:bCs/>
          <w:b/>
        </w:rPr>
        <w:t xml:space="preserve">ITS technology works best when integrated with sound underlying transport planning</w:t>
      </w:r>
      <w:r>
        <w:t xml:space="preserve"> </w:t>
      </w:r>
      <w:r>
        <w:t xml:space="preserve">— technology alone cannot substitute for a well-designed transport network or an adequately funded public transit system; ITS optimizes and improves the operation of an underlying transport system, but does not create good transport planning on its own where the underlying network design or investment itself is inadequate.</w:t>
      </w:r>
    </w:p>
    <w:p>
      <w:pPr>
        <w:pStyle w:val="BodyText"/>
      </w:pPr>
      <w:r>
        <w:rPr>
          <w:bCs/>
          <w:b/>
        </w:rPr>
        <w:t xml:space="preserve">Key takeaways for Unit V</w:t>
      </w:r>
    </w:p>
    <w:p>
      <w:pPr>
        <w:numPr>
          <w:ilvl w:val="0"/>
          <w:numId w:val="1111"/>
        </w:numPr>
        <w:pStyle w:val="Compact"/>
      </w:pPr>
      <w:r>
        <w:t xml:space="preserve">Apply the objective → instrument → implementing authority → expected benefit → risk/limitation structure consistently across all five management tools in this unit.</w:t>
      </w:r>
    </w:p>
    <w:p>
      <w:pPr>
        <w:numPr>
          <w:ilvl w:val="0"/>
          <w:numId w:val="1111"/>
        </w:numPr>
        <w:pStyle w:val="Compact"/>
      </w:pPr>
      <w:r>
        <w:t xml:space="preserve">“</w:t>
      </w:r>
      <w:r>
        <w:t xml:space="preserve">Best practice</w:t>
      </w:r>
      <w:r>
        <w:t xml:space="preserve">”</w:t>
      </w:r>
      <w:r>
        <w:t xml:space="preserve"> </w:t>
      </w:r>
      <w:r>
        <w:t xml:space="preserve">requires genuine local adaptation and tested transferability, not blind copying — echoing the comparative-governance caution from the Governance and Public Policies chapter.</w:t>
      </w:r>
    </w:p>
    <w:p>
      <w:pPr>
        <w:numPr>
          <w:ilvl w:val="0"/>
          <w:numId w:val="1111"/>
        </w:numPr>
        <w:pStyle w:val="Compact"/>
      </w:pPr>
      <w:r>
        <w:t xml:space="preserve">Development control that is too rigid or poorly enforced can push development into unregulated informality rather than preventing it — a frequently tested, counter-intuitive point about the limits of strict regulation.</w:t>
      </w:r>
    </w:p>
    <w:p>
      <w:r>
        <w:pict>
          <v:rect style="width:0;height:1.5pt" o:hralign="center" o:hrstd="t" o:hr="t"/>
        </w:pict>
      </w:r>
    </w:p>
    <w:bookmarkEnd w:id="345"/>
    <w:bookmarkEnd w:id="346"/>
    <w:bookmarkStart w:id="352" w:name="X1843b7abcfe8604d8853615618e8b1ab1507dfb"/>
    <w:p>
      <w:pPr>
        <w:pStyle w:val="Heading1"/>
      </w:pPr>
      <w:r>
        <w:rPr>
          <w:rStyle w:val="SectionNumber"/>
        </w:rPr>
        <w:t xml:space="preserve">39</w:t>
      </w:r>
      <w:r>
        <w:tab/>
      </w:r>
      <w:r>
        <w:t xml:space="preserve">VI. Housing, Community, and Economic Development</w:t>
      </w:r>
    </w:p>
    <w:bookmarkStart w:id="347" w:name="what-this-unit-is-about-33"/>
    <w:p>
      <w:pPr>
        <w:pStyle w:val="Heading2"/>
      </w:pPr>
      <w:r>
        <w:rPr>
          <w:rStyle w:val="SectionNumber"/>
        </w:rPr>
        <w:t xml:space="preserve">39.1</w:t>
      </w:r>
      <w:r>
        <w:tab/>
      </w:r>
      <w:r>
        <w:t xml:space="preserve">What This Unit Is About</w:t>
      </w:r>
    </w:p>
    <w:p>
      <w:pPr>
        <w:pStyle w:val="FirstParagraph"/>
      </w:pPr>
      <w:r>
        <w:t xml:space="preserve">Urban planning is not only about roads and buildings — housing and community development determine whether urban growth actually improves people’s real quality of life. The syllabus’s central instruction: study housing as a genuine</w:t>
      </w:r>
      <w:r>
        <w:t xml:space="preserve"> </w:t>
      </w:r>
      <w:r>
        <w:rPr>
          <w:bCs/>
          <w:b/>
        </w:rPr>
        <w:t xml:space="preserve">system</w:t>
      </w:r>
      <w:r>
        <w:t xml:space="preserve"> </w:t>
      </w:r>
      <w:r>
        <w:t xml:space="preserve">— land + finance + infrastructure + building + tenure + services + transport + livelihoods together — rather than reducing housing policy to the construction of dwelling units alone.</w:t>
      </w:r>
    </w:p>
    <w:bookmarkEnd w:id="347"/>
    <w:bookmarkStart w:id="348" w:name="equitable-development"/>
    <w:p>
      <w:pPr>
        <w:pStyle w:val="Heading2"/>
      </w:pPr>
      <w:r>
        <w:rPr>
          <w:rStyle w:val="SectionNumber"/>
        </w:rPr>
        <w:t xml:space="preserve">39.2</w:t>
      </w:r>
      <w:r>
        <w:tab/>
      </w:r>
      <w:r>
        <w:t xml:space="preserve">Equitable Development</w:t>
      </w:r>
    </w:p>
    <w:p>
      <w:pPr>
        <w:pStyle w:val="FirstParagraph"/>
      </w:pPr>
      <w:r>
        <w:t xml:space="preserve">Equitable development seeks fair access to housing, services, jobs, mobility, and healthy environments — with particular attention to groups disadvantaged by income, location, disability, gender, or insecure land tenure. The core analytical questions this concept poses:</w:t>
      </w:r>
      <w:r>
        <w:t xml:space="preserve"> </w:t>
      </w:r>
      <w:r>
        <w:rPr>
          <w:bCs/>
          <w:b/>
        </w:rPr>
        <w:t xml:space="preserve">who benefits, who bears the costs, who is displaced or excluded</w:t>
      </w:r>
      <w:r>
        <w:t xml:space="preserve">, and whether disadvantaged groups can genuinely access housing, jobs, services, and safe environments as a result of a given development.</w:t>
      </w:r>
      <w:r>
        <w:t xml:space="preserve"> </w:t>
      </w:r>
      <w:r>
        <w:rPr>
          <w:bCs/>
          <w:b/>
        </w:rPr>
        <w:t xml:space="preserve">Worked illustration:</w:t>
      </w:r>
      <w:r>
        <w:t xml:space="preserve"> </w:t>
      </w:r>
      <w:r>
        <w:t xml:space="preserve">a new transit line may increase overall accessibility for the wider city, but equitable-development analysis specifically asks whether</w:t>
      </w:r>
      <w:r>
        <w:t xml:space="preserve"> </w:t>
      </w:r>
      <w:r>
        <w:rPr>
          <w:bCs/>
          <w:b/>
        </w:rPr>
        <w:t xml:space="preserve">low-income residents already living near the new stations can actually remain in the area and afford the resulting service</w:t>
      </w:r>
      <w:r>
        <w:t xml:space="preserve"> </w:t>
      </w:r>
      <w:r>
        <w:t xml:space="preserve">— a genuine risk being that improved accessibility raises surrounding land values and rents, displacing exactly the lower-income residents who might have benefited most from the improved transit access.</w:t>
      </w:r>
    </w:p>
    <w:bookmarkEnd w:id="348"/>
    <w:bookmarkStart w:id="349" w:name="expanding-opportunities"/>
    <w:p>
      <w:pPr>
        <w:pStyle w:val="Heading2"/>
      </w:pPr>
      <w:r>
        <w:rPr>
          <w:rStyle w:val="SectionNumber"/>
        </w:rPr>
        <w:t xml:space="preserve">39.3</w:t>
      </w:r>
      <w:r>
        <w:tab/>
      </w:r>
      <w:r>
        <w:t xml:space="preserve">Expanding Opportunities</w:t>
      </w:r>
    </w:p>
    <w:p>
      <w:pPr>
        <w:pStyle w:val="FirstParagraph"/>
      </w:pPr>
      <w:r>
        <w:t xml:space="preserve">Planning can expand genuine opportunity through accessible transport, mixed land use, serviced land, education and health facilities, public space, digital access, and support for local economic activity. The relevant analytical question, applied to a specific household: does the combination of land, tenure security, finance, services, jobs, and transport make a given housing option</w:t>
      </w:r>
      <w:r>
        <w:t xml:space="preserve"> </w:t>
      </w:r>
      <w:r>
        <w:rPr>
          <w:bCs/>
          <w:b/>
        </w:rPr>
        <w:t xml:space="preserve">genuinely usable and affordable</w:t>
      </w:r>
      <w:r>
        <w:t xml:space="preserve"> </w:t>
      </w:r>
      <w:r>
        <w:t xml:space="preserve">in practice — not merely nominally available on paper.</w:t>
      </w:r>
    </w:p>
    <w:bookmarkEnd w:id="349"/>
    <w:bookmarkStart w:id="350" w:name="quality-of-life-for-disadvantaged-groups"/>
    <w:p>
      <w:pPr>
        <w:pStyle w:val="Heading2"/>
      </w:pPr>
      <w:r>
        <w:rPr>
          <w:rStyle w:val="SectionNumber"/>
        </w:rPr>
        <w:t xml:space="preserve">39.4</w:t>
      </w:r>
      <w:r>
        <w:tab/>
      </w:r>
      <w:r>
        <w:t xml:space="preserve">Quality of Life for Disadvantaged Groups</w:t>
      </w:r>
    </w:p>
    <w:p>
      <w:pPr>
        <w:pStyle w:val="FirstParagraph"/>
      </w:pPr>
      <w:r>
        <w:t xml:space="preserve">Assessment here covers affordability, safety, tenure security, access to basic services, travel time, exposure to environmental hazards, and genuine social inclusion. The syllabus’s important legal and ethical point: policies should</w:t>
      </w:r>
      <w:r>
        <w:t xml:space="preserve"> </w:t>
      </w:r>
      <w:r>
        <w:rPr>
          <w:bCs/>
          <w:b/>
        </w:rPr>
        <w:t xml:space="preserve">avoid displacement unless legally necessary</w:t>
      </w:r>
      <w:r>
        <w:t xml:space="preserve">, and where displacement does occur, should provide for rehabilitation or compensation according to applicable law and recognized social safeguards — directly connecting to the encroachment-removal caution already established in Unit V above, that enforcement affecting livelihoods or housing requires socially responsible planning, not purely technical or legal enforcement alone.</w:t>
      </w:r>
    </w:p>
    <w:bookmarkEnd w:id="350"/>
    <w:bookmarkStart w:id="351" w:name="community-development"/>
    <w:p>
      <w:pPr>
        <w:pStyle w:val="Heading2"/>
      </w:pPr>
      <w:r>
        <w:rPr>
          <w:rStyle w:val="SectionNumber"/>
        </w:rPr>
        <w:t xml:space="preserve">39.5</w:t>
      </w:r>
      <w:r>
        <w:tab/>
      </w:r>
      <w:r>
        <w:t xml:space="preserve">Community Development</w:t>
      </w:r>
    </w:p>
    <w:p>
      <w:pPr>
        <w:pStyle w:val="FirstParagraph"/>
      </w:pPr>
      <w:r>
        <w:t xml:space="preserve">Community development treats residents as active</w:t>
      </w:r>
      <w:r>
        <w:t xml:space="preserve"> </w:t>
      </w:r>
      <w:r>
        <w:rPr>
          <w:bCs/>
          <w:b/>
        </w:rPr>
        <w:t xml:space="preserve">participants with genuine local knowledge</w:t>
      </w:r>
      <w:r>
        <w:t xml:space="preserve">, rather than as passive beneficiaries of externally designed interventions — involving them directly in identifying local needs, organizing action, and improving neighbourhood conditions. As with participation generally (a theme recurring across all three chapters in this set), the syllabus’s important standard: participation is genuinely</w:t>
      </w:r>
      <w:r>
        <w:t xml:space="preserve"> </w:t>
      </w:r>
      <w:r>
        <w:rPr>
          <w:bCs/>
          <w:b/>
        </w:rPr>
        <w:t xml:space="preserve">meaningful</w:t>
      </w:r>
      <w:r>
        <w:t xml:space="preserve"> </w:t>
      </w:r>
      <w:r>
        <w:t xml:space="preserve">only when communities can actually influence resulting priorities and receive feedback on what happened to their input — participation without either of these elements risks becoming symbolic consultation rather than substantive community development.</w:t>
      </w:r>
    </w:p>
    <w:p>
      <w:pPr>
        <w:pStyle w:val="BodyText"/>
      </w:pPr>
      <w:r>
        <w:rPr>
          <w:bCs/>
          <w:b/>
        </w:rPr>
        <w:t xml:space="preserve">Key takeaways for Unit VI</w:t>
      </w:r>
    </w:p>
    <w:p>
      <w:pPr>
        <w:numPr>
          <w:ilvl w:val="0"/>
          <w:numId w:val="1112"/>
        </w:numPr>
        <w:pStyle w:val="Compact"/>
      </w:pPr>
      <w:r>
        <w:t xml:space="preserve">Housing should be understood as a system (land + finance + infrastructure + building + tenure + services + transport + livelihoods), not construction alone — a housing policy addressing only one element of this system (building dwelling units, say) without the others will likely fail to deliver genuinely usable, affordable housing.</w:t>
      </w:r>
    </w:p>
    <w:p>
      <w:pPr>
        <w:numPr>
          <w:ilvl w:val="0"/>
          <w:numId w:val="1112"/>
        </w:numPr>
        <w:pStyle w:val="Compact"/>
      </w:pPr>
      <w:r>
        <w:t xml:space="preserve">Equitable development specifically asks who benefits, who bears costs, and who risks displacement or exclusion from a given development — the transit-and-gentrification example illustrates how an apparently beneficial improvement can still create genuine equity concerns.</w:t>
      </w:r>
    </w:p>
    <w:p>
      <w:pPr>
        <w:numPr>
          <w:ilvl w:val="0"/>
          <w:numId w:val="1112"/>
        </w:numPr>
        <w:pStyle w:val="Compact"/>
      </w:pPr>
      <w:r>
        <w:t xml:space="preserve">Meaningful community participation requires both influence over priorities and feedback on outcomes — the same substantive-versus-symbolic distinction recurring throughout the companion Governance chapter.</w:t>
      </w:r>
    </w:p>
    <w:p>
      <w:r>
        <w:pict>
          <v:rect style="width:0;height:1.5pt" o:hralign="center" o:hrstd="t" o:hr="t"/>
        </w:pict>
      </w:r>
    </w:p>
    <w:bookmarkEnd w:id="351"/>
    <w:bookmarkEnd w:id="352"/>
    <w:bookmarkStart w:id="359" w:name="Xf3bf70e08f1aa9ddf15995826c8ad7ffe0085ba"/>
    <w:p>
      <w:pPr>
        <w:pStyle w:val="Heading1"/>
      </w:pPr>
      <w:r>
        <w:rPr>
          <w:rStyle w:val="SectionNumber"/>
        </w:rPr>
        <w:t xml:space="preserve">40</w:t>
      </w:r>
      <w:r>
        <w:tab/>
      </w:r>
      <w:r>
        <w:t xml:space="preserve">VII. Public Policy and Urban Design Management</w:t>
      </w:r>
    </w:p>
    <w:bookmarkStart w:id="353" w:name="what-this-unit-is-about-34"/>
    <w:p>
      <w:pPr>
        <w:pStyle w:val="Heading2"/>
      </w:pPr>
      <w:r>
        <w:rPr>
          <w:rStyle w:val="SectionNumber"/>
        </w:rPr>
        <w:t xml:space="preserve">40.1</w:t>
      </w:r>
      <w:r>
        <w:tab/>
      </w:r>
      <w:r>
        <w:t xml:space="preserve">What This Unit Is About</w:t>
      </w:r>
    </w:p>
    <w:p>
      <w:pPr>
        <w:pStyle w:val="FirstParagraph"/>
      </w:pPr>
      <w:r>
        <w:t xml:space="preserve">Urban problems require both policy choices and physical design solutions together — good urban management connects economic incentives, political institutions, social needs, and the physical design of streets, buildings, and public spaces. The syllabus’s recommended learning method: take a single concrete urban problem (traffic congestion, informal housing, air pollution, or unsafe streets) and analyse it through</w:t>
      </w:r>
      <w:r>
        <w:t xml:space="preserve"> </w:t>
      </w:r>
      <w:r>
        <w:rPr>
          <w:bCs/>
          <w:b/>
        </w:rPr>
        <w:t xml:space="preserve">all four lenses</w:t>
      </w:r>
      <w:r>
        <w:t xml:space="preserve"> </w:t>
      </w:r>
      <w:r>
        <w:t xml:space="preserve">below in turn — directly demonstrating why planning is genuinely multidisciplinary, extending the point already established in Unit I.</w:t>
      </w:r>
    </w:p>
    <w:bookmarkEnd w:id="353"/>
    <w:bookmarkStart w:id="354" w:name="the-economics-lens"/>
    <w:p>
      <w:pPr>
        <w:pStyle w:val="Heading2"/>
      </w:pPr>
      <w:r>
        <w:rPr>
          <w:rStyle w:val="SectionNumber"/>
        </w:rPr>
        <w:t xml:space="preserve">40.2</w:t>
      </w:r>
      <w:r>
        <w:tab/>
      </w:r>
      <w:r>
        <w:t xml:space="preserve">The Economics Lens</w:t>
      </w:r>
    </w:p>
    <w:p>
      <w:pPr>
        <w:pStyle w:val="FirstParagraph"/>
      </w:pPr>
      <w:r>
        <w:t xml:space="preserve">Urban economics studies land values, location choices, congestion,</w:t>
      </w:r>
      <w:r>
        <w:t xml:space="preserve"> </w:t>
      </w:r>
      <w:r>
        <w:rPr>
          <w:bCs/>
          <w:b/>
        </w:rPr>
        <w:t xml:space="preserve">externalities</w:t>
      </w:r>
      <w:r>
        <w:t xml:space="preserve"> </w:t>
      </w:r>
      <w:r>
        <w:t xml:space="preserve">(costs or benefits of an activity that fall on parties not involved in the transaction creating them — pollution from a factory affecting nearby residents, for example), infrastructure financing, and how prices, taxes, and fees alter urban behaviour (a congestion charge reducing car trips into a city centre, for example).</w:t>
      </w:r>
    </w:p>
    <w:bookmarkEnd w:id="354"/>
    <w:bookmarkStart w:id="355" w:name="the-policy-analysis-lens"/>
    <w:p>
      <w:pPr>
        <w:pStyle w:val="Heading2"/>
      </w:pPr>
      <w:r>
        <w:rPr>
          <w:rStyle w:val="SectionNumber"/>
        </w:rPr>
        <w:t xml:space="preserve">40.3</w:t>
      </w:r>
      <w:r>
        <w:tab/>
      </w:r>
      <w:r>
        <w:t xml:space="preserve">The Policy Analysis Lens</w:t>
      </w:r>
    </w:p>
    <w:p>
      <w:pPr>
        <w:pStyle w:val="FirstParagraph"/>
      </w:pPr>
      <w:r>
        <w:t xml:space="preserve">Policy analysis compares intervention alternatives — which might include regulation, direct public investment, pricing mechanisms, information campaigns, or institutional reform — using evidence and explicit criteria: effectiveness, cost, equity, feasibility, and environmental impact, directly paralleling the policy-analysis standard already fully developed in the companion Public Administration chapter’s Unit III.</w:t>
      </w:r>
    </w:p>
    <w:bookmarkEnd w:id="355"/>
    <w:bookmarkStart w:id="356" w:name="the-political-science-lens"/>
    <w:p>
      <w:pPr>
        <w:pStyle w:val="Heading2"/>
      </w:pPr>
      <w:r>
        <w:rPr>
          <w:rStyle w:val="SectionNumber"/>
        </w:rPr>
        <w:t xml:space="preserve">40.4</w:t>
      </w:r>
      <w:r>
        <w:tab/>
      </w:r>
      <w:r>
        <w:t xml:space="preserve">The Political Science Lens</w:t>
      </w:r>
    </w:p>
    <w:p>
      <w:pPr>
        <w:pStyle w:val="FirstParagraph"/>
      </w:pPr>
      <w:r>
        <w:t xml:space="preserve">Urban policy is shaped by elected political leadership, organized interest groups, the specific design of institutions, intergovernmental relations (recall Unit IV of the Public Administration chapter), and citizen participation. The frequently tested, important point:</w:t>
      </w:r>
      <w:r>
        <w:t xml:space="preserve"> </w:t>
      </w:r>
      <w:r>
        <w:rPr>
          <w:bCs/>
          <w:b/>
        </w:rPr>
        <w:t xml:space="preserve">a technically excellent plan can still fail if its political and institutional incentives are ignored</w:t>
      </w:r>
      <w:r>
        <w:t xml:space="preserve"> </w:t>
      </w:r>
      <w:r>
        <w:t xml:space="preserve">— a well-designed transport plan opposed by politically influential interests, or lacking genuine political backing to secure its funding and enforcement, will not succeed regardless of its technical merit.</w:t>
      </w:r>
    </w:p>
    <w:bookmarkEnd w:id="356"/>
    <w:bookmarkStart w:id="357" w:name="the-urban-design-lens"/>
    <w:p>
      <w:pPr>
        <w:pStyle w:val="Heading2"/>
      </w:pPr>
      <w:r>
        <w:rPr>
          <w:rStyle w:val="SectionNumber"/>
        </w:rPr>
        <w:t xml:space="preserve">40.5</w:t>
      </w:r>
      <w:r>
        <w:tab/>
      </w:r>
      <w:r>
        <w:t xml:space="preserve">The Urban Design Lens</w:t>
      </w:r>
    </w:p>
    <w:p>
      <w:pPr>
        <w:pStyle w:val="FirstParagraph"/>
      </w:pPr>
      <w:r>
        <w:t xml:space="preserve">Urban design shapes the physical relationship among streets, buildings, open spaces, city blocks, and the broader public realm, operating at a scale</w:t>
      </w:r>
      <w:r>
        <w:t xml:space="preserve"> </w:t>
      </w:r>
      <w:r>
        <w:rPr>
          <w:bCs/>
          <w:b/>
        </w:rPr>
        <w:t xml:space="preserve">between</w:t>
      </w:r>
      <w:r>
        <w:t xml:space="preserve"> </w:t>
      </w:r>
      <w:r>
        <w:t xml:space="preserve">individual architecture and broad city-wide planning. Key urban design concerns include accessibility, walkability, safety, human scale (design proportioned to how people actually experience space at street level, rather than only from an aerial or vehicular perspective), a place’s distinctive identity, and genuine integration with the surrounding transport and land-use context.</w:t>
      </w:r>
    </w:p>
    <w:bookmarkEnd w:id="357"/>
    <w:bookmarkStart w:id="358" w:name="integrated-problem-solving"/>
    <w:p>
      <w:pPr>
        <w:pStyle w:val="Heading2"/>
      </w:pPr>
      <w:r>
        <w:rPr>
          <w:rStyle w:val="SectionNumber"/>
        </w:rPr>
        <w:t xml:space="preserve">40.6</w:t>
      </w:r>
      <w:r>
        <w:tab/>
      </w:r>
      <w:r>
        <w:t xml:space="preserve">Integrated Problem Solving</w:t>
      </w:r>
    </w:p>
    <w:p>
      <w:pPr>
        <w:pStyle w:val="FirstParagraph"/>
      </w:pPr>
      <w:r>
        <w:t xml:space="preserve">A genuinely strong solution to an urban problem combines</w:t>
      </w:r>
      <w:r>
        <w:t xml:space="preserve"> </w:t>
      </w:r>
      <w:r>
        <w:rPr>
          <w:bCs/>
          <w:b/>
        </w:rPr>
        <w:t xml:space="preserve">all four lenses together</w:t>
      </w:r>
      <w:r>
        <w:t xml:space="preserve">, rather than relying on any single isolated measure.</w:t>
      </w:r>
      <w:r>
        <w:t xml:space="preserve"> </w:t>
      </w:r>
      <w:r>
        <w:rPr>
          <w:bCs/>
          <w:b/>
        </w:rPr>
        <w:t xml:space="preserve">Worked illustration:</w:t>
      </w:r>
      <w:r>
        <w:t xml:space="preserve"> </w:t>
      </w:r>
      <w:r>
        <w:t xml:space="preserve">addressing traffic congestion effectively may require street and network design changes (urban design), public transport investment (economics/infrastructure), parking and congestion pricing policy (economics/policy analysis), enforcement, and sustained political and public support (political science) — simultaneously, not as separate, independently sufficient interventions. The unit’s underlying conceptual point, worth stating explicitly:</w:t>
      </w:r>
      <w:r>
        <w:t xml:space="preserve"> </w:t>
      </w:r>
      <w:r>
        <w:rPr>
          <w:bCs/>
          <w:b/>
        </w:rPr>
        <w:t xml:space="preserve">urban problems are genuine systems problems</w:t>
      </w:r>
      <w:r>
        <w:t xml:space="preserve"> </w:t>
      </w:r>
      <w:r>
        <w:t xml:space="preserve">— a transport intervention can change land values, emissions, housing demand, and access all at once, so sound planning must check for these cross-sector effects rather than optimizing any single variable in isolation.</w:t>
      </w:r>
    </w:p>
    <w:p>
      <w:pPr>
        <w:pStyle w:val="BodyText"/>
      </w:pPr>
      <w:r>
        <w:rPr>
          <w:bCs/>
          <w:b/>
        </w:rPr>
        <w:t xml:space="preserve">Key takeaways for Unit VII</w:t>
      </w:r>
    </w:p>
    <w:p>
      <w:pPr>
        <w:numPr>
          <w:ilvl w:val="0"/>
          <w:numId w:val="1113"/>
        </w:numPr>
        <w:pStyle w:val="Compact"/>
      </w:pPr>
      <w:r>
        <w:t xml:space="preserve">The four-lens framework (economics, policy analysis, political science, urban design) should be applied together to any single urban problem — this integrated application, not memorizing each lens’s definition separately, is the actual skill this unit tests.</w:t>
      </w:r>
    </w:p>
    <w:p>
      <w:pPr>
        <w:numPr>
          <w:ilvl w:val="0"/>
          <w:numId w:val="1113"/>
        </w:numPr>
        <w:pStyle w:val="Compact"/>
      </w:pPr>
      <w:r>
        <w:t xml:space="preserve">A technically sound plan can still fail for political or institutional reasons — planning success requires attention to political feasibility, not technical merit alone.</w:t>
      </w:r>
    </w:p>
    <w:p>
      <w:pPr>
        <w:numPr>
          <w:ilvl w:val="0"/>
          <w:numId w:val="1113"/>
        </w:numPr>
        <w:pStyle w:val="Compact"/>
      </w:pPr>
      <w:r>
        <w:t xml:space="preserve">Urban problems are systems problems: an intervention addressing one dimension (transport) will typically have cross-sector effects (land values, housing demand, emissions) that sound planning must anticipate rather than ignore.</w:t>
      </w:r>
    </w:p>
    <w:p>
      <w:r>
        <w:pict>
          <v:rect style="width:0;height:1.5pt" o:hralign="center" o:hrstd="t" o:hr="t"/>
        </w:pict>
      </w:r>
    </w:p>
    <w:bookmarkEnd w:id="358"/>
    <w:bookmarkEnd w:id="359"/>
    <w:bookmarkStart w:id="366" w:name="X627f5ca6ce007dd96ddb1422bd6185660bc73ed"/>
    <w:p>
      <w:pPr>
        <w:pStyle w:val="Heading1"/>
      </w:pPr>
      <w:r>
        <w:rPr>
          <w:rStyle w:val="SectionNumber"/>
        </w:rPr>
        <w:t xml:space="preserve">41</w:t>
      </w:r>
      <w:r>
        <w:tab/>
      </w:r>
      <w:r>
        <w:t xml:space="preserve">VIII. Sustainability, Environmental Policy, and Planning</w:t>
      </w:r>
    </w:p>
    <w:bookmarkStart w:id="360" w:name="what-this-unit-is-about-35"/>
    <w:p>
      <w:pPr>
        <w:pStyle w:val="Heading2"/>
      </w:pPr>
      <w:r>
        <w:rPr>
          <w:rStyle w:val="SectionNumber"/>
        </w:rPr>
        <w:t xml:space="preserve">41.1</w:t>
      </w:r>
      <w:r>
        <w:tab/>
      </w:r>
      <w:r>
        <w:t xml:space="preserve">What This Unit Is About</w:t>
      </w:r>
    </w:p>
    <w:p>
      <w:pPr>
        <w:pStyle w:val="FirstParagraph"/>
      </w:pPr>
      <w:r>
        <w:t xml:space="preserve">Sustainable urban planning attempts to meet present development needs while protecting natural systems and preserving both safety and genuine options for future generations. The recommended organizing structure: land, water, energy, mobility, waste, air quality, ecosystems, and climate/resilience — connecting a specific planning tool to a specific environmental objective for each.</w:t>
      </w:r>
    </w:p>
    <w:bookmarkEnd w:id="360"/>
    <w:bookmarkStart w:id="361" w:name="X75c6fae0fc3fc768529db780e450135c977677e"/>
    <w:p>
      <w:pPr>
        <w:pStyle w:val="Heading2"/>
      </w:pPr>
      <w:r>
        <w:rPr>
          <w:rStyle w:val="SectionNumber"/>
        </w:rPr>
        <w:t xml:space="preserve">41.2</w:t>
      </w:r>
      <w:r>
        <w:tab/>
      </w:r>
      <w:r>
        <w:t xml:space="preserve">Conservation and Management of Natural Resources</w:t>
      </w:r>
    </w:p>
    <w:p>
      <w:pPr>
        <w:pStyle w:val="FirstParagraph"/>
      </w:pPr>
      <w:r>
        <w:t xml:space="preserve">Urban planning can protect water bodies, groundwater recharge areas, floodplains, ecosystems, and agricultural land through land-use controls, deliberate infrastructure design choices, and demand management (measures reducing resource consumption rather than only expanding supply).</w:t>
      </w:r>
    </w:p>
    <w:bookmarkEnd w:id="361"/>
    <w:bookmarkStart w:id="362" w:name="promoting-development-sustainably"/>
    <w:p>
      <w:pPr>
        <w:pStyle w:val="Heading2"/>
      </w:pPr>
      <w:r>
        <w:rPr>
          <w:rStyle w:val="SectionNumber"/>
        </w:rPr>
        <w:t xml:space="preserve">41.3</w:t>
      </w:r>
      <w:r>
        <w:tab/>
      </w:r>
      <w:r>
        <w:t xml:space="preserve">Promoting Development (Sustainably)</w:t>
      </w:r>
    </w:p>
    <w:p>
      <w:pPr>
        <w:pStyle w:val="FirstParagraph"/>
      </w:pPr>
      <w:r>
        <w:t xml:space="preserve">The syllabus’s central clarifying point, worth stating explicitly in any answer on this topic:</w:t>
      </w:r>
      <w:r>
        <w:t xml:space="preserve"> </w:t>
      </w:r>
      <w:r>
        <w:rPr>
          <w:bCs/>
          <w:b/>
        </w:rPr>
        <w:t xml:space="preserve">sustainability does not mean stopping development</w:t>
      </w:r>
      <w:r>
        <w:t xml:space="preserve"> </w:t>
      </w:r>
      <w:r>
        <w:t xml:space="preserve">— it means guiding growth so that its economic and social benefits are achieved</w:t>
      </w:r>
      <w:r>
        <w:t xml:space="preserve"> </w:t>
      </w:r>
      <w:r>
        <w:rPr>
          <w:bCs/>
          <w:b/>
        </w:rPr>
        <w:t xml:space="preserve">without unacceptable long-term environmental costs</w:t>
      </w:r>
      <w:r>
        <w:t xml:space="preserve">. Sustainability and development are not presented here as opposing goals but as a genuine balance that planning must actively achieve.</w:t>
      </w:r>
    </w:p>
    <w:bookmarkEnd w:id="362"/>
    <w:bookmarkStart w:id="363" w:name="a-healthy-environment"/>
    <w:p>
      <w:pPr>
        <w:pStyle w:val="Heading2"/>
      </w:pPr>
      <w:r>
        <w:rPr>
          <w:rStyle w:val="SectionNumber"/>
        </w:rPr>
        <w:t xml:space="preserve">41.4</w:t>
      </w:r>
      <w:r>
        <w:tab/>
      </w:r>
      <w:r>
        <w:t xml:space="preserve">A Healthy Environment</w:t>
      </w:r>
    </w:p>
    <w:p>
      <w:pPr>
        <w:pStyle w:val="FirstParagraph"/>
      </w:pPr>
      <w:r>
        <w:t xml:space="preserve">Urban public health is influenced by air quality, water and sanitation, waste management, noise, urban heat, green space availability, road safety, and exposure to various hazards. Planning can reduce harmful exposure to each of these through deliberate design choices and regulation — connecting environmental planning directly to public health outcomes, rather than treating them as separate policy domains.</w:t>
      </w:r>
    </w:p>
    <w:bookmarkEnd w:id="363"/>
    <w:bookmarkStart w:id="364" w:name="sustainable-land-use"/>
    <w:p>
      <w:pPr>
        <w:pStyle w:val="Heading2"/>
      </w:pPr>
      <w:r>
        <w:rPr>
          <w:rStyle w:val="SectionNumber"/>
        </w:rPr>
        <w:t xml:space="preserve">41.5</w:t>
      </w:r>
      <w:r>
        <w:tab/>
      </w:r>
      <w:r>
        <w:t xml:space="preserve">Sustainable Land Use</w:t>
      </w:r>
    </w:p>
    <w:p>
      <w:pPr>
        <w:pStyle w:val="FirstParagraph"/>
      </w:pPr>
      <w:r>
        <w:t xml:space="preserve">Compact, connected, and mixed-use development (recall the land-use classification discussion in Unit V) can reduce travel needs and infrastructure costs —</w:t>
      </w:r>
      <w:r>
        <w:t xml:space="preserve"> </w:t>
      </w:r>
      <w:r>
        <w:rPr>
          <w:bCs/>
          <w:b/>
        </w:rPr>
        <w:t xml:space="preserve">but only when supported by adequate underlying services</w:t>
      </w:r>
      <w:r>
        <w:t xml:space="preserve">. The important, frequently tested caution:</w:t>
      </w:r>
      <w:r>
        <w:t xml:space="preserve"> </w:t>
      </w:r>
      <w:r>
        <w:rPr>
          <w:bCs/>
          <w:b/>
        </w:rPr>
        <w:t xml:space="preserve">density must be matched with corresponding open space, mobility capacity, and infrastructure capacity</w:t>
      </w:r>
      <w:r>
        <w:t xml:space="preserve"> </w:t>
      </w:r>
      <w:r>
        <w:t xml:space="preserve">— density pursued without these supporting elements can produce overcrowding and service strain rather than the intended sustainability benefits, meaning</w:t>
      </w:r>
      <w:r>
        <w:t xml:space="preserve"> </w:t>
      </w:r>
      <w:r>
        <w:t xml:space="preserve">“</w:t>
      </w:r>
      <w:r>
        <w:t xml:space="preserve">compact and sustainable</w:t>
      </w:r>
      <w:r>
        <w:t xml:space="preserve">”</w:t>
      </w:r>
      <w:r>
        <w:t xml:space="preserve"> </w:t>
      </w:r>
      <w:r>
        <w:t xml:space="preserve">requires the whole supporting system, not density in isolation.</w:t>
      </w:r>
    </w:p>
    <w:bookmarkEnd w:id="364"/>
    <w:bookmarkStart w:id="365" w:name="resilience"/>
    <w:p>
      <w:pPr>
        <w:pStyle w:val="Heading2"/>
      </w:pPr>
      <w:r>
        <w:rPr>
          <w:rStyle w:val="SectionNumber"/>
        </w:rPr>
        <w:t xml:space="preserve">41.6</w:t>
      </w:r>
      <w:r>
        <w:tab/>
      </w:r>
      <w:r>
        <w:t xml:space="preserve">Resilience</w:t>
      </w:r>
    </w:p>
    <w:p>
      <w:pPr>
        <w:pStyle w:val="FirstParagraph"/>
      </w:pPr>
      <w:r>
        <w:rPr>
          <w:bCs/>
          <w:b/>
        </w:rPr>
        <w:t xml:space="preserve">Urban resilience</w:t>
      </w:r>
      <w:r>
        <w:t xml:space="preserve"> </w:t>
      </w:r>
      <w:r>
        <w:t xml:space="preserve">is the capacity of urban systems to</w:t>
      </w:r>
      <w:r>
        <w:t xml:space="preserve"> </w:t>
      </w:r>
      <w:r>
        <w:rPr>
          <w:bCs/>
          <w:b/>
        </w:rPr>
        <w:t xml:space="preserve">anticipate, absorb, adapt to, and recover from</w:t>
      </w:r>
      <w:r>
        <w:t xml:space="preserve"> </w:t>
      </w:r>
      <w:r>
        <w:t xml:space="preserve">shocks — floods, heatwaves, earthquakes, or infrastructure/service failures. It is strengthened through risk-sensitive land-use planning (avoiding building in known hazard-prone areas), robust building standards, deliberate infrastructure</w:t>
      </w:r>
      <w:r>
        <w:t xml:space="preserve"> </w:t>
      </w:r>
      <w:r>
        <w:rPr>
          <w:bCs/>
          <w:b/>
        </w:rPr>
        <w:t xml:space="preserve">redundancy</w:t>
      </w:r>
      <w:r>
        <w:t xml:space="preserve"> </w:t>
      </w:r>
      <w:r>
        <w:t xml:space="preserve">(backup capacity so a single failure does not cascade into total system failure), emergency planning, and ongoing institutional learning from past events.</w:t>
      </w:r>
      <w:r>
        <w:t xml:space="preserve"> </w:t>
      </w:r>
      <w:r>
        <w:rPr>
          <w:bCs/>
          <w:b/>
        </w:rPr>
        <w:t xml:space="preserve">Worked illustration:</w:t>
      </w:r>
      <w:r>
        <w:t xml:space="preserve"> </w:t>
      </w:r>
      <w:r>
        <w:t xml:space="preserve">a genuinely flood-resilient city does more than build a single physical flood barrier — it also protects natural drainage paths from obstruction, controls risky construction in flood-prone zones, plans evacuation routes and procedures in advance, protects critical services (hospitals, water treatment) specifically against flood disruption, and prepares institutional capacity for post-flood recovery — resilience is a</w:t>
      </w:r>
      <w:r>
        <w:t xml:space="preserve"> </w:t>
      </w:r>
      <w:r>
        <w:rPr>
          <w:bCs/>
          <w:b/>
        </w:rPr>
        <w:t xml:space="preserve">system property</w:t>
      </w:r>
      <w:r>
        <w:t xml:space="preserve"> </w:t>
      </w:r>
      <w:r>
        <w:t xml:space="preserve">achieved through multiple complementary measures, not a single infrastructure project.</w:t>
      </w:r>
    </w:p>
    <w:p>
      <w:pPr>
        <w:pStyle w:val="BodyText"/>
      </w:pPr>
      <w:r>
        <w:rPr>
          <w:bCs/>
          <w:b/>
        </w:rPr>
        <w:t xml:space="preserve">Key takeaways for Unit VIII</w:t>
      </w:r>
    </w:p>
    <w:p>
      <w:pPr>
        <w:numPr>
          <w:ilvl w:val="0"/>
          <w:numId w:val="1114"/>
        </w:numPr>
        <w:pStyle w:val="Compact"/>
      </w:pPr>
      <w:r>
        <w:t xml:space="preserve">Sustainability means guiding growth to avoid unacceptable long-term environmental cost, not halting development — this reframing is the unit’s single most important point.</w:t>
      </w:r>
    </w:p>
    <w:p>
      <w:pPr>
        <w:numPr>
          <w:ilvl w:val="0"/>
          <w:numId w:val="1114"/>
        </w:numPr>
        <w:pStyle w:val="Compact"/>
      </w:pPr>
      <w:r>
        <w:t xml:space="preserve">Sustainable land use (compact, connected, mixed-use) delivers its benefits only when matched with adequate supporting infrastructure, open space, and mobility capacity — density alone, without this support, does not guarantee sustainability.</w:t>
      </w:r>
    </w:p>
    <w:p>
      <w:pPr>
        <w:numPr>
          <w:ilvl w:val="0"/>
          <w:numId w:val="1114"/>
        </w:numPr>
        <w:pStyle w:val="Compact"/>
      </w:pPr>
      <w:r>
        <w:t xml:space="preserve">Resilience specifically comprises four distinct capacities — anticipation, absorption, adaptation, recovery — achieved through multiple complementary measures together, illustrated by the flood-resilience example’s multiple simultaneous interventions.</w:t>
      </w:r>
    </w:p>
    <w:p>
      <w:r>
        <w:pict>
          <v:rect style="width:0;height:1.5pt" o:hralign="center" o:hrstd="t" o:hr="t"/>
        </w:pict>
      </w:r>
    </w:p>
    <w:bookmarkEnd w:id="365"/>
    <w:bookmarkEnd w:id="366"/>
    <w:bookmarkStart w:id="373" w:name="ix.-urban-information-systems"/>
    <w:p>
      <w:pPr>
        <w:pStyle w:val="Heading1"/>
      </w:pPr>
      <w:r>
        <w:rPr>
          <w:rStyle w:val="SectionNumber"/>
        </w:rPr>
        <w:t xml:space="preserve">42</w:t>
      </w:r>
      <w:r>
        <w:tab/>
      </w:r>
      <w:r>
        <w:t xml:space="preserve">IX. Urban Information Systems</w:t>
      </w:r>
    </w:p>
    <w:bookmarkStart w:id="367" w:name="what-this-unit-is-about-36"/>
    <w:p>
      <w:pPr>
        <w:pStyle w:val="Heading2"/>
      </w:pPr>
      <w:r>
        <w:rPr>
          <w:rStyle w:val="SectionNumber"/>
        </w:rPr>
        <w:t xml:space="preserve">42.1</w:t>
      </w:r>
      <w:r>
        <w:tab/>
      </w:r>
      <w:r>
        <w:t xml:space="preserve">What This Unit Is About</w:t>
      </w:r>
    </w:p>
    <w:p>
      <w:pPr>
        <w:pStyle w:val="FirstParagraph"/>
      </w:pPr>
      <w:r>
        <w:t xml:space="preserve">Modern urban planning increasingly depends on spatial and statistical data, and urban information systems help planners map conditions, analyse patterns, and monitor change over time. The syllabus’s explicit, reassuring framing:</w:t>
      </w:r>
      <w:r>
        <w:t xml:space="preserve"> </w:t>
      </w:r>
      <w:r>
        <w:rPr>
          <w:bCs/>
          <w:b/>
        </w:rPr>
        <w:t xml:space="preserve">you do not need to become a software engineer</w:t>
      </w:r>
      <w:r>
        <w:t xml:space="preserve"> </w:t>
      </w:r>
      <w:r>
        <w:t xml:space="preserve">— the required skill is understanding what these tools do, what data they need, what outputs they produce, and how those outputs support an actual planning decision, not memorizing specific software menus or command sequences.</w:t>
      </w:r>
    </w:p>
    <w:bookmarkEnd w:id="367"/>
    <w:bookmarkStart w:id="368" w:name="gis-geographic-information-systems"/>
    <w:p>
      <w:pPr>
        <w:pStyle w:val="Heading2"/>
      </w:pPr>
      <w:r>
        <w:rPr>
          <w:rStyle w:val="SectionNumber"/>
        </w:rPr>
        <w:t xml:space="preserve">42.2</w:t>
      </w:r>
      <w:r>
        <w:tab/>
      </w:r>
      <w:r>
        <w:t xml:space="preserve">GIS — Geographic Information Systems</w:t>
      </w:r>
    </w:p>
    <w:p>
      <w:pPr>
        <w:pStyle w:val="FirstParagraph"/>
      </w:pPr>
      <w:r>
        <w:t xml:space="preserve">GIS stores, maps, and analyses</w:t>
      </w:r>
      <w:r>
        <w:t xml:space="preserve"> </w:t>
      </w:r>
      <w:r>
        <w:rPr>
          <w:bCs/>
          <w:b/>
        </w:rPr>
        <w:t xml:space="preserve">geographically referenced data</w:t>
      </w:r>
      <w:r>
        <w:t xml:space="preserve"> </w:t>
      </w:r>
      <w:r>
        <w:t xml:space="preserve">— data explicitly linked to a specific location. Planners can overlay multiple data layers (land use, road networks, population distribution, hazard zones, service locations) to identify spatial relationships and answer genuinely useful planning questions: which settlements lie within a flood zone, which neighbourhoods lack adequate service access, or where a new facility could be sited to serve the largest possible population. The syllabus’s important, frequently tested clarification:</w:t>
      </w:r>
      <w:r>
        <w:t xml:space="preserve"> </w:t>
      </w:r>
      <w:r>
        <w:rPr>
          <w:bCs/>
          <w:b/>
        </w:rPr>
        <w:t xml:space="preserve">GIS is the whole system for spatial data and analysis; a map is only one possible output of that system</w:t>
      </w:r>
      <w:r>
        <w:t xml:space="preserve">, not the entire system itself — a common misconception treats</w:t>
      </w:r>
      <w:r>
        <w:t xml:space="preserve"> </w:t>
      </w:r>
      <w:r>
        <w:t xml:space="preserve">“</w:t>
      </w:r>
      <w:r>
        <w:t xml:space="preserve">GIS</w:t>
      </w:r>
      <w:r>
        <w:t xml:space="preserve">”</w:t>
      </w:r>
      <w:r>
        <w:t xml:space="preserve"> </w:t>
      </w:r>
      <w:r>
        <w:t xml:space="preserve">as simply meaning</w:t>
      </w:r>
      <w:r>
        <w:t xml:space="preserve"> </w:t>
      </w:r>
      <w:r>
        <w:t xml:space="preserve">“</w:t>
      </w:r>
      <w:r>
        <w:t xml:space="preserve">digital maps,</w:t>
      </w:r>
      <w:r>
        <w:t xml:space="preserve">”</w:t>
      </w:r>
      <w:r>
        <w:t xml:space="preserve"> </w:t>
      </w:r>
      <w:r>
        <w:t xml:space="preserve">when the actual analytical capability (overlay, spatial query, network analysis) is the substantive content of the system.</w:t>
      </w:r>
    </w:p>
    <w:bookmarkEnd w:id="368"/>
    <w:bookmarkStart w:id="369" w:name="spatial-analysis"/>
    <w:p>
      <w:pPr>
        <w:pStyle w:val="Heading2"/>
      </w:pPr>
      <w:r>
        <w:rPr>
          <w:rStyle w:val="SectionNumber"/>
        </w:rPr>
        <w:t xml:space="preserve">42.3</w:t>
      </w:r>
      <w:r>
        <w:tab/>
      </w:r>
      <w:r>
        <w:t xml:space="preserve">Spatial Analysis</w:t>
      </w:r>
    </w:p>
    <w:p>
      <w:pPr>
        <w:pStyle w:val="FirstParagraph"/>
      </w:pPr>
      <w:r>
        <w:t xml:space="preserve">Spatial analysis examines patterns such as</w:t>
      </w:r>
      <w:r>
        <w:t xml:space="preserve"> </w:t>
      </w:r>
      <w:r>
        <w:rPr>
          <w:bCs/>
          <w:b/>
        </w:rPr>
        <w:t xml:space="preserve">buffer/proximity</w:t>
      </w:r>
      <w:r>
        <w:t xml:space="preserve"> </w:t>
      </w:r>
      <w:r>
        <w:t xml:space="preserve">(identifying features within a defined distance of a reference feature),</w:t>
      </w:r>
      <w:r>
        <w:t xml:space="preserve"> </w:t>
      </w:r>
      <w:r>
        <w:rPr>
          <w:bCs/>
          <w:b/>
        </w:rPr>
        <w:t xml:space="preserve">overlay</w:t>
      </w:r>
      <w:r>
        <w:t xml:space="preserve"> </w:t>
      </w:r>
      <w:r>
        <w:t xml:space="preserve">(combining multiple data layers to find where their conditions coincide),</w:t>
      </w:r>
      <w:r>
        <w:t xml:space="preserve"> </w:t>
      </w:r>
      <w:r>
        <w:rPr>
          <w:bCs/>
          <w:b/>
        </w:rPr>
        <w:t xml:space="preserve">network accessibility</w:t>
      </w:r>
      <w:r>
        <w:t xml:space="preserve"> </w:t>
      </w:r>
      <w:r>
        <w:t xml:space="preserve">(analysing travel distance or time along an actual transport network, rather than simple straight-line distance),</w:t>
      </w:r>
      <w:r>
        <w:t xml:space="preserve"> </w:t>
      </w:r>
      <w:r>
        <w:rPr>
          <w:bCs/>
          <w:b/>
        </w:rPr>
        <w:t xml:space="preserve">density</w:t>
      </w:r>
      <w:r>
        <w:t xml:space="preserve">, and</w:t>
      </w:r>
      <w:r>
        <w:t xml:space="preserve"> </w:t>
      </w:r>
      <w:r>
        <w:rPr>
          <w:bCs/>
          <w:b/>
        </w:rPr>
        <w:t xml:space="preserve">clustering</w:t>
      </w:r>
      <w:r>
        <w:t xml:space="preserve">. The important caution:</w:t>
      </w:r>
      <w:r>
        <w:t xml:space="preserve"> </w:t>
      </w:r>
      <w:r>
        <w:rPr>
          <w:bCs/>
          <w:b/>
        </w:rPr>
        <w:t xml:space="preserve">spatial analysis results are only as reliable as the underlying data and the chosen method</w:t>
      </w:r>
      <w:r>
        <w:t xml:space="preserve"> </w:t>
      </w:r>
      <w:r>
        <w:t xml:space="preserve">— the specific analytical method chosen should match both the actual planning question being asked and the scale/quality of the available data.</w:t>
      </w:r>
      <w:r>
        <w:t xml:space="preserve"> </w:t>
      </w:r>
      <w:r>
        <w:rPr>
          <w:bCs/>
          <w:b/>
        </w:rPr>
        <w:t xml:space="preserve">Worked illustration:</w:t>
      </w:r>
      <w:r>
        <w:t xml:space="preserve"> </w:t>
      </w:r>
      <w:r>
        <w:t xml:space="preserve">a simple buffer around a river can show which plots of land lie within a defined flood-risk distance; a network accessibility analysis, by contrast, can estimate actual travel time to a hospital using the real road network — a meaningfully more accurate measure of genuine accessibility than straight-line (</w:t>
      </w:r>
      <w:r>
        <w:t xml:space="preserve">“</w:t>
      </w:r>
      <w:r>
        <w:t xml:space="preserve">as the crow flies</w:t>
      </w:r>
      <w:r>
        <w:t xml:space="preserve">”</w:t>
      </w:r>
      <w:r>
        <w:t xml:space="preserve">) distance alone would provide.</w:t>
      </w:r>
    </w:p>
    <w:bookmarkEnd w:id="369"/>
    <w:bookmarkStart w:id="370" w:name="spss-and-statistical-analysis"/>
    <w:p>
      <w:pPr>
        <w:pStyle w:val="Heading2"/>
      </w:pPr>
      <w:r>
        <w:rPr>
          <w:rStyle w:val="SectionNumber"/>
        </w:rPr>
        <w:t xml:space="preserve">42.4</w:t>
      </w:r>
      <w:r>
        <w:tab/>
      </w:r>
      <w:r>
        <w:t xml:space="preserve">SPSS and Statistical Analysis</w:t>
      </w:r>
    </w:p>
    <w:p>
      <w:pPr>
        <w:pStyle w:val="FirstParagraph"/>
      </w:pPr>
      <w:r>
        <w:t xml:space="preserve">SPSS is statistical software used to manage and analyse survey or other quantitative data — supporting descriptive statistics, cross-tabulation, correlation analysis, and other techniques appropriate to a given research design. As with GIS above, the important transferable skill the syllabus emphasizes is</w:t>
      </w:r>
      <w:r>
        <w:t xml:space="preserve"> </w:t>
      </w:r>
      <w:r>
        <w:rPr>
          <w:bCs/>
          <w:b/>
        </w:rPr>
        <w:t xml:space="preserve">choosing an appropriate analysis and correctly interpreting its results</w:t>
      </w:r>
      <w:r>
        <w:t xml:space="preserve">, not memorizing specific software menu sequences.</w:t>
      </w:r>
    </w:p>
    <w:bookmarkEnd w:id="370"/>
    <w:bookmarkStart w:id="371" w:name="urban-data-quality"/>
    <w:p>
      <w:pPr>
        <w:pStyle w:val="Heading2"/>
      </w:pPr>
      <w:r>
        <w:rPr>
          <w:rStyle w:val="SectionNumber"/>
        </w:rPr>
        <w:t xml:space="preserve">42.5</w:t>
      </w:r>
      <w:r>
        <w:tab/>
      </w:r>
      <w:r>
        <w:t xml:space="preserve">Urban Data Quality</w:t>
      </w:r>
    </w:p>
    <w:p>
      <w:pPr>
        <w:pStyle w:val="FirstParagraph"/>
      </w:pPr>
      <w:r>
        <w:t xml:space="preserve">Good urban information requires</w:t>
      </w:r>
      <w:r>
        <w:t xml:space="preserve"> </w:t>
      </w:r>
      <w:r>
        <w:rPr>
          <w:bCs/>
          <w:b/>
        </w:rPr>
        <w:t xml:space="preserve">accuracy, completeness, consistency, timeliness (currency), appropriate spatial resolution, and clearly documented source and method</w:t>
      </w:r>
      <w:r>
        <w:t xml:space="preserve">. The frequently tested, important caution:</w:t>
      </w:r>
      <w:r>
        <w:t xml:space="preserve"> </w:t>
      </w:r>
      <w:r>
        <w:rPr>
          <w:bCs/>
          <w:b/>
        </w:rPr>
        <w:t xml:space="preserve">a precise-looking map or statistic can still be seriously misleading if the underlying data are poor</w:t>
      </w:r>
      <w:r>
        <w:t xml:space="preserve"> </w:t>
      </w:r>
      <w:r>
        <w:t xml:space="preserve">— visual or numerical precision in the</w:t>
      </w:r>
      <w:r>
        <w:t xml:space="preserve"> </w:t>
      </w:r>
      <w:r>
        <w:rPr>
          <w:iCs/>
          <w:i/>
        </w:rPr>
        <w:t xml:space="preserve">presentation</w:t>
      </w:r>
      <w:r>
        <w:t xml:space="preserve"> </w:t>
      </w:r>
      <w:r>
        <w:t xml:space="preserve">of data says nothing about the actual</w:t>
      </w:r>
      <w:r>
        <w:t xml:space="preserve"> </w:t>
      </w:r>
      <w:r>
        <w:rPr>
          <w:iCs/>
          <w:i/>
        </w:rPr>
        <w:t xml:space="preserve">accuracy</w:t>
      </w:r>
      <w:r>
        <w:t xml:space="preserve"> </w:t>
      </w:r>
      <w:r>
        <w:t xml:space="preserve">of the underlying data itself, and planners should always document a dataset’s source, collection date, scale, sampling method, and known limitations before relying on it for a significant decision.</w:t>
      </w:r>
    </w:p>
    <w:bookmarkEnd w:id="371"/>
    <w:bookmarkStart w:id="372" w:name="using-information-for-planning-decisions"/>
    <w:p>
      <w:pPr>
        <w:pStyle w:val="Heading2"/>
      </w:pPr>
      <w:r>
        <w:rPr>
          <w:rStyle w:val="SectionNumber"/>
        </w:rPr>
        <w:t xml:space="preserve">42.6</w:t>
      </w:r>
      <w:r>
        <w:tab/>
      </w:r>
      <w:r>
        <w:t xml:space="preserve">Using Information for Planning Decisions</w:t>
      </w:r>
    </w:p>
    <w:p>
      <w:pPr>
        <w:pStyle w:val="FirstParagraph"/>
      </w:pPr>
      <w:r>
        <w:t xml:space="preserve">The syllabus’s final, essential point for this unit and, in many ways, for the subject as a whole:</w:t>
      </w:r>
      <w:r>
        <w:t xml:space="preserve"> </w:t>
      </w:r>
      <w:r>
        <w:rPr>
          <w:bCs/>
          <w:b/>
        </w:rPr>
        <w:t xml:space="preserve">data should answer a specific planning question</w:t>
      </w:r>
      <w:r>
        <w:t xml:space="preserve"> </w:t>
      </w:r>
      <w:r>
        <w:t xml:space="preserve">— maps and statistics are</w:t>
      </w:r>
      <w:r>
        <w:t xml:space="preserve"> </w:t>
      </w:r>
      <w:r>
        <w:rPr>
          <w:bCs/>
          <w:b/>
        </w:rPr>
        <w:t xml:space="preserve">evidence inputs</w:t>
      </w:r>
      <w:r>
        <w:t xml:space="preserve"> </w:t>
      </w:r>
      <w:r>
        <w:t xml:space="preserve">to a planning decision, and they explicitly</w:t>
      </w:r>
      <w:r>
        <w:t xml:space="preserve"> </w:t>
      </w:r>
      <w:r>
        <w:rPr>
          <w:bCs/>
          <w:b/>
        </w:rPr>
        <w:t xml:space="preserve">do not replace</w:t>
      </w:r>
      <w:r>
        <w:t xml:space="preserve"> </w:t>
      </w:r>
      <w:r>
        <w:t xml:space="preserve">legal judgment, genuine public consultation, field verification, or sound policy reasoning. A GIS analysis identifying an</w:t>
      </w:r>
      <w:r>
        <w:t xml:space="preserve"> </w:t>
      </w:r>
      <w:r>
        <w:t xml:space="preserve">“</w:t>
      </w:r>
      <w:r>
        <w:t xml:space="preserve">optimal</w:t>
      </w:r>
      <w:r>
        <w:t xml:space="preserve">”</w:t>
      </w:r>
      <w:r>
        <w:t xml:space="preserve"> </w:t>
      </w:r>
      <w:r>
        <w:t xml:space="preserve">site for a new facility, for example, still requires legal verification of land ownership and zoning status, public consultation with the affected community, on-the-ground field verification that the site matches its mapped characteristics, and policy judgment weighing this technical finding against other planning objectives — the data informs the decision but does not, by itself, make it.</w:t>
      </w:r>
    </w:p>
    <w:p>
      <w:pPr>
        <w:pStyle w:val="BodyText"/>
      </w:pPr>
      <w:r>
        <w:rPr>
          <w:bCs/>
          <w:b/>
        </w:rPr>
        <w:t xml:space="preserve">Key takeaways for Unit IX</w:t>
      </w:r>
    </w:p>
    <w:p>
      <w:pPr>
        <w:numPr>
          <w:ilvl w:val="0"/>
          <w:numId w:val="1115"/>
        </w:numPr>
        <w:pStyle w:val="Compact"/>
      </w:pPr>
      <w:r>
        <w:t xml:space="preserve">GIS is the complete system for spatial data storage, mapping, and analysis; a map is merely one of its possible outputs — do not conflate</w:t>
      </w:r>
      <w:r>
        <w:t xml:space="preserve"> </w:t>
      </w:r>
      <w:r>
        <w:t xml:space="preserve">“</w:t>
      </w:r>
      <w:r>
        <w:t xml:space="preserve">GIS</w:t>
      </w:r>
      <w:r>
        <w:t xml:space="preserve">”</w:t>
      </w:r>
      <w:r>
        <w:t xml:space="preserve"> </w:t>
      </w:r>
      <w:r>
        <w:t xml:space="preserve">with</w:t>
      </w:r>
      <w:r>
        <w:t xml:space="preserve"> </w:t>
      </w:r>
      <w:r>
        <w:t xml:space="preserve">“</w:t>
      </w:r>
      <w:r>
        <w:t xml:space="preserve">digital mapping</w:t>
      </w:r>
      <w:r>
        <w:t xml:space="preserve">”</w:t>
      </w:r>
      <w:r>
        <w:t xml:space="preserve"> </w:t>
      </w:r>
      <w:r>
        <w:t xml:space="preserve">alone.</w:t>
      </w:r>
    </w:p>
    <w:p>
      <w:pPr>
        <w:numPr>
          <w:ilvl w:val="0"/>
          <w:numId w:val="1115"/>
        </w:numPr>
        <w:pStyle w:val="Compact"/>
      </w:pPr>
      <w:r>
        <w:t xml:space="preserve">Spatial analysis and statistical results are only as reliable as their underlying data and chosen method — always consider data quality (accuracy, completeness, consistency, timeliness, documented source) before relying on an analytical output.</w:t>
      </w:r>
    </w:p>
    <w:p>
      <w:pPr>
        <w:numPr>
          <w:ilvl w:val="0"/>
          <w:numId w:val="1115"/>
        </w:numPr>
        <w:pStyle w:val="Compact"/>
      </w:pPr>
      <w:r>
        <w:t xml:space="preserve">Data and analysis are evidence inputs to planning decisions, not substitutes for legal judgment, public consultation, field verification, or policy reasoning — this final point applies the</w:t>
      </w:r>
      <w:r>
        <w:t xml:space="preserve"> </w:t>
      </w:r>
      <w:r>
        <w:t xml:space="preserve">“</w:t>
      </w:r>
      <w:r>
        <w:t xml:space="preserve">evidence-based but not evidence-only</w:t>
      </w:r>
      <w:r>
        <w:t xml:space="preserve">”</w:t>
      </w:r>
      <w:r>
        <w:t xml:space="preserve"> </w:t>
      </w:r>
      <w:r>
        <w:t xml:space="preserve">principle recurring throughout all three companion chapters in this set.</w:t>
      </w:r>
    </w:p>
    <w:p>
      <w:r>
        <w:pict>
          <v:rect style="width:0;height:1.5pt" o:hralign="center" o:hrstd="t" o:hr="t"/>
        </w:pict>
      </w:r>
    </w:p>
    <w:bookmarkEnd w:id="372"/>
    <w:bookmarkEnd w:id="373"/>
    <w:bookmarkStart w:id="374" w:name="bibliography-and-further-reading-3"/>
    <w:p>
      <w:pPr>
        <w:pStyle w:val="Heading1"/>
      </w:pPr>
      <w:r>
        <w:rPr>
          <w:rStyle w:val="SectionNumber"/>
        </w:rPr>
        <w:t xml:space="preserve">43</w:t>
      </w:r>
      <w:r>
        <w:tab/>
      </w:r>
      <w:r>
        <w:t xml:space="preserve">Bibliography and Further Reading</w:t>
      </w:r>
    </w:p>
    <w:p>
      <w:pPr>
        <w:numPr>
          <w:ilvl w:val="0"/>
          <w:numId w:val="1116"/>
        </w:numPr>
        <w:pStyle w:val="Compact"/>
      </w:pPr>
      <w:r>
        <w:t xml:space="preserve">Greed, C. —</w:t>
      </w:r>
      <w:r>
        <w:t xml:space="preserve"> </w:t>
      </w:r>
      <w:r>
        <w:rPr>
          <w:iCs/>
          <w:i/>
        </w:rPr>
        <w:t xml:space="preserve">Introducing Town Planning</w:t>
      </w:r>
      <w:r>
        <w:t xml:space="preserve"> </w:t>
      </w:r>
      <w:r>
        <w:t xml:space="preserve">— core source for the definitional and multidisciplinary material in Unit I.</w:t>
      </w:r>
    </w:p>
    <w:p>
      <w:pPr>
        <w:numPr>
          <w:ilvl w:val="0"/>
          <w:numId w:val="1116"/>
        </w:numPr>
        <w:pStyle w:val="Compact"/>
      </w:pPr>
      <w:r>
        <w:t xml:space="preserve">Ratcliffe, J. —</w:t>
      </w:r>
      <w:r>
        <w:t xml:space="preserve"> </w:t>
      </w:r>
      <w:r>
        <w:rPr>
          <w:iCs/>
          <w:i/>
        </w:rPr>
        <w:t xml:space="preserve">Introduction to Town and Country Planning</w:t>
      </w:r>
      <w:r>
        <w:t xml:space="preserve">.</w:t>
      </w:r>
    </w:p>
    <w:p>
      <w:pPr>
        <w:numPr>
          <w:ilvl w:val="0"/>
          <w:numId w:val="1116"/>
        </w:numPr>
        <w:pStyle w:val="Compact"/>
      </w:pPr>
      <w:r>
        <w:t xml:space="preserve">Levy, J. M. —</w:t>
      </w:r>
      <w:r>
        <w:t xml:space="preserve"> </w:t>
      </w:r>
      <w:r>
        <w:rPr>
          <w:iCs/>
          <w:i/>
        </w:rPr>
        <w:t xml:space="preserve">Contemporary Urban Planning</w:t>
      </w:r>
      <w:r>
        <w:t xml:space="preserve"> </w:t>
      </w:r>
      <w:r>
        <w:t xml:space="preserve">— a key source for the urbanization-management material in Unit V.</w:t>
      </w:r>
    </w:p>
    <w:p>
      <w:pPr>
        <w:numPr>
          <w:ilvl w:val="0"/>
          <w:numId w:val="1116"/>
        </w:numPr>
        <w:pStyle w:val="Compact"/>
      </w:pPr>
      <w:r>
        <w:t xml:space="preserve">Cullingworth, J. B., and Nadin, V. —</w:t>
      </w:r>
      <w:r>
        <w:t xml:space="preserve"> </w:t>
      </w:r>
      <w:r>
        <w:rPr>
          <w:iCs/>
          <w:i/>
        </w:rPr>
        <w:t xml:space="preserve">Town and Country Planning in the UK</w:t>
      </w:r>
      <w:r>
        <w:t xml:space="preserve"> </w:t>
      </w:r>
      <w:r>
        <w:t xml:space="preserve">— a standard comparative reference for development control systems, referenced in Unit V.</w:t>
      </w:r>
    </w:p>
    <w:p>
      <w:pPr>
        <w:numPr>
          <w:ilvl w:val="0"/>
          <w:numId w:val="1116"/>
        </w:numPr>
        <w:pStyle w:val="Compact"/>
      </w:pPr>
      <w:r>
        <w:t xml:space="preserve">Townsend, A. —</w:t>
      </w:r>
      <w:r>
        <w:t xml:space="preserve"> </w:t>
      </w:r>
      <w:r>
        <w:rPr>
          <w:iCs/>
          <w:i/>
        </w:rPr>
        <w:t xml:space="preserve">Smart Cities</w:t>
      </w:r>
      <w:r>
        <w:t xml:space="preserve"> </w:t>
      </w:r>
      <w:r>
        <w:t xml:space="preserve">— a key source for the Intelligent Transport Systems and urban-information-systems material in Units V and IX.</w:t>
      </w:r>
    </w:p>
    <w:p>
      <w:pPr>
        <w:pStyle w:val="FirstParagraph"/>
      </w:pPr>
      <w:r>
        <w:rPr>
          <w:iCs/>
          <w:i/>
        </w:rPr>
        <w:t xml:space="preserve">Note on sourcing: the planning concepts and frameworks in this chapter (settlement hierarchy theory, the sustainability and resilience frameworks, and the GIS/spatial-analysis concepts) are drawn from the standard reference works listed above. Archaeological claims about Mohenjo-daro, Harappa, Kot Diji, Mehrgarh, and Gandhara reflect general, well-established findings in South Asian archaeology; any more specific claim about a particular site should be verified against current archaeological scholarship, since interpretation in this field continues to develop. Pakistan-specific planning history (Five-Year Plans, regional plans, master plans) and any current development-authority rule should be verified against official Planning Commission and relevant authority sources before being cited, exactly as this chapter itself repeatedly instructs.</w:t>
      </w:r>
    </w:p>
    <w:bookmarkEnd w:id="3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III Optional Subjects - Expanded Master Study Resource</dc:title>
  <dc:creator/>
  <cp:keywords/>
  <dcterms:created xsi:type="dcterms:W3CDTF">2026-09-19T16:04:15Z</dcterms:created>
  <dcterms:modified xsi:type="dcterms:W3CDTF">2026-09-19T16:04:15Z</dcterms:modified>
</cp:coreProperties>
</file>

<file path=docProps/custom.xml><?xml version="1.0" encoding="utf-8"?>
<Properties xmlns="http://schemas.openxmlformats.org/officeDocument/2006/custom-properties" xmlns:vt="http://schemas.openxmlformats.org/officeDocument/2006/docPropsVTypes"/>
</file>