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Group</w:t>
      </w:r>
      <w:r>
        <w:t xml:space="preserve"> </w:t>
      </w:r>
      <w:r>
        <w:t xml:space="preserve">II</w:t>
      </w:r>
      <w:r>
        <w:t xml:space="preserve"> </w:t>
      </w:r>
      <w:r>
        <w:t xml:space="preserve">Optional</w:t>
      </w:r>
      <w:r>
        <w:t xml:space="preserve"> </w:t>
      </w:r>
      <w:r>
        <w:t xml:space="preserve">Subjects:</w:t>
      </w:r>
      <w:r>
        <w:t xml:space="preserve"> </w:t>
      </w:r>
      <w:r>
        <w:t xml:space="preserve">Master</w:t>
      </w:r>
      <w:r>
        <w:t xml:space="preserve"> </w:t>
      </w:r>
      <w:r>
        <w:t xml:space="preserve">Study</w:t>
      </w:r>
      <w:r>
        <w:t xml:space="preserve"> </w:t>
      </w:r>
      <w:r>
        <w:t xml:space="preserve">Resource</w:t>
      </w:r>
      <w:r>
        <w:t xml:space="preserve"> </w:t>
      </w:r>
      <w:r>
        <w:t xml:space="preserve">—</w:t>
      </w:r>
      <w:r>
        <w:t xml:space="preserve"> </w:t>
      </w:r>
      <w:r>
        <w:t xml:space="preserve">Part</w:t>
      </w:r>
      <w:r>
        <w:t xml:space="preserve"> </w:t>
      </w:r>
      <w:r>
        <w:t xml:space="preserve">3</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X54cb61621383c934e39b789ef162e01b6c2b6b5"/>
    <w:p>
      <w:pPr>
        <w:pStyle w:val="Heading1"/>
      </w:pPr>
      <w:r>
        <w:t xml:space="preserve">Group II Optional Subjects: Master Study Resource — Part 3</w:t>
      </w:r>
    </w:p>
    <w:p>
      <w:pPr>
        <w:pStyle w:val="FirstParagraph"/>
      </w:pPr>
      <w:r>
        <w:rPr>
          <w:bCs/>
          <w:b/>
        </w:rPr>
        <w:t xml:space="preserve">Statistics and Geology — Expanded Edition</w:t>
      </w:r>
    </w:p>
    <w:p>
      <w:pPr>
        <w:pStyle w:val="BodyText"/>
      </w:pPr>
      <w:r>
        <w:t xml:space="preserve">This document completes the Group II master study resource, expanding the original crash-course notes for Statistics and Geology into a fuller teaching resource, following the same approach as Parts 1 and 2: each syllabus point explained from basic principles, with mechanisms, worked reasoning, and examples, and every chapter closing with Key Takeaways.</w:t>
      </w:r>
    </w:p>
    <w:bookmarkEnd w:id="20"/>
    <w:bookmarkStart w:id="99" w:name="statistics"/>
    <w:p>
      <w:pPr>
        <w:pStyle w:val="Heading1"/>
      </w:pPr>
      <w:r>
        <w:t xml:space="preserve">STATISTICS</w:t>
      </w:r>
    </w:p>
    <w:bookmarkStart w:id="29" w:name="descriptive-statistics"/>
    <w:p>
      <w:pPr>
        <w:pStyle w:val="Heading3"/>
      </w:pPr>
      <w:r>
        <w:t xml:space="preserve">1. Descriptive Statistics</w:t>
      </w:r>
    </w:p>
    <w:bookmarkStart w:id="21" w:name="introduction"/>
    <w:p>
      <w:pPr>
        <w:pStyle w:val="Heading4"/>
      </w:pPr>
      <w:r>
        <w:t xml:space="preserve">Introduction</w:t>
      </w:r>
    </w:p>
    <w:p>
      <w:pPr>
        <w:pStyle w:val="FirstParagraph"/>
      </w:pPr>
      <w:r>
        <w:t xml:space="preserve">Descriptive statistics summarises and presents data clearly before any deeper analysis is attempted — every later chapter in this subject (probability, inference, regression) assumes the data has first been organised and understood using these basic tools.</w:t>
      </w:r>
    </w:p>
    <w:bookmarkEnd w:id="21"/>
    <w:bookmarkStart w:id="22" w:name="types-and-sources-of-data"/>
    <w:p>
      <w:pPr>
        <w:pStyle w:val="Heading4"/>
      </w:pPr>
      <w:r>
        <w:t xml:space="preserve">1. Types and sources of data</w:t>
      </w:r>
    </w:p>
    <w:p>
      <w:pPr>
        <w:pStyle w:val="FirstParagraph"/>
      </w:pPr>
      <w:r>
        <w:t xml:space="preserve">Data is broadly</w:t>
      </w:r>
      <w:r>
        <w:t xml:space="preserve"> </w:t>
      </w:r>
      <w:r>
        <w:rPr>
          <w:bCs/>
          <w:b/>
        </w:rPr>
        <w:t xml:space="preserve">qualitative</w:t>
      </w:r>
      <w:r>
        <w:t xml:space="preserve"> </w:t>
      </w:r>
      <w:r>
        <w:t xml:space="preserve">(categorical, describing a quality — e.g., colour, gender) or</w:t>
      </w:r>
      <w:r>
        <w:t xml:space="preserve"> </w:t>
      </w:r>
      <w:r>
        <w:rPr>
          <w:bCs/>
          <w:b/>
        </w:rPr>
        <w:t xml:space="preserve">quantitative</w:t>
      </w:r>
      <w:r>
        <w:t xml:space="preserve"> </w:t>
      </w:r>
      <w:r>
        <w:t xml:space="preserve">(numerical), and quantitative data is further</w:t>
      </w:r>
      <w:r>
        <w:t xml:space="preserve"> </w:t>
      </w:r>
      <w:r>
        <w:rPr>
          <w:bCs/>
          <w:b/>
        </w:rPr>
        <w:t xml:space="preserve">discrete</w:t>
      </w:r>
      <w:r>
        <w:t xml:space="preserve"> </w:t>
      </w:r>
      <w:r>
        <w:t xml:space="preserve">(countable, distinct values, like number of children) or</w:t>
      </w:r>
      <w:r>
        <w:t xml:space="preserve"> </w:t>
      </w:r>
      <w:r>
        <w:rPr>
          <w:bCs/>
          <w:b/>
        </w:rPr>
        <w:t xml:space="preserve">continuous</w:t>
      </w:r>
      <w:r>
        <w:t xml:space="preserve"> </w:t>
      </w:r>
      <w:r>
        <w:t xml:space="preserve">(any value in a range, like height). Data also comes from different</w:t>
      </w:r>
      <w:r>
        <w:t xml:space="preserve"> </w:t>
      </w:r>
      <w:r>
        <w:rPr>
          <w:bCs/>
          <w:b/>
        </w:rPr>
        <w:t xml:space="preserve">sources</w:t>
      </w:r>
      <w:r>
        <w:t xml:space="preserve">: primary data is collected directly for the specific purpose at hand (surveys, experiments), while secondary data is obtained from existing records collected for another purpose — the distinction matters because secondary data may not perfectly match the current question’s needs and its collection methodology may be unknown or unsuitable.</w:t>
      </w:r>
    </w:p>
    <w:bookmarkEnd w:id="22"/>
    <w:bookmarkStart w:id="23" w:name="Xb96d4937690d135a6c172d6b17f1b35d4fad70f"/>
    <w:p>
      <w:pPr>
        <w:pStyle w:val="Heading4"/>
      </w:pPr>
      <w:r>
        <w:t xml:space="preserve">2. Frequency distributions and graphical presentation</w:t>
      </w:r>
    </w:p>
    <w:p>
      <w:pPr>
        <w:pStyle w:val="FirstParagraph"/>
      </w:pPr>
      <w:r>
        <w:t xml:space="preserve">A</w:t>
      </w:r>
      <w:r>
        <w:t xml:space="preserve"> </w:t>
      </w:r>
      <w:r>
        <w:rPr>
          <w:bCs/>
          <w:b/>
        </w:rPr>
        <w:t xml:space="preserve">frequency distribution</w:t>
      </w:r>
      <w:r>
        <w:t xml:space="preserve"> </w:t>
      </w:r>
      <w:r>
        <w:t xml:space="preserve">groups data into classes and records how many observations fall into each — the essential first step in making a large raw dataset comprehensible. Suitable graphical presentations include histograms (for continuous grouped data, with bar area proportional to frequency), bar charts (for categorical or discrete data, with bar height proportional to frequency), and frequency polygons or ogives (for showing distribution shape or cumulative frequency respectively) — choosing the graph type appropriate to the data type is itself an examinable skill.</w:t>
      </w:r>
    </w:p>
    <w:bookmarkEnd w:id="23"/>
    <w:bookmarkStart w:id="24" w:name="X00f88d28a3083005cce839fc13d2c13ef6c26fa"/>
    <w:p>
      <w:pPr>
        <w:pStyle w:val="Heading4"/>
      </w:pPr>
      <w:r>
        <w:t xml:space="preserve">3. Measures of central tendency: mean, median, and mode</w:t>
      </w:r>
    </w:p>
    <w:p>
      <w:pPr>
        <w:pStyle w:val="FirstParagraph"/>
      </w:pPr>
      <w:r>
        <w:t xml:space="preserve">The</w:t>
      </w:r>
      <w:r>
        <w:t xml:space="preserve"> </w:t>
      </w:r>
      <w:r>
        <w:rPr>
          <w:bCs/>
          <w:b/>
        </w:rPr>
        <w:t xml:space="preserve">mean</w:t>
      </w:r>
      <w:r>
        <w:t xml:space="preserve"> </w:t>
      </w:r>
      <w:r>
        <w:t xml:space="preserve">(arithmetic average, sum divided by count) uses every data value but is sensitive to extreme outliers, which can pull it away from where most data actually lies. The</w:t>
      </w:r>
      <w:r>
        <w:t xml:space="preserve"> </w:t>
      </w:r>
      <w:r>
        <w:rPr>
          <w:bCs/>
          <w:b/>
        </w:rPr>
        <w:t xml:space="preserve">median</w:t>
      </w:r>
      <w:r>
        <w:t xml:space="preserve"> </w:t>
      </w:r>
      <w:r>
        <w:t xml:space="preserve">(the middle value when data is ordered) is robust to outliers, making it a better summary for skewed data (such as income, where a few very high values would distort the mean). The</w:t>
      </w:r>
      <w:r>
        <w:t xml:space="preserve"> </w:t>
      </w:r>
      <w:r>
        <w:rPr>
          <w:bCs/>
          <w:b/>
        </w:rPr>
        <w:t xml:space="preserve">mode</w:t>
      </w:r>
      <w:r>
        <w:t xml:space="preserve"> </w:t>
      </w:r>
      <w:r>
        <w:t xml:space="preserve">(the most frequently occurring value) is the only measure of central tendency meaningful for purely categorical data, and is useful for identifying the most</w:t>
      </w:r>
      <w:r>
        <w:t xml:space="preserve"> </w:t>
      </w:r>
      <w:r>
        <w:t xml:space="preserve">“</w:t>
      </w:r>
      <w:r>
        <w:t xml:space="preserve">typical</w:t>
      </w:r>
      <w:r>
        <w:t xml:space="preserve">”</w:t>
      </w:r>
      <w:r>
        <w:t xml:space="preserve"> </w:t>
      </w:r>
      <w:r>
        <w:t xml:space="preserve">or common category or value.</w:t>
      </w:r>
    </w:p>
    <w:bookmarkEnd w:id="24"/>
    <w:bookmarkStart w:id="25" w:name="X2d45861a6d938c0f7bd94847319d2ff63e9fc28"/>
    <w:p>
      <w:pPr>
        <w:pStyle w:val="Heading4"/>
      </w:pPr>
      <w:r>
        <w:t xml:space="preserve">4. Measures of dispersion: range, variance, and standard deviation</w:t>
      </w:r>
    </w:p>
    <w:p>
      <w:pPr>
        <w:pStyle w:val="FirstParagraph"/>
      </w:pPr>
      <w:r>
        <w:t xml:space="preserve">Central tendency alone does not describe a dataset fully — two datasets can share the same mean while being very differently spread out.</w:t>
      </w:r>
      <w:r>
        <w:t xml:space="preserve"> </w:t>
      </w:r>
      <w:r>
        <w:rPr>
          <w:bCs/>
          <w:b/>
        </w:rPr>
        <w:t xml:space="preserve">Range</w:t>
      </w:r>
      <w:r>
        <w:t xml:space="preserve"> </w:t>
      </w:r>
      <w:r>
        <w:t xml:space="preserve">(maximum minus minimum) is simple but uses only two data points, making it highly sensitive to a single outlier.</w:t>
      </w:r>
      <w:r>
        <w:t xml:space="preserve"> </w:t>
      </w:r>
      <w:r>
        <w:rPr>
          <w:bCs/>
          <w:b/>
        </w:rPr>
        <w:t xml:space="preserve">Variance</w:t>
      </w:r>
      <w:r>
        <w:t xml:space="preserve"> </w:t>
      </w:r>
      <w:r>
        <w:t xml:space="preserve">measures the average squared deviation of each value from the mean, and</w:t>
      </w:r>
      <w:r>
        <w:t xml:space="preserve"> </w:t>
      </w:r>
      <w:r>
        <w:rPr>
          <w:bCs/>
          <w:b/>
        </w:rPr>
        <w:t xml:space="preserve">standard deviation</w:t>
      </w:r>
      <w:r>
        <w:t xml:space="preserve"> </w:t>
      </w:r>
      <w:r>
        <w:t xml:space="preserve">(its square root) returns this measure to the original units of the data, making it directly interpretable and comparable to the mean itself — a larger standard deviation indicates data more spread out around the mean.</w:t>
      </w:r>
    </w:p>
    <w:bookmarkEnd w:id="25"/>
    <w:bookmarkStart w:id="26" w:name="shape-measures-skewness-and-kurtosis"/>
    <w:p>
      <w:pPr>
        <w:pStyle w:val="Heading4"/>
      </w:pPr>
      <w:r>
        <w:t xml:space="preserve">5. Shape measures: skewness and kurtosis</w:t>
      </w:r>
    </w:p>
    <w:p>
      <w:pPr>
        <w:pStyle w:val="FirstParagraph"/>
      </w:pPr>
      <w:r>
        <w:rPr>
          <w:bCs/>
          <w:b/>
        </w:rPr>
        <w:t xml:space="preserve">Skewness</w:t>
      </w:r>
      <w:r>
        <w:t xml:space="preserve"> </w:t>
      </w:r>
      <w:r>
        <w:t xml:space="preserve">measures asymmetry in a distribution’s shape: positive (right) skew has a longer tail toward higher values (often pulling the mean above the median), negative (left) skew the opposite.</w:t>
      </w:r>
      <w:r>
        <w:t xml:space="preserve"> </w:t>
      </w:r>
      <w:r>
        <w:rPr>
          <w:bCs/>
          <w:b/>
        </w:rPr>
        <w:t xml:space="preserve">Kurtosis</w:t>
      </w:r>
      <w:r>
        <w:t xml:space="preserve"> </w:t>
      </w:r>
      <w:r>
        <w:t xml:space="preserve">measures the</w:t>
      </w:r>
      <w:r>
        <w:t xml:space="preserve"> </w:t>
      </w:r>
      <w:r>
        <w:t xml:space="preserve">“</w:t>
      </w:r>
      <w:r>
        <w:t xml:space="preserve">tailedness</w:t>
      </w:r>
      <w:r>
        <w:t xml:space="preserve">”</w:t>
      </w:r>
      <w:r>
        <w:t xml:space="preserve"> </w:t>
      </w:r>
      <w:r>
        <w:t xml:space="preserve">of a distribution relative to a normal distribution — higher kurtosis indicates heavier tails and a sharper peak, meaning extreme values are relatively more common than a normal distribution would predict.</w:t>
      </w:r>
    </w:p>
    <w:bookmarkEnd w:id="26"/>
    <w:bookmarkStart w:id="27" w:name="index-numbers-and-time-series-basics"/>
    <w:p>
      <w:pPr>
        <w:pStyle w:val="Heading4"/>
      </w:pPr>
      <w:r>
        <w:t xml:space="preserve">6. Index numbers and time-series basics</w:t>
      </w:r>
    </w:p>
    <w:p>
      <w:pPr>
        <w:pStyle w:val="FirstParagraph"/>
      </w:pPr>
      <w:r>
        <w:t xml:space="preserve">An</w:t>
      </w:r>
      <w:r>
        <w:t xml:space="preserve"> </w:t>
      </w:r>
      <w:r>
        <w:rPr>
          <w:bCs/>
          <w:b/>
        </w:rPr>
        <w:t xml:space="preserve">index number</w:t>
      </w:r>
      <w:r>
        <w:t xml:space="preserve"> </w:t>
      </w:r>
      <w:r>
        <w:t xml:space="preserve">expresses a variable’s value relative to a fixed base period (conventionally set to 100), making it easy to track relative change over time (e.g., a price index of 115 means prices have risen 15% relative to the base period).</w:t>
      </w:r>
      <w:r>
        <w:t xml:space="preserve"> </w:t>
      </w:r>
      <w:r>
        <w:rPr>
          <w:bCs/>
          <w:b/>
        </w:rPr>
        <w:t xml:space="preserve">Time-series data</w:t>
      </w:r>
      <w:r>
        <w:t xml:space="preserve"> </w:t>
      </w:r>
      <w:r>
        <w:t xml:space="preserve">(values recorded at successive time points) is often decomposed conceptually into trend (long-term direction), seasonal variation (regular within-year fluctuation), and irregular/random components — recognising which component dominates a given series’ behaviour is the starting point for further time-series analysis.</w:t>
      </w:r>
    </w:p>
    <w:bookmarkEnd w:id="27"/>
    <w:bookmarkStart w:id="28" w:name="key-takeaways"/>
    <w:p>
      <w:pPr>
        <w:pStyle w:val="Heading4"/>
      </w:pPr>
      <w:r>
        <w:t xml:space="preserve">Key Takeaways</w:t>
      </w:r>
    </w:p>
    <w:p>
      <w:pPr>
        <w:numPr>
          <w:ilvl w:val="0"/>
          <w:numId w:val="1001"/>
        </w:numPr>
        <w:pStyle w:val="Compact"/>
      </w:pPr>
      <w:r>
        <w:t xml:space="preserve">Data is classified as qualitative or quantitative (discrete/continuous), and by source as primary or secondary; each classification shapes which further techniques are appropriate.</w:t>
      </w:r>
    </w:p>
    <w:p>
      <w:pPr>
        <w:numPr>
          <w:ilvl w:val="0"/>
          <w:numId w:val="1001"/>
        </w:numPr>
        <w:pStyle w:val="Compact"/>
      </w:pPr>
      <w:r>
        <w:t xml:space="preserve">Choosing the correct central-tendency measure (mean, median, or mode) depends on data type and the presence of outliers or skew, not habit.</w:t>
      </w:r>
    </w:p>
    <w:p>
      <w:pPr>
        <w:numPr>
          <w:ilvl w:val="0"/>
          <w:numId w:val="1001"/>
        </w:numPr>
        <w:pStyle w:val="Compact"/>
      </w:pPr>
      <w:r>
        <w:t xml:space="preserve">Standard deviation, being in the original units and using every data point, is generally the most informative single measure of spread, though range and variance each have their own uses.</w:t>
      </w:r>
    </w:p>
    <w:p>
      <w:pPr>
        <w:numPr>
          <w:ilvl w:val="0"/>
          <w:numId w:val="1001"/>
        </w:numPr>
        <w:pStyle w:val="Compact"/>
      </w:pPr>
      <w:r>
        <w:t xml:space="preserve">Skewness and kurtosis describe distribution shape beyond central tendency and spread, indicating asymmetry and tail behaviour respectively.</w:t>
      </w:r>
    </w:p>
    <w:p>
      <w:pPr>
        <w:numPr>
          <w:ilvl w:val="0"/>
          <w:numId w:val="1001"/>
        </w:numPr>
        <w:pStyle w:val="Compact"/>
      </w:pPr>
      <w:r>
        <w:t xml:space="preserve">Index numbers and basic trend/seasonal/irregular decomposition allow tracking and interpreting change in a variable over time.</w:t>
      </w:r>
    </w:p>
    <w:bookmarkEnd w:id="28"/>
    <w:bookmarkEnd w:id="29"/>
    <w:bookmarkStart w:id="38" w:name="basic-probability"/>
    <w:p>
      <w:pPr>
        <w:pStyle w:val="Heading3"/>
      </w:pPr>
      <w:r>
        <w:t xml:space="preserve">2. Basic Probability</w:t>
      </w:r>
    </w:p>
    <w:bookmarkStart w:id="30" w:name="introduction-1"/>
    <w:p>
      <w:pPr>
        <w:pStyle w:val="Heading4"/>
      </w:pPr>
      <w:r>
        <w:t xml:space="preserve">Introduction</w:t>
      </w:r>
    </w:p>
    <w:p>
      <w:pPr>
        <w:pStyle w:val="FirstParagraph"/>
      </w:pPr>
      <w:r>
        <w:t xml:space="preserve">Probability provides the mathematical foundation for statistical inference — every hypothesis test and confidence interval in later chapters rests on the probability concepts developed here.</w:t>
      </w:r>
    </w:p>
    <w:bookmarkEnd w:id="30"/>
    <w:bookmarkStart w:id="31" w:name="sample-spaces-and-events"/>
    <w:p>
      <w:pPr>
        <w:pStyle w:val="Heading4"/>
      </w:pPr>
      <w:r>
        <w:t xml:space="preserve">1. Sample spaces and events</w:t>
      </w:r>
    </w:p>
    <w:p>
      <w:pPr>
        <w:pStyle w:val="FirstParagraph"/>
      </w:pPr>
      <w:r>
        <w:t xml:space="preserve">A</w:t>
      </w:r>
      <w:r>
        <w:t xml:space="preserve"> </w:t>
      </w:r>
      <w:r>
        <w:rPr>
          <w:bCs/>
          <w:b/>
        </w:rPr>
        <w:t xml:space="preserve">sample space</w:t>
      </w:r>
      <w:r>
        <w:t xml:space="preserve"> </w:t>
      </w:r>
      <w:r>
        <w:t xml:space="preserve">is the set of all possible outcomes of a random experiment; an</w:t>
      </w:r>
      <w:r>
        <w:t xml:space="preserve"> </w:t>
      </w:r>
      <w:r>
        <w:rPr>
          <w:bCs/>
          <w:b/>
        </w:rPr>
        <w:t xml:space="preserve">event</w:t>
      </w:r>
      <w:r>
        <w:t xml:space="preserve"> </w:t>
      </w:r>
      <w:r>
        <w:t xml:space="preserve">is any subset of the sample space (a specific outcome or combination of outcomes of interest). Correctly and completely defining the sample space is often the most important step in solving a probability problem, since a miscounted or incomplete sample space invalidates every subsequent calculation.</w:t>
      </w:r>
    </w:p>
    <w:bookmarkEnd w:id="31"/>
    <w:bookmarkStart w:id="32" w:name="axioms-and-rules-of-probability"/>
    <w:p>
      <w:pPr>
        <w:pStyle w:val="Heading4"/>
      </w:pPr>
      <w:r>
        <w:t xml:space="preserve">2. Axioms and rules of probability</w:t>
      </w:r>
    </w:p>
    <w:p>
      <w:pPr>
        <w:pStyle w:val="FirstParagraph"/>
      </w:pPr>
      <w:r>
        <w:t xml:space="preserve">Probability assigns a number between 0 and 1 to every event, following three basic axioms: every probability is non-negative, the probability of the entire sample space is 1 (something must happen), and for mutually exclusive events, the probability of their union is the sum of their individual probabilities. Every other probability rule can be derived from these three axioms.</w:t>
      </w:r>
    </w:p>
    <w:bookmarkEnd w:id="32"/>
    <w:bookmarkStart w:id="33" w:name="addition-and-multiplication-rules"/>
    <w:p>
      <w:pPr>
        <w:pStyle w:val="Heading4"/>
      </w:pPr>
      <w:r>
        <w:t xml:space="preserve">3. Addition and multiplication rules</w:t>
      </w:r>
    </w:p>
    <w:p>
      <w:pPr>
        <w:pStyle w:val="FirstParagraph"/>
      </w:pPr>
      <w:r>
        <w:t xml:space="preserve">The</w:t>
      </w:r>
      <w:r>
        <w:t xml:space="preserve"> </w:t>
      </w:r>
      <w:r>
        <w:rPr>
          <w:bCs/>
          <w:b/>
        </w:rPr>
        <w:t xml:space="preserve">addition rule</w:t>
      </w:r>
      <w:r>
        <w:t xml:space="preserve">, P(A∪B) = P(A) + P(B) − P(A∩B), gives the probability that at least one of two events occurs, subtracting the overlap (P(A∩B)) once to avoid double-counting it — for mutually exclusive events (no overlap), this simplifies to a direct sum. The</w:t>
      </w:r>
      <w:r>
        <w:t xml:space="preserve"> </w:t>
      </w:r>
      <w:r>
        <w:rPr>
          <w:bCs/>
          <w:b/>
        </w:rPr>
        <w:t xml:space="preserve">multiplication rule</w:t>
      </w:r>
      <w:r>
        <w:t xml:space="preserve">, P(A∩B) = P(A)·P(B|A), gives the probability that both events occur, and simplifies to P(A)·P(B) specifically when A and B are independent (below).</w:t>
      </w:r>
    </w:p>
    <w:bookmarkEnd w:id="33"/>
    <w:bookmarkStart w:id="34" w:name="conditional-probability-and-independence"/>
    <w:p>
      <w:pPr>
        <w:pStyle w:val="Heading4"/>
      </w:pPr>
      <w:r>
        <w:t xml:space="preserve">4. Conditional probability and independence</w:t>
      </w:r>
    </w:p>
    <w:p>
      <w:pPr>
        <w:pStyle w:val="FirstParagraph"/>
      </w:pPr>
      <w:r>
        <w:rPr>
          <w:bCs/>
          <w:b/>
        </w:rPr>
        <w:t xml:space="preserve">Conditional probability</w:t>
      </w:r>
      <w:r>
        <w:t xml:space="preserve">, P(B|A) = P(A∩B)/P(A), is the probability of B given that A is already known to have occurred — it updates the probability of B based on the additional information that A happened. Two events are</w:t>
      </w:r>
      <w:r>
        <w:t xml:space="preserve"> </w:t>
      </w:r>
      <w:r>
        <w:rPr>
          <w:bCs/>
          <w:b/>
        </w:rPr>
        <w:t xml:space="preserve">independent</w:t>
      </w:r>
      <w:r>
        <w:t xml:space="preserve"> </w:t>
      </w:r>
      <w:r>
        <w:t xml:space="preserve">if knowing one occurred does not change the probability of the other, P(B|A) = P(B); independence must be checked, not assumed, and should not be confused with</w:t>
      </w:r>
      <w:r>
        <w:t xml:space="preserve"> </w:t>
      </w:r>
      <w:r>
        <w:rPr>
          <w:bCs/>
          <w:b/>
        </w:rPr>
        <w:t xml:space="preserve">mutual exclusivity</w:t>
      </w:r>
      <w:r>
        <w:t xml:space="preserve"> </w:t>
      </w:r>
      <w:r>
        <w:t xml:space="preserve">(which actually implies strong dependence — if mutually exclusive events cannot both occur, then knowing one happened makes the other’s probability exactly zero).</w:t>
      </w:r>
    </w:p>
    <w:bookmarkEnd w:id="34"/>
    <w:bookmarkStart w:id="35" w:name="bayes-theorem"/>
    <w:p>
      <w:pPr>
        <w:pStyle w:val="Heading4"/>
      </w:pPr>
      <w:r>
        <w:t xml:space="preserve">5. Bayes’ theorem</w:t>
      </w:r>
    </w:p>
    <w:p>
      <w:pPr>
        <w:pStyle w:val="FirstParagraph"/>
      </w:pPr>
      <w:r>
        <w:rPr>
          <w:bCs/>
          <w:b/>
        </w:rPr>
        <w:t xml:space="preserve">Bayes’ theorem</w:t>
      </w:r>
      <w:r>
        <w:t xml:space="preserve">, P(A|B) = P(B|A)P(A)/P(B), reverses the direction of a conditional probability — allowing you to find P(A|B) when only P(B|A) (and the individual probabilities) are known. This is especially useful in diagnostic and classification problems (for example, finding the probability a patient has a disease given a positive test result, when what is actually known from clinical data is the probability of a positive test given the disease is present or absent) and frequently produces results that are counter-intuitive without careful calculation, particularly when the underlying event is rare.</w:t>
      </w:r>
    </w:p>
    <w:bookmarkEnd w:id="35"/>
    <w:bookmarkStart w:id="36" w:name="random-variables-and-expectation"/>
    <w:p>
      <w:pPr>
        <w:pStyle w:val="Heading4"/>
      </w:pPr>
      <w:r>
        <w:t xml:space="preserve">6. Random variables and expectation</w:t>
      </w:r>
    </w:p>
    <w:p>
      <w:pPr>
        <w:pStyle w:val="FirstParagraph"/>
      </w:pPr>
      <w:r>
        <w:t xml:space="preserve">A</w:t>
      </w:r>
      <w:r>
        <w:t xml:space="preserve"> </w:t>
      </w:r>
      <w:r>
        <w:rPr>
          <w:bCs/>
          <w:b/>
        </w:rPr>
        <w:t xml:space="preserve">random variable</w:t>
      </w:r>
      <w:r>
        <w:t xml:space="preserve"> </w:t>
      </w:r>
      <w:r>
        <w:t xml:space="preserve">assigns a numerical value to each outcome in a sample space, converting qualitative or descriptive outcomes into a form suitable for further mathematical analysis (developed fully in Chapter 3). The</w:t>
      </w:r>
      <w:r>
        <w:t xml:space="preserve"> </w:t>
      </w:r>
      <w:r>
        <w:rPr>
          <w:bCs/>
          <w:b/>
        </w:rPr>
        <w:t xml:space="preserve">expectation</w:t>
      </w:r>
      <w:r>
        <w:t xml:space="preserve"> </w:t>
      </w:r>
      <w:r>
        <w:t xml:space="preserve">(expected value) of a random variable is its probability-weighted average — the long-run average value it would take over many repetitions, which need not itself be a value the variable can actually take on any single trial (e.g., the expected value of a fair die roll is 3.5, though no single roll ever gives 3.5).</w:t>
      </w:r>
    </w:p>
    <w:bookmarkEnd w:id="36"/>
    <w:bookmarkStart w:id="37" w:name="key-takeaways-1"/>
    <w:p>
      <w:pPr>
        <w:pStyle w:val="Heading4"/>
      </w:pPr>
      <w:r>
        <w:t xml:space="preserve">Key Takeaways</w:t>
      </w:r>
    </w:p>
    <w:p>
      <w:pPr>
        <w:numPr>
          <w:ilvl w:val="0"/>
          <w:numId w:val="1002"/>
        </w:numPr>
        <w:pStyle w:val="Compact"/>
      </w:pPr>
      <w:r>
        <w:t xml:space="preserve">Correctly defining the sample space is the essential first step; probability rules follow from three basic axioms (non-negativity, total probability 1, additivity for mutually exclusive events).</w:t>
      </w:r>
    </w:p>
    <w:p>
      <w:pPr>
        <w:numPr>
          <w:ilvl w:val="0"/>
          <w:numId w:val="1002"/>
        </w:numPr>
        <w:pStyle w:val="Compact"/>
      </w:pPr>
      <w:r>
        <w:t xml:space="preserve">The addition rule subtracts overlap to avoid double-counting; the multiplication rule requires conditional probability unless independence holds.</w:t>
      </w:r>
    </w:p>
    <w:p>
      <w:pPr>
        <w:numPr>
          <w:ilvl w:val="0"/>
          <w:numId w:val="1002"/>
        </w:numPr>
        <w:pStyle w:val="Compact"/>
      </w:pPr>
      <w:r>
        <w:t xml:space="preserve">Independence (knowing one event doesn’t change the other’s probability) is distinct from — and effectively opposite to — mutual exclusivity, which implies strong dependence.</w:t>
      </w:r>
    </w:p>
    <w:p>
      <w:pPr>
        <w:numPr>
          <w:ilvl w:val="0"/>
          <w:numId w:val="1002"/>
        </w:numPr>
        <w:pStyle w:val="Compact"/>
      </w:pPr>
      <w:r>
        <w:t xml:space="preserve">Bayes’ theorem reverses a known conditional probability to find the reverse conditional probability, essential for diagnostic and classification reasoning.</w:t>
      </w:r>
    </w:p>
    <w:p>
      <w:pPr>
        <w:numPr>
          <w:ilvl w:val="0"/>
          <w:numId w:val="1002"/>
        </w:numPr>
        <w:pStyle w:val="Compact"/>
      </w:pPr>
      <w:r>
        <w:t xml:space="preserve">A random variable’s expectation is its probability-weighted long-run average, not necessarily an achievable single-trial value.</w:t>
      </w:r>
    </w:p>
    <w:bookmarkEnd w:id="37"/>
    <w:bookmarkEnd w:id="38"/>
    <w:bookmarkStart w:id="46" w:name="probability-distributions"/>
    <w:p>
      <w:pPr>
        <w:pStyle w:val="Heading3"/>
      </w:pPr>
      <w:r>
        <w:t xml:space="preserve">3. Probability Distributions</w:t>
      </w:r>
    </w:p>
    <w:bookmarkStart w:id="39" w:name="introduction-2"/>
    <w:p>
      <w:pPr>
        <w:pStyle w:val="Heading4"/>
      </w:pPr>
      <w:r>
        <w:t xml:space="preserve">Introduction</w:t>
      </w:r>
    </w:p>
    <w:p>
      <w:pPr>
        <w:pStyle w:val="FirstParagraph"/>
      </w:pPr>
      <w:r>
        <w:t xml:space="preserve">This chapter formalises random variables (introduced in Chapter 2) into complete probability distributions, and covers the specific named distributions that recur constantly throughout applied statistics.</w:t>
      </w:r>
    </w:p>
    <w:bookmarkEnd w:id="39"/>
    <w:bookmarkStart w:id="40" w:name="discrete-and-continuous-random-variables"/>
    <w:p>
      <w:pPr>
        <w:pStyle w:val="Heading4"/>
      </w:pPr>
      <w:r>
        <w:t xml:space="preserve">1. Discrete and continuous random variables</w:t>
      </w:r>
    </w:p>
    <w:p>
      <w:pPr>
        <w:pStyle w:val="FirstParagraph"/>
      </w:pPr>
      <w:r>
        <w:t xml:space="preserve">A</w:t>
      </w:r>
      <w:r>
        <w:t xml:space="preserve"> </w:t>
      </w:r>
      <w:r>
        <w:rPr>
          <w:bCs/>
          <w:b/>
        </w:rPr>
        <w:t xml:space="preserve">discrete random variable</w:t>
      </w:r>
      <w:r>
        <w:t xml:space="preserve"> </w:t>
      </w:r>
      <w:r>
        <w:t xml:space="preserve">takes a countable set of distinct values (e.g., number of successes in a fixed number of trials); a</w:t>
      </w:r>
      <w:r>
        <w:t xml:space="preserve"> </w:t>
      </w:r>
      <w:r>
        <w:rPr>
          <w:bCs/>
          <w:b/>
        </w:rPr>
        <w:t xml:space="preserve">continuous random variable</w:t>
      </w:r>
      <w:r>
        <w:t xml:space="preserve"> </w:t>
      </w:r>
      <w:r>
        <w:t xml:space="preserve">can take any value within an interval (e.g., a measured height). This distinction determines which mathematical tools apply: discrete variables use a probability mass function and sums, while continuous variables use a probability density function and integrals.</w:t>
      </w:r>
    </w:p>
    <w:bookmarkEnd w:id="40"/>
    <w:bookmarkStart w:id="41" w:name="X37bbbf8c7307f303ebec0f69d79457998db195c"/>
    <w:p>
      <w:pPr>
        <w:pStyle w:val="Heading4"/>
      </w:pPr>
      <w:r>
        <w:t xml:space="preserve">2. Probability mass/density and cumulative distribution functions</w:t>
      </w:r>
    </w:p>
    <w:p>
      <w:pPr>
        <w:pStyle w:val="FirstParagraph"/>
      </w:pPr>
      <w:r>
        <w:t xml:space="preserve">The</w:t>
      </w:r>
      <w:r>
        <w:t xml:space="preserve"> </w:t>
      </w:r>
      <w:r>
        <w:rPr>
          <w:bCs/>
          <w:b/>
        </w:rPr>
        <w:t xml:space="preserve">probability mass function (PMF)</w:t>
      </w:r>
      <w:r>
        <w:t xml:space="preserve">, for a discrete variable, gives the probability of each specific value directly. The</w:t>
      </w:r>
      <w:r>
        <w:t xml:space="preserve"> </w:t>
      </w:r>
      <w:r>
        <w:rPr>
          <w:bCs/>
          <w:b/>
        </w:rPr>
        <w:t xml:space="preserve">probability density function (PDF)</w:t>
      </w:r>
      <w:r>
        <w:t xml:space="preserve">, for a continuous variable, does not give probabilities directly (indeed, the probability of any single exact value is zero for a continuous variable) — instead, the probability of the variable falling within a range is the area under the PDF curve over that range. The</w:t>
      </w:r>
      <w:r>
        <w:t xml:space="preserve"> </w:t>
      </w:r>
      <w:r>
        <w:rPr>
          <w:bCs/>
          <w:b/>
        </w:rPr>
        <w:t xml:space="preserve">cumulative distribution function (CDF)</w:t>
      </w:r>
      <w:r>
        <w:t xml:space="preserve">, F(x) = P(X ≤ x), applies to both types and gives the probability of the variable being at or below a given value — for continuous variables, the PDF is the derivative of the CDF.</w:t>
      </w:r>
    </w:p>
    <w:bookmarkEnd w:id="41"/>
    <w:bookmarkStart w:id="42" w:name="X27d1af5cbf12aecce107c622e7317553cbe9051"/>
    <w:p>
      <w:pPr>
        <w:pStyle w:val="Heading4"/>
      </w:pPr>
      <w:r>
        <w:t xml:space="preserve">3. Expectation and variance of random variables</w:t>
      </w:r>
    </w:p>
    <w:p>
      <w:pPr>
        <w:pStyle w:val="FirstParagraph"/>
      </w:pPr>
      <w:r>
        <w:t xml:space="preserve">The expectation (mean) and variance of a random variable generalise the descriptive-statistics concepts of Chapter 1 to a theoretical probability distribution rather than an observed dataset — computed as a probability-weighted sum (discrete) or integral (continuous) rather than a simple average over collected data, but interpreted identically as a measure of central tendency and spread respectively.</w:t>
      </w:r>
    </w:p>
    <w:bookmarkEnd w:id="42"/>
    <w:bookmarkStart w:id="43" w:name="Xcd497f68c8d77b4523817bf022634813eb19417"/>
    <w:p>
      <w:pPr>
        <w:pStyle w:val="Heading4"/>
      </w:pPr>
      <w:r>
        <w:t xml:space="preserve">4. Important distributions: binomial, Poisson, and normal</w:t>
      </w:r>
    </w:p>
    <w:p>
      <w:pPr>
        <w:numPr>
          <w:ilvl w:val="0"/>
          <w:numId w:val="1003"/>
        </w:numPr>
        <w:pStyle w:val="Compact"/>
      </w:pPr>
      <w:r>
        <w:rPr>
          <w:bCs/>
          <w:b/>
        </w:rPr>
        <w:t xml:space="preserve">Binomial distribution</w:t>
      </w:r>
      <w:r>
        <w:t xml:space="preserve">: models the number of successes in a fixed number (n) of independent trials, each with the same success probability (p) — applicable whenever an experiment consists of repeated identical yes/no trials (mean = np, variance = np(1−p)).</w:t>
      </w:r>
    </w:p>
    <w:p>
      <w:pPr>
        <w:numPr>
          <w:ilvl w:val="0"/>
          <w:numId w:val="1003"/>
        </w:numPr>
        <w:pStyle w:val="Compact"/>
      </w:pPr>
      <w:r>
        <w:rPr>
          <w:bCs/>
          <w:b/>
        </w:rPr>
        <w:t xml:space="preserve">Poisson distribution</w:t>
      </w:r>
      <w:r>
        <w:t xml:space="preserve">: models the number of events occurring in a fixed interval of time or space, when events happen independently at a constant average rate (λ) — often used as an approximation to the binomial when n is large and p is small (rare events over many trials), with mean and variance both equal to λ.</w:t>
      </w:r>
    </w:p>
    <w:p>
      <w:pPr>
        <w:numPr>
          <w:ilvl w:val="0"/>
          <w:numId w:val="1003"/>
        </w:numPr>
        <w:pStyle w:val="Compact"/>
      </w:pPr>
      <w:r>
        <w:rPr>
          <w:bCs/>
          <w:b/>
        </w:rPr>
        <w:t xml:space="preserve">Normal (Gaussian) distribution</w:t>
      </w:r>
      <w:r>
        <w:t xml:space="preserve">: the symmetric, bell-shaped continuous distribution central to statistical theory, fully characterised by its mean (μ) and standard deviation (σ); its overwhelming importance comes from the</w:t>
      </w:r>
      <w:r>
        <w:t xml:space="preserve"> </w:t>
      </w:r>
      <w:r>
        <w:rPr>
          <w:bCs/>
          <w:b/>
        </w:rPr>
        <w:t xml:space="preserve">Central Limit Theorem</w:t>
      </w:r>
      <w:r>
        <w:t xml:space="preserve"> </w:t>
      </w:r>
      <w:r>
        <w:t xml:space="preserve">(Chapter 6), which shows that averages of many independent random variables tend toward a normal distribution regardless of the original variables’ own distribution.</w:t>
      </w:r>
    </w:p>
    <w:bookmarkEnd w:id="43"/>
    <w:bookmarkStart w:id="44" w:name="approximations-and-applications"/>
    <w:p>
      <w:pPr>
        <w:pStyle w:val="Heading4"/>
      </w:pPr>
      <w:r>
        <w:t xml:space="preserve">5. Approximations and applications</w:t>
      </w:r>
    </w:p>
    <w:p>
      <w:pPr>
        <w:pStyle w:val="FirstParagraph"/>
      </w:pPr>
      <w:r>
        <w:t xml:space="preserve">Under specific conditions, one distribution can be used to approximate another where exact calculation would be cumbersome — the Poisson approximation to the binomial (above), and the normal approximation to the binomial (valid when np and n(1−p) are both sufficiently large, since the binomial distribution’s shape becomes increasingly bell-like as n grows) are the two most commonly applied approximations at this syllabus level. Correctly identifying which named distribution actually fits a given real-world scenario’s assumptions — rather than defaulting to whichever formula is most familiar — is the central applied skill this chapter tests.</w:t>
      </w:r>
    </w:p>
    <w:bookmarkEnd w:id="44"/>
    <w:bookmarkStart w:id="45" w:name="key-takeaways-2"/>
    <w:p>
      <w:pPr>
        <w:pStyle w:val="Heading4"/>
      </w:pPr>
      <w:r>
        <w:t xml:space="preserve">Key Takeaways</w:t>
      </w:r>
    </w:p>
    <w:p>
      <w:pPr>
        <w:numPr>
          <w:ilvl w:val="0"/>
          <w:numId w:val="1004"/>
        </w:numPr>
        <w:pStyle w:val="Compact"/>
      </w:pPr>
      <w:r>
        <w:t xml:space="preserve">Discrete variables use a probability mass function and sums; continuous variables use a probability density function and integrals, with the CDF applying uniformly to both.</w:t>
      </w:r>
    </w:p>
    <w:p>
      <w:pPr>
        <w:numPr>
          <w:ilvl w:val="0"/>
          <w:numId w:val="1004"/>
        </w:numPr>
        <w:pStyle w:val="Compact"/>
      </w:pPr>
      <w:r>
        <w:t xml:space="preserve">Expectation and variance of a random variable are the theoretical, probability-weighted analogues of the sample mean and variance from descriptive statistics.</w:t>
      </w:r>
    </w:p>
    <w:p>
      <w:pPr>
        <w:numPr>
          <w:ilvl w:val="0"/>
          <w:numId w:val="1004"/>
        </w:numPr>
        <w:pStyle w:val="Compact"/>
      </w:pPr>
      <w:r>
        <w:t xml:space="preserve">The binomial (fixed trials, success/failure), Poisson (rate-based event counts), and normal (continuous, bell-shaped) distributions are the three most important named distributions, each with specific defining assumptions.</w:t>
      </w:r>
    </w:p>
    <w:p>
      <w:pPr>
        <w:numPr>
          <w:ilvl w:val="0"/>
          <w:numId w:val="1004"/>
        </w:numPr>
        <w:pStyle w:val="Compact"/>
      </w:pPr>
      <w:r>
        <w:t xml:space="preserve">The Poisson can approximate the binomial for rare events over many trials; the normal can approximate the binomial when both np and n(1−p) are sufficiently large.</w:t>
      </w:r>
    </w:p>
    <w:p>
      <w:pPr>
        <w:numPr>
          <w:ilvl w:val="0"/>
          <w:numId w:val="1004"/>
        </w:numPr>
        <w:pStyle w:val="Compact"/>
      </w:pPr>
      <w:r>
        <w:t xml:space="preserve">Correctly matching a real scenario’s assumptions to the appropriate distribution — not just applying a familiar formula — is the essential applied skill.</w:t>
      </w:r>
    </w:p>
    <w:bookmarkEnd w:id="45"/>
    <w:bookmarkEnd w:id="46"/>
    <w:bookmarkStart w:id="55" w:name="regression-and-correlation"/>
    <w:p>
      <w:pPr>
        <w:pStyle w:val="Heading3"/>
      </w:pPr>
      <w:r>
        <w:t xml:space="preserve">4. Regression and Correlation</w:t>
      </w:r>
    </w:p>
    <w:bookmarkStart w:id="47" w:name="introduction-3"/>
    <w:p>
      <w:pPr>
        <w:pStyle w:val="Heading4"/>
      </w:pPr>
      <w:r>
        <w:t xml:space="preserve">Introduction</w:t>
      </w:r>
    </w:p>
    <w:p>
      <w:pPr>
        <w:pStyle w:val="FirstParagraph"/>
      </w:pPr>
      <w:r>
        <w:t xml:space="preserve">Regression and correlation quantify relationships between two (or more) variables — moving from the single-variable summaries of Chapter 1 to describing how variables move together, and forming the foundation of predictive statistical modelling.</w:t>
      </w:r>
    </w:p>
    <w:bookmarkEnd w:id="47"/>
    <w:bookmarkStart w:id="48" w:name="scatter-diagrams"/>
    <w:p>
      <w:pPr>
        <w:pStyle w:val="Heading4"/>
      </w:pPr>
      <w:r>
        <w:t xml:space="preserve">1. Scatter diagrams</w:t>
      </w:r>
    </w:p>
    <w:p>
      <w:pPr>
        <w:pStyle w:val="FirstParagraph"/>
      </w:pPr>
      <w:r>
        <w:t xml:space="preserve">A</w:t>
      </w:r>
      <w:r>
        <w:t xml:space="preserve"> </w:t>
      </w:r>
      <w:r>
        <w:rPr>
          <w:bCs/>
          <w:b/>
        </w:rPr>
        <w:t xml:space="preserve">scatter diagram</w:t>
      </w:r>
      <w:r>
        <w:t xml:space="preserve"> </w:t>
      </w:r>
      <w:r>
        <w:t xml:space="preserve">plots paired observations of two variables against each other, providing an immediate visual impression of whether a relationship exists, its rough form (linear or otherwise), its direction (positive or negative), and its strength — this visual step should always precede any numerical correlation or regression calculation, since it can reveal patterns (such as clear non-linearity, or the influence of outliers) that summary numbers alone can obscure or misrepresent.</w:t>
      </w:r>
    </w:p>
    <w:bookmarkEnd w:id="48"/>
    <w:bookmarkStart w:id="49" w:name="X9c2626eba15100ecf2c0a8554f428b0e1e9da16"/>
    <w:p>
      <w:pPr>
        <w:pStyle w:val="Heading4"/>
      </w:pPr>
      <w:r>
        <w:t xml:space="preserve">2. Correlation coefficient and interpretation</w:t>
      </w:r>
    </w:p>
    <w:p>
      <w:pPr>
        <w:pStyle w:val="FirstParagraph"/>
      </w:pPr>
      <w:r>
        <w:t xml:space="preserve">The</w:t>
      </w:r>
      <w:r>
        <w:t xml:space="preserve"> </w:t>
      </w:r>
      <w:r>
        <w:rPr>
          <w:bCs/>
          <w:b/>
        </w:rPr>
        <w:t xml:space="preserve">Pearson correlation coefficient</w:t>
      </w:r>
      <w:r>
        <w:t xml:space="preserve">, r, measures the strength and direction of a</w:t>
      </w:r>
      <w:r>
        <w:t xml:space="preserve"> </w:t>
      </w:r>
      <w:r>
        <w:rPr>
          <w:iCs/>
          <w:i/>
        </w:rPr>
        <w:t xml:space="preserve">linear</w:t>
      </w:r>
      <w:r>
        <w:t xml:space="preserve"> </w:t>
      </w:r>
      <w:r>
        <w:t xml:space="preserve">relationship between two variables, ranging from −1 (perfect negative linear relationship) through 0 (no linear relationship) to +1 (perfect positive linear relationship). Critically, r measures only linear association — two variables can have a strong, obvious non-linear relationship (like a perfect curve) while still producing a correlation coefficient near zero, which is exactly why the scatter diagram of point 1 must always be checked first.</w:t>
      </w:r>
    </w:p>
    <w:bookmarkEnd w:id="49"/>
    <w:bookmarkStart w:id="50" w:name="simple-linear-regression"/>
    <w:p>
      <w:pPr>
        <w:pStyle w:val="Heading4"/>
      </w:pPr>
      <w:r>
        <w:t xml:space="preserve">3. Simple linear regression</w:t>
      </w:r>
    </w:p>
    <w:p>
      <w:pPr>
        <w:pStyle w:val="FirstParagraph"/>
      </w:pPr>
      <w:r>
        <w:rPr>
          <w:bCs/>
          <w:b/>
        </w:rPr>
        <w:t xml:space="preserve">Simple linear regression</w:t>
      </w:r>
      <w:r>
        <w:t xml:space="preserve"> </w:t>
      </w:r>
      <w:r>
        <w:t xml:space="preserve">fits a straight line, ŷ = a + bx, to describe how a response variable y depends on a single explanatory variable x, allowing prediction of y for a given x value. Unlike correlation (which is symmetric between the two variables), regression is directional — it specifically models y as depending on x, and swapping which variable is treated as the response generally produces a different line.</w:t>
      </w:r>
    </w:p>
    <w:bookmarkEnd w:id="50"/>
    <w:bookmarkStart w:id="51" w:name="the-least-squares-idea"/>
    <w:p>
      <w:pPr>
        <w:pStyle w:val="Heading4"/>
      </w:pPr>
      <w:r>
        <w:t xml:space="preserve">4. The least-squares idea</w:t>
      </w:r>
    </w:p>
    <w:p>
      <w:pPr>
        <w:pStyle w:val="FirstParagraph"/>
      </w:pPr>
      <w:r>
        <w:t xml:space="preserve">The regression line’s coefficients (a, b) are chosen by the</w:t>
      </w:r>
      <w:r>
        <w:t xml:space="preserve"> </w:t>
      </w:r>
      <w:r>
        <w:rPr>
          <w:bCs/>
          <w:b/>
        </w:rPr>
        <w:t xml:space="preserve">method of least squares</w:t>
      </w:r>
      <w:r>
        <w:t xml:space="preserve">: minimising the sum of squared vertical distances between each observed data point and the fitted line (the</w:t>
      </w:r>
      <w:r>
        <w:t xml:space="preserve"> </w:t>
      </w:r>
      <w:r>
        <w:rPr>
          <w:bCs/>
          <w:b/>
        </w:rPr>
        <w:t xml:space="preserve">residuals</w:t>
      </w:r>
      <w:r>
        <w:t xml:space="preserve">). Squaring the residuals before summing serves two purposes: it prevents positive and negative residuals from cancelling each other out, and it penalises larger deviations disproportionately more than smaller ones, so the fitted line is pulled toward minimising the largest errors especially.</w:t>
      </w:r>
    </w:p>
    <w:bookmarkEnd w:id="51"/>
    <w:bookmarkStart w:id="52" w:name="regression-coefficients-and-prediction"/>
    <w:p>
      <w:pPr>
        <w:pStyle w:val="Heading4"/>
      </w:pPr>
      <w:r>
        <w:t xml:space="preserve">5. Regression coefficients and prediction</w:t>
      </w:r>
    </w:p>
    <w:p>
      <w:pPr>
        <w:pStyle w:val="FirstParagraph"/>
      </w:pPr>
      <w:r>
        <w:t xml:space="preserve">The</w:t>
      </w:r>
      <w:r>
        <w:t xml:space="preserve"> </w:t>
      </w:r>
      <w:r>
        <w:rPr>
          <w:bCs/>
          <w:b/>
        </w:rPr>
        <w:t xml:space="preserve">slope</w:t>
      </w:r>
      <w:r>
        <w:t xml:space="preserve"> </w:t>
      </w:r>
      <w:r>
        <w:t xml:space="preserve">(b) represents the predicted change in y for a one-unit increase in x, expressed in the actual units of both variables (essential for meaningful interpretation — a slope of 2 means something entirely different depending on whether x is measured in years or seconds). The</w:t>
      </w:r>
      <w:r>
        <w:t xml:space="preserve"> </w:t>
      </w:r>
      <w:r>
        <w:rPr>
          <w:bCs/>
          <w:b/>
        </w:rPr>
        <w:t xml:space="preserve">intercept</w:t>
      </w:r>
      <w:r>
        <w:t xml:space="preserve"> </w:t>
      </w:r>
      <w:r>
        <w:t xml:space="preserve">(a) is the predicted value of y when x = 0, though this value is only practically meaningful if x = 0 falls within, or reasonably near, the range of the actually observed data.</w:t>
      </w:r>
    </w:p>
    <w:bookmarkEnd w:id="52"/>
    <w:bookmarkStart w:id="53" w:name="X67781ccfd9277c0354059effc513d9d902c304d"/>
    <w:p>
      <w:pPr>
        <w:pStyle w:val="Heading4"/>
      </w:pPr>
      <w:r>
        <w:t xml:space="preserve">6. Limits of association and the distinction from causation</w:t>
      </w:r>
    </w:p>
    <w:p>
      <w:pPr>
        <w:pStyle w:val="FirstParagraph"/>
      </w:pPr>
      <w:r>
        <w:t xml:space="preserve">A regression or correlation result describes only statistical association between two variables — it does not, by itself, establish that changes in one variable actually</w:t>
      </w:r>
      <w:r>
        <w:t xml:space="preserve"> </w:t>
      </w:r>
      <w:r>
        <w:rPr>
          <w:iCs/>
          <w:i/>
        </w:rPr>
        <w:t xml:space="preserve">cause</w:t>
      </w:r>
      <w:r>
        <w:t xml:space="preserve"> </w:t>
      </w:r>
      <w:r>
        <w:t xml:space="preserve">changes in the other. A strong relationship may instead arise from a</w:t>
      </w:r>
      <w:r>
        <w:t xml:space="preserve"> </w:t>
      </w:r>
      <w:r>
        <w:rPr>
          <w:bCs/>
          <w:b/>
        </w:rPr>
        <w:t xml:space="preserve">confounding variable</w:t>
      </w:r>
      <w:r>
        <w:t xml:space="preserve"> </w:t>
      </w:r>
      <w:r>
        <w:t xml:space="preserve">influencing both, from reverse causation, or from pure coincidence, particularly in small samples. Similarly,</w:t>
      </w:r>
      <w:r>
        <w:t xml:space="preserve"> </w:t>
      </w:r>
      <w:r>
        <w:rPr>
          <w:bCs/>
          <w:b/>
        </w:rPr>
        <w:t xml:space="preserve">extrapolating</w:t>
      </w:r>
      <w:r>
        <w:t xml:space="preserve"> </w:t>
      </w:r>
      <w:r>
        <w:t xml:space="preserve">a fitted regression line far beyond the range of the observed data assumes the same linear relationship continues to hold outside that range — an assumption that frequently fails in practice and should always be flagged as a limitation when a question invites prediction outside the observed range.</w:t>
      </w:r>
    </w:p>
    <w:bookmarkEnd w:id="53"/>
    <w:bookmarkStart w:id="54" w:name="key-takeaways-3"/>
    <w:p>
      <w:pPr>
        <w:pStyle w:val="Heading4"/>
      </w:pPr>
      <w:r>
        <w:t xml:space="preserve">Key Takeaways</w:t>
      </w:r>
    </w:p>
    <w:p>
      <w:pPr>
        <w:numPr>
          <w:ilvl w:val="0"/>
          <w:numId w:val="1005"/>
        </w:numPr>
        <w:pStyle w:val="Compact"/>
      </w:pPr>
      <w:r>
        <w:t xml:space="preserve">A scatter diagram should always be examined before calculating correlation or regression, since it reveals patterns (non-linearity, outliers) that summary statistics can miss or misrepresent.</w:t>
      </w:r>
    </w:p>
    <w:p>
      <w:pPr>
        <w:numPr>
          <w:ilvl w:val="0"/>
          <w:numId w:val="1005"/>
        </w:numPr>
        <w:pStyle w:val="Compact"/>
      </w:pPr>
      <w:r>
        <w:t xml:space="preserve">The Pearson correlation coefficient measures only linear association; a near-zero value does not rule out a strong non-linear relationship.</w:t>
      </w:r>
    </w:p>
    <w:p>
      <w:pPr>
        <w:numPr>
          <w:ilvl w:val="0"/>
          <w:numId w:val="1005"/>
        </w:numPr>
        <w:pStyle w:val="Compact"/>
      </w:pPr>
      <w:r>
        <w:t xml:space="preserve">Regression is directional (models y depending on x) while correlation is symmetric; the least-squares method fits the line by minimising the sum of squared residuals.</w:t>
      </w:r>
    </w:p>
    <w:p>
      <w:pPr>
        <w:numPr>
          <w:ilvl w:val="0"/>
          <w:numId w:val="1005"/>
        </w:numPr>
        <w:pStyle w:val="Compact"/>
      </w:pPr>
      <w:r>
        <w:t xml:space="preserve">The slope and intercept must be interpreted in the actual units and range of the data; the intercept is meaningful only near x = 0 if data exists there.</w:t>
      </w:r>
    </w:p>
    <w:p>
      <w:pPr>
        <w:numPr>
          <w:ilvl w:val="0"/>
          <w:numId w:val="1005"/>
        </w:numPr>
        <w:pStyle w:val="Compact"/>
      </w:pPr>
      <w:r>
        <w:t xml:space="preserve">Statistical association (correlation/regression) never by itself establishes causation, and extrapolating beyond the observed data range is a specific, frequently tested limitation.</w:t>
      </w:r>
    </w:p>
    <w:bookmarkEnd w:id="54"/>
    <w:bookmarkEnd w:id="55"/>
    <w:bookmarkStart w:id="63" w:name="non-parametric-methods"/>
    <w:p>
      <w:pPr>
        <w:pStyle w:val="Heading3"/>
      </w:pPr>
      <w:r>
        <w:t xml:space="preserve">5. Non-Parametric Methods</w:t>
      </w:r>
    </w:p>
    <w:bookmarkStart w:id="56" w:name="introduction-4"/>
    <w:p>
      <w:pPr>
        <w:pStyle w:val="Heading4"/>
      </w:pPr>
      <w:r>
        <w:t xml:space="preserve">Introduction</w:t>
      </w:r>
    </w:p>
    <w:p>
      <w:pPr>
        <w:pStyle w:val="FirstParagraph"/>
      </w:pPr>
      <w:r>
        <w:t xml:space="preserve">Non-parametric methods provide statistical tests that do not rely on assuming a specific underlying distribution (such as the normal distribution assumed by many standard,</w:t>
      </w:r>
      <w:r>
        <w:t xml:space="preserve"> </w:t>
      </w:r>
      <w:r>
        <w:t xml:space="preserve">“</w:t>
      </w:r>
      <w:r>
        <w:t xml:space="preserve">parametric</w:t>
      </w:r>
      <w:r>
        <w:t xml:space="preserve">”</w:t>
      </w:r>
      <w:r>
        <w:t xml:space="preserve"> </w:t>
      </w:r>
      <w:r>
        <w:t xml:space="preserve">tests) — essential when data is ranked/ordinal, clearly non-normal, or when sample sizes are too small to verify distributional assumptions confidently.</w:t>
      </w:r>
    </w:p>
    <w:bookmarkEnd w:id="56"/>
    <w:bookmarkStart w:id="57" w:name="rank-based-methods"/>
    <w:p>
      <w:pPr>
        <w:pStyle w:val="Heading4"/>
      </w:pPr>
      <w:r>
        <w:t xml:space="preserve">1. Rank-based methods</w:t>
      </w:r>
    </w:p>
    <w:p>
      <w:pPr>
        <w:pStyle w:val="FirstParagraph"/>
      </w:pPr>
      <w:r>
        <w:t xml:space="preserve">Rank-based methods replace actual data values with their</w:t>
      </w:r>
      <w:r>
        <w:t xml:space="preserve"> </w:t>
      </w:r>
      <w:r>
        <w:rPr>
          <w:bCs/>
          <w:b/>
        </w:rPr>
        <w:t xml:space="preserve">ranks</w:t>
      </w:r>
      <w:r>
        <w:t xml:space="preserve"> </w:t>
      </w:r>
      <w:r>
        <w:t xml:space="preserve">(their position when data is ordered from smallest to largest) before analysis, making the test valid regardless of the data’s original distribution shape, and also more robust to outliers (since an extreme value’s rank is bounded, unlike its actual magnitude). This approach underlies procedures such as the Mann–Whitney U test (comparing two independent samples) and the Kruskal–Wallis test (comparing more than two independent samples) — the non-parametric analogues of the parametric t-test and ANOVA respectively.</w:t>
      </w:r>
    </w:p>
    <w:bookmarkEnd w:id="57"/>
    <w:bookmarkStart w:id="58" w:name="sign-type-procedures"/>
    <w:p>
      <w:pPr>
        <w:pStyle w:val="Heading4"/>
      </w:pPr>
      <w:r>
        <w:t xml:space="preserve">2. Sign-type procedures</w:t>
      </w:r>
    </w:p>
    <w:p>
      <w:pPr>
        <w:pStyle w:val="FirstParagraph"/>
      </w:pPr>
      <w:r>
        <w:rPr>
          <w:bCs/>
          <w:b/>
        </w:rPr>
        <w:t xml:space="preserve">Sign tests</w:t>
      </w:r>
      <w:r>
        <w:t xml:space="preserve"> </w:t>
      </w:r>
      <w:r>
        <w:t xml:space="preserve">examine only the direction (positive or negative sign) of differences between paired observations, ignoring the magnitude of each difference entirely — this makes them applicable even when the actual size of a difference is unreliable or unavailable, but also means they use less of the available information than a method that does account for magnitude (such as the more powerful Wilcoxon signed-rank test, which ranks the absolute differences before applying signs).</w:t>
      </w:r>
    </w:p>
    <w:bookmarkEnd w:id="58"/>
    <w:bookmarkStart w:id="59" w:name="chi-square-type-categorical-methods"/>
    <w:p>
      <w:pPr>
        <w:pStyle w:val="Heading4"/>
      </w:pPr>
      <w:r>
        <w:t xml:space="preserve">3. Chi-square-type categorical methods</w:t>
      </w:r>
    </w:p>
    <w:p>
      <w:pPr>
        <w:pStyle w:val="FirstParagraph"/>
      </w:pPr>
      <w:r>
        <w:t xml:space="preserve">The</w:t>
      </w:r>
      <w:r>
        <w:t xml:space="preserve"> </w:t>
      </w:r>
      <w:r>
        <w:rPr>
          <w:bCs/>
          <w:b/>
        </w:rPr>
        <w:t xml:space="preserve">chi-square test</w:t>
      </w:r>
      <w:r>
        <w:t xml:space="preserve"> </w:t>
      </w:r>
      <w:r>
        <w:t xml:space="preserve">compares observed category frequencies against those expected under some hypothesis, testing goodness-of-fit (whether one categorical variable follows a specified distribution) or independence (whether two categorical variables are related, using a contingency table of observed counts) — appropriate specifically for categorical (count) data, in contrast to the ranked/continuous data handled by the other methods in this chapter.</w:t>
      </w:r>
    </w:p>
    <w:bookmarkEnd w:id="59"/>
    <w:bookmarkStart w:id="60" w:name="X2c1c4eec8264e15a975ece0e94707a88bb5f4b1"/>
    <w:p>
      <w:pPr>
        <w:pStyle w:val="Heading4"/>
      </w:pPr>
      <w:r>
        <w:t xml:space="preserve">4. Situations for choosing non-parametric tests</w:t>
      </w:r>
    </w:p>
    <w:p>
      <w:pPr>
        <w:pStyle w:val="FirstParagraph"/>
      </w:pPr>
      <w:r>
        <w:t xml:space="preserve">Non-parametric tests are preferred over their parametric counterparts when: the data is ordinal (naturally ranked rather than measured on an interval scale), the sample size is small and normality cannot be verified or reasonably assumed, or the data contains extreme outliers that would unduly distort a parametric test’s results. The trade-off is that non-parametric tests are generally somewhat less statistically powerful than an appropriate parametric test would be</w:t>
      </w:r>
      <w:r>
        <w:t xml:space="preserve"> </w:t>
      </w:r>
      <w:r>
        <w:rPr>
          <w:iCs/>
          <w:i/>
        </w:rPr>
        <w:t xml:space="preserve">if</w:t>
      </w:r>
      <w:r>
        <w:t xml:space="preserve"> </w:t>
      </w:r>
      <w:r>
        <w:t xml:space="preserve">the parametric test’s assumptions genuinely held — non-parametric methods are the safer, more robust choice, at some cost in efficiency, when those assumptions are in genuine doubt.</w:t>
      </w:r>
    </w:p>
    <w:bookmarkEnd w:id="60"/>
    <w:bookmarkStart w:id="61" w:name="interpretation-of-test-results"/>
    <w:p>
      <w:pPr>
        <w:pStyle w:val="Heading4"/>
      </w:pPr>
      <w:r>
        <w:t xml:space="preserve">5. Interpretation of test results</w:t>
      </w:r>
    </w:p>
    <w:p>
      <w:pPr>
        <w:pStyle w:val="FirstParagraph"/>
      </w:pPr>
      <w:r>
        <w:t xml:space="preserve">As with any hypothesis test (developed formally in Chapter 7), interpreting a non-parametric test’s result means relating its p-value to a pre-chosen significance level, and — importantly — restating the conclusion in terms of the ranks or signs actually analysed (e.g.,</w:t>
      </w:r>
      <w:r>
        <w:t xml:space="preserve"> </w:t>
      </w:r>
      <w:r>
        <w:t xml:space="preserve">“</w:t>
      </w:r>
      <w:r>
        <w:t xml:space="preserve">the median of population A is significantly different from that of population B</w:t>
      </w:r>
      <w:r>
        <w:t xml:space="preserve">”</w:t>
      </w:r>
      <w:r>
        <w:t xml:space="preserve">), rather than incorrectly claiming a difference in means, which these particular methods do not directly test.</w:t>
      </w:r>
    </w:p>
    <w:bookmarkEnd w:id="61"/>
    <w:bookmarkStart w:id="62" w:name="key-takeaways-4"/>
    <w:p>
      <w:pPr>
        <w:pStyle w:val="Heading4"/>
      </w:pPr>
      <w:r>
        <w:t xml:space="preserve">Key Takeaways</w:t>
      </w:r>
    </w:p>
    <w:p>
      <w:pPr>
        <w:numPr>
          <w:ilvl w:val="0"/>
          <w:numId w:val="1006"/>
        </w:numPr>
        <w:pStyle w:val="Compact"/>
      </w:pPr>
      <w:r>
        <w:t xml:space="preserve">Non-parametric methods avoid assuming a specific underlying distribution, at some cost in statistical power compared to a valid parametric alternative.</w:t>
      </w:r>
    </w:p>
    <w:p>
      <w:pPr>
        <w:numPr>
          <w:ilvl w:val="0"/>
          <w:numId w:val="1006"/>
        </w:numPr>
        <w:pStyle w:val="Compact"/>
      </w:pPr>
      <w:r>
        <w:t xml:space="preserve">Rank-based tests (Mann–Whitney, Kruskal–Wallis) are robust non-parametric analogues of the t-test and ANOVA; sign-type tests use only the direction, not magnitude, of paired differences.</w:t>
      </w:r>
    </w:p>
    <w:p>
      <w:pPr>
        <w:numPr>
          <w:ilvl w:val="0"/>
          <w:numId w:val="1006"/>
        </w:numPr>
        <w:pStyle w:val="Compact"/>
      </w:pPr>
      <w:r>
        <w:t xml:space="preserve">The chi-square test is specifically suited to categorical/count data, testing goodness-of-fit or independence between categorical variables.</w:t>
      </w:r>
    </w:p>
    <w:p>
      <w:pPr>
        <w:numPr>
          <w:ilvl w:val="0"/>
          <w:numId w:val="1006"/>
        </w:numPr>
        <w:pStyle w:val="Compact"/>
      </w:pPr>
      <w:r>
        <w:t xml:space="preserve">Non-parametric tests are preferred for ordinal data, small samples of uncertain distribution, or data with extreme outliers.</w:t>
      </w:r>
    </w:p>
    <w:p>
      <w:pPr>
        <w:numPr>
          <w:ilvl w:val="0"/>
          <w:numId w:val="1006"/>
        </w:numPr>
        <w:pStyle w:val="Compact"/>
      </w:pPr>
      <w:r>
        <w:t xml:space="preserve">Results should be interpreted in terms of the actual quantity tested (often medians or ranks), not incorrectly generalised to means.</w:t>
      </w:r>
    </w:p>
    <w:bookmarkEnd w:id="62"/>
    <w:bookmarkEnd w:id="63"/>
    <w:bookmarkStart w:id="72" w:name="sampling-and-sampling-distributions"/>
    <w:p>
      <w:pPr>
        <w:pStyle w:val="Heading3"/>
      </w:pPr>
      <w:r>
        <w:t xml:space="preserve">6. Sampling and Sampling Distributions</w:t>
      </w:r>
    </w:p>
    <w:bookmarkStart w:id="64" w:name="introduction-5"/>
    <w:p>
      <w:pPr>
        <w:pStyle w:val="Heading4"/>
      </w:pPr>
      <w:r>
        <w:t xml:space="preserve">Introduction</w:t>
      </w:r>
    </w:p>
    <w:p>
      <w:pPr>
        <w:pStyle w:val="FirstParagraph"/>
      </w:pPr>
      <w:r>
        <w:t xml:space="preserve">Since studying an entire population is usually impractical, statistics relies on drawing conclusions from a representative sample — this chapter covers how samples should be drawn and how sample-based statistics behave, providing the theoretical bridge to formal inference in Chapter 7.</w:t>
      </w:r>
    </w:p>
    <w:bookmarkEnd w:id="64"/>
    <w:bookmarkStart w:id="65" w:name="X15caebb6969d68ccb3450503c8941125dcf51d2"/>
    <w:p>
      <w:pPr>
        <w:pStyle w:val="Heading4"/>
      </w:pPr>
      <w:r>
        <w:t xml:space="preserve">1. Population, sample, parameter, and statistic</w:t>
      </w:r>
    </w:p>
    <w:p>
      <w:pPr>
        <w:pStyle w:val="FirstParagraph"/>
      </w:pPr>
      <w:r>
        <w:t xml:space="preserve">The</w:t>
      </w:r>
      <w:r>
        <w:t xml:space="preserve"> </w:t>
      </w:r>
      <w:r>
        <w:rPr>
          <w:bCs/>
          <w:b/>
        </w:rPr>
        <w:t xml:space="preserve">population</w:t>
      </w:r>
      <w:r>
        <w:t xml:space="preserve"> </w:t>
      </w:r>
      <w:r>
        <w:t xml:space="preserve">is the complete set of individuals or items of interest; a</w:t>
      </w:r>
      <w:r>
        <w:t xml:space="preserve"> </w:t>
      </w:r>
      <w:r>
        <w:rPr>
          <w:bCs/>
          <w:b/>
        </w:rPr>
        <w:t xml:space="preserve">sample</w:t>
      </w:r>
      <w:r>
        <w:t xml:space="preserve"> </w:t>
      </w:r>
      <w:r>
        <w:t xml:space="preserve">is a subset of the population actually observed. A</w:t>
      </w:r>
      <w:r>
        <w:t xml:space="preserve"> </w:t>
      </w:r>
      <w:r>
        <w:rPr>
          <w:bCs/>
          <w:b/>
        </w:rPr>
        <w:t xml:space="preserve">parameter</w:t>
      </w:r>
      <w:r>
        <w:t xml:space="preserve"> </w:t>
      </w:r>
      <w:r>
        <w:t xml:space="preserve">is a numerical characteristic of the population (usually unknown, and the actual target of investigation, e.g., the true population mean, μ); a</w:t>
      </w:r>
      <w:r>
        <w:t xml:space="preserve"> </w:t>
      </w:r>
      <w:r>
        <w:rPr>
          <w:bCs/>
          <w:b/>
        </w:rPr>
        <w:t xml:space="preserve">statistic</w:t>
      </w:r>
      <w:r>
        <w:t xml:space="preserve"> </w:t>
      </w:r>
      <w:r>
        <w:t xml:space="preserve">is the corresponding numerical characteristic calculated from the sample (e.g., the sample mean, x̄), used to estimate the unknown parameter.</w:t>
      </w:r>
    </w:p>
    <w:bookmarkEnd w:id="65"/>
    <w:bookmarkStart w:id="66" w:name="probability-sampling-methods"/>
    <w:p>
      <w:pPr>
        <w:pStyle w:val="Heading4"/>
      </w:pPr>
      <w:r>
        <w:t xml:space="preserve">2. Probability sampling methods</w:t>
      </w:r>
    </w:p>
    <w:p>
      <w:pPr>
        <w:pStyle w:val="FirstParagraph"/>
      </w:pPr>
      <w:r>
        <w:rPr>
          <w:bCs/>
          <w:b/>
        </w:rPr>
        <w:t xml:space="preserve">Simple random sampling</w:t>
      </w:r>
      <w:r>
        <w:t xml:space="preserve"> </w:t>
      </w:r>
      <w:r>
        <w:t xml:space="preserve">gives every possible sample of a given size an equal chance of selection.</w:t>
      </w:r>
      <w:r>
        <w:t xml:space="preserve"> </w:t>
      </w:r>
      <w:r>
        <w:rPr>
          <w:bCs/>
          <w:b/>
        </w:rPr>
        <w:t xml:space="preserve">Stratified sampling</w:t>
      </w:r>
      <w:r>
        <w:t xml:space="preserve"> </w:t>
      </w:r>
      <w:r>
        <w:t xml:space="preserve">divides the population into relevant subgroups (strata) and samples separately (often proportionally) from each, ensuring representation of every important subgroup and typically improving precision when the strata differ meaningfully from each other.</w:t>
      </w:r>
      <w:r>
        <w:t xml:space="preserve"> </w:t>
      </w:r>
      <w:r>
        <w:rPr>
          <w:bCs/>
          <w:b/>
        </w:rPr>
        <w:t xml:space="preserve">Systematic sampling</w:t>
      </w:r>
      <w:r>
        <w:t xml:space="preserve"> </w:t>
      </w:r>
      <w:r>
        <w:t xml:space="preserve">selects every kth individual from an ordered list after a random starting point.</w:t>
      </w:r>
      <w:r>
        <w:t xml:space="preserve"> </w:t>
      </w:r>
      <w:r>
        <w:rPr>
          <w:bCs/>
          <w:b/>
        </w:rPr>
        <w:t xml:space="preserve">Cluster sampling</w:t>
      </w:r>
      <w:r>
        <w:t xml:space="preserve"> </w:t>
      </w:r>
      <w:r>
        <w:t xml:space="preserve">divides the population into naturally occurring groups (clusters), randomly selects entire clusters, and samples all (or a further sample of) individuals within the chosen clusters — often more practical and cost-effective for geographically dispersed populations, though generally less statistically efficient than stratified sampling for a given sample size.</w:t>
      </w:r>
    </w:p>
    <w:bookmarkEnd w:id="66"/>
    <w:bookmarkStart w:id="67" w:name="sampling-and-non-sampling-errors"/>
    <w:p>
      <w:pPr>
        <w:pStyle w:val="Heading4"/>
      </w:pPr>
      <w:r>
        <w:t xml:space="preserve">3. Sampling and non-sampling errors</w:t>
      </w:r>
    </w:p>
    <w:p>
      <w:pPr>
        <w:pStyle w:val="FirstParagraph"/>
      </w:pPr>
      <w:r>
        <w:rPr>
          <w:bCs/>
          <w:b/>
        </w:rPr>
        <w:t xml:space="preserve">Sampling error</w:t>
      </w:r>
      <w:r>
        <w:t xml:space="preserve"> </w:t>
      </w:r>
      <w:r>
        <w:t xml:space="preserve">is the unavoidable difference between a sample statistic and the true population parameter, arising simply because a sample is not the entire population — it can be reduced (though never eliminated) by increasing sample size.</w:t>
      </w:r>
      <w:r>
        <w:t xml:space="preserve"> </w:t>
      </w:r>
      <w:r>
        <w:rPr>
          <w:bCs/>
          <w:b/>
        </w:rPr>
        <w:t xml:space="preserve">Non-sampling error</w:t>
      </w:r>
      <w:r>
        <w:t xml:space="preserve"> </w:t>
      </w:r>
      <w:r>
        <w:t xml:space="preserve">arises from flaws in the data collection process itself — such as measurement error, non-response bias (certain types of people systematically failing to respond), or undercoverage (some part of the population having no chance of being selected at all) — and, critically, is not reduced by simply increasing sample size, since a larger flawed sample simply repeats the same flaw more often.</w:t>
      </w:r>
    </w:p>
    <w:bookmarkEnd w:id="67"/>
    <w:bookmarkStart w:id="68" w:name="sampling-distributions"/>
    <w:p>
      <w:pPr>
        <w:pStyle w:val="Heading4"/>
      </w:pPr>
      <w:r>
        <w:t xml:space="preserve">4. Sampling distributions</w:t>
      </w:r>
    </w:p>
    <w:p>
      <w:pPr>
        <w:pStyle w:val="FirstParagraph"/>
      </w:pPr>
      <w:r>
        <w:t xml:space="preserve">A</w:t>
      </w:r>
      <w:r>
        <w:t xml:space="preserve"> </w:t>
      </w:r>
      <w:r>
        <w:rPr>
          <w:bCs/>
          <w:b/>
        </w:rPr>
        <w:t xml:space="preserve">sampling distribution</w:t>
      </w:r>
      <w:r>
        <w:t xml:space="preserve"> </w:t>
      </w:r>
      <w:r>
        <w:t xml:space="preserve">is the probability distribution of a statistic (such as the sample mean) computed over all possible samples of a given size drawn from the population — a theoretical construct essential for inference, since it describes how much a sample statistic would be expected to vary from sample to sample purely by chance, providing the basis for assessing how reliable any single observed sample statistic actually is.</w:t>
      </w:r>
    </w:p>
    <w:bookmarkEnd w:id="68"/>
    <w:bookmarkStart w:id="69" w:name="Xc32299696b694f97b012a1d8ee5295b577d83f3"/>
    <w:p>
      <w:pPr>
        <w:pStyle w:val="Heading4"/>
      </w:pPr>
      <w:r>
        <w:t xml:space="preserve">5. Standard error and the Central Limit Theorem</w:t>
      </w:r>
    </w:p>
    <w:p>
      <w:pPr>
        <w:pStyle w:val="FirstParagraph"/>
      </w:pPr>
      <w:r>
        <w:t xml:space="preserve">The</w:t>
      </w:r>
      <w:r>
        <w:t xml:space="preserve"> </w:t>
      </w:r>
      <w:r>
        <w:rPr>
          <w:bCs/>
          <w:b/>
        </w:rPr>
        <w:t xml:space="preserve">standard error</w:t>
      </w:r>
      <w:r>
        <w:t xml:space="preserve"> </w:t>
      </w:r>
      <w:r>
        <w:t xml:space="preserve">is the standard deviation of a sampling distribution (most commonly, of the sample mean, where it equals σ/√n) — it decreases as sample size increases, showing that larger samples give more precise (less variable) estimates of the population parameter. The</w:t>
      </w:r>
      <w:r>
        <w:t xml:space="preserve"> </w:t>
      </w:r>
      <w:r>
        <w:rPr>
          <w:bCs/>
          <w:b/>
        </w:rPr>
        <w:t xml:space="preserve">Central Limit Theorem</w:t>
      </w:r>
      <w:r>
        <w:t xml:space="preserve"> </w:t>
      </w:r>
      <w:r>
        <w:t xml:space="preserve">states that, for a sufficiently large sample size, the sampling distribution of the sample mean approaches a normal distribution,</w:t>
      </w:r>
      <w:r>
        <w:t xml:space="preserve"> </w:t>
      </w:r>
      <w:r>
        <w:rPr>
          <w:iCs/>
          <w:i/>
        </w:rPr>
        <w:t xml:space="preserve">regardless of the shape of the original population’s distribution</w:t>
      </w:r>
      <w:r>
        <w:t xml:space="preserve"> </w:t>
      </w:r>
      <w:r>
        <w:t xml:space="preserve">— a remarkably powerful result that justifies using normal-distribution-based methods (confidence intervals, hypothesis tests, Chapter 7) even when the underlying population itself is not normally distributed.</w:t>
      </w:r>
    </w:p>
    <w:bookmarkEnd w:id="69"/>
    <w:bookmarkStart w:id="70" w:name="sample-size-and-survey-design"/>
    <w:p>
      <w:pPr>
        <w:pStyle w:val="Heading4"/>
      </w:pPr>
      <w:r>
        <w:t xml:space="preserve">6. Sample size and survey design</w:t>
      </w:r>
    </w:p>
    <w:p>
      <w:pPr>
        <w:pStyle w:val="FirstParagraph"/>
      </w:pPr>
      <w:r>
        <w:t xml:space="preserve">Determining an appropriate</w:t>
      </w:r>
      <w:r>
        <w:t xml:space="preserve"> </w:t>
      </w:r>
      <w:r>
        <w:rPr>
          <w:bCs/>
          <w:b/>
        </w:rPr>
        <w:t xml:space="preserve">sample size</w:t>
      </w:r>
      <w:r>
        <w:t xml:space="preserve"> </w:t>
      </w:r>
      <w:r>
        <w:t xml:space="preserve">balances the desired precision (a smaller standard error, achieved with a larger sample) against practical constraints of cost, time, and feasibility — formal sample-size calculations typically specify a desired margin of error and confidence level in advance and solve for the required n. Good</w:t>
      </w:r>
      <w:r>
        <w:t xml:space="preserve"> </w:t>
      </w:r>
      <w:r>
        <w:rPr>
          <w:bCs/>
          <w:b/>
        </w:rPr>
        <w:t xml:space="preserve">survey design</w:t>
      </w:r>
      <w:r>
        <w:t xml:space="preserve"> </w:t>
      </w:r>
      <w:r>
        <w:t xml:space="preserve">requires deliberately anticipating and minimising non-sampling error sources (careful, unambiguous question wording, appropriate sampling frame, and strategies to maximise response rate) since, as established in point 3, these errors cannot be corrected after the fact simply by collecting more data.</w:t>
      </w:r>
    </w:p>
    <w:bookmarkEnd w:id="70"/>
    <w:bookmarkStart w:id="71" w:name="key-takeaways-5"/>
    <w:p>
      <w:pPr>
        <w:pStyle w:val="Heading4"/>
      </w:pPr>
      <w:r>
        <w:t xml:space="preserve">Key Takeaways</w:t>
      </w:r>
    </w:p>
    <w:p>
      <w:pPr>
        <w:numPr>
          <w:ilvl w:val="0"/>
          <w:numId w:val="1007"/>
        </w:numPr>
        <w:pStyle w:val="Compact"/>
      </w:pPr>
      <w:r>
        <w:t xml:space="preserve">A statistic (from a sample) estimates a parameter (of the population); the four common probability sampling methods (simple random, stratified, systematic, cluster) differ in structure and typical efficiency.</w:t>
      </w:r>
    </w:p>
    <w:p>
      <w:pPr>
        <w:numPr>
          <w:ilvl w:val="0"/>
          <w:numId w:val="1007"/>
        </w:numPr>
        <w:pStyle w:val="Compact"/>
      </w:pPr>
      <w:r>
        <w:t xml:space="preserve">Sampling error is unavoidable but shrinks with larger samples; non-sampling error stems from flawed data collection and is not fixed by increasing sample size.</w:t>
      </w:r>
    </w:p>
    <w:p>
      <w:pPr>
        <w:numPr>
          <w:ilvl w:val="0"/>
          <w:numId w:val="1007"/>
        </w:numPr>
        <w:pStyle w:val="Compact"/>
      </w:pPr>
      <w:r>
        <w:t xml:space="preserve">A sampling distribution describes how a statistic varies across all possible samples, underlying the standard error and all of formal statistical inference.</w:t>
      </w:r>
    </w:p>
    <w:p>
      <w:pPr>
        <w:numPr>
          <w:ilvl w:val="0"/>
          <w:numId w:val="1007"/>
        </w:numPr>
        <w:pStyle w:val="Compact"/>
      </w:pPr>
      <w:r>
        <w:t xml:space="preserve">The Central Limit Theorem’s power lies in guaranteeing approximate normality of the sample mean’s distribution for large samples, regardless of the original population’s shape.</w:t>
      </w:r>
    </w:p>
    <w:p>
      <w:pPr>
        <w:numPr>
          <w:ilvl w:val="0"/>
          <w:numId w:val="1007"/>
        </w:numPr>
        <w:pStyle w:val="Compact"/>
      </w:pPr>
      <w:r>
        <w:t xml:space="preserve">Sample-size determination and careful survey design both aim to control precision and error, but only sample size addresses sampling error — survey design must separately address non-sampling error.</w:t>
      </w:r>
    </w:p>
    <w:bookmarkEnd w:id="71"/>
    <w:bookmarkEnd w:id="72"/>
    <w:bookmarkStart w:id="81" w:name="statistical-inference"/>
    <w:p>
      <w:pPr>
        <w:pStyle w:val="Heading3"/>
      </w:pPr>
      <w:r>
        <w:t xml:space="preserve">7. Statistical Inference</w:t>
      </w:r>
    </w:p>
    <w:bookmarkStart w:id="73" w:name="introduction-6"/>
    <w:p>
      <w:pPr>
        <w:pStyle w:val="Heading4"/>
      </w:pPr>
      <w:r>
        <w:t xml:space="preserve">Introduction</w:t>
      </w:r>
    </w:p>
    <w:p>
      <w:pPr>
        <w:pStyle w:val="FirstParagraph"/>
      </w:pPr>
      <w:r>
        <w:t xml:space="preserve">Statistical inference uses sample data (and the sampling-distribution theory of Chapter 6) to draw formal conclusions about an unknown population — the two main tools, estimation and hypothesis testing, are two sides of the same inferential coin, and this chapter is arguably the practical core of the entire subject.</w:t>
      </w:r>
    </w:p>
    <w:bookmarkEnd w:id="73"/>
    <w:bookmarkStart w:id="74" w:name="point-and-interval-estimation"/>
    <w:p>
      <w:pPr>
        <w:pStyle w:val="Heading4"/>
      </w:pPr>
      <w:r>
        <w:t xml:space="preserve">1. Point and interval estimation</w:t>
      </w:r>
    </w:p>
    <w:p>
      <w:pPr>
        <w:pStyle w:val="FirstParagraph"/>
      </w:pPr>
      <w:r>
        <w:t xml:space="preserve">A</w:t>
      </w:r>
      <w:r>
        <w:t xml:space="preserve"> </w:t>
      </w:r>
      <w:r>
        <w:rPr>
          <w:bCs/>
          <w:b/>
        </w:rPr>
        <w:t xml:space="preserve">point estimate</w:t>
      </w:r>
      <w:r>
        <w:t xml:space="preserve"> </w:t>
      </w:r>
      <w:r>
        <w:t xml:space="preserve">is a single numerical guess for an unknown population parameter (e.g., the sample mean, x̄, as an estimate of the population mean, μ). An</w:t>
      </w:r>
      <w:r>
        <w:t xml:space="preserve"> </w:t>
      </w:r>
      <w:r>
        <w:rPr>
          <w:bCs/>
          <w:b/>
        </w:rPr>
        <w:t xml:space="preserve">interval estimate</w:t>
      </w:r>
      <w:r>
        <w:t xml:space="preserve"> </w:t>
      </w:r>
      <w:r>
        <w:t xml:space="preserve">(developed as a confidence interval in point 3) instead gives a range of plausible values, additionally conveying the estimate’s precision or uncertainty — a point estimate alone gives no indication of how much confidence to place in it, which is why interval estimation is generally preferred whenever it is available.</w:t>
      </w:r>
    </w:p>
    <w:bookmarkEnd w:id="74"/>
    <w:bookmarkStart w:id="75" w:name="properties-of-estimators"/>
    <w:p>
      <w:pPr>
        <w:pStyle w:val="Heading4"/>
      </w:pPr>
      <w:r>
        <w:t xml:space="preserve">2. Properties of estimators</w:t>
      </w:r>
    </w:p>
    <w:p>
      <w:pPr>
        <w:pStyle w:val="FirstParagraph"/>
      </w:pPr>
      <w:r>
        <w:t xml:space="preserve">A good estimator should be</w:t>
      </w:r>
      <w:r>
        <w:t xml:space="preserve"> </w:t>
      </w:r>
      <w:r>
        <w:rPr>
          <w:bCs/>
          <w:b/>
        </w:rPr>
        <w:t xml:space="preserve">unbiased</w:t>
      </w:r>
      <w:r>
        <w:t xml:space="preserve"> </w:t>
      </w:r>
      <w:r>
        <w:t xml:space="preserve">(its expected value equals the true parameter value, so it does not systematically over- or under-estimate on average) and have low</w:t>
      </w:r>
      <w:r>
        <w:t xml:space="preserve"> </w:t>
      </w:r>
      <w:r>
        <w:rPr>
          <w:bCs/>
          <w:b/>
        </w:rPr>
        <w:t xml:space="preserve">variance</w:t>
      </w:r>
      <w:r>
        <w:t xml:space="preserve"> </w:t>
      </w:r>
      <w:r>
        <w:t xml:space="preserve">(individual estimates cluster tightly around the true value rather than varying wildly from sample to sample) — an estimator combining both properties is described as</w:t>
      </w:r>
      <w:r>
        <w:t xml:space="preserve"> </w:t>
      </w:r>
      <w:r>
        <w:rPr>
          <w:bCs/>
          <w:b/>
        </w:rPr>
        <w:t xml:space="preserve">efficient</w:t>
      </w:r>
      <w:r>
        <w:t xml:space="preserve">. Occasionally a slightly biased estimator with much lower variance is preferred in practice over an unbiased one with high variance, since the overall typical error can be smaller despite the bias.</w:t>
      </w:r>
    </w:p>
    <w:bookmarkEnd w:id="75"/>
    <w:bookmarkStart w:id="76" w:name="confidence-intervals"/>
    <w:p>
      <w:pPr>
        <w:pStyle w:val="Heading4"/>
      </w:pPr>
      <w:r>
        <w:t xml:space="preserve">3. Confidence intervals</w:t>
      </w:r>
    </w:p>
    <w:p>
      <w:pPr>
        <w:pStyle w:val="FirstParagraph"/>
      </w:pPr>
      <w:r>
        <w:t xml:space="preserve">A</w:t>
      </w:r>
      <w:r>
        <w:t xml:space="preserve"> </w:t>
      </w:r>
      <w:r>
        <w:rPr>
          <w:bCs/>
          <w:b/>
        </w:rPr>
        <w:t xml:space="preserve">confidence interval</w:t>
      </w:r>
      <w:r>
        <w:t xml:space="preserve"> </w:t>
      </w:r>
      <w:r>
        <w:t xml:space="preserve">provides a range, calculated from sample data, expected to contain the true population parameter with a stated confidence level (commonly 95%). Critically, the correct interpretation is</w:t>
      </w:r>
      <w:r>
        <w:t xml:space="preserve"> </w:t>
      </w:r>
      <w:r>
        <w:rPr>
          <w:iCs/>
          <w:i/>
        </w:rPr>
        <w:t xml:space="preserve">procedural</w:t>
      </w:r>
      <w:r>
        <w:t xml:space="preserve">, not about any single interval: a 95% confidence level means that if the same sampling and interval-construction procedure were repeated many times, approximately 95% of the resulting intervals would contain the true parameter — it is not correct to say there is a 95% probability the true (fixed) parameter lies within one specific, already-calculated interval.</w:t>
      </w:r>
    </w:p>
    <w:bookmarkEnd w:id="76"/>
    <w:bookmarkStart w:id="77" w:name="null-and-alternative-hypotheses"/>
    <w:p>
      <w:pPr>
        <w:pStyle w:val="Heading4"/>
      </w:pPr>
      <w:r>
        <w:t xml:space="preserve">4. Null and alternative hypotheses</w:t>
      </w:r>
    </w:p>
    <w:p>
      <w:pPr>
        <w:pStyle w:val="FirstParagraph"/>
      </w:pPr>
      <w:r>
        <w:rPr>
          <w:bCs/>
          <w:b/>
        </w:rPr>
        <w:t xml:space="preserve">Hypothesis testing</w:t>
      </w:r>
      <w:r>
        <w:t xml:space="preserve"> </w:t>
      </w:r>
      <w:r>
        <w:t xml:space="preserve">compares sample evidence against a specific claim about the population. The</w:t>
      </w:r>
      <w:r>
        <w:t xml:space="preserve"> </w:t>
      </w:r>
      <w:r>
        <w:rPr>
          <w:bCs/>
          <w:b/>
        </w:rPr>
        <w:t xml:space="preserve">null hypothesis (H₀)</w:t>
      </w:r>
      <w:r>
        <w:t xml:space="preserve"> </w:t>
      </w:r>
      <w:r>
        <w:t xml:space="preserve">represents the default assumption (typically</w:t>
      </w:r>
      <w:r>
        <w:t xml:space="preserve"> </w:t>
      </w:r>
      <w:r>
        <w:t xml:space="preserve">“</w:t>
      </w:r>
      <w:r>
        <w:t xml:space="preserve">no effect</w:t>
      </w:r>
      <w:r>
        <w:t xml:space="preserve">”</w:t>
      </w:r>
      <w:r>
        <w:t xml:space="preserve"> </w:t>
      </w:r>
      <w:r>
        <w:t xml:space="preserve">or</w:t>
      </w:r>
      <w:r>
        <w:t xml:space="preserve"> </w:t>
      </w:r>
      <w:r>
        <w:t xml:space="preserve">“</w:t>
      </w:r>
      <w:r>
        <w:t xml:space="preserve">no difference</w:t>
      </w:r>
      <w:r>
        <w:t xml:space="preserve">”</w:t>
      </w:r>
      <w:r>
        <w:t xml:space="preserve">), while the</w:t>
      </w:r>
      <w:r>
        <w:t xml:space="preserve"> </w:t>
      </w:r>
      <w:r>
        <w:rPr>
          <w:bCs/>
          <w:b/>
        </w:rPr>
        <w:t xml:space="preserve">alternative hypothesis (H₁)</w:t>
      </w:r>
      <w:r>
        <w:t xml:space="preserve"> </w:t>
      </w:r>
      <w:r>
        <w:t xml:space="preserve">represents the claim the researcher is actually interested in providing evidence for. A hypothesis test never directly</w:t>
      </w:r>
      <w:r>
        <w:t xml:space="preserve"> </w:t>
      </w:r>
      <w:r>
        <w:t xml:space="preserve">“</w:t>
      </w:r>
      <w:r>
        <w:t xml:space="preserve">proves</w:t>
      </w:r>
      <w:r>
        <w:t xml:space="preserve">”</w:t>
      </w:r>
      <w:r>
        <w:t xml:space="preserve"> </w:t>
      </w:r>
      <w:r>
        <w:t xml:space="preserve">the null hypothesis true — it can only fail to reject it (insufficient evidence against it) or reject it (sufficient evidence against it, in favour of the alternative) — this careful, asymmetric wording matters for correct interpretation and is frequently tested directly.</w:t>
      </w:r>
    </w:p>
    <w:bookmarkEnd w:id="77"/>
    <w:bookmarkStart w:id="78" w:name="X43387fffe17927d24e5699aa6c79af8da9d21e7"/>
    <w:p>
      <w:pPr>
        <w:pStyle w:val="Heading4"/>
      </w:pPr>
      <w:r>
        <w:t xml:space="preserve">5. Type I and Type II errors, significance level, and power</w:t>
      </w:r>
    </w:p>
    <w:p>
      <w:pPr>
        <w:pStyle w:val="FirstParagraph"/>
      </w:pPr>
      <w:r>
        <w:t xml:space="preserve">A</w:t>
      </w:r>
      <w:r>
        <w:t xml:space="preserve"> </w:t>
      </w:r>
      <w:r>
        <w:rPr>
          <w:bCs/>
          <w:b/>
        </w:rPr>
        <w:t xml:space="preserve">Type I error</w:t>
      </w:r>
      <w:r>
        <w:t xml:space="preserve"> </w:t>
      </w:r>
      <w:r>
        <w:t xml:space="preserve">is incorrectly rejecting a true null hypothesis (a</w:t>
      </w:r>
      <w:r>
        <w:t xml:space="preserve"> </w:t>
      </w:r>
      <w:r>
        <w:t xml:space="preserve">“</w:t>
      </w:r>
      <w:r>
        <w:t xml:space="preserve">false positive</w:t>
      </w:r>
      <w:r>
        <w:t xml:space="preserve">”</w:t>
      </w:r>
      <w:r>
        <w:t xml:space="preserve">); its probability is controlled by the chosen</w:t>
      </w:r>
      <w:r>
        <w:t xml:space="preserve"> </w:t>
      </w:r>
      <w:r>
        <w:rPr>
          <w:bCs/>
          <w:b/>
        </w:rPr>
        <w:t xml:space="preserve">significance level (α)</w:t>
      </w:r>
      <w:r>
        <w:t xml:space="preserve">, typically set at 0.05. A</w:t>
      </w:r>
      <w:r>
        <w:t xml:space="preserve"> </w:t>
      </w:r>
      <w:r>
        <w:rPr>
          <w:bCs/>
          <w:b/>
        </w:rPr>
        <w:t xml:space="preserve">Type II error</w:t>
      </w:r>
      <w:r>
        <w:t xml:space="preserve"> </w:t>
      </w:r>
      <w:r>
        <w:t xml:space="preserve">is incorrectly failing to reject a false null hypothesis (a</w:t>
      </w:r>
      <w:r>
        <w:t xml:space="preserve"> </w:t>
      </w:r>
      <w:r>
        <w:t xml:space="preserve">“</w:t>
      </w:r>
      <w:r>
        <w:t xml:space="preserve">false negative</w:t>
      </w:r>
      <w:r>
        <w:t xml:space="preserve">”</w:t>
      </w:r>
      <w:r>
        <w:t xml:space="preserve">); its probability (β) is related to the test’s</w:t>
      </w:r>
      <w:r>
        <w:t xml:space="preserve"> </w:t>
      </w:r>
      <w:r>
        <w:rPr>
          <w:bCs/>
          <w:b/>
        </w:rPr>
        <w:t xml:space="preserve">power</w:t>
      </w:r>
      <w:r>
        <w:t xml:space="preserve"> </w:t>
      </w:r>
      <w:r>
        <w:t xml:space="preserve">(1 − β, the probability of correctly rejecting a false null hypothesis). These two error types trade off against each other for a fixed sample size — reducing the chance of one type of error (e.g., by lowering α) generally increases the chance of the other, and the only way to reduce both simultaneously is to increase the sample size.</w:t>
      </w:r>
    </w:p>
    <w:bookmarkEnd w:id="78"/>
    <w:bookmarkStart w:id="79" w:name="X155b0440abd609936ef66305705738cb19f8d25"/>
    <w:p>
      <w:pPr>
        <w:pStyle w:val="Heading4"/>
      </w:pPr>
      <w:r>
        <w:t xml:space="preserve">6. Tests concerning means, proportions, variances, and other parameters</w:t>
      </w:r>
    </w:p>
    <w:p>
      <w:pPr>
        <w:pStyle w:val="FirstParagraph"/>
      </w:pPr>
      <w:r>
        <w:t xml:space="preserve">Which specific test procedure to apply depends on the parameter of interest and the underlying conditions:</w:t>
      </w:r>
      <w:r>
        <w:t xml:space="preserve"> </w:t>
      </w:r>
      <w:r>
        <w:rPr>
          <w:bCs/>
          <w:b/>
        </w:rPr>
        <w:t xml:space="preserve">z-tests</w:t>
      </w:r>
      <w:r>
        <w:t xml:space="preserve"> </w:t>
      </w:r>
      <w:r>
        <w:t xml:space="preserve">(used when population variance is known or sample size is large),</w:t>
      </w:r>
      <w:r>
        <w:t xml:space="preserve"> </w:t>
      </w:r>
      <w:r>
        <w:rPr>
          <w:bCs/>
          <w:b/>
        </w:rPr>
        <w:t xml:space="preserve">t-tests</w:t>
      </w:r>
      <w:r>
        <w:t xml:space="preserve"> </w:t>
      </w:r>
      <w:r>
        <w:t xml:space="preserve">(used when population variance is unknown and estimated from the sample, particularly important for smaller samples),</w:t>
      </w:r>
      <w:r>
        <w:t xml:space="preserve"> </w:t>
      </w:r>
      <w:r>
        <w:rPr>
          <w:bCs/>
          <w:b/>
        </w:rPr>
        <w:t xml:space="preserve">chi-square tests</w:t>
      </w:r>
      <w:r>
        <w:t xml:space="preserve"> </w:t>
      </w:r>
      <w:r>
        <w:t xml:space="preserve">(for variances, or for the categorical applications of Chapter 5), and</w:t>
      </w:r>
      <w:r>
        <w:t xml:space="preserve"> </w:t>
      </w:r>
      <w:r>
        <w:rPr>
          <w:bCs/>
          <w:b/>
        </w:rPr>
        <w:t xml:space="preserve">F-tests</w:t>
      </w:r>
      <w:r>
        <w:t xml:space="preserve"> </w:t>
      </w:r>
      <w:r>
        <w:t xml:space="preserve">(for comparing two variances, and underlying ANOVA in Chapter 8) — correctly matching the test procedure to the specific parameter and known/unknown conditions is the essential applied skill of this entire chapter, and follows a consistent, repeatable sequence: state hypotheses, check assumptions, compute the test statistic, compare to a reference distribution (or p-value) to reach a decision, and finally state a conclusion in the specific context of the original question.</w:t>
      </w:r>
    </w:p>
    <w:bookmarkEnd w:id="79"/>
    <w:bookmarkStart w:id="80" w:name="key-takeaways-6"/>
    <w:p>
      <w:pPr>
        <w:pStyle w:val="Heading4"/>
      </w:pPr>
      <w:r>
        <w:t xml:space="preserve">Key Takeaways</w:t>
      </w:r>
    </w:p>
    <w:p>
      <w:pPr>
        <w:numPr>
          <w:ilvl w:val="0"/>
          <w:numId w:val="1008"/>
        </w:numPr>
        <w:pStyle w:val="Compact"/>
      </w:pPr>
      <w:r>
        <w:t xml:space="preserve">Point estimates give a single value; interval estimates (confidence intervals) additionally convey precision, and are generally preferable when available.</w:t>
      </w:r>
    </w:p>
    <w:p>
      <w:pPr>
        <w:numPr>
          <w:ilvl w:val="0"/>
          <w:numId w:val="1008"/>
        </w:numPr>
        <w:pStyle w:val="Compact"/>
      </w:pPr>
      <w:r>
        <w:t xml:space="preserve">A good estimator is unbiased (correct on average) and has low variance (consistent across samples); these two properties together define efficiency.</w:t>
      </w:r>
    </w:p>
    <w:p>
      <w:pPr>
        <w:numPr>
          <w:ilvl w:val="0"/>
          <w:numId w:val="1008"/>
        </w:numPr>
        <w:pStyle w:val="Compact"/>
      </w:pPr>
      <w:r>
        <w:t xml:space="preserve">A confidence interval’s correct interpretation is about the long-run reliability of the procedure across repeated sampling, not a probability statement about one already-calculated interval.</w:t>
      </w:r>
    </w:p>
    <w:p>
      <w:pPr>
        <w:numPr>
          <w:ilvl w:val="0"/>
          <w:numId w:val="1008"/>
        </w:numPr>
        <w:pStyle w:val="Compact"/>
      </w:pPr>
      <w:r>
        <w:t xml:space="preserve">Hypothesis testing never proves the null hypothesis; it can only fail to reject it or reject it in favour of the alternative, based on the strength of sample evidence.</w:t>
      </w:r>
    </w:p>
    <w:p>
      <w:pPr>
        <w:numPr>
          <w:ilvl w:val="0"/>
          <w:numId w:val="1008"/>
        </w:numPr>
        <w:pStyle w:val="Compact"/>
      </w:pPr>
      <w:r>
        <w:t xml:space="preserve">Type I error (false positive, rate α) and Type II error (false negative, rate β, related to power) trade off against each other for fixed sample size; only increasing sample size reduces both simultaneously.</w:t>
      </w:r>
    </w:p>
    <w:p>
      <w:pPr>
        <w:numPr>
          <w:ilvl w:val="0"/>
          <w:numId w:val="1008"/>
        </w:numPr>
        <w:pStyle w:val="Compact"/>
      </w:pPr>
      <w:r>
        <w:t xml:space="preserve">Choosing between z, t, chi-square, and F-type procedures depends on the parameter of interest and whether relevant quantities (like variance) are known or must be estimated.</w:t>
      </w:r>
    </w:p>
    <w:bookmarkEnd w:id="80"/>
    <w:bookmarkEnd w:id="81"/>
    <w:bookmarkStart w:id="89" w:name="design-of-experiments"/>
    <w:p>
      <w:pPr>
        <w:pStyle w:val="Heading3"/>
      </w:pPr>
      <w:r>
        <w:t xml:space="preserve">8. Design of Experiments</w:t>
      </w:r>
    </w:p>
    <w:bookmarkStart w:id="82" w:name="introduction-7"/>
    <w:p>
      <w:pPr>
        <w:pStyle w:val="Heading4"/>
      </w:pPr>
      <w:r>
        <w:t xml:space="preserve">Introduction</w:t>
      </w:r>
    </w:p>
    <w:p>
      <w:pPr>
        <w:pStyle w:val="FirstParagraph"/>
      </w:pPr>
      <w:r>
        <w:t xml:space="preserve">Experimental design determines how data is collected in the first place, so that the resulting analysis can support valid causal conclusions — a well-designed experiment is what actually allows the causation that Chapter 4 explicitly warned correlation alone cannot establish.</w:t>
      </w:r>
    </w:p>
    <w:bookmarkEnd w:id="82"/>
    <w:bookmarkStart w:id="83" w:name="Xa9db511d36f007c43978a6541ab9e661db66cf8"/>
    <w:p>
      <w:pPr>
        <w:pStyle w:val="Heading4"/>
      </w:pPr>
      <w:r>
        <w:t xml:space="preserve">1. Experimental units, treatments, and response variables</w:t>
      </w:r>
    </w:p>
    <w:p>
      <w:pPr>
        <w:pStyle w:val="FirstParagraph"/>
      </w:pPr>
      <w:r>
        <w:t xml:space="preserve">The</w:t>
      </w:r>
      <w:r>
        <w:t xml:space="preserve"> </w:t>
      </w:r>
      <w:r>
        <w:rPr>
          <w:bCs/>
          <w:b/>
        </w:rPr>
        <w:t xml:space="preserve">experimental unit</w:t>
      </w:r>
      <w:r>
        <w:t xml:space="preserve"> </w:t>
      </w:r>
      <w:r>
        <w:t xml:space="preserve">is the smallest entity to which a treatment is applied (a person, plot of land, or sample). A</w:t>
      </w:r>
      <w:r>
        <w:t xml:space="preserve"> </w:t>
      </w:r>
      <w:r>
        <w:rPr>
          <w:bCs/>
          <w:b/>
        </w:rPr>
        <w:t xml:space="preserve">treatment</w:t>
      </w:r>
      <w:r>
        <w:t xml:space="preserve"> </w:t>
      </w:r>
      <w:r>
        <w:t xml:space="preserve">is the specific condition or intervention being studied and compared. The</w:t>
      </w:r>
      <w:r>
        <w:t xml:space="preserve"> </w:t>
      </w:r>
      <w:r>
        <w:rPr>
          <w:bCs/>
          <w:b/>
        </w:rPr>
        <w:t xml:space="preserve">response variable</w:t>
      </w:r>
      <w:r>
        <w:t xml:space="preserve"> </w:t>
      </w:r>
      <w:r>
        <w:t xml:space="preserve">is the outcome measured to assess the treatment’s effect. Precisely defining all three at the outset is essential, since ambiguity in any of them undermines the interpretability of the entire experiment’s results.</w:t>
      </w:r>
    </w:p>
    <w:bookmarkEnd w:id="83"/>
    <w:bookmarkStart w:id="84" w:name="X9f37c94f178ad03c6b1bb6d8c91c1d97575e4d7"/>
    <w:p>
      <w:pPr>
        <w:pStyle w:val="Heading4"/>
      </w:pPr>
      <w:r>
        <w:t xml:space="preserve">2. Randomization, replication, and local control (blocking)</w:t>
      </w:r>
    </w:p>
    <w:p>
      <w:pPr>
        <w:pStyle w:val="FirstParagraph"/>
      </w:pPr>
      <w:r>
        <w:t xml:space="preserve">These are the three foundational principles of good experimental design.</w:t>
      </w:r>
      <w:r>
        <w:t xml:space="preserve"> </w:t>
      </w:r>
      <w:r>
        <w:rPr>
          <w:bCs/>
          <w:b/>
        </w:rPr>
        <w:t xml:space="preserve">Randomization</w:t>
      </w:r>
      <w:r>
        <w:t xml:space="preserve"> </w:t>
      </w:r>
      <w:r>
        <w:t xml:space="preserve">— randomly assigning experimental units to treatments — protects against systematic bias, ensuring that any unmeasured confounding factors are distributed roughly evenly across treatment groups on average, making a genuinely causal comparison possible.</w:t>
      </w:r>
      <w:r>
        <w:t xml:space="preserve"> </w:t>
      </w:r>
      <w:r>
        <w:rPr>
          <w:bCs/>
          <w:b/>
        </w:rPr>
        <w:t xml:space="preserve">Replication</w:t>
      </w:r>
      <w:r>
        <w:t xml:space="preserve"> </w:t>
      </w:r>
      <w:r>
        <w:t xml:space="preserve">— applying each treatment to multiple experimental units — allows the natural variability between units to be estimated and distinguished from a genuine treatment effect.</w:t>
      </w:r>
      <w:r>
        <w:t xml:space="preserve"> </w:t>
      </w:r>
      <w:r>
        <w:rPr>
          <w:bCs/>
          <w:b/>
        </w:rPr>
        <w:t xml:space="preserve">Local control (blocking)</w:t>
      </w:r>
      <w:r>
        <w:t xml:space="preserve"> </w:t>
      </w:r>
      <w:r>
        <w:t xml:space="preserve">— grouping similar experimental units together before applying treatments within each group — removes a known source of variability from the comparison, increasing the experiment’s precision.</w:t>
      </w:r>
    </w:p>
    <w:bookmarkEnd w:id="84"/>
    <w:bookmarkStart w:id="85" w:name="X836c1845b9c6f8b562ab9064a07be23bd73c47b"/>
    <w:p>
      <w:pPr>
        <w:pStyle w:val="Heading4"/>
      </w:pPr>
      <w:r>
        <w:t xml:space="preserve">3. Completely randomized and randomized block designs</w:t>
      </w:r>
    </w:p>
    <w:p>
      <w:pPr>
        <w:pStyle w:val="FirstParagraph"/>
      </w:pPr>
      <w:r>
        <w:t xml:space="preserve">A</w:t>
      </w:r>
      <w:r>
        <w:t xml:space="preserve"> </w:t>
      </w:r>
      <w:r>
        <w:rPr>
          <w:bCs/>
          <w:b/>
        </w:rPr>
        <w:t xml:space="preserve">completely randomized design (CRD)</w:t>
      </w:r>
      <w:r>
        <w:t xml:space="preserve"> </w:t>
      </w:r>
      <w:r>
        <w:t xml:space="preserve">assigns treatments to experimental units entirely at random, with no blocking — simplest to design and analyse, but least able to control for known sources of variability among units. A</w:t>
      </w:r>
      <w:r>
        <w:t xml:space="preserve"> </w:t>
      </w:r>
      <w:r>
        <w:rPr>
          <w:bCs/>
          <w:b/>
        </w:rPr>
        <w:t xml:space="preserve">randomized block design (RBD)</w:t>
      </w:r>
      <w:r>
        <w:t xml:space="preserve"> </w:t>
      </w:r>
      <w:r>
        <w:t xml:space="preserve">first groups units into blocks (using local control, based on some known source of variability, such as different fields or time periods), then randomly assigns all treatments within each block separately — this removes the block-to-block variability from the treatment comparison, generally increasing precision compared to a CRD when a genuinely relevant blocking factor exists.</w:t>
      </w:r>
    </w:p>
    <w:bookmarkEnd w:id="85"/>
    <w:bookmarkStart w:id="86" w:name="latin-square-and-other-named-designs"/>
    <w:p>
      <w:pPr>
        <w:pStyle w:val="Heading4"/>
      </w:pPr>
      <w:r>
        <w:t xml:space="preserve">4. Latin square and other named designs</w:t>
      </w:r>
    </w:p>
    <w:p>
      <w:pPr>
        <w:pStyle w:val="FirstParagraph"/>
      </w:pPr>
      <w:r>
        <w:t xml:space="preserve">A</w:t>
      </w:r>
      <w:r>
        <w:t xml:space="preserve"> </w:t>
      </w:r>
      <w:r>
        <w:rPr>
          <w:bCs/>
          <w:b/>
        </w:rPr>
        <w:t xml:space="preserve">Latin square design</w:t>
      </w:r>
      <w:r>
        <w:t xml:space="preserve"> </w:t>
      </w:r>
      <w:r>
        <w:t xml:space="preserve">simultaneously controls for two blocking factors (arranged in rows and columns) rather than the single blocking factor of an RBD, with each treatment appearing exactly once in every row and every column — a more restrictive but powerful design when two known nuisance factors both need to be controlled for. Other syllabus-named designs generally extend these same core principles (randomization, replication, blocking) to progressively more complex situations, such as controlling for additional factors or unequal unit numbers.</w:t>
      </w:r>
    </w:p>
    <w:bookmarkEnd w:id="86"/>
    <w:bookmarkStart w:id="87" w:name="analysis-of-variance-anova-concepts"/>
    <w:p>
      <w:pPr>
        <w:pStyle w:val="Heading4"/>
      </w:pPr>
      <w:r>
        <w:t xml:space="preserve">5. Analysis of Variance (ANOVA) concepts</w:t>
      </w:r>
    </w:p>
    <w:p>
      <w:pPr>
        <w:pStyle w:val="FirstParagraph"/>
      </w:pPr>
      <w:r>
        <w:rPr>
          <w:bCs/>
          <w:b/>
        </w:rPr>
        <w:t xml:space="preserve">ANOVA</w:t>
      </w:r>
      <w:r>
        <w:t xml:space="preserve"> </w:t>
      </w:r>
      <w:r>
        <w:t xml:space="preserve">partitions the total observed variation in the response variable into components attributable to different sources — the treatment (the variation of genuine interest), any blocking factors, and residual/error variation (unexplained,</w:t>
      </w:r>
      <w:r>
        <w:t xml:space="preserve"> </w:t>
      </w:r>
      <w:r>
        <w:t xml:space="preserve">“</w:t>
      </w:r>
      <w:r>
        <w:t xml:space="preserve">random</w:t>
      </w:r>
      <w:r>
        <w:t xml:space="preserve">”</w:t>
      </w:r>
      <w:r>
        <w:t xml:space="preserve"> </w:t>
      </w:r>
      <w:r>
        <w:t xml:space="preserve">variability) — and compares the treatment variation to the error variation, via an</w:t>
      </w:r>
      <w:r>
        <w:t xml:space="preserve"> </w:t>
      </w:r>
      <w:r>
        <w:rPr>
          <w:bCs/>
          <w:b/>
        </w:rPr>
        <w:t xml:space="preserve">F-test</w:t>
      </w:r>
      <w:r>
        <w:t xml:space="preserve"> </w:t>
      </w:r>
      <w:r>
        <w:t xml:space="preserve">(Chapter 7), to assess whether the treatments have a statistically significant effect. This partitioning is summarised in an</w:t>
      </w:r>
      <w:r>
        <w:t xml:space="preserve"> </w:t>
      </w:r>
      <w:r>
        <w:rPr>
          <w:bCs/>
          <w:b/>
        </w:rPr>
        <w:t xml:space="preserve">ANOVA table</w:t>
      </w:r>
      <w:r>
        <w:t xml:space="preserve">, listing each source’s sum of squares, degrees of freedom, mean square, and the resulting F-statistic — constructing and correctly interpreting such a table is the central practical and examinable skill of this topic.</w:t>
      </w:r>
    </w:p>
    <w:bookmarkEnd w:id="87"/>
    <w:bookmarkStart w:id="88" w:name="key-takeaways-7"/>
    <w:p>
      <w:pPr>
        <w:pStyle w:val="Heading4"/>
      </w:pPr>
      <w:r>
        <w:t xml:space="preserve">Key Takeaways</w:t>
      </w:r>
    </w:p>
    <w:p>
      <w:pPr>
        <w:numPr>
          <w:ilvl w:val="0"/>
          <w:numId w:val="1009"/>
        </w:numPr>
        <w:pStyle w:val="Compact"/>
      </w:pPr>
      <w:r>
        <w:t xml:space="preserve">Clearly defining experimental units, treatments, and response variables at the outset is essential to a well-designed, interpretable experiment.</w:t>
      </w:r>
    </w:p>
    <w:p>
      <w:pPr>
        <w:numPr>
          <w:ilvl w:val="0"/>
          <w:numId w:val="1009"/>
        </w:numPr>
        <w:pStyle w:val="Compact"/>
      </w:pPr>
      <w:r>
        <w:t xml:space="preserve">Randomization protects against bias, replication allows genuine variability to be estimated, and local control/blocking removes known variability sources — the three foundational design principles.</w:t>
      </w:r>
    </w:p>
    <w:p>
      <w:pPr>
        <w:numPr>
          <w:ilvl w:val="0"/>
          <w:numId w:val="1009"/>
        </w:numPr>
        <w:pStyle w:val="Compact"/>
      </w:pPr>
      <w:r>
        <w:t xml:space="preserve">A completely randomized design uses no blocking; a randomized block design blocks for one known factor; a Latin square design simultaneously controls for two known factors.</w:t>
      </w:r>
    </w:p>
    <w:p>
      <w:pPr>
        <w:numPr>
          <w:ilvl w:val="0"/>
          <w:numId w:val="1009"/>
        </w:numPr>
        <w:pStyle w:val="Compact"/>
      </w:pPr>
      <w:r>
        <w:t xml:space="preserve">ANOVA partitions total variation into treatment, (blocking,) and error components, using an F-test to assess whether treatment effects are statistically significant, summarised in an ANOVA table.</w:t>
      </w:r>
    </w:p>
    <w:bookmarkEnd w:id="88"/>
    <w:bookmarkEnd w:id="89"/>
    <w:bookmarkStart w:id="98" w:name="population-analysis-and-vital-statistics"/>
    <w:p>
      <w:pPr>
        <w:pStyle w:val="Heading3"/>
      </w:pPr>
      <w:r>
        <w:t xml:space="preserve">9. Population Analysis and Vital Statistics</w:t>
      </w:r>
    </w:p>
    <w:bookmarkStart w:id="90" w:name="introduction-8"/>
    <w:p>
      <w:pPr>
        <w:pStyle w:val="Heading4"/>
      </w:pPr>
      <w:r>
        <w:t xml:space="preserve">Introduction</w:t>
      </w:r>
    </w:p>
    <w:p>
      <w:pPr>
        <w:pStyle w:val="FirstParagraph"/>
      </w:pPr>
      <w:r>
        <w:t xml:space="preserve">This final chapter applies the descriptive, probabilistic, and inferential tools of the entire subject to demography — the statistical study of human populations — a specialised but heavily applied area with direct relevance to Pakistan’s own national planning and census systems.</w:t>
      </w:r>
    </w:p>
    <w:bookmarkEnd w:id="90"/>
    <w:bookmarkStart w:id="91" w:name="X247920975b5e7ae289641bab0db4dcab9f5201d"/>
    <w:p>
      <w:pPr>
        <w:pStyle w:val="Heading4"/>
      </w:pPr>
      <w:r>
        <w:t xml:space="preserve">1. Population composition and demographic measures</w:t>
      </w:r>
    </w:p>
    <w:p>
      <w:pPr>
        <w:pStyle w:val="FirstParagraph"/>
      </w:pPr>
      <w:r>
        <w:rPr>
          <w:bCs/>
          <w:b/>
        </w:rPr>
        <w:t xml:space="preserve">Population composition</w:t>
      </w:r>
      <w:r>
        <w:t xml:space="preserve"> </w:t>
      </w:r>
      <w:r>
        <w:t xml:space="preserve">describes a population’s structure by characteristics such as age and sex, often visualised using a</w:t>
      </w:r>
      <w:r>
        <w:t xml:space="preserve"> </w:t>
      </w:r>
      <w:r>
        <w:rPr>
          <w:bCs/>
          <w:b/>
        </w:rPr>
        <w:t xml:space="preserve">population pyramid</w:t>
      </w:r>
      <w:r>
        <w:t xml:space="preserve"> </w:t>
      </w:r>
      <w:r>
        <w:t xml:space="preserve">(a back-to-back horizontal bar chart of age groups by sex), whose shape reveals a population’s growth history and likely future trends — a broad-based pyramid indicates a young, rapidly growing population, while a more rectangular shape indicates an older, slower-growing or stable one.</w:t>
      </w:r>
    </w:p>
    <w:bookmarkEnd w:id="91"/>
    <w:bookmarkStart w:id="92" w:name="X0032a2efb81e5788bb0ec5df19efe105ee8b2f4"/>
    <w:p>
      <w:pPr>
        <w:pStyle w:val="Heading4"/>
      </w:pPr>
      <w:r>
        <w:t xml:space="preserve">2. Fertility, mortality, and migration measures</w:t>
      </w:r>
    </w:p>
    <w:p>
      <w:pPr>
        <w:pStyle w:val="FirstParagraph"/>
      </w:pPr>
      <w:r>
        <w:t xml:space="preserve">Demographic rates relate the count of a specific type of event to the size of the relevant population at risk, over a specific time period, and are best understood explicitly as numerator, denominator, and multiplier rather than as a bare memorised formula. The</w:t>
      </w:r>
      <w:r>
        <w:t xml:space="preserve"> </w:t>
      </w:r>
      <w:r>
        <w:rPr>
          <w:bCs/>
          <w:b/>
        </w:rPr>
        <w:t xml:space="preserve">crude birth rate</w:t>
      </w:r>
      <w:r>
        <w:t xml:space="preserve"> </w:t>
      </w:r>
      <w:r>
        <w:t xml:space="preserve">and</w:t>
      </w:r>
      <w:r>
        <w:t xml:space="preserve"> </w:t>
      </w:r>
      <w:r>
        <w:rPr>
          <w:bCs/>
          <w:b/>
        </w:rPr>
        <w:t xml:space="preserve">crude death rate</w:t>
      </w:r>
      <w:r>
        <w:t xml:space="preserve"> </w:t>
      </w:r>
      <w:r>
        <w:t xml:space="preserve">relate total births or deaths to the entire population; more refined measures, such as the</w:t>
      </w:r>
      <w:r>
        <w:t xml:space="preserve"> </w:t>
      </w:r>
      <w:r>
        <w:rPr>
          <w:bCs/>
          <w:b/>
        </w:rPr>
        <w:t xml:space="preserve">age-specific fertility rate</w:t>
      </w:r>
      <w:r>
        <w:t xml:space="preserve">, relate events only to the specific subgroup actually at risk (e.g., births to women of reproductive age), giving a more meaningful and comparable measure across populations with different age structures.</w:t>
      </w:r>
      <w:r>
        <w:t xml:space="preserve"> </w:t>
      </w:r>
      <w:r>
        <w:rPr>
          <w:bCs/>
          <w:b/>
        </w:rPr>
        <w:t xml:space="preserve">Migration measures</w:t>
      </w:r>
      <w:r>
        <w:t xml:space="preserve"> </w:t>
      </w:r>
      <w:r>
        <w:t xml:space="preserve">(in-migration, out-migration, net migration) complete the picture of population change alongside births and deaths.</w:t>
      </w:r>
    </w:p>
    <w:bookmarkEnd w:id="92"/>
    <w:bookmarkStart w:id="93" w:name="life-table-concepts"/>
    <w:p>
      <w:pPr>
        <w:pStyle w:val="Heading4"/>
      </w:pPr>
      <w:r>
        <w:t xml:space="preserve">3. Life-table concepts</w:t>
      </w:r>
    </w:p>
    <w:p>
      <w:pPr>
        <w:pStyle w:val="FirstParagraph"/>
      </w:pPr>
      <w:r>
        <w:t xml:space="preserve">A</w:t>
      </w:r>
      <w:r>
        <w:t xml:space="preserve"> </w:t>
      </w:r>
      <w:r>
        <w:rPr>
          <w:bCs/>
          <w:b/>
        </w:rPr>
        <w:t xml:space="preserve">life table</w:t>
      </w:r>
      <w:r>
        <w:t xml:space="preserve"> </w:t>
      </w:r>
      <w:r>
        <w:t xml:space="preserve">summarises a population’s survival and mortality experience across successive age intervals, typically starting from a hypothetical cohort of a fixed initial size (often 100,000) and tracking, for each age interval, the number of survivors, the number of deaths, and derived quantities such as the probability of dying within that interval and life expectancy at each age. Life tables underpin insurance and pension calculations, as well as broader public health and demographic planning, and understanding the meaning of each life-table column (not merely the numbers themselves) is essential to interpreting or constructing one correctly.</w:t>
      </w:r>
    </w:p>
    <w:bookmarkEnd w:id="93"/>
    <w:bookmarkStart w:id="94" w:name="population-growth-and-projection"/>
    <w:p>
      <w:pPr>
        <w:pStyle w:val="Heading4"/>
      </w:pPr>
      <w:r>
        <w:t xml:space="preserve">4. Population growth and projection</w:t>
      </w:r>
    </w:p>
    <w:p>
      <w:pPr>
        <w:pStyle w:val="FirstParagraph"/>
      </w:pPr>
      <w:r>
        <w:t xml:space="preserve">Population change over a given period is built from the fundamental</w:t>
      </w:r>
      <w:r>
        <w:t xml:space="preserve"> </w:t>
      </w:r>
      <w:r>
        <w:rPr>
          <w:bCs/>
          <w:b/>
        </w:rPr>
        <w:t xml:space="preserve">demographic balancing equation</w:t>
      </w:r>
      <w:r>
        <w:t xml:space="preserve">: ending population = starting population + births − deaths + in-migration − out-migration.</w:t>
      </w:r>
      <w:r>
        <w:t xml:space="preserve"> </w:t>
      </w:r>
      <w:r>
        <w:rPr>
          <w:bCs/>
          <w:b/>
        </w:rPr>
        <w:t xml:space="preserve">Population projections</w:t>
      </w:r>
      <w:r>
        <w:t xml:space="preserve"> </w:t>
      </w:r>
      <w:r>
        <w:t xml:space="preserve">extend current trends in these components forward in time to estimate future population size and structure, though such projections necessarily carry increasing uncertainty the further into the future they extend, since they rely on assumptions (about future fertility, mortality, and migration rates) that may not hold.</w:t>
      </w:r>
    </w:p>
    <w:bookmarkEnd w:id="94"/>
    <w:bookmarkStart w:id="95" w:name="Xa30ff2aadbde28b7bfb66276c5ef230824327cc"/>
    <w:p>
      <w:pPr>
        <w:pStyle w:val="Heading4"/>
      </w:pPr>
      <w:r>
        <w:t xml:space="preserve">5. Sources of demographic data and official statistical systems</w:t>
      </w:r>
    </w:p>
    <w:p>
      <w:pPr>
        <w:pStyle w:val="FirstParagraph"/>
      </w:pPr>
      <w:r>
        <w:t xml:space="preserve">Reliable demographic analysis depends on identifying appropriate, credible data sources — census data (a complete enumeration, at a specific point in time, of the entire population), sample surveys (more frequent but subject to sampling error, Chapter 6), and administrative/vital registration records (continuously updated as events occur, but potentially subject to under-registration in some contexts). Understanding a data source’s collection methodology, coverage, and potential limitations is essential to using demographic statistics appropriately and avoiding unwarranted conclusions.</w:t>
      </w:r>
    </w:p>
    <w:bookmarkEnd w:id="95"/>
    <w:bookmarkStart w:id="96" w:name="Xd834de54626f3af05e951c6954accc70e22104a"/>
    <w:p>
      <w:pPr>
        <w:pStyle w:val="Heading4"/>
      </w:pPr>
      <w:r>
        <w:t xml:space="preserve">6. Vital registration and census/survey concepts</w:t>
      </w:r>
    </w:p>
    <w:p>
      <w:pPr>
        <w:pStyle w:val="FirstParagraph"/>
      </w:pPr>
      <w:r>
        <w:rPr>
          <w:bCs/>
          <w:b/>
        </w:rPr>
        <w:t xml:space="preserve">Vital registration</w:t>
      </w:r>
      <w:r>
        <w:t xml:space="preserve"> </w:t>
      </w:r>
      <w:r>
        <w:t xml:space="preserve">is the continuous, ongoing recording of vital events (births, deaths, marriages) as they occur, ideally providing complete and timely data, though its accuracy depends heavily on the completeness of registration in practice. The</w:t>
      </w:r>
      <w:r>
        <w:t xml:space="preserve"> </w:t>
      </w:r>
      <w:r>
        <w:rPr>
          <w:bCs/>
          <w:b/>
        </w:rPr>
        <w:t xml:space="preserve">census</w:t>
      </w:r>
      <w:r>
        <w:t xml:space="preserve"> </w:t>
      </w:r>
      <w:r>
        <w:t xml:space="preserve">is a periodic, complete count of the entire population (conducted, in Pakistan, by the Pakistan Bureau of Statistics), providing a comprehensive population snapshot at a fixed point in time, while sample surveys provide more frequent, though necessarily estimated rather than exhaustive, updates between census periods — for current Pakistani demographic figures or institutional arrangements, referring to the latest official Pakistan Bureau of Statistics publications is essential, since such administrative details and figures change over time.</w:t>
      </w:r>
    </w:p>
    <w:bookmarkEnd w:id="96"/>
    <w:bookmarkStart w:id="97" w:name="key-takeaways-8"/>
    <w:p>
      <w:pPr>
        <w:pStyle w:val="Heading4"/>
      </w:pPr>
      <w:r>
        <w:t xml:space="preserve">Key Takeaways</w:t>
      </w:r>
    </w:p>
    <w:p>
      <w:pPr>
        <w:numPr>
          <w:ilvl w:val="0"/>
          <w:numId w:val="1010"/>
        </w:numPr>
        <w:pStyle w:val="Compact"/>
      </w:pPr>
      <w:r>
        <w:t xml:space="preserve">Population composition (often visualised via a population pyramid) reveals a population’s structure and growth trajectory.</w:t>
      </w:r>
    </w:p>
    <w:p>
      <w:pPr>
        <w:numPr>
          <w:ilvl w:val="0"/>
          <w:numId w:val="1010"/>
        </w:numPr>
        <w:pStyle w:val="Compact"/>
      </w:pPr>
      <w:r>
        <w:t xml:space="preserve">Demographic rates are best understood as numerator/denominator/multiplier, with age-specific rates generally more informative and comparable than crude rates.</w:t>
      </w:r>
    </w:p>
    <w:p>
      <w:pPr>
        <w:numPr>
          <w:ilvl w:val="0"/>
          <w:numId w:val="1010"/>
        </w:numPr>
        <w:pStyle w:val="Compact"/>
      </w:pPr>
      <w:r>
        <w:t xml:space="preserve">Life tables summarise survival and mortality across age intervals from a hypothetical starting cohort, underpinning insurance, pension, and public health planning.</w:t>
      </w:r>
    </w:p>
    <w:p>
      <w:pPr>
        <w:numPr>
          <w:ilvl w:val="0"/>
          <w:numId w:val="1010"/>
        </w:numPr>
        <w:pStyle w:val="Compact"/>
      </w:pPr>
      <w:r>
        <w:t xml:space="preserve">Population projections extend the demographic balancing equation (births, deaths, migration) forward in time, with reliability decreasing the further into the future they extend.</w:t>
      </w:r>
    </w:p>
    <w:p>
      <w:pPr>
        <w:numPr>
          <w:ilvl w:val="0"/>
          <w:numId w:val="1010"/>
        </w:numPr>
        <w:pStyle w:val="Compact"/>
      </w:pPr>
      <w:r>
        <w:t xml:space="preserve">Census (complete, periodic), sample surveys (frequent, estimated), and vital registration (continuous) are the three main demographic data sources, each with distinct strengths and limitations; current Pakistani figures should be verified against the latest Pakistan Bureau of Statistics publications.</w:t>
      </w:r>
    </w:p>
    <w:bookmarkEnd w:id="97"/>
    <w:bookmarkEnd w:id="98"/>
    <w:bookmarkEnd w:id="99"/>
    <w:bookmarkStart w:id="195" w:name="geology"/>
    <w:p>
      <w:pPr>
        <w:pStyle w:val="Heading1"/>
      </w:pPr>
      <w:r>
        <w:t xml:space="preserve">GEOLOGY</w:t>
      </w:r>
    </w:p>
    <w:bookmarkStart w:id="108" w:name="physical-geology"/>
    <w:p>
      <w:pPr>
        <w:pStyle w:val="Heading3"/>
      </w:pPr>
      <w:r>
        <w:t xml:space="preserve">1. Physical Geology</w:t>
      </w:r>
    </w:p>
    <w:bookmarkStart w:id="100" w:name="introduction-9"/>
    <w:p>
      <w:pPr>
        <w:pStyle w:val="Heading4"/>
      </w:pPr>
      <w:r>
        <w:t xml:space="preserve">Introduction</w:t>
      </w:r>
    </w:p>
    <w:p>
      <w:pPr>
        <w:pStyle w:val="FirstParagraph"/>
      </w:pPr>
      <w:r>
        <w:t xml:space="preserve">Physical geology studies the Earth’s materials and the processes that shape its surface — the foundation on which every later, more specialised chapter in this subject builds.</w:t>
      </w:r>
    </w:p>
    <w:bookmarkEnd w:id="100"/>
    <w:bookmarkStart w:id="101" w:name="Xb3cd6d9df2f34e19a7ed229244399086bb4220b"/>
    <w:p>
      <w:pPr>
        <w:pStyle w:val="Heading4"/>
      </w:pPr>
      <w:r>
        <w:t xml:space="preserve">1. Origin and age of Earth; internal structure</w:t>
      </w:r>
    </w:p>
    <w:p>
      <w:pPr>
        <w:pStyle w:val="FirstParagraph"/>
      </w:pPr>
      <w:r>
        <w:t xml:space="preserve">The Earth formed roughly 4.6 billion years ago through the accretion of material within the early solar system’s protoplanetary disk; this age is established primarily through radiometric dating of meteorites and the oldest terrestrial rocks. Internally, the Earth is layered by both composition and physical behaviour: a</w:t>
      </w:r>
      <w:r>
        <w:t xml:space="preserve"> </w:t>
      </w:r>
      <w:r>
        <w:rPr>
          <w:bCs/>
          <w:b/>
        </w:rPr>
        <w:t xml:space="preserve">crust</w:t>
      </w:r>
      <w:r>
        <w:t xml:space="preserve"> </w:t>
      </w:r>
      <w:r>
        <w:t xml:space="preserve">(thin, outermost, oceanic or continental), a</w:t>
      </w:r>
      <w:r>
        <w:t xml:space="preserve"> </w:t>
      </w:r>
      <w:r>
        <w:rPr>
          <w:bCs/>
          <w:b/>
        </w:rPr>
        <w:t xml:space="preserve">mantle</w:t>
      </w:r>
      <w:r>
        <w:t xml:space="preserve"> </w:t>
      </w:r>
      <w:r>
        <w:t xml:space="preserve">(thick, mostly solid but capable of slow convective flow), and a</w:t>
      </w:r>
      <w:r>
        <w:t xml:space="preserve"> </w:t>
      </w:r>
      <w:r>
        <w:rPr>
          <w:bCs/>
          <w:b/>
        </w:rPr>
        <w:t xml:space="preserve">core</w:t>
      </w:r>
      <w:r>
        <w:t xml:space="preserve"> </w:t>
      </w:r>
      <w:r>
        <w:t xml:space="preserve">(an outer liquid iron-nickel layer and an inner solid iron-nickel layer) — this layering was determined largely from how seismic waves (point 2) behave as they pass through the Earth’s interior.</w:t>
      </w:r>
    </w:p>
    <w:bookmarkEnd w:id="101"/>
    <w:bookmarkStart w:id="102" w:name="earthquakes-and-seismic-waves"/>
    <w:p>
      <w:pPr>
        <w:pStyle w:val="Heading4"/>
      </w:pPr>
      <w:r>
        <w:t xml:space="preserve">2. Earthquakes and seismic waves</w:t>
      </w:r>
    </w:p>
    <w:p>
      <w:pPr>
        <w:pStyle w:val="FirstParagraph"/>
      </w:pPr>
      <w:r>
        <w:t xml:space="preserve">An</w:t>
      </w:r>
      <w:r>
        <w:t xml:space="preserve"> </w:t>
      </w:r>
      <w:r>
        <w:rPr>
          <w:bCs/>
          <w:b/>
        </w:rPr>
        <w:t xml:space="preserve">earthquake</w:t>
      </w:r>
      <w:r>
        <w:t xml:space="preserve"> </w:t>
      </w:r>
      <w:r>
        <w:t xml:space="preserve">results from the sudden release of accumulated stress along a fault (developed further in Structural Geology, Chapter 4), radiating energy as seismic waves.</w:t>
      </w:r>
      <w:r>
        <w:t xml:space="preserve"> </w:t>
      </w:r>
      <w:r>
        <w:rPr>
          <w:bCs/>
          <w:b/>
        </w:rPr>
        <w:t xml:space="preserve">Body waves</w:t>
      </w:r>
      <w:r>
        <w:t xml:space="preserve"> </w:t>
      </w:r>
      <w:r>
        <w:t xml:space="preserve">travel through the Earth’s interior:</w:t>
      </w:r>
      <w:r>
        <w:t xml:space="preserve"> </w:t>
      </w:r>
      <w:r>
        <w:rPr>
          <w:bCs/>
          <w:b/>
        </w:rPr>
        <w:t xml:space="preserve">P-waves</w:t>
      </w:r>
      <w:r>
        <w:t xml:space="preserve"> </w:t>
      </w:r>
      <w:r>
        <w:t xml:space="preserve">(primary, compressional, fastest, able to travel through solids and liquids) and</w:t>
      </w:r>
      <w:r>
        <w:t xml:space="preserve"> </w:t>
      </w:r>
      <w:r>
        <w:rPr>
          <w:bCs/>
          <w:b/>
        </w:rPr>
        <w:t xml:space="preserve">S-waves</w:t>
      </w:r>
      <w:r>
        <w:t xml:space="preserve"> </w:t>
      </w:r>
      <w:r>
        <w:t xml:space="preserve">(secondary, shear, slower, unable to travel through liquids — their absence in certain regions was key evidence for the Earth’s liquid outer core).</w:t>
      </w:r>
      <w:r>
        <w:t xml:space="preserve"> </w:t>
      </w:r>
      <w:r>
        <w:rPr>
          <w:bCs/>
          <w:b/>
        </w:rPr>
        <w:t xml:space="preserve">Surface waves</w:t>
      </w:r>
      <w:r>
        <w:t xml:space="preserve"> </w:t>
      </w:r>
      <w:r>
        <w:t xml:space="preserve">travel along the Earth’s surface, generally slower than body waves but often causing the most severe damage due to their larger amplitude.</w:t>
      </w:r>
    </w:p>
    <w:bookmarkEnd w:id="102"/>
    <w:bookmarkStart w:id="103" w:name="volcanoes-and-igneous-activity"/>
    <w:p>
      <w:pPr>
        <w:pStyle w:val="Heading4"/>
      </w:pPr>
      <w:r>
        <w:t xml:space="preserve">3. Volcanoes and igneous activity</w:t>
      </w:r>
    </w:p>
    <w:p>
      <w:pPr>
        <w:pStyle w:val="FirstParagraph"/>
      </w:pPr>
      <w:r>
        <w:rPr>
          <w:bCs/>
          <w:b/>
        </w:rPr>
        <w:t xml:space="preserve">Volcanoes</w:t>
      </w:r>
      <w:r>
        <w:t xml:space="preserve"> </w:t>
      </w:r>
      <w:r>
        <w:t xml:space="preserve">form where magma reaches the Earth’s surface, and their eruption style depends heavily on magma composition: low-viscosity, low-silica (basaltic) magma tends to erupt relatively gently and effusively, forming broad shield volcanoes, while high-viscosity, high-silica (rhyolitic/andesitic) magma traps gas, tends to erupt explosively, and forms steeper composite (stratovolcanoes) cones. Volcanic activity is heavily concentrated along plate boundaries (Chapter 4), particularly subduction zones and mid-ocean ridges, connecting this topic directly to the plate tectonics framework developed later in this Paper.</w:t>
      </w:r>
    </w:p>
    <w:bookmarkEnd w:id="103"/>
    <w:bookmarkStart w:id="104" w:name="Xc355e8fcb73f480eab628a9fe8f9306e804e6bd"/>
    <w:p>
      <w:pPr>
        <w:pStyle w:val="Heading4"/>
      </w:pPr>
      <w:r>
        <w:t xml:space="preserve">4. Weathering, erosion, mass wasting, and soils</w:t>
      </w:r>
    </w:p>
    <w:p>
      <w:pPr>
        <w:pStyle w:val="FirstParagraph"/>
      </w:pPr>
      <w:r>
        <w:rPr>
          <w:bCs/>
          <w:b/>
        </w:rPr>
        <w:t xml:space="preserve">Weathering</w:t>
      </w:r>
      <w:r>
        <w:t xml:space="preserve"> </w:t>
      </w:r>
      <w:r>
        <w:t xml:space="preserve">is the in-place breakdown of rock, either</w:t>
      </w:r>
      <w:r>
        <w:t xml:space="preserve"> </w:t>
      </w:r>
      <w:r>
        <w:rPr>
          <w:bCs/>
          <w:b/>
        </w:rPr>
        <w:t xml:space="preserve">physical/mechanical</w:t>
      </w:r>
      <w:r>
        <w:t xml:space="preserve"> </w:t>
      </w:r>
      <w:r>
        <w:t xml:space="preserve">(e.g., frost wedging, where water freezing in cracks expands and fractures rock) or</w:t>
      </w:r>
      <w:r>
        <w:t xml:space="preserve"> </w:t>
      </w:r>
      <w:r>
        <w:rPr>
          <w:bCs/>
          <w:b/>
        </w:rPr>
        <w:t xml:space="preserve">chemical</w:t>
      </w:r>
      <w:r>
        <w:t xml:space="preserve"> </w:t>
      </w:r>
      <w:r>
        <w:t xml:space="preserve">(e.g., dissolution of minerals by acidic water) — the two often act together, with physical weathering increasing surface area available for chemical attack.</w:t>
      </w:r>
      <w:r>
        <w:t xml:space="preserve"> </w:t>
      </w:r>
      <w:r>
        <w:rPr>
          <w:bCs/>
          <w:b/>
        </w:rPr>
        <w:t xml:space="preserve">Erosion</w:t>
      </w:r>
      <w:r>
        <w:t xml:space="preserve"> </w:t>
      </w:r>
      <w:r>
        <w:t xml:space="preserve">is the removal and transport of weathered material by agents such as water, wind, or ice (point 5), distinct from weathering’s in-place breakdown.</w:t>
      </w:r>
      <w:r>
        <w:t xml:space="preserve"> </w:t>
      </w:r>
      <w:r>
        <w:rPr>
          <w:bCs/>
          <w:b/>
        </w:rPr>
        <w:t xml:space="preserve">Mass wasting</w:t>
      </w:r>
      <w:r>
        <w:t xml:space="preserve"> </w:t>
      </w:r>
      <w:r>
        <w:t xml:space="preserve">is the downslope movement of rock and soil under gravity (landslides, slumps, creep), triggered or worsened by factors like water saturation, slope steepness, and seismic shaking.</w:t>
      </w:r>
      <w:r>
        <w:t xml:space="preserve"> </w:t>
      </w:r>
      <w:r>
        <w:rPr>
          <w:bCs/>
          <w:b/>
        </w:rPr>
        <w:t xml:space="preserve">Soil</w:t>
      </w:r>
      <w:r>
        <w:t xml:space="preserve"> </w:t>
      </w:r>
      <w:r>
        <w:t xml:space="preserve">forms through the combined long-term action of weathering and biological activity on parent rock material.</w:t>
      </w:r>
    </w:p>
    <w:bookmarkEnd w:id="104"/>
    <w:bookmarkStart w:id="105" w:name="X22a6a7878112b123efd3469d5e980a27279e6c9"/>
    <w:p>
      <w:pPr>
        <w:pStyle w:val="Heading4"/>
      </w:pPr>
      <w:r>
        <w:t xml:space="preserve">5. Work of rivers, groundwater, glaciers, wind, and oceans</w:t>
      </w:r>
    </w:p>
    <w:p>
      <w:pPr>
        <w:pStyle w:val="FirstParagraph"/>
      </w:pPr>
      <w:r>
        <w:t xml:space="preserve">Each of these agents both erodes and deposits characteristic landforms:</w:t>
      </w:r>
    </w:p>
    <w:p>
      <w:pPr>
        <w:numPr>
          <w:ilvl w:val="0"/>
          <w:numId w:val="1011"/>
        </w:numPr>
        <w:pStyle w:val="Compact"/>
      </w:pPr>
      <w:r>
        <w:rPr>
          <w:bCs/>
          <w:b/>
        </w:rPr>
        <w:t xml:space="preserve">Rivers</w:t>
      </w:r>
      <w:r>
        <w:t xml:space="preserve"> </w:t>
      </w:r>
      <w:r>
        <w:t xml:space="preserve">erode by abrasion and hydraulic action, transport sediment, and deposit it as their velocity decreases (forming features like floodplains, deltas, and meanders).</w:t>
      </w:r>
    </w:p>
    <w:p>
      <w:pPr>
        <w:numPr>
          <w:ilvl w:val="0"/>
          <w:numId w:val="1011"/>
        </w:numPr>
        <w:pStyle w:val="Compact"/>
      </w:pPr>
      <w:r>
        <w:rPr>
          <w:bCs/>
          <w:b/>
        </w:rPr>
        <w:t xml:space="preserve">Groundwater</w:t>
      </w:r>
      <w:r>
        <w:t xml:space="preserve"> </w:t>
      </w:r>
      <w:r>
        <w:t xml:space="preserve">dissolves soluble rock (particularly limestone), producing karst landscapes with caves and sinkholes, and is also a critical resource studied further in engineering/environmental geology (Chapter 9).</w:t>
      </w:r>
    </w:p>
    <w:p>
      <w:pPr>
        <w:numPr>
          <w:ilvl w:val="0"/>
          <w:numId w:val="1011"/>
        </w:numPr>
        <w:pStyle w:val="Compact"/>
      </w:pPr>
      <w:r>
        <w:rPr>
          <w:bCs/>
          <w:b/>
        </w:rPr>
        <w:t xml:space="preserve">Glaciers</w:t>
      </w:r>
      <w:r>
        <w:t xml:space="preserve"> </w:t>
      </w:r>
      <w:r>
        <w:t xml:space="preserve">erode through plucking and abrasion, producing distinctive U-shaped valleys, and deposit unsorted sediment as moraines upon melting.</w:t>
      </w:r>
    </w:p>
    <w:p>
      <w:pPr>
        <w:numPr>
          <w:ilvl w:val="0"/>
          <w:numId w:val="1011"/>
        </w:numPr>
        <w:pStyle w:val="Compact"/>
      </w:pPr>
      <w:r>
        <w:rPr>
          <w:bCs/>
          <w:b/>
        </w:rPr>
        <w:t xml:space="preserve">Wind</w:t>
      </w:r>
      <w:r>
        <w:t xml:space="preserve"> </w:t>
      </w:r>
      <w:r>
        <w:t xml:space="preserve">erodes and transports fine sediment (particularly significant in arid regions), depositing it as dunes or loess.</w:t>
      </w:r>
    </w:p>
    <w:p>
      <w:pPr>
        <w:numPr>
          <w:ilvl w:val="0"/>
          <w:numId w:val="1011"/>
        </w:numPr>
        <w:pStyle w:val="Compact"/>
      </w:pPr>
      <w:r>
        <w:rPr>
          <w:bCs/>
          <w:b/>
        </w:rPr>
        <w:t xml:space="preserve">Oceans</w:t>
      </w:r>
      <w:r>
        <w:t xml:space="preserve"> </w:t>
      </w:r>
      <w:r>
        <w:t xml:space="preserve">shape coastlines through wave erosion and longshore sediment transport, producing features like cliffs, beaches, and spits.</w:t>
      </w:r>
    </w:p>
    <w:bookmarkEnd w:id="105"/>
    <w:bookmarkStart w:id="106" w:name="X9891630f94ae6badb912ae91beb7cab234ef1c4"/>
    <w:p>
      <w:pPr>
        <w:pStyle w:val="Heading4"/>
      </w:pPr>
      <w:r>
        <w:t xml:space="preserve">6. Basic geomorphology and landform development</w:t>
      </w:r>
    </w:p>
    <w:p>
      <w:pPr>
        <w:pStyle w:val="FirstParagraph"/>
      </w:pPr>
      <w:r>
        <w:rPr>
          <w:bCs/>
          <w:b/>
        </w:rPr>
        <w:t xml:space="preserve">Geomorphology</w:t>
      </w:r>
      <w:r>
        <w:t xml:space="preserve"> </w:t>
      </w:r>
      <w:r>
        <w:t xml:space="preserve">studies the origin and evolution of landforms as the product of the interacting processes above, acting over geological time on the underlying rock structure — the same landform-forming agents produce systematically different results depending on climate, rock type, and tectonic setting, which is why a process–landform framework (recognising which agent and process combination produced a given feature) is a more useful study approach than memorising landforms in isolation.</w:t>
      </w:r>
    </w:p>
    <w:bookmarkEnd w:id="106"/>
    <w:bookmarkStart w:id="107" w:name="key-takeaways-9"/>
    <w:p>
      <w:pPr>
        <w:pStyle w:val="Heading4"/>
      </w:pPr>
      <w:r>
        <w:t xml:space="preserve">Key Takeaways</w:t>
      </w:r>
    </w:p>
    <w:p>
      <w:pPr>
        <w:numPr>
          <w:ilvl w:val="0"/>
          <w:numId w:val="1012"/>
        </w:numPr>
        <w:pStyle w:val="Compact"/>
      </w:pPr>
      <w:r>
        <w:t xml:space="preserve">The Earth’s layered internal structure (crust, mantle, core) was established largely through seismic wave behaviour, particularly the absence of S-waves in the liquid outer core.</w:t>
      </w:r>
    </w:p>
    <w:p>
      <w:pPr>
        <w:numPr>
          <w:ilvl w:val="0"/>
          <w:numId w:val="1012"/>
        </w:numPr>
        <w:pStyle w:val="Compact"/>
      </w:pPr>
      <w:r>
        <w:t xml:space="preserve">Volcanic eruption style depends on magma composition (viscosity and gas content), and both volcanoes and earthquakes concentrate heavily along plate boundaries.</w:t>
      </w:r>
    </w:p>
    <w:p>
      <w:pPr>
        <w:numPr>
          <w:ilvl w:val="0"/>
          <w:numId w:val="1012"/>
        </w:numPr>
        <w:pStyle w:val="Compact"/>
      </w:pPr>
      <w:r>
        <w:t xml:space="preserve">Weathering (in-place breakdown) is distinct from erosion (removal and transport); mass wasting is gravity-driven downslope movement, distinct from both.</w:t>
      </w:r>
    </w:p>
    <w:p>
      <w:pPr>
        <w:numPr>
          <w:ilvl w:val="0"/>
          <w:numId w:val="1012"/>
        </w:numPr>
        <w:pStyle w:val="Compact"/>
      </w:pPr>
      <w:r>
        <w:t xml:space="preserve">Rivers, groundwater, glaciers, wind, and oceans each have characteristic erosional and depositional landforms, determined by their specific mode of action.</w:t>
      </w:r>
    </w:p>
    <w:p>
      <w:pPr>
        <w:numPr>
          <w:ilvl w:val="0"/>
          <w:numId w:val="1012"/>
        </w:numPr>
        <w:pStyle w:val="Compact"/>
      </w:pPr>
      <w:r>
        <w:t xml:space="preserve">Geomorphology is best studied through a process–landform framework, since the same agents produce different results depending on climate, rock type, and tectonic setting.</w:t>
      </w:r>
    </w:p>
    <w:bookmarkEnd w:id="107"/>
    <w:bookmarkEnd w:id="108"/>
    <w:bookmarkStart w:id="117" w:name="stratigraphy-and-paleontology"/>
    <w:p>
      <w:pPr>
        <w:pStyle w:val="Heading3"/>
      </w:pPr>
      <w:r>
        <w:t xml:space="preserve">2. Stratigraphy and Paleontology</w:t>
      </w:r>
    </w:p>
    <w:bookmarkStart w:id="109" w:name="introduction-10"/>
    <w:p>
      <w:pPr>
        <w:pStyle w:val="Heading4"/>
      </w:pPr>
      <w:r>
        <w:t xml:space="preserve">Introduction</w:t>
      </w:r>
    </w:p>
    <w:p>
      <w:pPr>
        <w:pStyle w:val="FirstParagraph"/>
      </w:pPr>
      <w:r>
        <w:t xml:space="preserve">Stratigraphy studies layered (sedimentary) rocks and their sequence in time; paleontology studies the fossils preserved within them. Together they let geologists reconstruct the order and timing of Earth’s history, even where absolute dates are unavailable.</w:t>
      </w:r>
    </w:p>
    <w:bookmarkEnd w:id="109"/>
    <w:bookmarkStart w:id="110" w:name="X69799419bf02b230d063b37ecc175f36945d699"/>
    <w:p>
      <w:pPr>
        <w:pStyle w:val="Heading4"/>
      </w:pPr>
      <w:r>
        <w:t xml:space="preserve">1. Principles of stratigraphic correlation and relative age</w:t>
      </w:r>
    </w:p>
    <w:p>
      <w:pPr>
        <w:pStyle w:val="FirstParagraph"/>
      </w:pPr>
      <w:r>
        <w:rPr>
          <w:bCs/>
          <w:b/>
        </w:rPr>
        <w:t xml:space="preserve">Relative dating</w:t>
      </w:r>
      <w:r>
        <w:t xml:space="preserve"> </w:t>
      </w:r>
      <w:r>
        <w:t xml:space="preserve">establishes the order in which geological events occurred, without necessarily giving exact ages, using a small set of guiding principles: the</w:t>
      </w:r>
      <w:r>
        <w:t xml:space="preserve"> </w:t>
      </w:r>
      <w:r>
        <w:rPr>
          <w:bCs/>
          <w:b/>
        </w:rPr>
        <w:t xml:space="preserve">law of superposition</w:t>
      </w:r>
      <w:r>
        <w:t xml:space="preserve"> </w:t>
      </w:r>
      <w:r>
        <w:t xml:space="preserve">(in an undisturbed sequence, older layers lie beneath younger ones), the</w:t>
      </w:r>
      <w:r>
        <w:t xml:space="preserve"> </w:t>
      </w:r>
      <w:r>
        <w:rPr>
          <w:bCs/>
          <w:b/>
        </w:rPr>
        <w:t xml:space="preserve">principle of original horizontality</w:t>
      </w:r>
      <w:r>
        <w:t xml:space="preserve"> </w:t>
      </w:r>
      <w:r>
        <w:t xml:space="preserve">(sedimentary layers are deposited essentially horizontally, so tilted or folded layers indicate later deformation), and</w:t>
      </w:r>
      <w:r>
        <w:t xml:space="preserve"> </w:t>
      </w:r>
      <w:r>
        <w:rPr>
          <w:bCs/>
          <w:b/>
        </w:rPr>
        <w:t xml:space="preserve">cross-cutting relationships</w:t>
      </w:r>
      <w:r>
        <w:t xml:space="preserve"> </w:t>
      </w:r>
      <w:r>
        <w:t xml:space="preserve">(a feature that cuts across existing rock, such as a fault or an igneous intrusion, must be younger than the rock it cuts).</w:t>
      </w:r>
      <w:r>
        <w:t xml:space="preserve"> </w:t>
      </w:r>
      <w:r>
        <w:rPr>
          <w:bCs/>
          <w:b/>
        </w:rPr>
        <w:t xml:space="preserve">Correlation</w:t>
      </w:r>
      <w:r>
        <w:t xml:space="preserve"> </w:t>
      </w:r>
      <w:r>
        <w:t xml:space="preserve">matches rock layers of the same age across different locations, often using distinctive marker beds or, most powerfully, index fossils (point 5).</w:t>
      </w:r>
    </w:p>
    <w:bookmarkEnd w:id="110"/>
    <w:bookmarkStart w:id="111" w:name="X3237e2ee41d3ffcd251b2e87da26cfa7ff95152"/>
    <w:p>
      <w:pPr>
        <w:pStyle w:val="Heading4"/>
      </w:pPr>
      <w:r>
        <w:t xml:space="preserve">2. Unconformities and breaks in the rock record</w:t>
      </w:r>
    </w:p>
    <w:p>
      <w:pPr>
        <w:pStyle w:val="FirstParagraph"/>
      </w:pPr>
      <w:r>
        <w:t xml:space="preserve">An</w:t>
      </w:r>
      <w:r>
        <w:t xml:space="preserve"> </w:t>
      </w:r>
      <w:r>
        <w:rPr>
          <w:bCs/>
          <w:b/>
        </w:rPr>
        <w:t xml:space="preserve">unconformity</w:t>
      </w:r>
      <w:r>
        <w:t xml:space="preserve"> </w:t>
      </w:r>
      <w:r>
        <w:t xml:space="preserve">is a surface representing a significant gap in the rock record — either non-deposition or erosion removed the rock that would otherwise represent that time interval. Different types are recognised by the geometric relationship between the layers above and below: an</w:t>
      </w:r>
      <w:r>
        <w:t xml:space="preserve"> </w:t>
      </w:r>
      <w:r>
        <w:rPr>
          <w:bCs/>
          <w:b/>
        </w:rPr>
        <w:t xml:space="preserve">angular unconformity</w:t>
      </w:r>
      <w:r>
        <w:t xml:space="preserve"> </w:t>
      </w:r>
      <w:r>
        <w:t xml:space="preserve">has tilted older layers beneath horizontal younger layers; a</w:t>
      </w:r>
      <w:r>
        <w:t xml:space="preserve"> </w:t>
      </w:r>
      <w:r>
        <w:rPr>
          <w:bCs/>
          <w:b/>
        </w:rPr>
        <w:t xml:space="preserve">disconformity</w:t>
      </w:r>
      <w:r>
        <w:t xml:space="preserve"> </w:t>
      </w:r>
      <w:r>
        <w:t xml:space="preserve">has parallel layers above and below the gap; a</w:t>
      </w:r>
      <w:r>
        <w:t xml:space="preserve"> </w:t>
      </w:r>
      <w:r>
        <w:rPr>
          <w:bCs/>
          <w:b/>
        </w:rPr>
        <w:t xml:space="preserve">nonconformity</w:t>
      </w:r>
      <w:r>
        <w:t xml:space="preserve"> </w:t>
      </w:r>
      <w:r>
        <w:t xml:space="preserve">has sedimentary rock overlying older igneous or metamorphic rock. Recognising unconformities is essential because they represent</w:t>
      </w:r>
      <w:r>
        <w:t xml:space="preserve"> </w:t>
      </w:r>
      <w:r>
        <w:t xml:space="preserve">“</w:t>
      </w:r>
      <w:r>
        <w:t xml:space="preserve">missing time</w:t>
      </w:r>
      <w:r>
        <w:t xml:space="preserve">”</w:t>
      </w:r>
      <w:r>
        <w:t xml:space="preserve"> </w:t>
      </w:r>
      <w:r>
        <w:t xml:space="preserve">not directly recorded by any rock layer.</w:t>
      </w:r>
    </w:p>
    <w:bookmarkEnd w:id="111"/>
    <w:bookmarkStart w:id="112" w:name="geological-time-scale"/>
    <w:p>
      <w:pPr>
        <w:pStyle w:val="Heading4"/>
      </w:pPr>
      <w:r>
        <w:t xml:space="preserve">3. Geological time scale</w:t>
      </w:r>
    </w:p>
    <w:p>
      <w:pPr>
        <w:pStyle w:val="FirstParagraph"/>
      </w:pPr>
      <w:r>
        <w:t xml:space="preserve">The</w:t>
      </w:r>
      <w:r>
        <w:t xml:space="preserve"> </w:t>
      </w:r>
      <w:r>
        <w:rPr>
          <w:bCs/>
          <w:b/>
        </w:rPr>
        <w:t xml:space="preserve">geological time scale</w:t>
      </w:r>
      <w:r>
        <w:t xml:space="preserve"> </w:t>
      </w:r>
      <w:r>
        <w:t xml:space="preserve">divides Earth’s 4.6-billion-year history into a hierarchy of named intervals (eons, eras, periods, epochs), based primarily on major changes observed in the fossil and rock record (particularly, historically, mass extinction events marking major boundaries, such as the one separating the Mesozoic and Cenozoic eras). Learning this scale’s broad structure — which era or period corresponds to which major fossil groups and geological events — provides an essential shared reference framework for the entire subject.</w:t>
      </w:r>
    </w:p>
    <w:bookmarkEnd w:id="112"/>
    <w:bookmarkStart w:id="113" w:name="Xf89498811429017024847d2ae32512a70d63a50"/>
    <w:p>
      <w:pPr>
        <w:pStyle w:val="Heading4"/>
      </w:pPr>
      <w:r>
        <w:t xml:space="preserve">4. Fossil preservation, classification, and use</w:t>
      </w:r>
    </w:p>
    <w:p>
      <w:pPr>
        <w:pStyle w:val="FirstParagraph"/>
      </w:pPr>
      <w:r>
        <w:t xml:space="preserve">A</w:t>
      </w:r>
      <w:r>
        <w:t xml:space="preserve"> </w:t>
      </w:r>
      <w:r>
        <w:rPr>
          <w:bCs/>
          <w:b/>
        </w:rPr>
        <w:t xml:space="preserve">fossil</w:t>
      </w:r>
      <w:r>
        <w:t xml:space="preserve"> </w:t>
      </w:r>
      <w:r>
        <w:t xml:space="preserve">is any preserved evidence of past life, preserved through various processes (permineralization, where minerals fill original pore spaces; carbonization, leaving a carbon film; casts and molds; or, more rarely, unaltered preservation, such as insects in amber). Fossils are classified taxonomically (like living organisms) and are used for dating rock (biostratigraphy, point 5), reconstructing past environments (since many organisms have known specific environmental tolerances), and directly reconstructing evolutionary history.</w:t>
      </w:r>
    </w:p>
    <w:bookmarkEnd w:id="113"/>
    <w:bookmarkStart w:id="114" w:name="biostratigraphy-and-index-fossils"/>
    <w:p>
      <w:pPr>
        <w:pStyle w:val="Heading4"/>
      </w:pPr>
      <w:r>
        <w:t xml:space="preserve">5. Biostratigraphy and index fossils</w:t>
      </w:r>
    </w:p>
    <w:p>
      <w:pPr>
        <w:pStyle w:val="FirstParagraph"/>
      </w:pPr>
      <w:r>
        <w:rPr>
          <w:bCs/>
          <w:b/>
        </w:rPr>
        <w:t xml:space="preserve">Biostratigraphy</w:t>
      </w:r>
      <w:r>
        <w:t xml:space="preserve"> </w:t>
      </w:r>
      <w:r>
        <w:t xml:space="preserve">uses the vertical distribution of fossils within rock sequences for correlation and relative dating. An ideal</w:t>
      </w:r>
      <w:r>
        <w:t xml:space="preserve"> </w:t>
      </w:r>
      <w:r>
        <w:rPr>
          <w:bCs/>
          <w:b/>
        </w:rPr>
        <w:t xml:space="preserve">index fossil</w:t>
      </w:r>
      <w:r>
        <w:t xml:space="preserve"> </w:t>
      </w:r>
      <w:r>
        <w:t xml:space="preserve">has three characteristics: it was geographically widespread (found across many locations, allowing broad correlation), it existed for a relatively short geological time span (giving precise age resolution), and it is easily identified — an organism that evolved rapidly and dispersed widely (such as many extinct marine invertebrates) makes an especially useful index fossil for exactly these reasons.</w:t>
      </w:r>
    </w:p>
    <w:bookmarkEnd w:id="114"/>
    <w:bookmarkStart w:id="115" w:name="Xcc51af1149fc22b5f156c8d65498be2d4ef6de0"/>
    <w:p>
      <w:pPr>
        <w:pStyle w:val="Heading4"/>
      </w:pPr>
      <w:r>
        <w:t xml:space="preserve">6. Broad stratigraphic framework and important examples</w:t>
      </w:r>
    </w:p>
    <w:p>
      <w:pPr>
        <w:pStyle w:val="FirstParagraph"/>
      </w:pPr>
      <w:r>
        <w:t xml:space="preserve">At syllabus level, familiarity with the broad stratigraphic framework — recognising how relative dating principles, unconformities, the time scale, and biostratigraphy combine to interpret a real rock sequence or geological map — is more important than memorising every named regional formation; where specific regional (e.g., Pakistani) stratigraphic examples are required, referring to authoritative geological survey sources ensures current and locally accurate detail.</w:t>
      </w:r>
    </w:p>
    <w:bookmarkEnd w:id="115"/>
    <w:bookmarkStart w:id="116" w:name="key-takeaways-10"/>
    <w:p>
      <w:pPr>
        <w:pStyle w:val="Heading4"/>
      </w:pPr>
      <w:r>
        <w:t xml:space="preserve">Key Takeaways</w:t>
      </w:r>
    </w:p>
    <w:p>
      <w:pPr>
        <w:numPr>
          <w:ilvl w:val="0"/>
          <w:numId w:val="1013"/>
        </w:numPr>
        <w:pStyle w:val="Compact"/>
      </w:pPr>
      <w:r>
        <w:t xml:space="preserve">Relative dating principles (superposition, original horizontality, cross-cutting relationships) establish the order of geological events without requiring absolute ages.</w:t>
      </w:r>
    </w:p>
    <w:p>
      <w:pPr>
        <w:numPr>
          <w:ilvl w:val="0"/>
          <w:numId w:val="1013"/>
        </w:numPr>
        <w:pStyle w:val="Compact"/>
      </w:pPr>
      <w:r>
        <w:t xml:space="preserve">Unconformities represent gaps in the rock record, classified by the geometric relationship between the layers above and below the missing interval.</w:t>
      </w:r>
    </w:p>
    <w:p>
      <w:pPr>
        <w:numPr>
          <w:ilvl w:val="0"/>
          <w:numId w:val="1013"/>
        </w:numPr>
        <w:pStyle w:val="Compact"/>
      </w:pPr>
      <w:r>
        <w:t xml:space="preserve">The geological time scale organises Earth’s history primarily around major fossil-record changes, especially mass extinctions.</w:t>
      </w:r>
    </w:p>
    <w:p>
      <w:pPr>
        <w:numPr>
          <w:ilvl w:val="0"/>
          <w:numId w:val="1013"/>
        </w:numPr>
        <w:pStyle w:val="Compact"/>
      </w:pPr>
      <w:r>
        <w:t xml:space="preserve">Fossils are preserved through several distinct processes and serve both dating (biostratigraphy) and paleoenvironmental reconstruction purposes.</w:t>
      </w:r>
    </w:p>
    <w:p>
      <w:pPr>
        <w:numPr>
          <w:ilvl w:val="0"/>
          <w:numId w:val="1013"/>
        </w:numPr>
        <w:pStyle w:val="Compact"/>
      </w:pPr>
      <w:r>
        <w:t xml:space="preserve">An ideal index fossil is widespread, short-lived, and easily identified, making rapidly evolving, widely dispersed organisms especially valuable for precise correlation.</w:t>
      </w:r>
    </w:p>
    <w:bookmarkEnd w:id="116"/>
    <w:bookmarkEnd w:id="117"/>
    <w:bookmarkStart w:id="125" w:name="mineralogy"/>
    <w:p>
      <w:pPr>
        <w:pStyle w:val="Heading3"/>
      </w:pPr>
      <w:r>
        <w:t xml:space="preserve">3. Mineralogy</w:t>
      </w:r>
    </w:p>
    <w:bookmarkStart w:id="118" w:name="introduction-11"/>
    <w:p>
      <w:pPr>
        <w:pStyle w:val="Heading4"/>
      </w:pPr>
      <w:r>
        <w:t xml:space="preserve">Introduction</w:t>
      </w:r>
    </w:p>
    <w:p>
      <w:pPr>
        <w:pStyle w:val="FirstParagraph"/>
      </w:pPr>
      <w:r>
        <w:t xml:space="preserve">Mineralogy studies minerals — the naturally occurring, inorganic, crystalline building blocks of rocks — and provides the compositional foundation needed before rocks themselves (Chapter 5) can be properly classified and understood.</w:t>
      </w:r>
    </w:p>
    <w:bookmarkEnd w:id="118"/>
    <w:bookmarkStart w:id="119" w:name="X33e385e3668f7d8f2ec82747fe7513b6a5004b0"/>
    <w:p>
      <w:pPr>
        <w:pStyle w:val="Heading4"/>
      </w:pPr>
      <w:r>
        <w:t xml:space="preserve">1. Crystal systems and basic crystallography</w:t>
      </w:r>
    </w:p>
    <w:p>
      <w:pPr>
        <w:pStyle w:val="FirstParagraph"/>
      </w:pPr>
      <w:r>
        <w:t xml:space="preserve">A</w:t>
      </w:r>
      <w:r>
        <w:t xml:space="preserve"> </w:t>
      </w:r>
      <w:r>
        <w:rPr>
          <w:bCs/>
          <w:b/>
        </w:rPr>
        <w:t xml:space="preserve">mineral</w:t>
      </w:r>
      <w:r>
        <w:t xml:space="preserve"> </w:t>
      </w:r>
      <w:r>
        <w:t xml:space="preserve">is defined by a specific, ordered internal atomic arrangement (its</w:t>
      </w:r>
      <w:r>
        <w:t xml:space="preserve"> </w:t>
      </w:r>
      <w:r>
        <w:rPr>
          <w:bCs/>
          <w:b/>
        </w:rPr>
        <w:t xml:space="preserve">crystal structure</w:t>
      </w:r>
      <w:r>
        <w:t xml:space="preserve">), which is classified into one of seven</w:t>
      </w:r>
      <w:r>
        <w:t xml:space="preserve"> </w:t>
      </w:r>
      <w:r>
        <w:rPr>
          <w:bCs/>
          <w:b/>
        </w:rPr>
        <w:t xml:space="preserve">crystal systems</w:t>
      </w:r>
      <w:r>
        <w:t xml:space="preserve"> </w:t>
      </w:r>
      <w:r>
        <w:t xml:space="preserve">(cubic, tetragonal, orthorhombic, hexagonal, trigonal, monoclinic, and triclinic) based on the symmetry and relative lengths/angles of the crystal’s defining axes. This internal atomic order — rather than external shape alone, which can be modified by growth conditions — is what fundamentally defines a mineral and, ultimately, controls the physical properties described in point 2.</w:t>
      </w:r>
    </w:p>
    <w:bookmarkEnd w:id="119"/>
    <w:bookmarkStart w:id="120" w:name="physical-properties-of-minerals"/>
    <w:p>
      <w:pPr>
        <w:pStyle w:val="Heading4"/>
      </w:pPr>
      <w:r>
        <w:t xml:space="preserve">2. Physical properties of minerals</w:t>
      </w:r>
    </w:p>
    <w:p>
      <w:pPr>
        <w:pStyle w:val="FirstParagraph"/>
      </w:pPr>
      <w:r>
        <w:t xml:space="preserve">Minerals are identified in the field and laboratory using a consistent set of physical properties:</w:t>
      </w:r>
      <w:r>
        <w:t xml:space="preserve"> </w:t>
      </w:r>
      <w:r>
        <w:rPr>
          <w:bCs/>
          <w:b/>
        </w:rPr>
        <w:t xml:space="preserve">hardness</w:t>
      </w:r>
      <w:r>
        <w:t xml:space="preserve"> </w:t>
      </w:r>
      <w:r>
        <w:t xml:space="preserve">(resistance to scratching, measured on the relative</w:t>
      </w:r>
      <w:r>
        <w:t xml:space="preserve"> </w:t>
      </w:r>
      <w:r>
        <w:rPr>
          <w:bCs/>
          <w:b/>
        </w:rPr>
        <w:t xml:space="preserve">Mohs scale</w:t>
      </w:r>
      <w:r>
        <w:t xml:space="preserve"> </w:t>
      </w:r>
      <w:r>
        <w:t xml:space="preserve">from talc at 1 to diamond at 10),</w:t>
      </w:r>
      <w:r>
        <w:t xml:space="preserve"> </w:t>
      </w:r>
      <w:r>
        <w:rPr>
          <w:bCs/>
          <w:b/>
        </w:rPr>
        <w:t xml:space="preserve">cleavage</w:t>
      </w:r>
      <w:r>
        <w:t xml:space="preserve"> </w:t>
      </w:r>
      <w:r>
        <w:t xml:space="preserve">(the tendency to break along smooth, flat planes determined by weaknesses in the crystal structure) versus</w:t>
      </w:r>
      <w:r>
        <w:t xml:space="preserve"> </w:t>
      </w:r>
      <w:r>
        <w:rPr>
          <w:bCs/>
          <w:b/>
        </w:rPr>
        <w:t xml:space="preserve">fracture</w:t>
      </w:r>
      <w:r>
        <w:t xml:space="preserve"> </w:t>
      </w:r>
      <w:r>
        <w:t xml:space="preserve">(irregular breakage where no such planes exist),</w:t>
      </w:r>
      <w:r>
        <w:t xml:space="preserve"> </w:t>
      </w:r>
      <w:r>
        <w:rPr>
          <w:bCs/>
          <w:b/>
        </w:rPr>
        <w:t xml:space="preserve">luster</w:t>
      </w:r>
      <w:r>
        <w:t xml:space="preserve"> </w:t>
      </w:r>
      <w:r>
        <w:t xml:space="preserve">(how a mineral’s surface reflects light — metallic or non-metallic, further subdivided),</w:t>
      </w:r>
      <w:r>
        <w:t xml:space="preserve"> </w:t>
      </w:r>
      <w:r>
        <w:rPr>
          <w:bCs/>
          <w:b/>
        </w:rPr>
        <w:t xml:space="preserve">color</w:t>
      </w:r>
      <w:r>
        <w:t xml:space="preserve"> </w:t>
      </w:r>
      <w:r>
        <w:t xml:space="preserve">(often variable and unreliable alone, since impurities can alter it),</w:t>
      </w:r>
      <w:r>
        <w:t xml:space="preserve"> </w:t>
      </w:r>
      <w:r>
        <w:rPr>
          <w:bCs/>
          <w:b/>
        </w:rPr>
        <w:t xml:space="preserve">streak</w:t>
      </w:r>
      <w:r>
        <w:t xml:space="preserve"> </w:t>
      </w:r>
      <w:r>
        <w:t xml:space="preserve">(the color of a mineral’s powder, obtained by rubbing it on an unglazed porcelain plate — often more diagnostic than the mineral’s surface color), and</w:t>
      </w:r>
      <w:r>
        <w:t xml:space="preserve"> </w:t>
      </w:r>
      <w:r>
        <w:rPr>
          <w:bCs/>
          <w:b/>
        </w:rPr>
        <w:t xml:space="preserve">specific gravity</w:t>
      </w:r>
      <w:r>
        <w:t xml:space="preserve"> </w:t>
      </w:r>
      <w:r>
        <w:t xml:space="preserve">(density relative to water). Reliable identification generally requires combining several of these properties rather than relying on any single one.</w:t>
      </w:r>
    </w:p>
    <w:bookmarkEnd w:id="120"/>
    <w:bookmarkStart w:id="121" w:name="X3ed8648099f06274e426bb68a6df2a08c92dcf3"/>
    <w:p>
      <w:pPr>
        <w:pStyle w:val="Heading4"/>
      </w:pPr>
      <w:r>
        <w:t xml:space="preserve">3. Optical properties and identification concepts</w:t>
      </w:r>
    </w:p>
    <w:p>
      <w:pPr>
        <w:pStyle w:val="FirstParagraph"/>
      </w:pPr>
      <w:r>
        <w:t xml:space="preserve">Under a</w:t>
      </w:r>
      <w:r>
        <w:t xml:space="preserve"> </w:t>
      </w:r>
      <w:r>
        <w:rPr>
          <w:bCs/>
          <w:b/>
        </w:rPr>
        <w:t xml:space="preserve">polarizing microscope</w:t>
      </w:r>
      <w:r>
        <w:t xml:space="preserve"> </w:t>
      </w:r>
      <w:r>
        <w:t xml:space="preserve">(using thin, translucent slices of rock or mineral), minerals display characteristic optical properties — including how they interact with polarised light (Physics Chapter III) — such as birefringence (splitting light into two rays travelling at different speeds) and characteristic interference colors, allowing precise mineral identification even when physical hand-specimen properties are ambiguous or when minerals are too fine-grained to identify by eye alone.</w:t>
      </w:r>
    </w:p>
    <w:bookmarkEnd w:id="121"/>
    <w:bookmarkStart w:id="122" w:name="X9549e44ca324ebf0c9658f2cdb964012f8aa122"/>
    <w:p>
      <w:pPr>
        <w:pStyle w:val="Heading4"/>
      </w:pPr>
      <w:r>
        <w:t xml:space="preserve">4. Silicate structures and major mineral groups</w:t>
      </w:r>
    </w:p>
    <w:p>
      <w:pPr>
        <w:pStyle w:val="FirstParagraph"/>
      </w:pPr>
      <w:r>
        <w:rPr>
          <w:bCs/>
          <w:b/>
        </w:rPr>
        <w:t xml:space="preserve">Silicates</w:t>
      </w:r>
      <w:r>
        <w:t xml:space="preserve"> </w:t>
      </w:r>
      <w:r>
        <w:t xml:space="preserve">— built from a basic silicon-oxygen tetrahedron (SiO₄) — are the most abundant mineral group in the Earth’s crust, and are classified by how these tetrahedra link together: isolated tetrahedra (e.g., olivine), single chains (pyroxenes), double chains (amphiboles), sheets (micas), and fully interconnected three-dimensional frameworks (quartz, feldspars). This linkage pattern directly controls a silicate mineral’s cleavage behaviour (e.g., sheet silicates like mica cleave into thin, flat sheets, directly reflecting their sheet-like atomic structure) and overall physical properties.</w:t>
      </w:r>
    </w:p>
    <w:bookmarkEnd w:id="122"/>
    <w:bookmarkStart w:id="123" w:name="X85fcf98a0599cb891fddf67ac1be97374f474bd"/>
    <w:p>
      <w:pPr>
        <w:pStyle w:val="Heading4"/>
      </w:pPr>
      <w:r>
        <w:t xml:space="preserve">5. Common rock-forming and economic minerals</w:t>
      </w:r>
    </w:p>
    <w:p>
      <w:pPr>
        <w:pStyle w:val="FirstParagraph"/>
      </w:pPr>
      <w:r>
        <w:rPr>
          <w:bCs/>
          <w:b/>
        </w:rPr>
        <w:t xml:space="preserve">Rock-forming minerals</w:t>
      </w:r>
      <w:r>
        <w:t xml:space="preserve"> </w:t>
      </w:r>
      <w:r>
        <w:t xml:space="preserve">(quartz, feldspars, micas, pyroxenes, amphiboles, olivine, calcite) make up the vast majority of common rocks and are essential to recognise for rock classification (Chapter 5).</w:t>
      </w:r>
      <w:r>
        <w:t xml:space="preserve"> </w:t>
      </w:r>
      <w:r>
        <w:rPr>
          <w:bCs/>
          <w:b/>
        </w:rPr>
        <w:t xml:space="preserve">Economic minerals</w:t>
      </w:r>
      <w:r>
        <w:t xml:space="preserve"> </w:t>
      </w:r>
      <w:r>
        <w:t xml:space="preserve">are valued specifically for their industrial, metallurgical, or commercial use (such as metal ores, or minerals mined for specific chemical or physical properties) — this distinction is one of use and value rather than a fundamentally different physical or chemical nature, and a single mineral can sometimes fall into both categories depending on context.</w:t>
      </w:r>
    </w:p>
    <w:bookmarkEnd w:id="123"/>
    <w:bookmarkStart w:id="124" w:name="key-takeaways-11"/>
    <w:p>
      <w:pPr>
        <w:pStyle w:val="Heading4"/>
      </w:pPr>
      <w:r>
        <w:t xml:space="preserve">Key Takeaways</w:t>
      </w:r>
    </w:p>
    <w:p>
      <w:pPr>
        <w:numPr>
          <w:ilvl w:val="0"/>
          <w:numId w:val="1014"/>
        </w:numPr>
        <w:pStyle w:val="Compact"/>
      </w:pPr>
      <w:r>
        <w:t xml:space="preserve">A mineral’s crystal system reflects its fundamental internal atomic ordering, distinct from, though it also influences, its external shape.</w:t>
      </w:r>
    </w:p>
    <w:p>
      <w:pPr>
        <w:numPr>
          <w:ilvl w:val="0"/>
          <w:numId w:val="1014"/>
        </w:numPr>
        <w:pStyle w:val="Compact"/>
      </w:pPr>
      <w:r>
        <w:t xml:space="preserve">Combining several physical properties (hardness, cleavage/fracture, luster, streak, specific gravity) is more reliable for identification than relying on color or any single property alone.</w:t>
      </w:r>
    </w:p>
    <w:p>
      <w:pPr>
        <w:numPr>
          <w:ilvl w:val="0"/>
          <w:numId w:val="1014"/>
        </w:numPr>
        <w:pStyle w:val="Compact"/>
      </w:pPr>
      <w:r>
        <w:t xml:space="preserve">Optical properties under a polarizing microscope allow precise identification of minerals too fine-grained or ambiguous for hand-specimen analysis.</w:t>
      </w:r>
    </w:p>
    <w:p>
      <w:pPr>
        <w:numPr>
          <w:ilvl w:val="0"/>
          <w:numId w:val="1014"/>
        </w:numPr>
        <w:pStyle w:val="Compact"/>
      </w:pPr>
      <w:r>
        <w:t xml:space="preserve">Silicate minerals are classified by how their basic SiO₄ tetrahedra link together, and this linkage pattern directly explains their cleavage and other physical properties.</w:t>
      </w:r>
    </w:p>
    <w:p>
      <w:pPr>
        <w:numPr>
          <w:ilvl w:val="0"/>
          <w:numId w:val="1014"/>
        </w:numPr>
        <w:pStyle w:val="Compact"/>
      </w:pPr>
      <w:r>
        <w:t xml:space="preserve">Rock-forming and economic minerals are distinguished by use and abundance rather than fundamentally different composition, and the two categories can overlap.</w:t>
      </w:r>
    </w:p>
    <w:bookmarkEnd w:id="124"/>
    <w:bookmarkEnd w:id="125"/>
    <w:bookmarkStart w:id="134" w:name="structural-geology-and-tectonics"/>
    <w:p>
      <w:pPr>
        <w:pStyle w:val="Heading3"/>
      </w:pPr>
      <w:r>
        <w:t xml:space="preserve">4. Structural Geology and Tectonics</w:t>
      </w:r>
    </w:p>
    <w:bookmarkStart w:id="126" w:name="introduction-12"/>
    <w:p>
      <w:pPr>
        <w:pStyle w:val="Heading4"/>
      </w:pPr>
      <w:r>
        <w:t xml:space="preserve">Introduction</w:t>
      </w:r>
    </w:p>
    <w:p>
      <w:pPr>
        <w:pStyle w:val="FirstParagraph"/>
      </w:pPr>
      <w:r>
        <w:t xml:space="preserve">Structural geology studies how rocks deform under stress, and plate tectonics explains the large-scale forces that drive this deformation across the Earth’s surface — together, they explain the</w:t>
      </w:r>
      <w:r>
        <w:t xml:space="preserve"> </w:t>
      </w:r>
      <w:r>
        <w:t xml:space="preserve">“</w:t>
      </w:r>
      <w:r>
        <w:t xml:space="preserve">why</w:t>
      </w:r>
      <w:r>
        <w:t xml:space="preserve">”</w:t>
      </w:r>
      <w:r>
        <w:t xml:space="preserve"> </w:t>
      </w:r>
      <w:r>
        <w:t xml:space="preserve">behind the mountain ranges, earthquake zones, and volcanic belts introduced descriptively in Chapter 1.</w:t>
      </w:r>
    </w:p>
    <w:bookmarkEnd w:id="126"/>
    <w:bookmarkStart w:id="127" w:name="stress-and-strain"/>
    <w:p>
      <w:pPr>
        <w:pStyle w:val="Heading4"/>
      </w:pPr>
      <w:r>
        <w:t xml:space="preserve">1. Stress and strain</w:t>
      </w:r>
    </w:p>
    <w:p>
      <w:pPr>
        <w:pStyle w:val="FirstParagraph"/>
      </w:pPr>
      <w:r>
        <w:rPr>
          <w:bCs/>
          <w:b/>
        </w:rPr>
        <w:t xml:space="preserve">Stress</w:t>
      </w:r>
      <w:r>
        <w:t xml:space="preserve"> </w:t>
      </w:r>
      <w:r>
        <w:t xml:space="preserve">is force applied per unit area on a rock (compressive, tensile, or shear, depending on direction relative to the rock surface);</w:t>
      </w:r>
      <w:r>
        <w:t xml:space="preserve"> </w:t>
      </w:r>
      <w:r>
        <w:rPr>
          <w:bCs/>
          <w:b/>
        </w:rPr>
        <w:t xml:space="preserve">strain</w:t>
      </w:r>
      <w:r>
        <w:t xml:space="preserve"> </w:t>
      </w:r>
      <w:r>
        <w:t xml:space="preserve">is the resulting deformation. Rock responds to stress in stages depending on the stress magnitude and the conditions (temperature, pressure, rate of loading):</w:t>
      </w:r>
      <w:r>
        <w:t xml:space="preserve"> </w:t>
      </w:r>
      <w:r>
        <w:rPr>
          <w:bCs/>
          <w:b/>
        </w:rPr>
        <w:t xml:space="preserve">elastic</w:t>
      </w:r>
      <w:r>
        <w:t xml:space="preserve"> </w:t>
      </w:r>
      <w:r>
        <w:t xml:space="preserve">deformation is temporary and fully reversible if stress is removed (Physics Chapter II’s elasticity concept applied to rock);</w:t>
      </w:r>
      <w:r>
        <w:t xml:space="preserve"> </w:t>
      </w:r>
      <w:r>
        <w:rPr>
          <w:bCs/>
          <w:b/>
        </w:rPr>
        <w:t xml:space="preserve">plastic</w:t>
      </w:r>
      <w:r>
        <w:t xml:space="preserve"> </w:t>
      </w:r>
      <w:r>
        <w:t xml:space="preserve">deformation is permanent but does not involve fracturing (typical of rock deep in the crust, under high temperature and confining pressure, deforming slowly, similar to folding); and</w:t>
      </w:r>
      <w:r>
        <w:t xml:space="preserve"> </w:t>
      </w:r>
      <w:r>
        <w:rPr>
          <w:bCs/>
          <w:b/>
        </w:rPr>
        <w:t xml:space="preserve">brittle</w:t>
      </w:r>
      <w:r>
        <w:t xml:space="preserve"> </w:t>
      </w:r>
      <w:r>
        <w:t xml:space="preserve">deformation is permanent deformation via fracturing (typical of rock nearer the surface, under lower temperature and pressure, deforming rapidly).</w:t>
      </w:r>
    </w:p>
    <w:bookmarkEnd w:id="127"/>
    <w:bookmarkStart w:id="128" w:name="folds-and-fold-classification"/>
    <w:p>
      <w:pPr>
        <w:pStyle w:val="Heading4"/>
      </w:pPr>
      <w:r>
        <w:t xml:space="preserve">2. Folds and fold classification</w:t>
      </w:r>
    </w:p>
    <w:p>
      <w:pPr>
        <w:pStyle w:val="FirstParagraph"/>
      </w:pPr>
      <w:r>
        <w:rPr>
          <w:bCs/>
          <w:b/>
        </w:rPr>
        <w:t xml:space="preserve">Folds</w:t>
      </w:r>
      <w:r>
        <w:t xml:space="preserve"> </w:t>
      </w:r>
      <w:r>
        <w:t xml:space="preserve">are bends in rock layers produced by plastic (ductile) deformation, typically under compressive stress. An</w:t>
      </w:r>
      <w:r>
        <w:t xml:space="preserve"> </w:t>
      </w:r>
      <w:r>
        <w:rPr>
          <w:bCs/>
          <w:b/>
        </w:rPr>
        <w:t xml:space="preserve">anticline</w:t>
      </w:r>
      <w:r>
        <w:t xml:space="preserve"> </w:t>
      </w:r>
      <w:r>
        <w:t xml:space="preserve">is an upward, arch-like fold (with the oldest rock layers at its core, once eroded), while a</w:t>
      </w:r>
      <w:r>
        <w:t xml:space="preserve"> </w:t>
      </w:r>
      <w:r>
        <w:rPr>
          <w:bCs/>
          <w:b/>
        </w:rPr>
        <w:t xml:space="preserve">syncline</w:t>
      </w:r>
      <w:r>
        <w:t xml:space="preserve"> </w:t>
      </w:r>
      <w:r>
        <w:t xml:space="preserve">is a downward, trough-like fold (with the youngest rock layers at its core). Folds are further classified by their symmetry (symmetrical versus asymmetrical, depending on whether both limbs dip at equal angles) and by the orientation of their fold axis (plunging if the axis is tilted, non-plunging if horizontal) — correctly recognising a fold’s geometry from a geological map is essential for interpreting the underlying rock structure and history of deformation.</w:t>
      </w:r>
    </w:p>
    <w:bookmarkEnd w:id="128"/>
    <w:bookmarkStart w:id="129" w:name="faults-and-fault-classification"/>
    <w:p>
      <w:pPr>
        <w:pStyle w:val="Heading4"/>
      </w:pPr>
      <w:r>
        <w:t xml:space="preserve">3. Faults and fault classification</w:t>
      </w:r>
    </w:p>
    <w:p>
      <w:pPr>
        <w:pStyle w:val="FirstParagraph"/>
      </w:pPr>
      <w:r>
        <w:rPr>
          <w:bCs/>
          <w:b/>
        </w:rPr>
        <w:t xml:space="preserve">Faults</w:t>
      </w:r>
      <w:r>
        <w:t xml:space="preserve"> </w:t>
      </w:r>
      <w:r>
        <w:t xml:space="preserve">are fractures along which rock on either side has moved relative to the other, produced by brittle deformation. The three basic types are classified by the relative direction of movement: a</w:t>
      </w:r>
      <w:r>
        <w:t xml:space="preserve"> </w:t>
      </w:r>
      <w:r>
        <w:rPr>
          <w:bCs/>
          <w:b/>
        </w:rPr>
        <w:t xml:space="preserve">normal fault</w:t>
      </w:r>
      <w:r>
        <w:t xml:space="preserve"> </w:t>
      </w:r>
      <w:r>
        <w:t xml:space="preserve">(the hanging wall moves down relative to the footwall, typically caused by tensional/extensional stress, common at divergent boundaries), a</w:t>
      </w:r>
      <w:r>
        <w:t xml:space="preserve"> </w:t>
      </w:r>
      <w:r>
        <w:rPr>
          <w:bCs/>
          <w:b/>
        </w:rPr>
        <w:t xml:space="preserve">reverse fault</w:t>
      </w:r>
      <w:r>
        <w:t xml:space="preserve"> </w:t>
      </w:r>
      <w:r>
        <w:t xml:space="preserve">(the hanging wall moves up relative to the footwall, typically caused by compressional stress, common at convergent boundaries — a</w:t>
      </w:r>
      <w:r>
        <w:t xml:space="preserve"> </w:t>
      </w:r>
      <w:r>
        <w:rPr>
          <w:bCs/>
          <w:b/>
        </w:rPr>
        <w:t xml:space="preserve">thrust fault</w:t>
      </w:r>
      <w:r>
        <w:t xml:space="preserve"> </w:t>
      </w:r>
      <w:r>
        <w:t xml:space="preserve">is a specific low-angle reverse fault), and a</w:t>
      </w:r>
      <w:r>
        <w:t xml:space="preserve"> </w:t>
      </w:r>
      <w:r>
        <w:rPr>
          <w:bCs/>
          <w:b/>
        </w:rPr>
        <w:t xml:space="preserve">strike-slip fault</w:t>
      </w:r>
      <w:r>
        <w:t xml:space="preserve"> </w:t>
      </w:r>
      <w:r>
        <w:t xml:space="preserve">(movement is predominantly horizontal, parallel to the fault’s strike, associated with transform boundaries, point 6).</w:t>
      </w:r>
    </w:p>
    <w:bookmarkEnd w:id="129"/>
    <w:bookmarkStart w:id="130" w:name="joints-and-other-structures"/>
    <w:p>
      <w:pPr>
        <w:pStyle w:val="Heading4"/>
      </w:pPr>
      <w:r>
        <w:t xml:space="preserve">4. Joints and other structures</w:t>
      </w:r>
    </w:p>
    <w:p>
      <w:pPr>
        <w:pStyle w:val="FirstParagraph"/>
      </w:pPr>
      <w:r>
        <w:rPr>
          <w:bCs/>
          <w:b/>
        </w:rPr>
        <w:t xml:space="preserve">Joints</w:t>
      </w:r>
      <w:r>
        <w:t xml:space="preserve"> </w:t>
      </w:r>
      <w:r>
        <w:t xml:space="preserve">are fractures in rock along which little or no relative movement has occurred (distinguishing them from faults). They commonly form from stress release (such as when overlying rock is eroded away, releasing confining pressure) or from cooling and contraction (particularly notable in some igneous rocks, producing distinctive, regularly spaced columnar joint patterns). Joints significantly influence rock permeability (relevant to groundwater and petroleum geology, later chapters) and weathering patterns, since they provide pathways for water and weathering agents to penetrate the rock mass.</w:t>
      </w:r>
    </w:p>
    <w:bookmarkEnd w:id="130"/>
    <w:bookmarkStart w:id="131" w:name="X5776d4b266c1e994e985d5e02991e800acda453"/>
    <w:p>
      <w:pPr>
        <w:pStyle w:val="Heading4"/>
      </w:pPr>
      <w:r>
        <w:t xml:space="preserve">5. Strike and dip; geological map interpretation</w:t>
      </w:r>
    </w:p>
    <w:p>
      <w:pPr>
        <w:pStyle w:val="FirstParagraph"/>
      </w:pPr>
      <w:r>
        <w:rPr>
          <w:bCs/>
          <w:b/>
        </w:rPr>
        <w:t xml:space="preserve">Strike</w:t>
      </w:r>
      <w:r>
        <w:t xml:space="preserve"> </w:t>
      </w:r>
      <w:r>
        <w:t xml:space="preserve">is the compass direction of the line formed by the intersection of an inclined rock layer with a horizontal plane;</w:t>
      </w:r>
      <w:r>
        <w:t xml:space="preserve"> </w:t>
      </w:r>
      <w:r>
        <w:rPr>
          <w:bCs/>
          <w:b/>
        </w:rPr>
        <w:t xml:space="preserve">dip</w:t>
      </w:r>
      <w:r>
        <w:t xml:space="preserve"> </w:t>
      </w:r>
      <w:r>
        <w:t xml:space="preserve">is the angle of steepest inclination of that layer, measured downward from horizontal, in the direction perpendicular to the strike. Together, strike and dip fully and precisely describe the three-dimensional orientation of a planar rock layer, and are the essential basic data recorded in the field and shown on geological maps (using standardised symbols) — from which the underlying subsurface rock structure (folds, faults, and their geometry) can be reliably inferred and drawn as a cross-section.</w:t>
      </w:r>
    </w:p>
    <w:bookmarkEnd w:id="131"/>
    <w:bookmarkStart w:id="132" w:name="X3bcf210e6c31f187912a5985042afc6e02cf740"/>
    <w:p>
      <w:pPr>
        <w:pStyle w:val="Heading4"/>
      </w:pPr>
      <w:r>
        <w:t xml:space="preserve">6. Plate tectonics, plate boundaries, and large-scale tectonic features</w:t>
      </w:r>
    </w:p>
    <w:p>
      <w:pPr>
        <w:pStyle w:val="FirstParagraph"/>
      </w:pPr>
      <w:r>
        <w:rPr>
          <w:bCs/>
          <w:b/>
        </w:rPr>
        <w:t xml:space="preserve">Plate tectonics</w:t>
      </w:r>
      <w:r>
        <w:t xml:space="preserve"> </w:t>
      </w:r>
      <w:r>
        <w:t xml:space="preserve">explains the Earth’s large-scale surface deformation as the result of rigid lithospheric plates moving relative to each other, driven ultimately by mantle convection. Three types of plate boundaries produce systematically different geological features:</w:t>
      </w:r>
      <w:r>
        <w:t xml:space="preserve"> </w:t>
      </w:r>
      <w:r>
        <w:rPr>
          <w:bCs/>
          <w:b/>
        </w:rPr>
        <w:t xml:space="preserve">divergent boundaries</w:t>
      </w:r>
      <w:r>
        <w:t xml:space="preserve"> </w:t>
      </w:r>
      <w:r>
        <w:t xml:space="preserve">(plates move apart, characteristically producing mid-ocean ridges and normal faulting, along with basaltic volcanism),</w:t>
      </w:r>
      <w:r>
        <w:t xml:space="preserve"> </w:t>
      </w:r>
      <w:r>
        <w:rPr>
          <w:bCs/>
          <w:b/>
        </w:rPr>
        <w:t xml:space="preserve">convergent boundaries</w:t>
      </w:r>
      <w:r>
        <w:t xml:space="preserve"> </w:t>
      </w:r>
      <w:r>
        <w:t xml:space="preserve">(plates move together, characteristically producing subduction zones with associated deep earthquakes and explosive volcanism, or mountain-building collision zones where continental plates meet, along with reverse/thrust faulting), and</w:t>
      </w:r>
      <w:r>
        <w:t xml:space="preserve"> </w:t>
      </w:r>
      <w:r>
        <w:rPr>
          <w:bCs/>
          <w:b/>
        </w:rPr>
        <w:t xml:space="preserve">transform boundaries</w:t>
      </w:r>
      <w:r>
        <w:t xml:space="preserve"> </w:t>
      </w:r>
      <w:r>
        <w:t xml:space="preserve">(plates slide horizontally past each other, characteristically producing strike-slip faulting and shallow earthquakes, with comparatively little volcanism). This framework directly explains why earthquakes, volcanoes, and specific fault/fold types (points 2 and 3) are geographically concentrated in specific, predictable global belts rather than distributed randomly.</w:t>
      </w:r>
    </w:p>
    <w:bookmarkEnd w:id="132"/>
    <w:bookmarkStart w:id="133" w:name="key-takeaways-12"/>
    <w:p>
      <w:pPr>
        <w:pStyle w:val="Heading4"/>
      </w:pPr>
      <w:r>
        <w:t xml:space="preserve">Key Takeaways</w:t>
      </w:r>
    </w:p>
    <w:p>
      <w:pPr>
        <w:numPr>
          <w:ilvl w:val="0"/>
          <w:numId w:val="1015"/>
        </w:numPr>
        <w:pStyle w:val="Compact"/>
      </w:pPr>
      <w:r>
        <w:t xml:space="preserve">Rock deforms elastically (reversible), plastically (permanent, no fracture), or brittlely (permanent, with fracture), depending on stress conditions, temperature, pressure, and rate.</w:t>
      </w:r>
    </w:p>
    <w:p>
      <w:pPr>
        <w:numPr>
          <w:ilvl w:val="0"/>
          <w:numId w:val="1015"/>
        </w:numPr>
        <w:pStyle w:val="Compact"/>
      </w:pPr>
      <w:r>
        <w:t xml:space="preserve">Anticlines (upward, older core) and synclines (downward, younger core) are the basic fold types, produced by plastic deformation under compression.</w:t>
      </w:r>
    </w:p>
    <w:p>
      <w:pPr>
        <w:numPr>
          <w:ilvl w:val="0"/>
          <w:numId w:val="1015"/>
        </w:numPr>
        <w:pStyle w:val="Compact"/>
      </w:pPr>
      <w:r>
        <w:t xml:space="preserve">Normal, reverse, and strike-slip faults are distinguished by relative movement direction and are each characteristically associated with a specific type of stress and plate boundary.</w:t>
      </w:r>
    </w:p>
    <w:p>
      <w:pPr>
        <w:numPr>
          <w:ilvl w:val="0"/>
          <w:numId w:val="1015"/>
        </w:numPr>
        <w:pStyle w:val="Compact"/>
      </w:pPr>
      <w:r>
        <w:t xml:space="preserve">Strike and dip together fully describe a rock layer’s three-dimensional orientation and are the essential data underlying geological map interpretation.</w:t>
      </w:r>
    </w:p>
    <w:p>
      <w:pPr>
        <w:numPr>
          <w:ilvl w:val="0"/>
          <w:numId w:val="1015"/>
        </w:numPr>
        <w:pStyle w:val="Compact"/>
      </w:pPr>
      <w:r>
        <w:t xml:space="preserve">The three plate boundary types (divergent, convergent, transform) each produce a characteristic, predictable combination of faulting, folding, seismicity, and volcanism, explaining the global distribution of these features.</w:t>
      </w:r>
    </w:p>
    <w:bookmarkEnd w:id="133"/>
    <w:bookmarkEnd w:id="134"/>
    <w:bookmarkStart w:id="142" w:name="petrology-and-petrography"/>
    <w:p>
      <w:pPr>
        <w:pStyle w:val="Heading3"/>
      </w:pPr>
      <w:r>
        <w:t xml:space="preserve">5. Petrology and Petrography</w:t>
      </w:r>
    </w:p>
    <w:bookmarkStart w:id="135" w:name="introduction-13"/>
    <w:p>
      <w:pPr>
        <w:pStyle w:val="Heading4"/>
      </w:pPr>
      <w:r>
        <w:t xml:space="preserve">Introduction</w:t>
      </w:r>
    </w:p>
    <w:p>
      <w:pPr>
        <w:pStyle w:val="FirstParagraph"/>
      </w:pPr>
      <w:r>
        <w:t xml:space="preserve">Petrology studies rocks — their origin, composition, and classification — building directly on mineralogy (Chapter 3) to explain how minerals combine to form the three fundamental rock types, and closing the loop back to structural geology (Chapter 4) through the rock cycle.</w:t>
      </w:r>
    </w:p>
    <w:bookmarkEnd w:id="135"/>
    <w:bookmarkStart w:id="136" w:name="igneous-rocks-magma-and-crystallization"/>
    <w:p>
      <w:pPr>
        <w:pStyle w:val="Heading4"/>
      </w:pPr>
      <w:r>
        <w:t xml:space="preserve">1. Igneous rocks, magma, and crystallization</w:t>
      </w:r>
    </w:p>
    <w:p>
      <w:pPr>
        <w:pStyle w:val="FirstParagraph"/>
      </w:pPr>
      <w:r>
        <w:rPr>
          <w:bCs/>
          <w:b/>
        </w:rPr>
        <w:t xml:space="preserve">Igneous rocks</w:t>
      </w:r>
      <w:r>
        <w:t xml:space="preserve"> </w:t>
      </w:r>
      <w:r>
        <w:t xml:space="preserve">form from the cooling and crystallization of molten rock (magma below the surface, lava above it). Cooling rate strongly controls texture: slow cooling (deep underground, forming</w:t>
      </w:r>
      <w:r>
        <w:t xml:space="preserve"> </w:t>
      </w:r>
      <w:r>
        <w:rPr>
          <w:bCs/>
          <w:b/>
        </w:rPr>
        <w:t xml:space="preserve">intrusive/plutonic</w:t>
      </w:r>
      <w:r>
        <w:t xml:space="preserve"> </w:t>
      </w:r>
      <w:r>
        <w:t xml:space="preserve">rocks, e.g., granite) allows large, visible crystals to grow (coarse-grained texture), while rapid cooling (at or near the surface, forming</w:t>
      </w:r>
      <w:r>
        <w:t xml:space="preserve"> </w:t>
      </w:r>
      <w:r>
        <w:rPr>
          <w:bCs/>
          <w:b/>
        </w:rPr>
        <w:t xml:space="preserve">extrusive/volcanic</w:t>
      </w:r>
      <w:r>
        <w:t xml:space="preserve"> </w:t>
      </w:r>
      <w:r>
        <w:t xml:space="preserve">rocks, e.g., basalt) produces small or no visible crystals (fine-grained or glassy texture). Composition (silica content) is the other major classification axis, ranging from silica-poor, iron/magnesium-rich</w:t>
      </w:r>
      <w:r>
        <w:t xml:space="preserve"> </w:t>
      </w:r>
      <w:r>
        <w:rPr>
          <w:bCs/>
          <w:b/>
        </w:rPr>
        <w:t xml:space="preserve">mafic</w:t>
      </w:r>
      <w:r>
        <w:t xml:space="preserve"> </w:t>
      </w:r>
      <w:r>
        <w:t xml:space="preserve">rocks (dark-colored, e.g., basalt/gabbro) to silica-rich</w:t>
      </w:r>
      <w:r>
        <w:t xml:space="preserve"> </w:t>
      </w:r>
      <w:r>
        <w:rPr>
          <w:bCs/>
          <w:b/>
        </w:rPr>
        <w:t xml:space="preserve">felsic</w:t>
      </w:r>
      <w:r>
        <w:t xml:space="preserve"> </w:t>
      </w:r>
      <w:r>
        <w:t xml:space="preserve">rocks (light-colored, e.g., rhyolite/granite) — this same compositional spectrum directly determines the eruption style differences described in Chapter 1.</w:t>
      </w:r>
    </w:p>
    <w:bookmarkEnd w:id="136"/>
    <w:bookmarkStart w:id="137" w:name="Xe82ad52c1289e0b20da2fb2563eecabeccca0aa"/>
    <w:p>
      <w:pPr>
        <w:pStyle w:val="Heading4"/>
      </w:pPr>
      <w:r>
        <w:t xml:space="preserve">2. Sedimentary processes and rock classification</w:t>
      </w:r>
    </w:p>
    <w:p>
      <w:pPr>
        <w:pStyle w:val="FirstParagraph"/>
      </w:pPr>
      <w:r>
        <w:rPr>
          <w:bCs/>
          <w:b/>
        </w:rPr>
        <w:t xml:space="preserve">Sedimentary rocks</w:t>
      </w:r>
      <w:r>
        <w:t xml:space="preserve"> </w:t>
      </w:r>
      <w:r>
        <w:t xml:space="preserve">form from the accumulation and lithification (compaction and cementation) of sediment.</w:t>
      </w:r>
      <w:r>
        <w:t xml:space="preserve"> </w:t>
      </w:r>
      <w:r>
        <w:rPr>
          <w:bCs/>
          <w:b/>
        </w:rPr>
        <w:t xml:space="preserve">Clastic (detrital)</w:t>
      </w:r>
      <w:r>
        <w:t xml:space="preserve"> </w:t>
      </w:r>
      <w:r>
        <w:t xml:space="preserve">sedimentary rocks are classified primarily by particle size (from coarse conglomerate/breccia, through medium-grained sandstone, to fine-grained shale) — reflecting the energy of the transporting agent (water, wind, or ice) at the time of deposition, since higher energy transports and deposits larger particles.</w:t>
      </w:r>
      <w:r>
        <w:t xml:space="preserve"> </w:t>
      </w:r>
      <w:r>
        <w:rPr>
          <w:bCs/>
          <w:b/>
        </w:rPr>
        <w:t xml:space="preserve">Chemical and biochemical</w:t>
      </w:r>
      <w:r>
        <w:t xml:space="preserve"> </w:t>
      </w:r>
      <w:r>
        <w:t xml:space="preserve">sedimentary rocks (such as limestone, formed from calcium carbonate, often biologically precipitated by marine organisms) form instead through precipitation from solution or accumulation of biological material rather than from pre-existing rock fragments.</w:t>
      </w:r>
    </w:p>
    <w:bookmarkEnd w:id="137"/>
    <w:bookmarkStart w:id="138" w:name="X6938ac5aa87252cd1f8189e070f76031d2f25f1"/>
    <w:p>
      <w:pPr>
        <w:pStyle w:val="Heading4"/>
      </w:pPr>
      <w:r>
        <w:t xml:space="preserve">3. Metamorphism, metamorphic grade, and facies concepts</w:t>
      </w:r>
    </w:p>
    <w:p>
      <w:pPr>
        <w:pStyle w:val="FirstParagraph"/>
      </w:pPr>
      <w:r>
        <w:rPr>
          <w:bCs/>
          <w:b/>
        </w:rPr>
        <w:t xml:space="preserve">Metamorphism</w:t>
      </w:r>
      <w:r>
        <w:t xml:space="preserve"> </w:t>
      </w:r>
      <w:r>
        <w:t xml:space="preserve">transforms existing rock (of any of the three types) through heat, pressure, and/or chemically active fluids, without full melting — distinguishing it from igneous processes.</w:t>
      </w:r>
      <w:r>
        <w:t xml:space="preserve"> </w:t>
      </w:r>
      <w:r>
        <w:rPr>
          <w:bCs/>
          <w:b/>
        </w:rPr>
        <w:t xml:space="preserve">Metamorphic grade</w:t>
      </w:r>
      <w:r>
        <w:t xml:space="preserve"> </w:t>
      </w:r>
      <w:r>
        <w:t xml:space="preserve">describes the intensity of metamorphic conditions (temperature and pressure) a rock has experienced, typically indicated by specific index minerals that are stable only within particular temperature/pressure ranges. A</w:t>
      </w:r>
      <w:r>
        <w:t xml:space="preserve"> </w:t>
      </w:r>
      <w:r>
        <w:rPr>
          <w:bCs/>
          <w:b/>
        </w:rPr>
        <w:t xml:space="preserve">metamorphic facies</w:t>
      </w:r>
      <w:r>
        <w:t xml:space="preserve"> </w:t>
      </w:r>
      <w:r>
        <w:t xml:space="preserve">groups together the specific mineral assemblages that form under characteristic combinations of temperature and pressure, regardless of the original (parent) rock’s exact composition — allowing metamorphic conditions to be inferred directly from the minerals actually observed in a metamorphosed rock.</w:t>
      </w:r>
    </w:p>
    <w:bookmarkEnd w:id="138"/>
    <w:bookmarkStart w:id="139" w:name="textures-and-mineral-assemblages"/>
    <w:p>
      <w:pPr>
        <w:pStyle w:val="Heading4"/>
      </w:pPr>
      <w:r>
        <w:t xml:space="preserve">4. Textures and mineral assemblages</w:t>
      </w:r>
    </w:p>
    <w:p>
      <w:pPr>
        <w:pStyle w:val="FirstParagraph"/>
      </w:pPr>
      <w:r>
        <w:rPr>
          <w:bCs/>
          <w:b/>
        </w:rPr>
        <w:t xml:space="preserve">Texture</w:t>
      </w:r>
      <w:r>
        <w:t xml:space="preserve"> </w:t>
      </w:r>
      <w:r>
        <w:t xml:space="preserve">(grain size, shape, and arrangement) is a critical clue to a rock’s formation conditions across all three rock types: in igneous rocks, texture indicates cooling rate (point 1); in sedimentary rocks, grain size and sorting indicate transport energy and distance (point 2); in metamorphic rocks, a distinctive</w:t>
      </w:r>
      <w:r>
        <w:t xml:space="preserve"> </w:t>
      </w:r>
      <w:r>
        <w:rPr>
          <w:bCs/>
          <w:b/>
        </w:rPr>
        <w:t xml:space="preserve">foliation</w:t>
      </w:r>
      <w:r>
        <w:t xml:space="preserve"> </w:t>
      </w:r>
      <w:r>
        <w:t xml:space="preserve">(a planar alignment of platy or elongated minerals, produced by directed pressure during metamorphism) indicates the rock formed under significant differential stress, while its absence (non-foliated texture) suggests more uniform (non-directed) pressure conditions.</w:t>
      </w:r>
    </w:p>
    <w:bookmarkEnd w:id="139"/>
    <w:bookmarkStart w:id="140" w:name="X5a6c1235f7e88fa401c98b4e6ca42420db0bbab"/>
    <w:p>
      <w:pPr>
        <w:pStyle w:val="Heading4"/>
      </w:pPr>
      <w:r>
        <w:t xml:space="preserve">5. Rock cycle and field/petrographic identification</w:t>
      </w:r>
    </w:p>
    <w:p>
      <w:pPr>
        <w:pStyle w:val="FirstParagraph"/>
      </w:pPr>
      <w:r>
        <w:t xml:space="preserve">The</w:t>
      </w:r>
      <w:r>
        <w:t xml:space="preserve"> </w:t>
      </w:r>
      <w:r>
        <w:rPr>
          <w:bCs/>
          <w:b/>
        </w:rPr>
        <w:t xml:space="preserve">rock cycle</w:t>
      </w:r>
      <w:r>
        <w:t xml:space="preserve"> </w:t>
      </w:r>
      <w:r>
        <w:t xml:space="preserve">describes the continuous transformation among the three rock types over geological time: igneous rock can weather and erode into sediment (forming sedimentary rock), any rock type can be subjected to heat and pressure (forming metamorphic rock), and any rock type can melt (forming new magma, and eventually new igneous rock) — illustrating that no rock type is a permanent geological endpoint. Practical field and petrographic (thin-section, microscope-based) identification combines all the tools developed across this chapter and Chapter 3: composition (from mineral content), texture (from grain characteristics), and structural context (from field relationships) together allow a specific rock to be classified and, further, its formation history to be reconstructed.</w:t>
      </w:r>
    </w:p>
    <w:bookmarkEnd w:id="140"/>
    <w:bookmarkStart w:id="141" w:name="key-takeaways-13"/>
    <w:p>
      <w:pPr>
        <w:pStyle w:val="Heading4"/>
      </w:pPr>
      <w:r>
        <w:t xml:space="preserve">Key Takeaways</w:t>
      </w:r>
    </w:p>
    <w:p>
      <w:pPr>
        <w:numPr>
          <w:ilvl w:val="0"/>
          <w:numId w:val="1016"/>
        </w:numPr>
        <w:pStyle w:val="Compact"/>
      </w:pPr>
      <w:r>
        <w:t xml:space="preserve">Igneous rock texture (coarse vs. fine-grained) reflects cooling rate, while composition (mafic to felsic) reflects silica content — the same spectrum that determines eruption style.</w:t>
      </w:r>
    </w:p>
    <w:p>
      <w:pPr>
        <w:numPr>
          <w:ilvl w:val="0"/>
          <w:numId w:val="1016"/>
        </w:numPr>
        <w:pStyle w:val="Compact"/>
      </w:pPr>
      <w:r>
        <w:t xml:space="preserve">Clastic sedimentary rocks are classified by particle size (reflecting transport energy); chemical/biochemical sedimentary rocks form by precipitation or biological accumulation rather than from rock fragments.</w:t>
      </w:r>
    </w:p>
    <w:p>
      <w:pPr>
        <w:numPr>
          <w:ilvl w:val="0"/>
          <w:numId w:val="1016"/>
        </w:numPr>
        <w:pStyle w:val="Compact"/>
      </w:pPr>
      <w:r>
        <w:t xml:space="preserve">Metamorphic grade and facies describe, respectively, the intensity and specific temperature/pressure combination of metamorphic conditions, both inferable from observed mineral assemblages.</w:t>
      </w:r>
    </w:p>
    <w:p>
      <w:pPr>
        <w:numPr>
          <w:ilvl w:val="0"/>
          <w:numId w:val="1016"/>
        </w:numPr>
        <w:pStyle w:val="Compact"/>
      </w:pPr>
      <w:r>
        <w:t xml:space="preserve">Texture is diagnostic across all three rock types: cooling rate (igneous), transport energy (sedimentary), and directed stress/foliation (metamorphic).</w:t>
      </w:r>
    </w:p>
    <w:p>
      <w:pPr>
        <w:numPr>
          <w:ilvl w:val="0"/>
          <w:numId w:val="1016"/>
        </w:numPr>
        <w:pStyle w:val="Compact"/>
      </w:pPr>
      <w:r>
        <w:t xml:space="preserve">The rock cycle shows that no rock type is a permanent endpoint; combining composition, texture, and field context allows both classification and reconstruction of a rock’s formation history.</w:t>
      </w:r>
    </w:p>
    <w:bookmarkEnd w:id="141"/>
    <w:bookmarkEnd w:id="142"/>
    <w:bookmarkStart w:id="150" w:name="introduction-to-geophysics"/>
    <w:p>
      <w:pPr>
        <w:pStyle w:val="Heading3"/>
      </w:pPr>
      <w:r>
        <w:t xml:space="preserve">6. Introduction to Geophysics</w:t>
      </w:r>
    </w:p>
    <w:bookmarkStart w:id="143" w:name="introduction-14"/>
    <w:p>
      <w:pPr>
        <w:pStyle w:val="Heading4"/>
      </w:pPr>
      <w:r>
        <w:t xml:space="preserve">Introduction</w:t>
      </w:r>
    </w:p>
    <w:p>
      <w:pPr>
        <w:pStyle w:val="FirstParagraph"/>
      </w:pPr>
      <w:r>
        <w:t xml:space="preserve">Geophysics probes the subsurface indirectly, using measurable physical properties, rather than through direct observation of exposed rock — an essential complement to surface-based geological mapping, especially for resource exploration (Chapters 8 and 10) and engineering applications (Chapter 9).</w:t>
      </w:r>
    </w:p>
    <w:bookmarkEnd w:id="143"/>
    <w:bookmarkStart w:id="144" w:name="seismic-methods"/>
    <w:p>
      <w:pPr>
        <w:pStyle w:val="Heading4"/>
      </w:pPr>
      <w:r>
        <w:t xml:space="preserve">1. Seismic methods</w:t>
      </w:r>
    </w:p>
    <w:p>
      <w:pPr>
        <w:pStyle w:val="FirstParagraph"/>
      </w:pPr>
      <w:r>
        <w:rPr>
          <w:bCs/>
          <w:b/>
        </w:rPr>
        <w:t xml:space="preserve">Seismic methods</w:t>
      </w:r>
      <w:r>
        <w:t xml:space="preserve"> </w:t>
      </w:r>
      <w:r>
        <w:t xml:space="preserve">generate artificial seismic waves (via a controlled source, such as a small explosive charge or a mechanical vibrator) and measure how they travel through and reflect or refract off subsurface rock layers, using an array of surface-based receivers (geophones). The travel times and patterns of the returning waves are used to infer subsurface layer depths, geometry, and, to some extent, rock type — the same fundamental wave behaviour (reflection, refraction) introduced physically in Physics Chapter III, applied here at a much larger geological scale.</w:t>
      </w:r>
    </w:p>
    <w:bookmarkEnd w:id="144"/>
    <w:bookmarkStart w:id="145" w:name="gravity-methods"/>
    <w:p>
      <w:pPr>
        <w:pStyle w:val="Heading4"/>
      </w:pPr>
      <w:r>
        <w:t xml:space="preserve">2. Gravity methods</w:t>
      </w:r>
    </w:p>
    <w:p>
      <w:pPr>
        <w:pStyle w:val="FirstParagraph"/>
      </w:pPr>
      <w:r>
        <w:rPr>
          <w:bCs/>
          <w:b/>
        </w:rPr>
        <w:t xml:space="preserve">Gravity methods</w:t>
      </w:r>
      <w:r>
        <w:t xml:space="preserve"> </w:t>
      </w:r>
      <w:r>
        <w:t xml:space="preserve">measure minute local variations in the Earth’s gravitational field using a sensitive instrument (a gravimeter); denser subsurface rock or ore bodies produce a slightly stronger local gravitational pull (a positive gravity anomaly), while less dense material (such as a salt dome, an underground cavity, or certain sedimentary basins) produces a slightly weaker pull (a negative anomaly) — mapping these anomalies across an area reveals variations in subsurface density and, indirectly, subsurface structure and composition.</w:t>
      </w:r>
    </w:p>
    <w:bookmarkEnd w:id="145"/>
    <w:bookmarkStart w:id="146" w:name="magnetic-methods"/>
    <w:p>
      <w:pPr>
        <w:pStyle w:val="Heading4"/>
      </w:pPr>
      <w:r>
        <w:t xml:space="preserve">3. Magnetic methods</w:t>
      </w:r>
    </w:p>
    <w:p>
      <w:pPr>
        <w:pStyle w:val="FirstParagraph"/>
      </w:pPr>
      <w:r>
        <w:rPr>
          <w:bCs/>
          <w:b/>
        </w:rPr>
        <w:t xml:space="preserve">Magnetic methods</w:t>
      </w:r>
      <w:r>
        <w:t xml:space="preserve"> </w:t>
      </w:r>
      <w:r>
        <w:t xml:space="preserve">measure local variations in the Earth’s magnetic field, which are affected by the magnetic properties of subsurface rock (particularly its content of magnetic minerals like magnetite) — rocks with a comparatively high magnetic mineral content produce a positive magnetic anomaly. This method is especially useful and rapid for locating certain igneous intrusions and specific ore deposits directly associated with magnetic minerals.</w:t>
      </w:r>
    </w:p>
    <w:bookmarkEnd w:id="146"/>
    <w:bookmarkStart w:id="147" w:name="electrical-and-resistivity-methods"/>
    <w:p>
      <w:pPr>
        <w:pStyle w:val="Heading4"/>
      </w:pPr>
      <w:r>
        <w:t xml:space="preserve">4. Electrical and resistivity methods</w:t>
      </w:r>
    </w:p>
    <w:p>
      <w:pPr>
        <w:pStyle w:val="FirstParagraph"/>
      </w:pPr>
      <w:r>
        <w:rPr>
          <w:bCs/>
          <w:b/>
        </w:rPr>
        <w:t xml:space="preserve">Electrical/resistivity methods</w:t>
      </w:r>
      <w:r>
        <w:t xml:space="preserve"> </w:t>
      </w:r>
      <w:r>
        <w:t xml:space="preserve">measure how subsurface material resists (or conducts) an applied or naturally occurring electric current — resistivity varies significantly with rock type, porosity, and especially the presence and salinity of pore fluids (water-saturated or saline material generally conducts more readily, showing lower resistivity, than dry or highly resistive rock) — making these methods particularly valuable and widely used for groundwater exploration and for characterising near-surface engineering site conditions.</w:t>
      </w:r>
    </w:p>
    <w:bookmarkEnd w:id="147"/>
    <w:bookmarkStart w:id="148" w:name="X951cbbc0e8b2b9cc9021ac7483f06c9b382a964"/>
    <w:p>
      <w:pPr>
        <w:pStyle w:val="Heading4"/>
      </w:pPr>
      <w:r>
        <w:t xml:space="preserve">5. Interpretation of geophysical anomalies and subsurface modelling</w:t>
      </w:r>
    </w:p>
    <w:p>
      <w:pPr>
        <w:pStyle w:val="FirstParagraph"/>
      </w:pPr>
      <w:r>
        <w:t xml:space="preserve">A crucial and recurring limitation across all geophysical methods is</w:t>
      </w:r>
      <w:r>
        <w:t xml:space="preserve"> </w:t>
      </w:r>
      <w:r>
        <w:rPr>
          <w:bCs/>
          <w:b/>
        </w:rPr>
        <w:t xml:space="preserve">non-uniqueness</w:t>
      </w:r>
      <w:r>
        <w:t xml:space="preserve">: a given observed surface anomaly (gravity, magnetic, electrical, or seismic) can, in principle, be produced by more than one different subsurface configuration — different combinations of depth, size, shape, and physical-property contrast can sometimes match the same observed surface data equally well. Reliable subsurface interpretation therefore requires combining multiple independent geophysical methods together, and, wherever available, constraining the resulting models with actual direct geological knowledge (from surface mapping, or from borehole/well data) rather than relying on any single geophysical method’s results in isolation.</w:t>
      </w:r>
    </w:p>
    <w:bookmarkEnd w:id="148"/>
    <w:bookmarkStart w:id="149" w:name="key-takeaways-14"/>
    <w:p>
      <w:pPr>
        <w:pStyle w:val="Heading4"/>
      </w:pPr>
      <w:r>
        <w:t xml:space="preserve">Key Takeaways</w:t>
      </w:r>
    </w:p>
    <w:p>
      <w:pPr>
        <w:numPr>
          <w:ilvl w:val="0"/>
          <w:numId w:val="1017"/>
        </w:numPr>
        <w:pStyle w:val="Compact"/>
      </w:pPr>
      <w:r>
        <w:t xml:space="preserve">Seismic methods use artificial wave generation and reflection/refraction travel times to infer subsurface layer depth and geometry.</w:t>
      </w:r>
    </w:p>
    <w:p>
      <w:pPr>
        <w:numPr>
          <w:ilvl w:val="0"/>
          <w:numId w:val="1017"/>
        </w:numPr>
        <w:pStyle w:val="Compact"/>
      </w:pPr>
      <w:r>
        <w:t xml:space="preserve">Gravity and magnetic methods are passive techniques measuring naturally occurring field variations caused by subsurface density or magnetic-mineral content contrasts respectively.</w:t>
      </w:r>
    </w:p>
    <w:p>
      <w:pPr>
        <w:numPr>
          <w:ilvl w:val="0"/>
          <w:numId w:val="1017"/>
        </w:numPr>
        <w:pStyle w:val="Compact"/>
      </w:pPr>
      <w:r>
        <w:t xml:space="preserve">Electrical/resistivity methods are especially sensitive to pore-fluid presence and salinity, making them particularly valuable for groundwater and engineering-site investigation.</w:t>
      </w:r>
    </w:p>
    <w:p>
      <w:pPr>
        <w:numPr>
          <w:ilvl w:val="0"/>
          <w:numId w:val="1017"/>
        </w:numPr>
        <w:pStyle w:val="Compact"/>
      </w:pPr>
      <w:r>
        <w:t xml:space="preserve">Every geophysical method suffers from fundamental interpretive non-uniqueness — the same surface anomaly can correspond to more than one subsurface configuration.</w:t>
      </w:r>
    </w:p>
    <w:p>
      <w:pPr>
        <w:numPr>
          <w:ilvl w:val="0"/>
          <w:numId w:val="1017"/>
        </w:numPr>
        <w:pStyle w:val="Compact"/>
      </w:pPr>
      <w:r>
        <w:t xml:space="preserve">Reliable subsurface interpretation requires combining multiple geophysical methods with independent direct geological data (surface mapping, boreholes) rather than trusting a single method in isolation.</w:t>
      </w:r>
    </w:p>
    <w:bookmarkEnd w:id="149"/>
    <w:bookmarkEnd w:id="150"/>
    <w:bookmarkStart w:id="158" w:name="sequence-stratigraphy"/>
    <w:p>
      <w:pPr>
        <w:pStyle w:val="Heading3"/>
      </w:pPr>
      <w:r>
        <w:t xml:space="preserve">7. Sequence Stratigraphy</w:t>
      </w:r>
    </w:p>
    <w:bookmarkStart w:id="151" w:name="introduction-15"/>
    <w:p>
      <w:pPr>
        <w:pStyle w:val="Heading4"/>
      </w:pPr>
      <w:r>
        <w:t xml:space="preserve">Introduction</w:t>
      </w:r>
    </w:p>
    <w:p>
      <w:pPr>
        <w:pStyle w:val="FirstParagraph"/>
      </w:pPr>
      <w:r>
        <w:t xml:space="preserve">Sequence stratigraphy is a more specialised and modern refinement of ordinary stratigraphy (Chapter 2), analysing sedimentary rock sequences specifically in terms of relative sea-level change and the resulting depositional patterns — a framework of major practical importance in petroleum exploration (Chapter 8).</w:t>
      </w:r>
    </w:p>
    <w:bookmarkEnd w:id="151"/>
    <w:bookmarkStart w:id="152" w:name="X2f088b20f31d114dd949aa3431f61563792b541"/>
    <w:p>
      <w:pPr>
        <w:pStyle w:val="Heading4"/>
      </w:pPr>
      <w:r>
        <w:t xml:space="preserve">1. Depositional sequences and key bounding surfaces</w:t>
      </w:r>
    </w:p>
    <w:p>
      <w:pPr>
        <w:pStyle w:val="FirstParagraph"/>
      </w:pPr>
      <w:r>
        <w:t xml:space="preserve">A</w:t>
      </w:r>
      <w:r>
        <w:t xml:space="preserve"> </w:t>
      </w:r>
      <w:r>
        <w:rPr>
          <w:bCs/>
          <w:b/>
        </w:rPr>
        <w:t xml:space="preserve">depositional sequence</w:t>
      </w:r>
      <w:r>
        <w:t xml:space="preserve"> </w:t>
      </w:r>
      <w:r>
        <w:t xml:space="preserve">is a relatively conformable succession of related sedimentary layers, bounded above and below by specific, recognisable surfaces (most importantly, sequence boundaries, generally associated with a relative fall in sea level and consequent erosion or non-deposition) — this reframes the ordinary stratigraphic concept of an unconformity (Chapter 2) specifically in terms of the sea-level history that produced it, rather than treating it merely as a generic gap in the rock record.</w:t>
      </w:r>
    </w:p>
    <w:bookmarkEnd w:id="152"/>
    <w:bookmarkStart w:id="153" w:name="X7d23067eee27785aa695e7acb0439218a40e42c"/>
    <w:p>
      <w:pPr>
        <w:pStyle w:val="Heading4"/>
      </w:pPr>
      <w:r>
        <w:t xml:space="preserve">2. Relative sea-level and accommodation concepts</w:t>
      </w:r>
    </w:p>
    <w:p>
      <w:pPr>
        <w:pStyle w:val="FirstParagraph"/>
      </w:pPr>
      <w:r>
        <w:rPr>
          <w:bCs/>
          <w:b/>
        </w:rPr>
        <w:t xml:space="preserve">Relative sea-level</w:t>
      </w:r>
      <w:r>
        <w:t xml:space="preserve"> </w:t>
      </w:r>
      <w:r>
        <w:t xml:space="preserve">change (combining true global, eustatic sea-level change with local subsidence or uplift of the land itself) controls</w:t>
      </w:r>
      <w:r>
        <w:t xml:space="preserve"> </w:t>
      </w:r>
      <w:r>
        <w:rPr>
          <w:bCs/>
          <w:b/>
        </w:rPr>
        <w:t xml:space="preserve">accommodation space</w:t>
      </w:r>
      <w:r>
        <w:t xml:space="preserve"> </w:t>
      </w:r>
      <w:r>
        <w:t xml:space="preserve">— the available vertical space into which sediment can accumulate. When accommodation space increases (relative sea-level rise), sediment can accumulate and preserve more completely; when accommodation space decreases (relative sea-level fall), previously deposited sediment may instead be eroded — this accommodation concept is the fundamental control underlying every other concept in this chapter.</w:t>
      </w:r>
    </w:p>
    <w:bookmarkEnd w:id="153"/>
    <w:bookmarkStart w:id="154" w:name="systems-tracts-and-stacking-patterns"/>
    <w:p>
      <w:pPr>
        <w:pStyle w:val="Heading4"/>
      </w:pPr>
      <w:r>
        <w:t xml:space="preserve">3. Systems tracts and stacking patterns</w:t>
      </w:r>
    </w:p>
    <w:p>
      <w:pPr>
        <w:pStyle w:val="FirstParagraph"/>
      </w:pPr>
      <w:r>
        <w:t xml:space="preserve">A</w:t>
      </w:r>
      <w:r>
        <w:t xml:space="preserve"> </w:t>
      </w:r>
      <w:r>
        <w:rPr>
          <w:bCs/>
          <w:b/>
        </w:rPr>
        <w:t xml:space="preserve">systems tract</w:t>
      </w:r>
      <w:r>
        <w:t xml:space="preserve"> </w:t>
      </w:r>
      <w:r>
        <w:t xml:space="preserve">is a linked set of depositional systems that formed together during a specific portion of a relative sea-level cycle, identified by characteristic internal stacking patterns of sediment through time: a</w:t>
      </w:r>
      <w:r>
        <w:t xml:space="preserve"> </w:t>
      </w:r>
      <w:r>
        <w:rPr>
          <w:bCs/>
          <w:b/>
        </w:rPr>
        <w:t xml:space="preserve">lowstand systems tract</w:t>
      </w:r>
      <w:r>
        <w:t xml:space="preserve"> </w:t>
      </w:r>
      <w:r>
        <w:t xml:space="preserve">forms during and just after a relative sea-level fall/lowstand; a</w:t>
      </w:r>
      <w:r>
        <w:t xml:space="preserve"> </w:t>
      </w:r>
      <w:r>
        <w:rPr>
          <w:bCs/>
          <w:b/>
        </w:rPr>
        <w:t xml:space="preserve">transgressive systems tract</w:t>
      </w:r>
      <w:r>
        <w:t xml:space="preserve"> </w:t>
      </w:r>
      <w:r>
        <w:t xml:space="preserve">forms during rising relative sea-level, characteristically showing a</w:t>
      </w:r>
      <w:r>
        <w:t xml:space="preserve"> </w:t>
      </w:r>
      <w:r>
        <w:rPr>
          <w:bCs/>
          <w:b/>
        </w:rPr>
        <w:t xml:space="preserve">retrogradational</w:t>
      </w:r>
      <w:r>
        <w:t xml:space="preserve"> </w:t>
      </w:r>
      <w:r>
        <w:t xml:space="preserve">stacking pattern (successive sediment layers shift progressively landward as the shoreline retreats); and a</w:t>
      </w:r>
      <w:r>
        <w:t xml:space="preserve"> </w:t>
      </w:r>
      <w:r>
        <w:rPr>
          <w:bCs/>
          <w:b/>
        </w:rPr>
        <w:t xml:space="preserve">highstand systems tract</w:t>
      </w:r>
      <w:r>
        <w:t xml:space="preserve"> </w:t>
      </w:r>
      <w:r>
        <w:t xml:space="preserve">forms as sea-level rise slows and accommodation growth decelerates, characteristically showing a</w:t>
      </w:r>
      <w:r>
        <w:t xml:space="preserve"> </w:t>
      </w:r>
      <w:r>
        <w:rPr>
          <w:bCs/>
          <w:b/>
        </w:rPr>
        <w:t xml:space="preserve">progradational</w:t>
      </w:r>
      <w:r>
        <w:t xml:space="preserve"> </w:t>
      </w:r>
      <w:r>
        <w:t xml:space="preserve">stacking pattern (successive layers shift progressively seaward as sediment supply outpaces the remaining accommodation space).</w:t>
      </w:r>
    </w:p>
    <w:bookmarkEnd w:id="154"/>
    <w:bookmarkStart w:id="155" w:name="facies-shifts-and-basin-interpretation"/>
    <w:p>
      <w:pPr>
        <w:pStyle w:val="Heading4"/>
      </w:pPr>
      <w:r>
        <w:t xml:space="preserve">4. Facies shifts and basin interpretation</w:t>
      </w:r>
    </w:p>
    <w:p>
      <w:pPr>
        <w:pStyle w:val="FirstParagraph"/>
      </w:pPr>
      <w:r>
        <w:t xml:space="preserve">A</w:t>
      </w:r>
      <w:r>
        <w:t xml:space="preserve"> </w:t>
      </w:r>
      <w:r>
        <w:rPr>
          <w:bCs/>
          <w:b/>
        </w:rPr>
        <w:t xml:space="preserve">facies</w:t>
      </w:r>
      <w:r>
        <w:t xml:space="preserve"> </w:t>
      </w:r>
      <w:r>
        <w:t xml:space="preserve">is the overall characteristics (composition, texture, fossil content) of a rock unit, reflecting the specific environment in which it was deposited. As relative sea-level and accommodation space change through a depositional sequence, the location of specific facies shifts systematically across the basin (landward during transgression, seaward during progradation) — tracking these facies shifts through a sequence is precisely how systems tracts (point 3) are actually recognised and interpreted from real rock or well-log data in practice.</w:t>
      </w:r>
    </w:p>
    <w:bookmarkEnd w:id="155"/>
    <w:bookmarkStart w:id="156" w:name="X8eeb18b26358b38bc01ffe7a5d757f6d1c3251c"/>
    <w:p>
      <w:pPr>
        <w:pStyle w:val="Heading4"/>
      </w:pPr>
      <w:r>
        <w:t xml:space="preserve">5. Use in stratigraphic correlation and exploration</w:t>
      </w:r>
    </w:p>
    <w:p>
      <w:pPr>
        <w:pStyle w:val="FirstParagraph"/>
      </w:pPr>
      <w:r>
        <w:t xml:space="preserve">Because major sequence boundaries and systems tracts often result from broad, sometimes regional-to-global relative sea-level changes, they can potentially be correlated across considerable distances and even between separate sedimentary basins — a powerful advantage over relying on individual, more locally variable rock units alone for correlation. This makes sequence stratigraphy an especially valuable practical tool for petroleum exploration, since specific systems tracts are strongly and predictably associated with characteristic reservoir, source, and seal rock types (developed fully in Chapter 8) at particular positions within a sequence.</w:t>
      </w:r>
    </w:p>
    <w:bookmarkEnd w:id="156"/>
    <w:bookmarkStart w:id="157" w:name="key-takeaways-15"/>
    <w:p>
      <w:pPr>
        <w:pStyle w:val="Heading4"/>
      </w:pPr>
      <w:r>
        <w:t xml:space="preserve">Key Takeaways</w:t>
      </w:r>
    </w:p>
    <w:p>
      <w:pPr>
        <w:numPr>
          <w:ilvl w:val="0"/>
          <w:numId w:val="1018"/>
        </w:numPr>
        <w:pStyle w:val="Compact"/>
      </w:pPr>
      <w:r>
        <w:t xml:space="preserve">A depositional sequence is bounded by sequence boundaries, reframing ordinary unconformities in terms of the relative sea-level history that produced them.</w:t>
      </w:r>
    </w:p>
    <w:p>
      <w:pPr>
        <w:numPr>
          <w:ilvl w:val="0"/>
          <w:numId w:val="1018"/>
        </w:numPr>
        <w:pStyle w:val="Compact"/>
      </w:pPr>
      <w:r>
        <w:t xml:space="preserve">Relative sea-level change controls accommodation space, the fundamental concept underlying every other idea in sequence stratigraphy.</w:t>
      </w:r>
    </w:p>
    <w:p>
      <w:pPr>
        <w:numPr>
          <w:ilvl w:val="0"/>
          <w:numId w:val="1018"/>
        </w:numPr>
        <w:pStyle w:val="Compact"/>
      </w:pPr>
      <w:r>
        <w:t xml:space="preserve">Lowstand, transgressive, and highstand systems tracts are distinguished by characteristic retrogradational or progradational stacking patterns through a sea-level cycle.</w:t>
      </w:r>
    </w:p>
    <w:p>
      <w:pPr>
        <w:numPr>
          <w:ilvl w:val="0"/>
          <w:numId w:val="1018"/>
        </w:numPr>
        <w:pStyle w:val="Compact"/>
      </w:pPr>
      <w:r>
        <w:t xml:space="preserve">Facies shift systematically landward during transgression and seaward during progradation, and tracking these shifts is how systems tracts are actually identified in real data.</w:t>
      </w:r>
    </w:p>
    <w:p>
      <w:pPr>
        <w:numPr>
          <w:ilvl w:val="0"/>
          <w:numId w:val="1018"/>
        </w:numPr>
        <w:pStyle w:val="Compact"/>
      </w:pPr>
      <w:r>
        <w:t xml:space="preserve">Sequence stratigraphy’s potential for broad correlation across basins, combined with predictable systems-tract/reservoir-rock associations, makes it especially valuable for petroleum exploration.</w:t>
      </w:r>
    </w:p>
    <w:bookmarkEnd w:id="157"/>
    <w:bookmarkEnd w:id="158"/>
    <w:bookmarkStart w:id="167" w:name="petroleum-geology"/>
    <w:p>
      <w:pPr>
        <w:pStyle w:val="Heading3"/>
      </w:pPr>
      <w:r>
        <w:t xml:space="preserve">8. Petroleum Geology</w:t>
      </w:r>
    </w:p>
    <w:bookmarkStart w:id="159" w:name="introduction-16"/>
    <w:p>
      <w:pPr>
        <w:pStyle w:val="Heading4"/>
      </w:pPr>
      <w:r>
        <w:t xml:space="preserve">Introduction</w:t>
      </w:r>
    </w:p>
    <w:p>
      <w:pPr>
        <w:pStyle w:val="FirstParagraph"/>
      </w:pPr>
      <w:r>
        <w:t xml:space="preserve">Petroleum geology applies rock, structural, and stratigraphic principles from earlier chapters specifically to understanding how hydrocarbons form, move, and accumulate in economically extractable quantities — one of the most directly applied and economically significant branches of geology.</w:t>
      </w:r>
    </w:p>
    <w:bookmarkEnd w:id="159"/>
    <w:bookmarkStart w:id="160" w:name="Xa9af252ad98307a395ff832db89d7ab95c0dafc"/>
    <w:p>
      <w:pPr>
        <w:pStyle w:val="Heading4"/>
      </w:pPr>
      <w:r>
        <w:t xml:space="preserve">1. Petroleum system elements: source, reservoir, seal, and overburden</w:t>
      </w:r>
    </w:p>
    <w:p>
      <w:pPr>
        <w:pStyle w:val="FirstParagraph"/>
      </w:pPr>
      <w:r>
        <w:t xml:space="preserve">A complete</w:t>
      </w:r>
      <w:r>
        <w:t xml:space="preserve"> </w:t>
      </w:r>
      <w:r>
        <w:rPr>
          <w:bCs/>
          <w:b/>
        </w:rPr>
        <w:t xml:space="preserve">petroleum system</w:t>
      </w:r>
      <w:r>
        <w:t xml:space="preserve"> </w:t>
      </w:r>
      <w:r>
        <w:t xml:space="preserve">requires four essential elements acting together, in the correct spatial and temporal relationship: a</w:t>
      </w:r>
      <w:r>
        <w:t xml:space="preserve"> </w:t>
      </w:r>
      <w:r>
        <w:rPr>
          <w:bCs/>
          <w:b/>
        </w:rPr>
        <w:t xml:space="preserve">source rock</w:t>
      </w:r>
      <w:r>
        <w:t xml:space="preserve"> </w:t>
      </w:r>
      <w:r>
        <w:t xml:space="preserve">(fine-grained, organic-rich sedimentary rock, typically shale, where hydrocarbons originally form), a</w:t>
      </w:r>
      <w:r>
        <w:t xml:space="preserve"> </w:t>
      </w:r>
      <w:r>
        <w:rPr>
          <w:bCs/>
          <w:b/>
        </w:rPr>
        <w:t xml:space="preserve">reservoir rock</w:t>
      </w:r>
      <w:r>
        <w:t xml:space="preserve"> </w:t>
      </w:r>
      <w:r>
        <w:t xml:space="preserve">(porous and permeable rock, point 3, capable of storing significant hydrocarbon volumes), a</w:t>
      </w:r>
      <w:r>
        <w:t xml:space="preserve"> </w:t>
      </w:r>
      <w:r>
        <w:rPr>
          <w:bCs/>
          <w:b/>
        </w:rPr>
        <w:t xml:space="preserve">seal (cap) rock</w:t>
      </w:r>
      <w:r>
        <w:t xml:space="preserve"> </w:t>
      </w:r>
      <w:r>
        <w:t xml:space="preserve">(impermeable rock, typically shale or evaporite, preventing hydrocarbons from escaping further upward), and sufficient</w:t>
      </w:r>
      <w:r>
        <w:t xml:space="preserve"> </w:t>
      </w:r>
      <w:r>
        <w:rPr>
          <w:bCs/>
          <w:b/>
        </w:rPr>
        <w:t xml:space="preserve">overburden</w:t>
      </w:r>
      <w:r>
        <w:t xml:space="preserve"> </w:t>
      </w:r>
      <w:r>
        <w:t xml:space="preserve">(overlying rock providing the burial depth, and therefore heat and pressure, needed for hydrocarbon generation, point 2). The absence or failure of any single one of these four elements typically means no economically viable accumulation forms, regardless of how favourable the other elements might be.</w:t>
      </w:r>
    </w:p>
    <w:bookmarkEnd w:id="160"/>
    <w:bookmarkStart w:id="161" w:name="X065ee49eb120c04eb6e93355bea47fc5ae89757"/>
    <w:p>
      <w:pPr>
        <w:pStyle w:val="Heading4"/>
      </w:pPr>
      <w:r>
        <w:t xml:space="preserve">2. Generation, migration, and accumulation of hydrocarbons</w:t>
      </w:r>
    </w:p>
    <w:p>
      <w:pPr>
        <w:pStyle w:val="FirstParagraph"/>
      </w:pPr>
      <w:r>
        <w:rPr>
          <w:bCs/>
          <w:b/>
        </w:rPr>
        <w:t xml:space="preserve">Generation</w:t>
      </w:r>
      <w:r>
        <w:t xml:space="preserve"> </w:t>
      </w:r>
      <w:r>
        <w:t xml:space="preserve">occurs when a source rock is buried deeply enough to reach the necessary temperature range (the</w:t>
      </w:r>
      <w:r>
        <w:t xml:space="preserve"> </w:t>
      </w:r>
      <w:r>
        <w:t xml:space="preserve">“</w:t>
      </w:r>
      <w:r>
        <w:t xml:space="preserve">oil window</w:t>
      </w:r>
      <w:r>
        <w:t xml:space="preserve">”</w:t>
      </w:r>
      <w:r>
        <w:t xml:space="preserve">) for its organic matter (kerogen) to thermally break down into hydrocarbons.</w:t>
      </w:r>
      <w:r>
        <w:t xml:space="preserve"> </w:t>
      </w:r>
      <w:r>
        <w:rPr>
          <w:bCs/>
          <w:b/>
        </w:rPr>
        <w:t xml:space="preserve">Migration</w:t>
      </w:r>
      <w:r>
        <w:t xml:space="preserve"> </w:t>
      </w:r>
      <w:r>
        <w:t xml:space="preserve">is the subsequent movement of these hydrocarbons —</w:t>
      </w:r>
      <w:r>
        <w:t xml:space="preserve"> </w:t>
      </w:r>
      <w:r>
        <w:rPr>
          <w:bCs/>
          <w:b/>
        </w:rPr>
        <w:t xml:space="preserve">primary migration</w:t>
      </w:r>
      <w:r>
        <w:t xml:space="preserve"> </w:t>
      </w:r>
      <w:r>
        <w:t xml:space="preserve">out of the tight source rock itself, and</w:t>
      </w:r>
      <w:r>
        <w:t xml:space="preserve"> </w:t>
      </w:r>
      <w:r>
        <w:rPr>
          <w:bCs/>
          <w:b/>
        </w:rPr>
        <w:t xml:space="preserve">secondary migration</w:t>
      </w:r>
      <w:r>
        <w:t xml:space="preserve"> </w:t>
      </w:r>
      <w:r>
        <w:t xml:space="preserve">through more permeable carrier beds — driven mainly by buoyancy, since hydrocarbons are less dense than the surrounding formation water.</w:t>
      </w:r>
      <w:r>
        <w:t xml:space="preserve"> </w:t>
      </w:r>
      <w:r>
        <w:rPr>
          <w:bCs/>
          <w:b/>
        </w:rPr>
        <w:t xml:space="preserve">Accumulation</w:t>
      </w:r>
      <w:r>
        <w:t xml:space="preserve"> </w:t>
      </w:r>
      <w:r>
        <w:t xml:space="preserve">occurs where migrating hydrocarbons encounter a</w:t>
      </w:r>
      <w:r>
        <w:t xml:space="preserve"> </w:t>
      </w:r>
      <w:r>
        <w:rPr>
          <w:bCs/>
          <w:b/>
        </w:rPr>
        <w:t xml:space="preserve">trap</w:t>
      </w:r>
      <w:r>
        <w:t xml:space="preserve"> </w:t>
      </w:r>
      <w:r>
        <w:t xml:space="preserve">(point 4) that halts further upward or lateral migration, allowing them to concentrate in a reservoir rock rather than continuing to migrate all the way to the surface and being lost.</w:t>
      </w:r>
    </w:p>
    <w:bookmarkEnd w:id="161"/>
    <w:bookmarkStart w:id="162" w:name="porosity-and-permeability"/>
    <w:p>
      <w:pPr>
        <w:pStyle w:val="Heading4"/>
      </w:pPr>
      <w:r>
        <w:t xml:space="preserve">3. Porosity and permeability</w:t>
      </w:r>
    </w:p>
    <w:p>
      <w:pPr>
        <w:pStyle w:val="FirstParagraph"/>
      </w:pPr>
      <w:r>
        <w:rPr>
          <w:bCs/>
          <w:b/>
        </w:rPr>
        <w:t xml:space="preserve">Porosity</w:t>
      </w:r>
      <w:r>
        <w:t xml:space="preserve"> </w:t>
      </w:r>
      <w:r>
        <w:t xml:space="preserve">is the percentage of a rock’s total volume that consists of open pore space, determining how much fluid (oil, gas, or water) it can potentially store.</w:t>
      </w:r>
      <w:r>
        <w:t xml:space="preserve"> </w:t>
      </w:r>
      <w:r>
        <w:rPr>
          <w:bCs/>
          <w:b/>
        </w:rPr>
        <w:t xml:space="preserve">Permeability</w:t>
      </w:r>
      <w:r>
        <w:t xml:space="preserve"> </w:t>
      </w:r>
      <w:r>
        <w:t xml:space="preserve">is a separate property measuring how well those pore spaces are interconnected, determining how easily fluid can actually flow through the rock. Critically, high porosity does not guarantee high permeability (or vice versa) — a rock can have abundant but poorly connected pore space (high porosity, low permeability, storing fluid but yielding it only very slowly) or well-connected pores (allowing good fluid flow) despite comparatively modest total porosity — making both properties essential and independent considerations for reservoir quality assessment.</w:t>
      </w:r>
    </w:p>
    <w:bookmarkEnd w:id="162"/>
    <w:bookmarkStart w:id="163" w:name="structural-and-stratigraphic-traps"/>
    <w:p>
      <w:pPr>
        <w:pStyle w:val="Heading4"/>
      </w:pPr>
      <w:r>
        <w:t xml:space="preserve">4. Structural and stratigraphic traps</w:t>
      </w:r>
    </w:p>
    <w:p>
      <w:pPr>
        <w:pStyle w:val="FirstParagraph"/>
      </w:pPr>
      <w:r>
        <w:t xml:space="preserve">A</w:t>
      </w:r>
      <w:r>
        <w:t xml:space="preserve"> </w:t>
      </w:r>
      <w:r>
        <w:rPr>
          <w:bCs/>
          <w:b/>
        </w:rPr>
        <w:t xml:space="preserve">trap</w:t>
      </w:r>
      <w:r>
        <w:t xml:space="preserve"> </w:t>
      </w:r>
      <w:r>
        <w:t xml:space="preserve">is any subsurface geological configuration that halts hydrocarbon migration and allows accumulation.</w:t>
      </w:r>
      <w:r>
        <w:t xml:space="preserve"> </w:t>
      </w:r>
      <w:r>
        <w:rPr>
          <w:bCs/>
          <w:b/>
        </w:rPr>
        <w:t xml:space="preserve">Structural traps</w:t>
      </w:r>
      <w:r>
        <w:t xml:space="preserve"> </w:t>
      </w:r>
      <w:r>
        <w:t xml:space="preserve">arise from tectonic deformation (Chapter 4) — most commonly an anticline (hydrocarbons rise buoyantly to accumulate at the fold’s crest, beneath the seal), or a fault juxtaposing permeable reservoir rock against an impermeable seal rock.</w:t>
      </w:r>
      <w:r>
        <w:t xml:space="preserve"> </w:t>
      </w:r>
      <w:r>
        <w:rPr>
          <w:bCs/>
          <w:b/>
        </w:rPr>
        <w:t xml:space="preserve">Stratigraphic traps</w:t>
      </w:r>
      <w:r>
        <w:t xml:space="preserve"> </w:t>
      </w:r>
      <w:r>
        <w:t xml:space="preserve">arise instead from lateral or vertical changes in rock type or depositional geometry (rather than from later tectonic deformation) — such as a reservoir sandstone body that pinches out laterally into impermeable shale, or is truncated beneath an unconformity (Chapter 2) sealed by overlying impermeable rock.</w:t>
      </w:r>
    </w:p>
    <w:bookmarkEnd w:id="163"/>
    <w:bookmarkStart w:id="164" w:name="exploration-methods-and-basin-analysis"/>
    <w:p>
      <w:pPr>
        <w:pStyle w:val="Heading4"/>
      </w:pPr>
      <w:r>
        <w:t xml:space="preserve">5. Exploration methods and basin analysis</w:t>
      </w:r>
    </w:p>
    <w:p>
      <w:pPr>
        <w:pStyle w:val="FirstParagraph"/>
      </w:pPr>
      <w:r>
        <w:t xml:space="preserve">Petroleum exploration proceeds through progressively narrowing, increasingly costly and precise stages:</w:t>
      </w:r>
      <w:r>
        <w:t xml:space="preserve"> </w:t>
      </w:r>
      <w:r>
        <w:rPr>
          <w:bCs/>
          <w:b/>
        </w:rPr>
        <w:t xml:space="preserve">regional basin analysis</w:t>
      </w:r>
      <w:r>
        <w:t xml:space="preserve"> </w:t>
      </w:r>
      <w:r>
        <w:t xml:space="preserve">(assessing a large sedimentary basin’s overall geological history and hydrocarbon potential, often guided by sequence stratigraphy, Chapter 7), followed by more detailed geophysical surveying (particularly seismic methods, Chapter 6, used specifically to image subsurface structures and potential traps), and finally exploratory drilling to directly confirm (or rule out) the presence of an actual hydrocarbon accumulation predicted by the earlier stages — each stage is specifically designed to reduce geological uncertainty before committing to the next, more expensive stage.</w:t>
      </w:r>
    </w:p>
    <w:bookmarkEnd w:id="164"/>
    <w:bookmarkStart w:id="165" w:name="petroleum-geology-of-pakistan"/>
    <w:p>
      <w:pPr>
        <w:pStyle w:val="Heading4"/>
      </w:pPr>
      <w:r>
        <w:t xml:space="preserve">6. Petroleum geology of Pakistan</w:t>
      </w:r>
    </w:p>
    <w:p>
      <w:pPr>
        <w:pStyle w:val="FirstParagraph"/>
      </w:pPr>
      <w:r>
        <w:t xml:space="preserve">Pakistan’s petroleum geology involves specific sedimentary basins (such as the Indus Basin) with their own particular source rocks, reservoir intervals, and trap types, and its hydrocarbon exploration and production figures change over time as new discoveries are made and existing fields deplete — for current, accurate figures and basin-specific detail, referring to the latest publications of the Geological Survey of Pakistan, the Petroleum Division, or other authoritative official sources is essential, since such administrative and production details are genuinely subject to ongoing change.</w:t>
      </w:r>
    </w:p>
    <w:bookmarkEnd w:id="165"/>
    <w:bookmarkStart w:id="166" w:name="key-takeaways-16"/>
    <w:p>
      <w:pPr>
        <w:pStyle w:val="Heading4"/>
      </w:pPr>
      <w:r>
        <w:t xml:space="preserve">Key Takeaways</w:t>
      </w:r>
    </w:p>
    <w:p>
      <w:pPr>
        <w:numPr>
          <w:ilvl w:val="0"/>
          <w:numId w:val="1019"/>
        </w:numPr>
        <w:pStyle w:val="Compact"/>
      </w:pPr>
      <w:r>
        <w:t xml:space="preserve">A complete petroleum system requires source, reservoir, seal, and sufficient overburden together; the absence of any one element typically prevents accumulation.</w:t>
      </w:r>
    </w:p>
    <w:p>
      <w:pPr>
        <w:numPr>
          <w:ilvl w:val="0"/>
          <w:numId w:val="1019"/>
        </w:numPr>
        <w:pStyle w:val="Compact"/>
      </w:pPr>
      <w:r>
        <w:t xml:space="preserve">Generation requires adequate burial/heat, migration is driven mainly by buoyancy, and accumulation requires an effective trap to halt further migration.</w:t>
      </w:r>
    </w:p>
    <w:p>
      <w:pPr>
        <w:numPr>
          <w:ilvl w:val="0"/>
          <w:numId w:val="1019"/>
        </w:numPr>
        <w:pStyle w:val="Compact"/>
      </w:pPr>
      <w:r>
        <w:t xml:space="preserve">Porosity (storage capacity) and permeability (flow capacity) are distinct, independent properties, both essential to assessing reservoir quality.</w:t>
      </w:r>
    </w:p>
    <w:p>
      <w:pPr>
        <w:numPr>
          <w:ilvl w:val="0"/>
          <w:numId w:val="1019"/>
        </w:numPr>
        <w:pStyle w:val="Compact"/>
      </w:pPr>
      <w:r>
        <w:t xml:space="preserve">Structural traps arise from tectonic deformation (folds, faults); stratigraphic traps arise from lateral/vertical rock-type changes or unconformities, without requiring later deformation.</w:t>
      </w:r>
    </w:p>
    <w:p>
      <w:pPr>
        <w:numPr>
          <w:ilvl w:val="0"/>
          <w:numId w:val="1019"/>
        </w:numPr>
        <w:pStyle w:val="Compact"/>
      </w:pPr>
      <w:r>
        <w:t xml:space="preserve">Petroleum exploration proceeds through progressively more detailed and costly stages (basin analysis, geophysical surveying, drilling), each reducing uncertainty before the next; current Pakistani figures should be verified against official Geological Survey of Pakistan or Petroleum Division sources.</w:t>
      </w:r>
    </w:p>
    <w:bookmarkEnd w:id="166"/>
    <w:bookmarkEnd w:id="167"/>
    <w:bookmarkStart w:id="176" w:name="engineering-and-environmental-geology"/>
    <w:p>
      <w:pPr>
        <w:pStyle w:val="Heading3"/>
      </w:pPr>
      <w:r>
        <w:t xml:space="preserve">9. Engineering and Environmental Geology</w:t>
      </w:r>
    </w:p>
    <w:bookmarkStart w:id="168" w:name="introduction-17"/>
    <w:p>
      <w:pPr>
        <w:pStyle w:val="Heading4"/>
      </w:pPr>
      <w:r>
        <w:t xml:space="preserve">Introduction</w:t>
      </w:r>
    </w:p>
    <w:p>
      <w:pPr>
        <w:pStyle w:val="FirstParagraph"/>
      </w:pPr>
      <w:r>
        <w:t xml:space="preserve">Engineering geology applies geological knowledge to construction and infrastructure safety; environmental geology applies it to understanding and mitigating human impact on, and hazards from, the geological environment — together forming one of the most directly society-relevant branches of the subject.</w:t>
      </w:r>
    </w:p>
    <w:bookmarkEnd w:id="168"/>
    <w:bookmarkStart w:id="169" w:name="X24c2c4aa03fcbf8ef9d344f3627eb1825c2ddfc"/>
    <w:p>
      <w:pPr>
        <w:pStyle w:val="Heading4"/>
      </w:pPr>
      <w:r>
        <w:t xml:space="preserve">1. Engineering properties of rocks and soils</w:t>
      </w:r>
    </w:p>
    <w:p>
      <w:pPr>
        <w:pStyle w:val="FirstParagraph"/>
      </w:pPr>
      <w:r>
        <w:t xml:space="preserve">Before any construction project, the mechanical properties of the local rock and soil must be assessed:</w:t>
      </w:r>
      <w:r>
        <w:t xml:space="preserve"> </w:t>
      </w:r>
      <w:r>
        <w:rPr>
          <w:bCs/>
          <w:b/>
        </w:rPr>
        <w:t xml:space="preserve">strength</w:t>
      </w:r>
      <w:r>
        <w:t xml:space="preserve"> </w:t>
      </w:r>
      <w:r>
        <w:t xml:space="preserve">(resistance to failure under load),</w:t>
      </w:r>
      <w:r>
        <w:t xml:space="preserve"> </w:t>
      </w:r>
      <w:r>
        <w:rPr>
          <w:bCs/>
          <w:b/>
        </w:rPr>
        <w:t xml:space="preserve">compressibility</w:t>
      </w:r>
      <w:r>
        <w:t xml:space="preserve"> </w:t>
      </w:r>
      <w:r>
        <w:t xml:space="preserve">(how much a material deforms under sustained load, critical for foundation settlement calculations), and</w:t>
      </w:r>
      <w:r>
        <w:t xml:space="preserve"> </w:t>
      </w:r>
      <w:r>
        <w:rPr>
          <w:bCs/>
          <w:b/>
        </w:rPr>
        <w:t xml:space="preserve">permeability</w:t>
      </w:r>
      <w:r>
        <w:t xml:space="preserve"> </w:t>
      </w:r>
      <w:r>
        <w:t xml:space="preserve">(relevant both to groundwater management, point 4, and to slope/foundation stability, since water pressure within a material significantly reduces its effective strength). These properties vary enormously between different rock and soil types, and even within a single formation, making direct site-specific testing essential rather than relying on generic, tabulated values alone.</w:t>
      </w:r>
    </w:p>
    <w:bookmarkEnd w:id="169"/>
    <w:bookmarkStart w:id="170" w:name="X5de42e7001e892eb77ff620c0129483c0a1d084"/>
    <w:p>
      <w:pPr>
        <w:pStyle w:val="Heading4"/>
      </w:pPr>
      <w:r>
        <w:t xml:space="preserve">2. Site investigation for dams, tunnels, roads, and foundations</w:t>
      </w:r>
    </w:p>
    <w:p>
      <w:pPr>
        <w:pStyle w:val="FirstParagraph"/>
      </w:pPr>
      <w:r>
        <w:rPr>
          <w:bCs/>
          <w:b/>
        </w:rPr>
        <w:t xml:space="preserve">Site investigation</w:t>
      </w:r>
      <w:r>
        <w:t xml:space="preserve"> </w:t>
      </w:r>
      <w:r>
        <w:t xml:space="preserve">systematically reduces geological uncertainty before construction, typically combining surface geological mapping, subsurface exploration (boreholes, test pits), geophysical surveying (Chapter 6), and laboratory testing of collected samples. Different structures raise different critical geological questions: dams require particular attention to foundation strength and, especially, to reservoir and foundation permeability (to prevent excessive water leakage or seepage-induced failure); tunnels require assessment of rock strength, fracture/joint patterns (Chapter 4, since these control both stability and potential water inflow), and gas hazards; roads and foundations require good understanding of local soil bearing capacity, compressibility, and slope stability specifically along the intended route or site.</w:t>
      </w:r>
    </w:p>
    <w:bookmarkEnd w:id="170"/>
    <w:bookmarkStart w:id="171" w:name="X42dcefad9e8f09c310a2dd08b04e8cc5a72847a"/>
    <w:p>
      <w:pPr>
        <w:pStyle w:val="Heading4"/>
      </w:pPr>
      <w:r>
        <w:t xml:space="preserve">3. Slope stability, landslides, and geological hazards</w:t>
      </w:r>
    </w:p>
    <w:p>
      <w:pPr>
        <w:pStyle w:val="FirstParagraph"/>
      </w:pPr>
      <w:r>
        <w:rPr>
          <w:bCs/>
          <w:b/>
        </w:rPr>
        <w:t xml:space="preserve">Slope failure</w:t>
      </w:r>
      <w:r>
        <w:t xml:space="preserve"> </w:t>
      </w:r>
      <w:r>
        <w:t xml:space="preserve">occurs when the forces driving downslope movement (primarily gravity, often significantly increased by water saturation adding weight and reducing internal friction) exceed the forces resisting it (primarily the material’s internal shear strength). Contributing factors include slope angle, rock/soil type and structure (particularly the orientation of any bedding planes, joints, or faults relative to the slope face), water content, and external triggers such as earthquakes or human excavation. Understanding this driving-versus-resisting-force framework allows engineering geologists to identify specific high-risk slopes in advance and to design appropriate mitigation measures (such as drainage improvements, slope regrading, or retaining structures).</w:t>
      </w:r>
    </w:p>
    <w:bookmarkEnd w:id="171"/>
    <w:bookmarkStart w:id="172" w:name="groundwater-and-contamination"/>
    <w:p>
      <w:pPr>
        <w:pStyle w:val="Heading4"/>
      </w:pPr>
      <w:r>
        <w:t xml:space="preserve">4. Groundwater and contamination</w:t>
      </w:r>
    </w:p>
    <w:p>
      <w:pPr>
        <w:pStyle w:val="FirstParagraph"/>
      </w:pPr>
      <w:r>
        <w:rPr>
          <w:bCs/>
          <w:b/>
        </w:rPr>
        <w:t xml:space="preserve">Groundwater</w:t>
      </w:r>
      <w:r>
        <w:t xml:space="preserve"> </w:t>
      </w:r>
      <w:r>
        <w:t xml:space="preserve">moves through interconnected pore spaces and fractures in subsurface rock and soil (an</w:t>
      </w:r>
      <w:r>
        <w:t xml:space="preserve"> </w:t>
      </w:r>
      <w:r>
        <w:rPr>
          <w:bCs/>
          <w:b/>
        </w:rPr>
        <w:t xml:space="preserve">aquifer</w:t>
      </w:r>
      <w:r>
        <w:t xml:space="preserve">, if sufficiently permeable and productive to be a useful water source), and can become</w:t>
      </w:r>
      <w:r>
        <w:t xml:space="preserve"> </w:t>
      </w:r>
      <w:r>
        <w:rPr>
          <w:bCs/>
          <w:b/>
        </w:rPr>
        <w:t xml:space="preserve">contaminated</w:t>
      </w:r>
      <w:r>
        <w:t xml:space="preserve"> </w:t>
      </w:r>
      <w:r>
        <w:t xml:space="preserve">by pollutants introduced at or near the surface (from sources such as landfills, agricultural runoff, or industrial discharge) that subsequently infiltrate downward and are then transported, sometimes over considerable distances, by the natural groundwater flow itself. Because contaminated groundwater can be extremely difficult, slow, and costly to remediate once contamination has occurred and spread, understanding local subsurface permeability and groundwater flow direction in advance is essential specifically for effective contamination prevention, not merely eventual remediation after the fact.</w:t>
      </w:r>
    </w:p>
    <w:bookmarkEnd w:id="172"/>
    <w:bookmarkStart w:id="173" w:name="Xd405c4e238312345adfeb6b31f918bd81c9e2c3"/>
    <w:p>
      <w:pPr>
        <w:pStyle w:val="Heading4"/>
      </w:pPr>
      <w:r>
        <w:t xml:space="preserve">5. Waste disposal, environmental impact, and hazard mitigation</w:t>
      </w:r>
    </w:p>
    <w:p>
      <w:pPr>
        <w:pStyle w:val="FirstParagraph"/>
      </w:pPr>
      <w:r>
        <w:t xml:space="preserve">Selecting appropriate</w:t>
      </w:r>
      <w:r>
        <w:t xml:space="preserve"> </w:t>
      </w:r>
      <w:r>
        <w:rPr>
          <w:bCs/>
          <w:b/>
        </w:rPr>
        <w:t xml:space="preserve">waste disposal</w:t>
      </w:r>
      <w:r>
        <w:t xml:space="preserve"> </w:t>
      </w:r>
      <w:r>
        <w:t xml:space="preserve">sites (for both ordinary and hazardous waste) requires careful geological assessment to minimise the risk of groundwater contamination described above — favouring locations with naturally low-permeability subsurface geology (to help contain any leachate) and appropriate additional engineered barriers, well away from any actively used aquifer. Broader</w:t>
      </w:r>
      <w:r>
        <w:t xml:space="preserve"> </w:t>
      </w:r>
      <w:r>
        <w:rPr>
          <w:bCs/>
          <w:b/>
        </w:rPr>
        <w:t xml:space="preserve">environmental impact assessment</w:t>
      </w:r>
      <w:r>
        <w:t xml:space="preserve"> </w:t>
      </w:r>
      <w:r>
        <w:t xml:space="preserve">for any significant construction or resource-extraction project should systematically consider its full range of potential geological consequences, including altered groundwater flow, increased erosion, and slope destabilisation, alongside standard</w:t>
      </w:r>
      <w:r>
        <w:t xml:space="preserve"> </w:t>
      </w:r>
      <w:r>
        <w:rPr>
          <w:bCs/>
          <w:b/>
        </w:rPr>
        <w:t xml:space="preserve">hazard mitigation</w:t>
      </w:r>
      <w:r>
        <w:t xml:space="preserve"> </w:t>
      </w:r>
      <w:r>
        <w:t xml:space="preserve">measures such as early warning systems, appropriately zoned and restricted land-use planning, and engineered protective structures.</w:t>
      </w:r>
    </w:p>
    <w:bookmarkEnd w:id="173"/>
    <w:bookmarkStart w:id="174" w:name="Xd254749c5b8bc59554cc60367c69d983a23f4b2"/>
    <w:p>
      <w:pPr>
        <w:pStyle w:val="Heading4"/>
      </w:pPr>
      <w:r>
        <w:t xml:space="preserve">6. Earthquake-related engineering considerations</w:t>
      </w:r>
    </w:p>
    <w:p>
      <w:pPr>
        <w:pStyle w:val="FirstParagraph"/>
      </w:pPr>
      <w:r>
        <w:t xml:space="preserve">Earthquakes release stored elastic strain (Chapter 4’s elastic deformation) suddenly along a fault, and engineering considerations specifically for earthquake-prone regions include appropriately assessing local</w:t>
      </w:r>
      <w:r>
        <w:t xml:space="preserve"> </w:t>
      </w:r>
      <w:r>
        <w:rPr>
          <w:bCs/>
          <w:b/>
        </w:rPr>
        <w:t xml:space="preserve">seismic hazard</w:t>
      </w:r>
      <w:r>
        <w:t xml:space="preserve"> </w:t>
      </w:r>
      <w:r>
        <w:t xml:space="preserve">(typically informed by known regional fault activity and historical earthquake records), designing structures able to withstand the expected ground motion levels (a discipline generally termed seismic or earthquake engineering), and specifically recognising and managing</w:t>
      </w:r>
      <w:r>
        <w:t xml:space="preserve"> </w:t>
      </w:r>
      <w:r>
        <w:rPr>
          <w:bCs/>
          <w:b/>
        </w:rPr>
        <w:t xml:space="preserve">soil liquefaction</w:t>
      </w:r>
      <w:r>
        <w:t xml:space="preserve"> </w:t>
      </w:r>
      <w:r>
        <w:t xml:space="preserve">risk — a phenomenon where water-saturated, loose granular soil temporarily loses its shear strength and behaves like a liquid under the intense, rapid shaking of a strong earthquake, a well-documented and historically significant cause of severe structural damage even where the shaking itself was not otherwise extreme.</w:t>
      </w:r>
    </w:p>
    <w:bookmarkEnd w:id="174"/>
    <w:bookmarkStart w:id="175" w:name="key-takeaways-17"/>
    <w:p>
      <w:pPr>
        <w:pStyle w:val="Heading4"/>
      </w:pPr>
      <w:r>
        <w:t xml:space="preserve">Key Takeaways</w:t>
      </w:r>
    </w:p>
    <w:p>
      <w:pPr>
        <w:numPr>
          <w:ilvl w:val="0"/>
          <w:numId w:val="1020"/>
        </w:numPr>
        <w:pStyle w:val="Compact"/>
      </w:pPr>
      <w:r>
        <w:t xml:space="preserve">Engineering properties (strength, compressibility, permeability) of rock and soil vary significantly even within a single formation, requiring direct site-specific testing rather than generic assumed values.</w:t>
      </w:r>
    </w:p>
    <w:p>
      <w:pPr>
        <w:numPr>
          <w:ilvl w:val="0"/>
          <w:numId w:val="1020"/>
        </w:numPr>
        <w:pStyle w:val="Compact"/>
      </w:pPr>
      <w:r>
        <w:t xml:space="preserve">Site investigation combines mapping, subsurface exploration, geophysics, and lab testing, tailored to the specific critical questions raised by the particular structure being planned (dam, tunnel, road, or foundation).</w:t>
      </w:r>
    </w:p>
    <w:p>
      <w:pPr>
        <w:numPr>
          <w:ilvl w:val="0"/>
          <w:numId w:val="1020"/>
        </w:numPr>
        <w:pStyle w:val="Compact"/>
      </w:pPr>
      <w:r>
        <w:t xml:space="preserve">Slope stability is governed by the balance between gravity-driven driving forces and material shear-strength resisting forces, with water content and structural discontinuities as major contributing factors.</w:t>
      </w:r>
    </w:p>
    <w:p>
      <w:pPr>
        <w:numPr>
          <w:ilvl w:val="0"/>
          <w:numId w:val="1020"/>
        </w:numPr>
        <w:pStyle w:val="Compact"/>
      </w:pPr>
      <w:r>
        <w:t xml:space="preserve">Groundwater contamination can travel far from its source via natural flow and is far easier to prevent (through advance geological understanding) than to remediate after it has occurred.</w:t>
      </w:r>
    </w:p>
    <w:p>
      <w:pPr>
        <w:numPr>
          <w:ilvl w:val="0"/>
          <w:numId w:val="1020"/>
        </w:numPr>
        <w:pStyle w:val="Compact"/>
      </w:pPr>
      <w:r>
        <w:t xml:space="preserve">Earthquake engineering must specifically address both expected ground-shaking intensity and the distinct risk of soil liquefaction in water-saturated, loose granular soils.</w:t>
      </w:r>
    </w:p>
    <w:bookmarkEnd w:id="175"/>
    <w:bookmarkEnd w:id="176"/>
    <w:bookmarkStart w:id="185" w:name="mineral-and-energy-resources"/>
    <w:p>
      <w:pPr>
        <w:pStyle w:val="Heading3"/>
      </w:pPr>
      <w:r>
        <w:t xml:space="preserve">10. Mineral and Energy Resources</w:t>
      </w:r>
    </w:p>
    <w:bookmarkStart w:id="177" w:name="introduction-18"/>
    <w:p>
      <w:pPr>
        <w:pStyle w:val="Heading4"/>
      </w:pPr>
      <w:r>
        <w:t xml:space="preserve">Introduction</w:t>
      </w:r>
    </w:p>
    <w:p>
      <w:pPr>
        <w:pStyle w:val="FirstParagraph"/>
      </w:pPr>
      <w:r>
        <w:t xml:space="preserve">This chapter studies how the Earth concentrates useful materials into economically extractable deposits, and how such deposits are found, quantified, and responsibly exploited — extending the ore-genesis and exploration ideas begun in Petroleum Geology (Chapter 8) to solid mineral and energy resources.</w:t>
      </w:r>
    </w:p>
    <w:bookmarkEnd w:id="177"/>
    <w:bookmarkStart w:id="178" w:name="Xe2556878c6b2549e5bd374341731120376b44a0"/>
    <w:p>
      <w:pPr>
        <w:pStyle w:val="Heading4"/>
      </w:pPr>
      <w:r>
        <w:t xml:space="preserve">1. Metallic and non-metallic mineral resources</w:t>
      </w:r>
    </w:p>
    <w:p>
      <w:pPr>
        <w:pStyle w:val="FirstParagraph"/>
      </w:pPr>
      <w:r>
        <w:rPr>
          <w:bCs/>
          <w:b/>
        </w:rPr>
        <w:t xml:space="preserve">Metallic minerals</w:t>
      </w:r>
      <w:r>
        <w:t xml:space="preserve"> </w:t>
      </w:r>
      <w:r>
        <w:t xml:space="preserve">(ores of metals such as copper, iron, or gold) are valued for the extractable metal they contain, typically requiring processing (crushing, concentration, and smelting or leaching) to separate the valuable metal from waste rock (gangue).</w:t>
      </w:r>
      <w:r>
        <w:t xml:space="preserve"> </w:t>
      </w:r>
      <w:r>
        <w:rPr>
          <w:bCs/>
          <w:b/>
        </w:rPr>
        <w:t xml:space="preserve">Non-metallic minerals</w:t>
      </w:r>
      <w:r>
        <w:t xml:space="preserve"> </w:t>
      </w:r>
      <w:r>
        <w:t xml:space="preserve">(such as limestone, gypsum, or salt) are valued instead for their bulk chemical or physical properties, used directly or with comparatively simple processing (for example, in construction materials, chemical manufacturing, or agriculture) — this distinction shapes both the economics and the typical exploration approach appropriate to each.</w:t>
      </w:r>
    </w:p>
    <w:bookmarkEnd w:id="178"/>
    <w:bookmarkStart w:id="179" w:name="X9bed134e5763e5feeb2e6262f15f51b4549a291"/>
    <w:p>
      <w:pPr>
        <w:pStyle w:val="Heading4"/>
      </w:pPr>
      <w:r>
        <w:t xml:space="preserve">2. Coal and other geological energy resources</w:t>
      </w:r>
    </w:p>
    <w:p>
      <w:pPr>
        <w:pStyle w:val="FirstParagraph"/>
      </w:pPr>
      <w:r>
        <w:rPr>
          <w:bCs/>
          <w:b/>
        </w:rPr>
        <w:t xml:space="preserve">Coal</w:t>
      </w:r>
      <w:r>
        <w:t xml:space="preserve"> </w:t>
      </w:r>
      <w:r>
        <w:t xml:space="preserve">forms from the burial and progressive compaction/alteration of accumulated plant material in ancient swamp environments, with increasing burial depth, time, temperature, and pressure driving it through a recognised rank sequence (peat, through lignite and bituminous coal, to anthracite) — higher rank coal has progressively higher carbon content and, correspondingly, higher energy content per unit mass. Beyond coal and petroleum (Chapter 8), other geological energy resources include natural gas (often associated with petroleum systems but also occurring independently), geothermal energy (harnessing naturally occurring subsurface heat, most viable in tectonically and volcanically active regions), and radioactive minerals (uranium ore, providing fuel for nuclear energy).</w:t>
      </w:r>
    </w:p>
    <w:bookmarkEnd w:id="179"/>
    <w:bookmarkStart w:id="180" w:name="ore-genesis-and-deposit-types"/>
    <w:p>
      <w:pPr>
        <w:pStyle w:val="Heading4"/>
      </w:pPr>
      <w:r>
        <w:t xml:space="preserve">3. Ore genesis and deposit types</w:t>
      </w:r>
    </w:p>
    <w:p>
      <w:pPr>
        <w:pStyle w:val="FirstParagraph"/>
      </w:pPr>
      <w:r>
        <w:rPr>
          <w:bCs/>
          <w:b/>
        </w:rPr>
        <w:t xml:space="preserve">Ore genesis</w:t>
      </w:r>
      <w:r>
        <w:t xml:space="preserve"> </w:t>
      </w:r>
      <w:r>
        <w:t xml:space="preserve">explains the specific geological process that concentrated a valuable material to economically viable levels, since most useful elements occur only at very low, non-economic background concentrations throughout ordinary rock. Major recognised deposit types include</w:t>
      </w:r>
      <w:r>
        <w:t xml:space="preserve"> </w:t>
      </w:r>
      <w:r>
        <w:rPr>
          <w:bCs/>
          <w:b/>
        </w:rPr>
        <w:t xml:space="preserve">magmatic deposits</w:t>
      </w:r>
      <w:r>
        <w:t xml:space="preserve"> </w:t>
      </w:r>
      <w:r>
        <w:t xml:space="preserve">(valuable minerals concentrate directly by crystallising from and settling within a cooling magma body),</w:t>
      </w:r>
      <w:r>
        <w:t xml:space="preserve"> </w:t>
      </w:r>
      <w:r>
        <w:rPr>
          <w:bCs/>
          <w:b/>
        </w:rPr>
        <w:t xml:space="preserve">hydrothermal deposits</w:t>
      </w:r>
      <w:r>
        <w:t xml:space="preserve"> </w:t>
      </w:r>
      <w:r>
        <w:t xml:space="preserve">(hot, mineral-rich fluids circulate through rock fractures, depositing valuable minerals as they cool or react chemically with the surrounding rock), and</w:t>
      </w:r>
      <w:r>
        <w:t xml:space="preserve"> </w:t>
      </w:r>
      <w:r>
        <w:rPr>
          <w:bCs/>
          <w:b/>
        </w:rPr>
        <w:t xml:space="preserve">sedimentary/placer deposits</w:t>
      </w:r>
      <w:r>
        <w:t xml:space="preserve"> </w:t>
      </w:r>
      <w:r>
        <w:t xml:space="preserve">(dense, physically or chemically resistant valuable minerals become naturally concentrated by ordinary sedimentary sorting and transport processes, such as gold or heavy mineral sands concentrating in a stream bed). Correctly classifying a given deposit by its genetic process is the essential first step in predicting its likely size, shape, and grade distribution.</w:t>
      </w:r>
    </w:p>
    <w:bookmarkEnd w:id="180"/>
    <w:bookmarkStart w:id="181" w:name="exploration-principles"/>
    <w:p>
      <w:pPr>
        <w:pStyle w:val="Heading4"/>
      </w:pPr>
      <w:r>
        <w:t xml:space="preserve">4. Exploration principles</w:t>
      </w:r>
    </w:p>
    <w:p>
      <w:pPr>
        <w:pStyle w:val="FirstParagraph"/>
      </w:pPr>
      <w:r>
        <w:t xml:space="preserve">Mineral exploration follows a similarly progressive, uncertainty-reducing workflow to petroleum exploration (Chapter 8): beginning with broad regional reconnaissance (using existing geological maps and regional-scale geochemical or geophysical surveys, Chapter 6, to identify promising target areas), narrowing to detailed local geological mapping and more focused geochemical/geophysical surveying (to precisely define specific drilling targets within the identified promising areas), then diamond or other core drilling (to directly sample and confirm the subsurface presence, extent, and grade of mineralisation), and finally detailed economic evaluation (point 5) of any deposit confirmed by drilling.</w:t>
      </w:r>
    </w:p>
    <w:bookmarkEnd w:id="181"/>
    <w:bookmarkStart w:id="182" w:name="Xe73ee9f4d17e1ce13efb6a1bb8666646fbef223"/>
    <w:p>
      <w:pPr>
        <w:pStyle w:val="Heading4"/>
      </w:pPr>
      <w:r>
        <w:t xml:space="preserve">5. Resource and reserve concepts and responsible extraction</w:t>
      </w:r>
    </w:p>
    <w:p>
      <w:pPr>
        <w:pStyle w:val="FirstParagraph"/>
      </w:pPr>
      <w:r>
        <w:t xml:space="preserve">A geological</w:t>
      </w:r>
      <w:r>
        <w:t xml:space="preserve"> </w:t>
      </w:r>
      <w:r>
        <w:rPr>
          <w:bCs/>
          <w:b/>
        </w:rPr>
        <w:t xml:space="preserve">resource</w:t>
      </w:r>
      <w:r>
        <w:t xml:space="preserve"> </w:t>
      </w:r>
      <w:r>
        <w:t xml:space="preserve">is material known or estimated to exist in the ground, of potential economic interest, but not automatically economically extractable under current conditions. A</w:t>
      </w:r>
      <w:r>
        <w:t xml:space="preserve"> </w:t>
      </w:r>
      <w:r>
        <w:rPr>
          <w:bCs/>
          <w:b/>
        </w:rPr>
        <w:t xml:space="preserve">reserve</w:t>
      </w:r>
      <w:r>
        <w:t xml:space="preserve"> </w:t>
      </w:r>
      <w:r>
        <w:t xml:space="preserve">is specifically the portion of a resource that has been demonstrated (through the exploration and evaluation workflow above) to be both technically and economically extractable under current, specifically stated economic and technical conditions — since a reserve estimate depends explicitly on assumed prices, costs, and available extraction technology, the same physical deposit’s classified reserve size can change over time even without any new drilling, simply because economic or technical conditions have changed.</w:t>
      </w:r>
      <w:r>
        <w:t xml:space="preserve"> </w:t>
      </w:r>
      <w:r>
        <w:rPr>
          <w:bCs/>
          <w:b/>
        </w:rPr>
        <w:t xml:space="preserve">Responsible extraction</w:t>
      </w:r>
      <w:r>
        <w:t xml:space="preserve"> </w:t>
      </w:r>
      <w:r>
        <w:t xml:space="preserve">requires appropriately balancing genuine economic benefit against environmental impact (Chapter 9) and the long-term sustainable, non-renewable use of the resource, since mineral deposits, unlike some other natural resources, do not regenerate on human timescales.</w:t>
      </w:r>
    </w:p>
    <w:bookmarkEnd w:id="182"/>
    <w:bookmarkStart w:id="183" w:name="important-pakistani-mineral-occurrences"/>
    <w:p>
      <w:pPr>
        <w:pStyle w:val="Heading4"/>
      </w:pPr>
      <w:r>
        <w:t xml:space="preserve">6. Important Pakistani mineral occurrences</w:t>
      </w:r>
    </w:p>
    <w:p>
      <w:pPr>
        <w:pStyle w:val="FirstParagraph"/>
      </w:pPr>
      <w:r>
        <w:t xml:space="preserve">Pakistan hosts several nationally and, in some cases, regionally significant mineral occurrences, including notable copper-gold porphyry deposits (such as at Saindak and Reko Diq in Balochistan) and substantial coal resources (such as the Thar coalfield in Sindh) — because specific reserve and production figures for these deposits are genuinely subject to ongoing change as exploration continues and extraction proceeds, current, accurate figures should always be verified against the latest Geological Survey of Pakistan, relevant government ministry, or regulatory/company technical report publications, rather than relied upon as static facts.</w:t>
      </w:r>
    </w:p>
    <w:bookmarkEnd w:id="183"/>
    <w:bookmarkStart w:id="184" w:name="key-takeaways-18"/>
    <w:p>
      <w:pPr>
        <w:pStyle w:val="Heading4"/>
      </w:pPr>
      <w:r>
        <w:t xml:space="preserve">Key Takeaways</w:t>
      </w:r>
    </w:p>
    <w:p>
      <w:pPr>
        <w:numPr>
          <w:ilvl w:val="0"/>
          <w:numId w:val="1021"/>
        </w:numPr>
        <w:pStyle w:val="Compact"/>
      </w:pPr>
      <w:r>
        <w:t xml:space="preserve">Metallic minerals are valued for extractable metal content (requiring processing); non-metallic minerals are valued for bulk chemical/physical properties, generally used with simpler processing.</w:t>
      </w:r>
    </w:p>
    <w:p>
      <w:pPr>
        <w:numPr>
          <w:ilvl w:val="0"/>
          <w:numId w:val="1021"/>
        </w:numPr>
        <w:pStyle w:val="Compact"/>
      </w:pPr>
      <w:r>
        <w:t xml:space="preserve">Coal’s rank sequence (peat to anthracite) reflects increasing burial depth, time, temperature, and pressure, with higher rank meaning higher carbon and energy content.</w:t>
      </w:r>
    </w:p>
    <w:p>
      <w:pPr>
        <w:numPr>
          <w:ilvl w:val="0"/>
          <w:numId w:val="1021"/>
        </w:numPr>
        <w:pStyle w:val="Compact"/>
      </w:pPr>
      <w:r>
        <w:t xml:space="preserve">Magmatic, hydrothermal, and sedimentary/placer processes are the three major ore-genesis categories, and correctly classifying a deposit’s genesis predicts its likely size, shape, and grade characteristics.</w:t>
      </w:r>
    </w:p>
    <w:p>
      <w:pPr>
        <w:numPr>
          <w:ilvl w:val="0"/>
          <w:numId w:val="1021"/>
        </w:numPr>
        <w:pStyle w:val="Compact"/>
      </w:pPr>
      <w:r>
        <w:t xml:space="preserve">Mineral exploration follows a progressively narrowing, uncertainty-reducing workflow from regional reconnaissance through detailed mapping/surveying to drilling and economic evaluation.</w:t>
      </w:r>
    </w:p>
    <w:p>
      <w:pPr>
        <w:numPr>
          <w:ilvl w:val="0"/>
          <w:numId w:val="1021"/>
        </w:numPr>
        <w:pStyle w:val="Compact"/>
      </w:pPr>
      <w:r>
        <w:t xml:space="preserve">A resource is potentially economic material in the ground; a reserve is specifically the technically and economically extractable portion under stated current conditions, meaning reserve classifications can change without new drilling; current Pakistani figures should be verified against official Geological Survey of Pakistan or government sources.</w:t>
      </w:r>
    </w:p>
    <w:bookmarkEnd w:id="184"/>
    <w:bookmarkEnd w:id="185"/>
    <w:bookmarkStart w:id="194" w:name="economic-and-applied-geology"/>
    <w:p>
      <w:pPr>
        <w:pStyle w:val="Heading3"/>
      </w:pPr>
      <w:r>
        <w:t xml:space="preserve">11. Economic and Applied Geology</w:t>
      </w:r>
    </w:p>
    <w:bookmarkStart w:id="186" w:name="introduction-19"/>
    <w:p>
      <w:pPr>
        <w:pStyle w:val="Heading4"/>
      </w:pPr>
      <w:r>
        <w:t xml:space="preserve">Introduction</w:t>
      </w:r>
    </w:p>
    <w:p>
      <w:pPr>
        <w:pStyle w:val="FirstParagraph"/>
      </w:pPr>
      <w:r>
        <w:t xml:space="preserve">This final chapter draws together the resource, exploration, and engineering concepts of earlier chapters into the broader practice of applying geological knowledge for direct economic and societal benefit — the culminating, most explicitly</w:t>
      </w:r>
      <w:r>
        <w:t xml:space="preserve"> </w:t>
      </w:r>
      <w:r>
        <w:t xml:space="preserve">“</w:t>
      </w:r>
      <w:r>
        <w:t xml:space="preserve">applied</w:t>
      </w:r>
      <w:r>
        <w:t xml:space="preserve">”</w:t>
      </w:r>
      <w:r>
        <w:t xml:space="preserve"> </w:t>
      </w:r>
      <w:r>
        <w:t xml:space="preserve">chapter of the subject.</w:t>
      </w:r>
    </w:p>
    <w:bookmarkEnd w:id="186"/>
    <w:bookmarkStart w:id="187" w:name="Xeaa6172e502c06280e497088b927542c1de99bb"/>
    <w:p>
      <w:pPr>
        <w:pStyle w:val="Heading4"/>
      </w:pPr>
      <w:r>
        <w:t xml:space="preserve">1. Economic evaluation of geological materials</w:t>
      </w:r>
    </w:p>
    <w:p>
      <w:pPr>
        <w:pStyle w:val="FirstParagraph"/>
      </w:pPr>
      <w:r>
        <w:t xml:space="preserve">Determining whether a geological material is genuinely worth extracting requires evaluating it against several combined factors: the deposit’s</w:t>
      </w:r>
      <w:r>
        <w:t xml:space="preserve"> </w:t>
      </w:r>
      <w:r>
        <w:rPr>
          <w:bCs/>
          <w:b/>
        </w:rPr>
        <w:t xml:space="preserve">grade</w:t>
      </w:r>
      <w:r>
        <w:t xml:space="preserve"> </w:t>
      </w:r>
      <w:r>
        <w:t xml:space="preserve">(concentration of the valuable material) and total</w:t>
      </w:r>
      <w:r>
        <w:t xml:space="preserve"> </w:t>
      </w:r>
      <w:r>
        <w:rPr>
          <w:bCs/>
          <w:b/>
        </w:rPr>
        <w:t xml:space="preserve">tonnage</w:t>
      </w:r>
      <w:r>
        <w:t xml:space="preserve"> </w:t>
      </w:r>
      <w:r>
        <w:t xml:space="preserve">(quantity available), the costs of extraction and processing (strongly influenced by depth, location, accessibility, and the specific extraction method required), and prevailing and reasonably projected future market prices for the material — since all of these factors can and do change over time (particularly market price, which is often genuinely volatile), a specific deposit’s economic viability is not a fixed, permanent geological fact but a conclusion that must be periodically reassessed as conditions change.</w:t>
      </w:r>
    </w:p>
    <w:bookmarkEnd w:id="187"/>
    <w:bookmarkStart w:id="188" w:name="oremineral-exploration-and-sampling"/>
    <w:p>
      <w:pPr>
        <w:pStyle w:val="Heading4"/>
      </w:pPr>
      <w:r>
        <w:t xml:space="preserve">2. Ore/mineral exploration and sampling</w:t>
      </w:r>
    </w:p>
    <w:p>
      <w:pPr>
        <w:pStyle w:val="FirstParagraph"/>
      </w:pPr>
      <w:r>
        <w:t xml:space="preserve">Building on the general exploration workflow of Chapter 10,</w:t>
      </w:r>
      <w:r>
        <w:t xml:space="preserve"> </w:t>
      </w:r>
      <w:r>
        <w:rPr>
          <w:bCs/>
          <w:b/>
        </w:rPr>
        <w:t xml:space="preserve">sampling</w:t>
      </w:r>
      <w:r>
        <w:t xml:space="preserve"> </w:t>
      </w:r>
      <w:r>
        <w:t xml:space="preserve">is the specific practical technique of collecting representative physical material (from surface outcrops, trenches, or drill core) for laboratory analysis to determine actual mineral grade and content. Because ore deposits are frequently significantly heterogeneous (grade can vary considerably even over comparatively short distances within a single deposit), a careful, systematic, and appropriately dense sampling strategy is essential to obtain a genuinely representative and reliable estimate of a deposit’s overall average grade, rather than one distorted by chance sampling of unusually rich or unusually poor localised zones.</w:t>
      </w:r>
    </w:p>
    <w:bookmarkEnd w:id="188"/>
    <w:bookmarkStart w:id="189" w:name="b.-mining-geology-basics"/>
    <w:p>
      <w:pPr>
        <w:pStyle w:val="Heading4"/>
      </w:pPr>
      <w:r>
        <w:t xml:space="preserve">2b. Mining-geology basics</w:t>
      </w:r>
    </w:p>
    <w:p>
      <w:pPr>
        <w:pStyle w:val="FirstParagraph"/>
      </w:pPr>
      <w:r>
        <w:rPr>
          <w:bCs/>
          <w:b/>
        </w:rPr>
        <w:t xml:space="preserve">Mining geology</w:t>
      </w:r>
      <w:r>
        <w:t xml:space="preserve"> </w:t>
      </w:r>
      <w:r>
        <w:t xml:space="preserve">applies geological understanding directly and continuously throughout the active, ongoing process of mineral extraction — including precisely and continuously delineating the exact boundaries and internal grade distribution of the ore body as mining proceeds and further data becomes available, and providing continuously updated geological input and guidance to ongoing mine planning and design decisions (influencing, for example, the choice between open-pit and underground mining methods, chosen based specifically on the ore body’s depth, shape, and surrounding rock stability characteristics).</w:t>
      </w:r>
    </w:p>
    <w:bookmarkEnd w:id="189"/>
    <w:bookmarkStart w:id="190" w:name="X14e3d71d0294bbc45fed432b70dd3514da270bb"/>
    <w:p>
      <w:pPr>
        <w:pStyle w:val="Heading4"/>
      </w:pPr>
      <w:r>
        <w:t xml:space="preserve">3. Groundwater and other applied geological investigations</w:t>
      </w:r>
    </w:p>
    <w:p>
      <w:pPr>
        <w:pStyle w:val="FirstParagraph"/>
      </w:pPr>
      <w:r>
        <w:t xml:space="preserve">Beyond the general engineering-geology treatment of groundwater in Chapter 9, applied geological investigation specifically for water-resource development requires appropriately identifying and characterising productive aquifers (permeable rock or sediment layers capable of yielding useful water quantities), estimating their sustainable yield, and properly assessing water quality — since over-extraction beyond an aquifer’s natural sustainable recharge rate can cause serious long-term problems, including significant water-table decline, land subsidence, and, in coastal areas specifically, saltwater intrusion into what was previously a freshwater aquifer.</w:t>
      </w:r>
    </w:p>
    <w:bookmarkEnd w:id="190"/>
    <w:bookmarkStart w:id="191" w:name="Xa80f1598720d44cb8d4b72b4e9d8172ea504ca6"/>
    <w:p>
      <w:pPr>
        <w:pStyle w:val="Heading4"/>
      </w:pPr>
      <w:r>
        <w:t xml:space="preserve">4. Remote sensing and geological mapping applications</w:t>
      </w:r>
    </w:p>
    <w:p>
      <w:pPr>
        <w:pStyle w:val="FirstParagraph"/>
      </w:pPr>
      <w:r>
        <w:rPr>
          <w:bCs/>
          <w:b/>
        </w:rPr>
        <w:t xml:space="preserve">Remote sensing</w:t>
      </w:r>
      <w:r>
        <w:t xml:space="preserve"> </w:t>
      </w:r>
      <w:r>
        <w:t xml:space="preserve">(using satellite or aerial imagery, across various parts of the electromagnetic spectrum, connecting to Physics Chapter III) helps geologists efficiently recognize broad-scale geological patterns — including major rock unit boundaries, structural lineaments (surface expressions of underlying faults or major joint sets), and characteristic alteration zones associated with certain types of mineralisation — over large areas rapidly and comparatively inexpensively, substantially guiding and focusing where more detailed, and inherently more expensive, ground-based mapping and exploration effort should subsequently be concentrated.</w:t>
      </w:r>
    </w:p>
    <w:bookmarkEnd w:id="191"/>
    <w:bookmarkStart w:id="192" w:name="major-deposits-and-applied-examples"/>
    <w:p>
      <w:pPr>
        <w:pStyle w:val="Heading4"/>
      </w:pPr>
      <w:r>
        <w:t xml:space="preserve">5. Major deposits and applied examples</w:t>
      </w:r>
    </w:p>
    <w:p>
      <w:pPr>
        <w:pStyle w:val="FirstParagraph"/>
      </w:pPr>
      <w:r>
        <w:t xml:space="preserve">At syllabus level, understanding how the concepts of this entire Paper — ore genesis, exploration workflow, economic evaluation, and applied investigation — combine and apply concretely to specific, real, named Pakistani deposits and occurrences is the practical, integrative capstone of the subject; where an older syllabus reference uses a locality spelling that differs from the modern accepted name, the modern spelling should generally be used in written answers, while still recognising and correctly cross-referencing the original syllabus term.</w:t>
      </w:r>
    </w:p>
    <w:bookmarkEnd w:id="192"/>
    <w:bookmarkStart w:id="193" w:name="key-takeaways-19"/>
    <w:p>
      <w:pPr>
        <w:pStyle w:val="Heading4"/>
      </w:pPr>
      <w:r>
        <w:t xml:space="preserve">Key Takeaways</w:t>
      </w:r>
    </w:p>
    <w:p>
      <w:pPr>
        <w:numPr>
          <w:ilvl w:val="0"/>
          <w:numId w:val="1022"/>
        </w:numPr>
        <w:pStyle w:val="Compact"/>
      </w:pPr>
      <w:r>
        <w:t xml:space="preserve">Economic viability of a geological material depends jointly on grade, tonnage, extraction/processing cost, and market price — none of which are permanently fixed, so viability must be periodically reassessed as conditions change.</w:t>
      </w:r>
    </w:p>
    <w:p>
      <w:pPr>
        <w:numPr>
          <w:ilvl w:val="0"/>
          <w:numId w:val="1022"/>
        </w:numPr>
        <w:pStyle w:val="Compact"/>
      </w:pPr>
      <w:r>
        <w:t xml:space="preserve">Because ore grade is frequently heterogeneous even within a single deposit, systematic and adequately dense sampling is essential for a reliable overall grade estimate.</w:t>
      </w:r>
    </w:p>
    <w:p>
      <w:pPr>
        <w:numPr>
          <w:ilvl w:val="0"/>
          <w:numId w:val="1022"/>
        </w:numPr>
        <w:pStyle w:val="Compact"/>
      </w:pPr>
      <w:r>
        <w:t xml:space="preserve">Mining geology continuously updates ore-body delineation and directly informs ongoing mine planning and method-selection decisions throughout active extraction.</w:t>
      </w:r>
    </w:p>
    <w:p>
      <w:pPr>
        <w:numPr>
          <w:ilvl w:val="0"/>
          <w:numId w:val="1022"/>
        </w:numPr>
        <w:pStyle w:val="Compact"/>
      </w:pPr>
      <w:r>
        <w:t xml:space="preserve">Sustainable aquifer management requires balancing extraction against natural recharge rate, since over-extraction can cause water-table decline, subsidence, or (in coastal areas) saltwater intrusion.</w:t>
      </w:r>
    </w:p>
    <w:p>
      <w:pPr>
        <w:numPr>
          <w:ilvl w:val="0"/>
          <w:numId w:val="1022"/>
        </w:numPr>
        <w:pStyle w:val="Compact"/>
      </w:pPr>
      <w:r>
        <w:t xml:space="preserve">Remote sensing efficiently identifies broad-scale geological patterns over large areas, effectively guiding where more detailed and costly ground-based exploration should subsequently focus.</w:t>
      </w:r>
    </w:p>
    <w:bookmarkEnd w:id="193"/>
    <w:bookmarkEnd w:id="194"/>
    <w:bookmarkEnd w:id="19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Group II Optional Subjects: Master Study Resource — Part 3</dc:title>
  <dc:creator/>
  <cp:keywords/>
  <dcterms:created xsi:type="dcterms:W3CDTF">2026-09-20T06:50:29Z</dcterms:created>
  <dcterms:modified xsi:type="dcterms:W3CDTF">2026-09-20T06:50:29Z</dcterms:modified>
</cp:coreProperties>
</file>

<file path=docProps/custom.xml><?xml version="1.0" encoding="utf-8"?>
<Properties xmlns="http://schemas.openxmlformats.org/officeDocument/2006/custom-properties" xmlns:vt="http://schemas.openxmlformats.org/officeDocument/2006/docPropsVTypes"/>
</file>