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widowControl w:val="1"/>
      </w:pPr>
      <w:r>
        <w:rPr>
          <w:rFonts w:ascii="Aptos Display" w:hAnsi="Aptos Display"/>
          <w:b/>
          <w:color w:val="17365D"/>
          <w:sz w:val="56"/>
        </w:rPr>
        <w:t>GROUP VI OPTIONAL SUBJECTS</w:t>
      </w:r>
    </w:p>
    <w:p>
      <w:pPr>
        <w:jc w:val="center"/>
        <w:widowControl w:val="1"/>
      </w:pPr>
      <w:r>
        <w:rPr>
          <w:b/>
          <w:color w:val="1F4E79"/>
          <w:sz w:val="44"/>
        </w:rPr>
        <w:t>Master Study Resource</w:t>
      </w:r>
    </w:p>
    <w:p>
      <w:pPr>
        <w:spacing w:before="200"/>
        <w:jc w:val="center"/>
        <w:widowControl w:val="1"/>
      </w:pPr>
      <w:r>
        <w:rPr>
          <w:color w:val="464646"/>
          <w:sz w:val="24"/>
        </w:rPr>
        <w:t>Law • Constitutional Law • International Law • Muslim Law &amp; Jurisprudence</w:t>
        <w:br/>
        <w:t>Mercantile Law • Criminology • Philosophy</w:t>
      </w:r>
    </w:p>
    <w:p>
      <w:pPr>
        <w:spacing w:before="700"/>
        <w:jc w:val="center"/>
        <w:widowControl w:val="1"/>
      </w:pPr>
      <w:r>
        <w:rPr>
          <w:i/>
          <w:sz w:val="21"/>
        </w:rPr>
        <w:t>Expanded from the supplied crash-course framework into a beginner-friendly, detailed academic resource.</w:t>
      </w:r>
    </w:p>
    <w:p>
      <w:pPr>
        <w:jc w:val="center"/>
        <w:widowControl w:val="1"/>
      </w:pPr>
      <w:r>
        <w:rPr>
          <w:b/>
          <w:sz w:val="20"/>
        </w:rPr>
        <w:t>Legal and contemporary information checked to 21 September 2026.</w:t>
      </w:r>
    </w:p>
    <w:p>
      <w:pPr>
        <w:spacing w:before="1800"/>
        <w:jc w:val="center"/>
        <w:widowControl w:val="1"/>
      </w:pPr>
      <w:r>
        <w:rPr>
          <w:sz w:val="21"/>
        </w:rPr>
        <w:t>Study principle: understand the concept first, then learn the authority, application and criticism.</w:t>
      </w:r>
    </w:p>
    <w:p>
      <w:pPr>
        <w:widowControl w:val="1"/>
      </w:pPr>
      <w:r>
        <w:br w:type="page"/>
      </w:r>
    </w:p>
    <w:p>
      <w:pPr>
        <w:pStyle w:val="Heading1"/>
        <w:widowControl w:val="1"/>
      </w:pPr>
      <w:r>
        <w:t>About This Master Resource</w:t>
      </w:r>
    </w:p>
    <w:p>
      <w:pPr>
        <w:widowControl w:val="1"/>
      </w:pPr>
      <w:r>
        <w:t>This document preserves the supplied Group VI subject sequence and substantive topic headings, but expands each topic according to its actual academic scope. The original short explanations remain part of the teaching structure; added material supplies foundations, mechanisms, comparisons, examples, deeper analysis and current-law context.</w:t>
      </w:r>
    </w:p>
    <w:p>
      <w:pPr>
        <w:widowControl w:val="1"/>
      </w:pPr>
      <w:r>
        <w:t>For legal subjects, concepts are explained in simple language first and then tied to statutes, constitutional provisions, cases or institutional sources. Where a syllabus label is older than the governing law, the syllabus wording is retained as an orientation point and the current-law position is clearly identified.</w:t>
      </w:r>
    </w:p>
    <w:p>
      <w:pPr>
        <w:widowControl w:val="1"/>
      </w:pPr>
      <w:r>
        <w:t>For analytical subjects, theory is separated from evidence and from normative judgment. Examples are used to clarify concepts, not as substitutes for explanation. Every substantive topic ends with Key Takeaways so that revision remains manageable after detailed study.</w:t>
      </w:r>
    </w:p>
    <w:tbl>
      <w:tblPr>
        <w:tblW w:type="auto" w:w="0"/>
        <w:jc w:val="center"/>
        <w:tblLayout w:type="autofit"/>
        <w:tblLook w:firstColumn="1" w:firstRow="1" w:lastColumn="0" w:lastRow="0" w:noHBand="0" w:noVBand="1" w:val="04A0"/>
      </w:tblPr>
      <w:tblGrid>
        <w:gridCol w:w="9749"/>
      </w:tblGrid>
      <w:tr>
        <w:tc>
          <w:tcPr>
            <w:tcW w:type="dxa" w:w="9749"/>
            <w:shd w:fill="EEF4F8"/>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Verification note:</w:t>
            </w:r>
            <w:r>
              <w:t xml:space="preserve"> Pakistan Code itself states that online content is under review and users should consult the relevant Gazette notification where doubt exists. For examination or litigation-level precision, always check the latest official bare Act, Gazette, constitutional text, rules and authoritative judgments.</w:t>
            </w:r>
          </w:p>
        </w:tc>
      </w:tr>
    </w:tbl>
    <w:p>
      <w:pPr>
        <w:pStyle w:val="Heading1"/>
        <w:widowControl w:val="1"/>
      </w:pPr>
      <w:r>
        <w:t>How to Use This Resource</w:t>
      </w:r>
    </w:p>
    <w:p>
      <w:pPr>
        <w:widowControl w:val="1"/>
      </w:pPr>
      <w:r>
        <w:t>First read the introduction and scope of a topic without trying to memorize section numbers. Then study the detailed subheadings and ask how each idea connects to the next. After the concept is clear, return to the relevant bare Act, constitutional provision, treaty, case or primary text.</w:t>
      </w:r>
    </w:p>
    <w:p>
      <w:pPr>
        <w:widowControl w:val="1"/>
      </w:pPr>
      <w:r>
        <w:t>Use explanatory bullets for revision, but do not memorize bullet labels without the reasoning underneath them. For a 20-mark answer, combine definition, structure, legal or theoretical mechanism, relevant authority or example, criticism or limitation, and a reasoned conclusion.</w:t>
      </w:r>
    </w:p>
    <w:p>
      <w:pPr>
        <w:widowControl w:val="1"/>
      </w:pPr>
      <w:r>
        <w:t>Key Takeaways are consolidation tools. They are deliberately shorter than the main explanation and should be revised after, not instead of, the full topic.</w:t>
      </w:r>
    </w:p>
    <w:p>
      <w:pPr>
        <w:pStyle w:val="Heading1"/>
        <w:widowControl w:val="1"/>
      </w:pPr>
      <w:r>
        <w:t>Group VI at a Glance</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D9E5F0"/>
            <w:vAlign w:val="center"/>
            <w:tcMar>
              <w:top w:w="90" w:type="dxa"/>
              <w:start w:w="100" w:type="dxa"/>
              <w:bottom w:w="90" w:type="dxa"/>
              <w:end w:w="100" w:type="dxa"/>
            </w:tcMar>
          </w:tcPr>
          <w:p>
            <w:pPr>
              <w:jc w:val="center"/>
            </w:pPr>
            <w:r>
              <w:rPr>
                <w:b/>
                <w:sz w:val="19"/>
              </w:rPr>
              <w:t>Code</w:t>
            </w:r>
          </w:p>
        </w:tc>
        <w:tc>
          <w:tcPr>
            <w:tcW w:type="dxa" w:w="3250"/>
            <w:shd w:fill="D9E5F0"/>
            <w:vAlign w:val="center"/>
            <w:tcMar>
              <w:top w:w="90" w:type="dxa"/>
              <w:start w:w="100" w:type="dxa"/>
              <w:bottom w:w="90" w:type="dxa"/>
              <w:end w:w="100" w:type="dxa"/>
            </w:tcMar>
          </w:tcPr>
          <w:p>
            <w:pPr>
              <w:jc w:val="center"/>
            </w:pPr>
            <w:r>
              <w:rPr>
                <w:b/>
                <w:sz w:val="19"/>
              </w:rPr>
              <w:t>Subject</w:t>
            </w:r>
          </w:p>
        </w:tc>
        <w:tc>
          <w:tcPr>
            <w:tcW w:type="dxa" w:w="3250"/>
            <w:shd w:fill="D9E5F0"/>
            <w:vAlign w:val="center"/>
            <w:tcMar>
              <w:top w:w="90" w:type="dxa"/>
              <w:start w:w="100" w:type="dxa"/>
              <w:bottom w:w="90" w:type="dxa"/>
              <w:end w:w="100" w:type="dxa"/>
            </w:tcMar>
          </w:tcPr>
          <w:p>
            <w:pPr>
              <w:jc w:val="center"/>
            </w:pPr>
            <w:r>
              <w:rPr>
                <w:b/>
                <w:sz w:val="19"/>
              </w:rPr>
              <w:t>Marks</w:t>
            </w:r>
          </w:p>
        </w:tc>
      </w:tr>
      <w:tr>
        <w:tc>
          <w:tcPr>
            <w:tcW w:type="dxa" w:w="3250"/>
            <w:vAlign w:val="top"/>
            <w:tcMar>
              <w:top w:w="90" w:type="dxa"/>
              <w:start w:w="100" w:type="dxa"/>
              <w:bottom w:w="90" w:type="dxa"/>
              <w:end w:w="100" w:type="dxa"/>
            </w:tcMar>
          </w:tcPr>
          <w:p>
            <w:pPr>
              <w:spacing w:after="0"/>
            </w:pPr>
            <w:r>
              <w:rPr>
                <w:sz w:val="18"/>
              </w:rPr>
              <w:t>38</w:t>
            </w:r>
          </w:p>
        </w:tc>
        <w:tc>
          <w:tcPr>
            <w:tcW w:type="dxa" w:w="3250"/>
            <w:vAlign w:val="top"/>
            <w:tcMar>
              <w:top w:w="90" w:type="dxa"/>
              <w:start w:w="100" w:type="dxa"/>
              <w:bottom w:w="90" w:type="dxa"/>
              <w:end w:w="100" w:type="dxa"/>
            </w:tcMar>
          </w:tcPr>
          <w:p>
            <w:pPr>
              <w:spacing w:after="0"/>
            </w:pPr>
            <w:r>
              <w:rPr>
                <w:sz w:val="18"/>
              </w:rPr>
              <w:t>Law</w:t>
            </w:r>
          </w:p>
        </w:tc>
        <w:tc>
          <w:tcPr>
            <w:tcW w:type="dxa" w:w="3250"/>
            <w:vAlign w:val="top"/>
            <w:tcMar>
              <w:top w:w="90" w:type="dxa"/>
              <w:start w:w="100" w:type="dxa"/>
              <w:bottom w:w="90" w:type="dxa"/>
              <w:end w:w="100" w:type="dxa"/>
            </w:tcMar>
          </w:tcPr>
          <w:p>
            <w:pPr>
              <w:spacing w:after="0"/>
            </w:pPr>
            <w:r>
              <w:rPr>
                <w:sz w:val="18"/>
              </w:rPr>
              <w:t>100</w:t>
            </w:r>
          </w:p>
        </w:tc>
      </w:tr>
      <w:tr>
        <w:tc>
          <w:tcPr>
            <w:tcW w:type="dxa" w:w="3250"/>
            <w:vAlign w:val="top"/>
            <w:tcMar>
              <w:top w:w="90" w:type="dxa"/>
              <w:start w:w="100" w:type="dxa"/>
              <w:bottom w:w="90" w:type="dxa"/>
              <w:end w:w="100" w:type="dxa"/>
            </w:tcMar>
          </w:tcPr>
          <w:p>
            <w:pPr>
              <w:spacing w:after="0"/>
            </w:pPr>
            <w:r>
              <w:rPr>
                <w:sz w:val="18"/>
              </w:rPr>
              <w:t>39</w:t>
            </w:r>
          </w:p>
        </w:tc>
        <w:tc>
          <w:tcPr>
            <w:tcW w:type="dxa" w:w="3250"/>
            <w:vAlign w:val="top"/>
            <w:tcMar>
              <w:top w:w="90" w:type="dxa"/>
              <w:start w:w="100" w:type="dxa"/>
              <w:bottom w:w="90" w:type="dxa"/>
              <w:end w:w="100" w:type="dxa"/>
            </w:tcMar>
          </w:tcPr>
          <w:p>
            <w:pPr>
              <w:spacing w:after="0"/>
            </w:pPr>
            <w:r>
              <w:rPr>
                <w:sz w:val="18"/>
              </w:rPr>
              <w:t>Constitutional Law</w:t>
            </w:r>
          </w:p>
        </w:tc>
        <w:tc>
          <w:tcPr>
            <w:tcW w:type="dxa" w:w="3250"/>
            <w:vAlign w:val="top"/>
            <w:tcMar>
              <w:top w:w="90" w:type="dxa"/>
              <w:start w:w="100" w:type="dxa"/>
              <w:bottom w:w="90" w:type="dxa"/>
              <w:end w:w="100" w:type="dxa"/>
            </w:tcMar>
          </w:tcPr>
          <w:p>
            <w:pPr>
              <w:spacing w:after="0"/>
            </w:pPr>
            <w:r>
              <w:rPr>
                <w:sz w:val="18"/>
              </w:rPr>
              <w:t>100</w:t>
            </w:r>
          </w:p>
        </w:tc>
      </w:tr>
      <w:tr>
        <w:tc>
          <w:tcPr>
            <w:tcW w:type="dxa" w:w="3250"/>
            <w:vAlign w:val="top"/>
            <w:tcMar>
              <w:top w:w="90" w:type="dxa"/>
              <w:start w:w="100" w:type="dxa"/>
              <w:bottom w:w="90" w:type="dxa"/>
              <w:end w:w="100" w:type="dxa"/>
            </w:tcMar>
          </w:tcPr>
          <w:p>
            <w:pPr>
              <w:spacing w:after="0"/>
            </w:pPr>
            <w:r>
              <w:rPr>
                <w:sz w:val="18"/>
              </w:rPr>
              <w:t>40</w:t>
            </w:r>
          </w:p>
        </w:tc>
        <w:tc>
          <w:tcPr>
            <w:tcW w:type="dxa" w:w="3250"/>
            <w:vAlign w:val="top"/>
            <w:tcMar>
              <w:top w:w="90" w:type="dxa"/>
              <w:start w:w="100" w:type="dxa"/>
              <w:bottom w:w="90" w:type="dxa"/>
              <w:end w:w="100" w:type="dxa"/>
            </w:tcMar>
          </w:tcPr>
          <w:p>
            <w:pPr>
              <w:spacing w:after="0"/>
            </w:pPr>
            <w:r>
              <w:rPr>
                <w:sz w:val="18"/>
              </w:rPr>
              <w:t>International Law</w:t>
            </w:r>
          </w:p>
        </w:tc>
        <w:tc>
          <w:tcPr>
            <w:tcW w:type="dxa" w:w="3250"/>
            <w:vAlign w:val="top"/>
            <w:tcMar>
              <w:top w:w="90" w:type="dxa"/>
              <w:start w:w="100" w:type="dxa"/>
              <w:bottom w:w="90" w:type="dxa"/>
              <w:end w:w="100" w:type="dxa"/>
            </w:tcMar>
          </w:tcPr>
          <w:p>
            <w:pPr>
              <w:spacing w:after="0"/>
            </w:pPr>
            <w:r>
              <w:rPr>
                <w:sz w:val="18"/>
              </w:rPr>
              <w:t>100</w:t>
            </w:r>
          </w:p>
        </w:tc>
      </w:tr>
      <w:tr>
        <w:tc>
          <w:tcPr>
            <w:tcW w:type="dxa" w:w="3250"/>
            <w:vAlign w:val="top"/>
            <w:tcMar>
              <w:top w:w="90" w:type="dxa"/>
              <w:start w:w="100" w:type="dxa"/>
              <w:bottom w:w="90" w:type="dxa"/>
              <w:end w:w="100" w:type="dxa"/>
            </w:tcMar>
          </w:tcPr>
          <w:p>
            <w:pPr>
              <w:spacing w:after="0"/>
            </w:pPr>
            <w:r>
              <w:rPr>
                <w:sz w:val="18"/>
              </w:rPr>
              <w:t>41</w:t>
            </w:r>
          </w:p>
        </w:tc>
        <w:tc>
          <w:tcPr>
            <w:tcW w:type="dxa" w:w="3250"/>
            <w:vAlign w:val="top"/>
            <w:tcMar>
              <w:top w:w="90" w:type="dxa"/>
              <w:start w:w="100" w:type="dxa"/>
              <w:bottom w:w="90" w:type="dxa"/>
              <w:end w:w="100" w:type="dxa"/>
            </w:tcMar>
          </w:tcPr>
          <w:p>
            <w:pPr>
              <w:spacing w:after="0"/>
            </w:pPr>
            <w:r>
              <w:rPr>
                <w:sz w:val="18"/>
              </w:rPr>
              <w:t>Muslim Law &amp; Jurisprudence</w:t>
            </w:r>
          </w:p>
        </w:tc>
        <w:tc>
          <w:tcPr>
            <w:tcW w:type="dxa" w:w="3250"/>
            <w:vAlign w:val="top"/>
            <w:tcMar>
              <w:top w:w="90" w:type="dxa"/>
              <w:start w:w="100" w:type="dxa"/>
              <w:bottom w:w="90" w:type="dxa"/>
              <w:end w:w="100" w:type="dxa"/>
            </w:tcMar>
          </w:tcPr>
          <w:p>
            <w:pPr>
              <w:spacing w:after="0"/>
            </w:pPr>
            <w:r>
              <w:rPr>
                <w:sz w:val="18"/>
              </w:rPr>
              <w:t>100</w:t>
            </w:r>
          </w:p>
        </w:tc>
      </w:tr>
      <w:tr>
        <w:tc>
          <w:tcPr>
            <w:tcW w:type="dxa" w:w="3250"/>
            <w:vAlign w:val="top"/>
            <w:tcMar>
              <w:top w:w="90" w:type="dxa"/>
              <w:start w:w="100" w:type="dxa"/>
              <w:bottom w:w="90" w:type="dxa"/>
              <w:end w:w="100" w:type="dxa"/>
            </w:tcMar>
          </w:tcPr>
          <w:p>
            <w:pPr>
              <w:spacing w:after="0"/>
            </w:pPr>
            <w:r>
              <w:rPr>
                <w:sz w:val="18"/>
              </w:rPr>
              <w:t>42</w:t>
            </w:r>
          </w:p>
        </w:tc>
        <w:tc>
          <w:tcPr>
            <w:tcW w:type="dxa" w:w="3250"/>
            <w:vAlign w:val="top"/>
            <w:tcMar>
              <w:top w:w="90" w:type="dxa"/>
              <w:start w:w="100" w:type="dxa"/>
              <w:bottom w:w="90" w:type="dxa"/>
              <w:end w:w="100" w:type="dxa"/>
            </w:tcMar>
          </w:tcPr>
          <w:p>
            <w:pPr>
              <w:spacing w:after="0"/>
            </w:pPr>
            <w:r>
              <w:rPr>
                <w:sz w:val="18"/>
              </w:rPr>
              <w:t>Mercantile Law</w:t>
            </w:r>
          </w:p>
        </w:tc>
        <w:tc>
          <w:tcPr>
            <w:tcW w:type="dxa" w:w="3250"/>
            <w:vAlign w:val="top"/>
            <w:tcMar>
              <w:top w:w="90" w:type="dxa"/>
              <w:start w:w="100" w:type="dxa"/>
              <w:bottom w:w="90" w:type="dxa"/>
              <w:end w:w="100" w:type="dxa"/>
            </w:tcMar>
          </w:tcPr>
          <w:p>
            <w:pPr>
              <w:spacing w:after="0"/>
            </w:pPr>
            <w:r>
              <w:rPr>
                <w:sz w:val="18"/>
              </w:rPr>
              <w:t>100</w:t>
            </w:r>
          </w:p>
        </w:tc>
      </w:tr>
      <w:tr>
        <w:tc>
          <w:tcPr>
            <w:tcW w:type="dxa" w:w="3250"/>
            <w:vAlign w:val="top"/>
            <w:tcMar>
              <w:top w:w="90" w:type="dxa"/>
              <w:start w:w="100" w:type="dxa"/>
              <w:bottom w:w="90" w:type="dxa"/>
              <w:end w:w="100" w:type="dxa"/>
            </w:tcMar>
          </w:tcPr>
          <w:p>
            <w:pPr>
              <w:spacing w:after="0"/>
            </w:pPr>
            <w:r>
              <w:rPr>
                <w:sz w:val="18"/>
              </w:rPr>
              <w:t>43</w:t>
            </w:r>
          </w:p>
        </w:tc>
        <w:tc>
          <w:tcPr>
            <w:tcW w:type="dxa" w:w="3250"/>
            <w:vAlign w:val="top"/>
            <w:tcMar>
              <w:top w:w="90" w:type="dxa"/>
              <w:start w:w="100" w:type="dxa"/>
              <w:bottom w:w="90" w:type="dxa"/>
              <w:end w:w="100" w:type="dxa"/>
            </w:tcMar>
          </w:tcPr>
          <w:p>
            <w:pPr>
              <w:spacing w:after="0"/>
            </w:pPr>
            <w:r>
              <w:rPr>
                <w:sz w:val="18"/>
              </w:rPr>
              <w:t>Criminology</w:t>
            </w:r>
          </w:p>
        </w:tc>
        <w:tc>
          <w:tcPr>
            <w:tcW w:type="dxa" w:w="3250"/>
            <w:vAlign w:val="top"/>
            <w:tcMar>
              <w:top w:w="90" w:type="dxa"/>
              <w:start w:w="100" w:type="dxa"/>
              <w:bottom w:w="90" w:type="dxa"/>
              <w:end w:w="100" w:type="dxa"/>
            </w:tcMar>
          </w:tcPr>
          <w:p>
            <w:pPr>
              <w:spacing w:after="0"/>
            </w:pPr>
            <w:r>
              <w:rPr>
                <w:sz w:val="18"/>
              </w:rPr>
              <w:t>100</w:t>
            </w:r>
          </w:p>
        </w:tc>
      </w:tr>
      <w:tr>
        <w:tc>
          <w:tcPr>
            <w:tcW w:type="dxa" w:w="3250"/>
            <w:vAlign w:val="top"/>
            <w:tcMar>
              <w:top w:w="90" w:type="dxa"/>
              <w:start w:w="100" w:type="dxa"/>
              <w:bottom w:w="90" w:type="dxa"/>
              <w:end w:w="100" w:type="dxa"/>
            </w:tcMar>
          </w:tcPr>
          <w:p>
            <w:pPr>
              <w:spacing w:after="0"/>
            </w:pPr>
            <w:r>
              <w:rPr>
                <w:sz w:val="18"/>
              </w:rPr>
              <w:t>44</w:t>
            </w:r>
          </w:p>
        </w:tc>
        <w:tc>
          <w:tcPr>
            <w:tcW w:type="dxa" w:w="3250"/>
            <w:vAlign w:val="top"/>
            <w:tcMar>
              <w:top w:w="90" w:type="dxa"/>
              <w:start w:w="100" w:type="dxa"/>
              <w:bottom w:w="90" w:type="dxa"/>
              <w:end w:w="100" w:type="dxa"/>
            </w:tcMar>
          </w:tcPr>
          <w:p>
            <w:pPr>
              <w:spacing w:after="0"/>
            </w:pPr>
            <w:r>
              <w:rPr>
                <w:sz w:val="18"/>
              </w:rPr>
              <w:t>Philosophy</w:t>
            </w:r>
          </w:p>
        </w:tc>
        <w:tc>
          <w:tcPr>
            <w:tcW w:type="dxa" w:w="3250"/>
            <w:vAlign w:val="top"/>
            <w:tcMar>
              <w:top w:w="90" w:type="dxa"/>
              <w:start w:w="100" w:type="dxa"/>
              <w:bottom w:w="90" w:type="dxa"/>
              <w:end w:w="100" w:type="dxa"/>
            </w:tcMar>
          </w:tcPr>
          <w:p>
            <w:pPr>
              <w:spacing w:after="0"/>
            </w:pPr>
            <w:r>
              <w:rPr>
                <w:sz w:val="18"/>
              </w:rPr>
              <w:t>100</w:t>
            </w:r>
          </w:p>
        </w:tc>
      </w:tr>
    </w:tbl>
    <w:p>
      <w:pPr>
        <w:widowControl w:val="1"/>
      </w:pPr>
    </w:p>
    <w:p>
      <w:pPr>
        <w:widowControl w:val="1"/>
      </w:pPr>
      <w:r>
        <w:t>FPSC Group VI rule: one subject carrying 100 marks may be selected from codes 38–44. Verify the latest examination rules before applying. (FPSC revised syllabus and examination rules.)</w:t>
      </w:r>
    </w:p>
    <w:p>
      <w:pPr>
        <w:pStyle w:val="Heading1"/>
        <w:widowControl w:val="1"/>
      </w:pPr>
      <w:r>
        <w:t>Table of Contents</w:t>
      </w:r>
    </w:p>
    <w:p>
      <w:pPr>
        <w:widowControl w:val="1"/>
      </w:pPr>
      <w:r>
        <w:fldChar w:fldCharType="begin"/>
        <w:instrText xml:space="preserve">TOC \o "1-3" \h \z \u</w:instrText>
        <w:fldChar w:fldCharType="separate"/>
        <w:fldChar w:fldCharType="end"/>
      </w:r>
    </w:p>
    <w:p>
      <w:pPr>
        <w:widowControl w:val="1"/>
      </w:pPr>
      <w:r>
        <w:br w:type="page"/>
      </w:r>
    </w:p>
    <w:p>
      <w:pPr>
        <w:pStyle w:val="Heading1"/>
        <w:widowControl w:val="1"/>
      </w:pPr>
      <w:r>
        <w:t>1. LAW (Code 38)</w:t>
      </w:r>
    </w:p>
    <w:p>
      <w:pPr>
        <w:widowControl w:val="1"/>
      </w:pPr>
      <w:r>
        <w:t>Law is the broadest legal paper in Group VI. The official outline is short, but it expects familiarity with major civil, criminal, evidence and arbitration laws. The best approach is to understand the purpose and structure of each statute before learning important provisions.</w:t>
      </w:r>
    </w:p>
    <w:p>
      <w:pPr>
        <w:pStyle w:val="Heading2"/>
        <w:widowControl w:val="1"/>
      </w:pPr>
      <w:r>
        <w:t>How to Study This Subject</w:t>
      </w:r>
    </w:p>
    <w:p>
      <w:pPr>
        <w:pStyle w:val="TeachingBullet"/>
        <w:widowControl w:val="1"/>
      </w:pPr>
      <w:r>
        <w:rPr>
          <w:b/>
        </w:rPr>
        <w:t>Make a one-page map of each statute:</w:t>
      </w:r>
      <w:r>
        <w:t xml:space="preserve"> purpose, structure, key concepts and important stages.</w:t>
      </w:r>
    </w:p>
    <w:p>
      <w:pPr>
        <w:pStyle w:val="TeachingBullet"/>
        <w:widowControl w:val="1"/>
      </w:pPr>
      <w:r>
        <w:t>Learn legal terms in plain English first; add section numbers only after the concept is clear.</w:t>
      </w:r>
    </w:p>
    <w:p>
      <w:pPr>
        <w:pStyle w:val="TeachingBullet"/>
        <w:widowControl w:val="1"/>
      </w:pPr>
      <w:r>
        <w:rPr>
          <w:b/>
        </w:rPr>
        <w:t>Practice problem-style questions:</w:t>
      </w:r>
      <w:r>
        <w:t xml:space="preserve"> identify the law, rule, application and conclusion.</w:t>
      </w:r>
    </w:p>
    <w:p>
      <w:pPr>
        <w:pStyle w:val="TeachingBullet"/>
        <w:widowControl w:val="1"/>
      </w:pPr>
      <w:r>
        <w:t>Revise civil and criminal procedure as step-by-step flows rather than isolated provisions.</w:t>
      </w:r>
    </w:p>
    <w:p>
      <w:pPr>
        <w:pStyle w:val="Heading3"/>
        <w:widowControl w:val="1"/>
      </w:pPr>
      <w:r>
        <w:t>Beginner Roadmap</w:t>
      </w:r>
    </w:p>
    <w:p>
      <w:pPr>
        <w:widowControl w:val="1"/>
      </w:pPr>
      <w:r>
        <w:t>Begin with the difference between substantive law and procedure. Then study civil procedure as a civil-case flow, criminal procedure as a criminal-case flow, evidence as the rules of proof, and the PPC as the rules defining offences. Arbitration and civil-court jurisdiction should be learned as separate process maps.</w:t>
      </w:r>
    </w:p>
    <w:p>
      <w:pPr>
        <w:pStyle w:val="Heading2"/>
        <w:widowControl w:val="1"/>
      </w:pPr>
      <w:r>
        <w:t>Subject Map</w:t>
      </w:r>
    </w:p>
    <w:p>
      <w:pPr>
        <w:pStyle w:val="FocusBullet"/>
        <w:widowControl w:val="1"/>
      </w:pPr>
      <w:r>
        <w:t>1. Definitions of Crime</w:t>
      </w:r>
    </w:p>
    <w:p>
      <w:pPr>
        <w:pStyle w:val="FocusBullet"/>
        <w:widowControl w:val="1"/>
      </w:pPr>
      <w:r>
        <w:t>2. Arbitration</w:t>
      </w:r>
    </w:p>
    <w:p>
      <w:pPr>
        <w:pStyle w:val="FocusBullet"/>
        <w:widowControl w:val="1"/>
      </w:pPr>
      <w:r>
        <w:t>3. Establishment and Jurisdiction of Civil Courts</w:t>
      </w:r>
    </w:p>
    <w:p>
      <w:pPr>
        <w:pStyle w:val="FocusBullet"/>
        <w:widowControl w:val="1"/>
      </w:pPr>
      <w:r>
        <w:t>4. Code of Civil Procedure, 1908 (CPC)</w:t>
      </w:r>
    </w:p>
    <w:p>
      <w:pPr>
        <w:pStyle w:val="FocusBullet"/>
        <w:widowControl w:val="1"/>
      </w:pPr>
      <w:r>
        <w:t>5. Pakistan Penal Code, 1860 (PPC)</w:t>
      </w:r>
    </w:p>
    <w:p>
      <w:pPr>
        <w:pStyle w:val="FocusBullet"/>
        <w:widowControl w:val="1"/>
      </w:pPr>
      <w:r>
        <w:t>6. Qanun-e-Shahadat Order, 1984</w:t>
      </w:r>
    </w:p>
    <w:p>
      <w:pPr>
        <w:pStyle w:val="FocusBullet"/>
        <w:widowControl w:val="1"/>
      </w:pPr>
      <w:r>
        <w:t>7. Code of Criminal Procedure, 1898 (CrPC)</w:t>
      </w:r>
    </w:p>
    <w:p>
      <w:pPr>
        <w:pStyle w:val="Heading2"/>
        <w:widowControl w:val="1"/>
      </w:pPr>
      <w:r>
        <w:t>1. Definitions of Crime</w:t>
      </w:r>
    </w:p>
    <w:p>
      <w:pPr>
        <w:pStyle w:val="Heading3"/>
        <w:widowControl w:val="1"/>
      </w:pPr>
      <w:r>
        <w:t>Official Syllabus Focus</w:t>
      </w:r>
    </w:p>
    <w:p>
      <w:pPr>
        <w:pStyle w:val="FocusBullet"/>
        <w:widowControl w:val="1"/>
      </w:pPr>
      <w:r>
        <w:t>Meaning of crime</w:t>
      </w:r>
    </w:p>
    <w:p>
      <w:pPr>
        <w:pStyle w:val="FocusBullet"/>
        <w:widowControl w:val="1"/>
      </w:pPr>
      <w:r>
        <w:t>Difference between legal wrong and moral/social wrong</w:t>
      </w:r>
    </w:p>
    <w:p>
      <w:pPr>
        <w:pStyle w:val="Heading3"/>
        <w:widowControl w:val="1"/>
      </w:pPr>
      <w:r>
        <w:t>Introduction and Scope</w:t>
      </w:r>
    </w:p>
    <w:p>
      <w:pPr>
        <w:pStyle w:val="TopicIntro"/>
        <w:widowControl w:val="1"/>
      </w:pPr>
      <w:r>
        <w:t>A crime is conduct that the law treats as an offence against the state or public order and for which a legal punishment may follow.</w:t>
      </w:r>
    </w:p>
    <w:p>
      <w:pPr>
        <w:pStyle w:val="TopicIntro"/>
        <w:widowControl w:val="1"/>
      </w:pPr>
      <w:r>
        <w:t>This area asks you to understand what makes conduct criminal. A good answer separates the legal definition from morality. In criminal law, the usual starting point is a prohibited act or omission plus the legally required mental element, subject to the wording of the offence and available defences.</w:t>
      </w:r>
    </w:p>
    <w:p>
      <w:pPr>
        <w:pStyle w:val="Heading3"/>
        <w:widowControl w:val="1"/>
      </w:pPr>
      <w:r>
        <w:t>Foundational explanation</w:t>
      </w:r>
    </w:p>
    <w:p>
      <w:pPr>
        <w:widowControl w:val="1"/>
      </w:pPr>
      <w:r>
        <w:t>Criminal law does more than describe behaviour that society dislikes. It identifies conduct that the state has chosen to prohibit through law and attaches public consequences such as conviction, punishment, supervision or another criminal sanction. This is why the principle of legality matters: a person should not be punished for conduct unless the law defined the offence before the conduct occurred.</w:t>
      </w:r>
    </w:p>
    <w:p>
      <w:pPr>
        <w:widowControl w:val="1"/>
      </w:pPr>
      <w:r>
        <w:t>A useful way to understand criminal liability is to separate the physical and mental dimensions of an offence. The physical dimension is often called the actus reus. It may consist of a positive act, an omission where the law recognizes a duty to act, a prohibited circumstance, a prohibited result, or a combination of these. The mental dimension is often called mens rea. Depending on the offence, the required state of mind may involve intention, knowledge, recklessness, negligence, dishonesty or another legally defined mental element. These expressions are not interchangeable; the wording of the particular offence controls.</w:t>
      </w:r>
    </w:p>
    <w:p>
      <w:pPr>
        <w:pStyle w:val="Heading3"/>
        <w:widowControl w:val="1"/>
      </w:pPr>
      <w:r>
        <w:t>How criminal liability is built</w:t>
      </w:r>
    </w:p>
    <w:p>
      <w:pPr>
        <w:widowControl w:val="1"/>
      </w:pPr>
      <w:r>
        <w:t>A disciplined criminal-law analysis normally moves through a sequence. First, identify the offence and its statutory ingredients. Second, ask whether the accused performed the prohibited conduct. Third, connect any prohibited result to that conduct through the required rules of causation. Fourth, identify the mental element required by the offence and determine whether it existed at the relevant time. Finally, consider general exceptions, special defences and any rule that reduces the grade of liability.</w:t>
      </w:r>
    </w:p>
    <w:p>
      <w:pPr>
        <w:widowControl w:val="1"/>
      </w:pPr>
      <w:r>
        <w:t>The same physical event can therefore lead to different legal consequences depending on intention, knowledge, circumstances and available defences. A death caused deliberately, a death caused with knowledge of a dangerous consequence, and a death caused by negligent conduct may all involve a human death but are not legally identical.</w:t>
      </w:r>
    </w:p>
    <w:p>
      <w:pPr>
        <w:pStyle w:val="Heading3"/>
        <w:widowControl w:val="1"/>
      </w:pPr>
      <w:r>
        <w:t>Crime compared with other wrongs</w:t>
      </w:r>
    </w:p>
    <w:p>
      <w:pPr>
        <w:widowControl w:val="1"/>
      </w:pPr>
      <w:r>
        <w:t>Crime and tort can arise from the same event, but they ask different legal questions. Criminal proceedings focus on public responsibility and penal consequences; tort proceedings ordinarily focus on a civil wrong and a remedy such as damages. A breach of contract arises from failure to perform a legally enforceable voluntary obligation. A moral or religious wrong may be socially or ethically important but does not automatically become a crime unless positive law criminalizes it.</w:t>
      </w:r>
    </w:p>
    <w:p>
      <w:pPr>
        <w:widowControl w:val="1"/>
      </w:pPr>
      <w:r>
        <w:t>This distinction is important because legal systems should not be described as if every undesirable act belongs to the criminal law. Criminalization is a particularly serious form of state regulation because it may authorize arrest, trial, stigma and punishment.</w:t>
      </w:r>
    </w:p>
    <w:p>
      <w:pPr>
        <w:pStyle w:val="Heading3"/>
        <w:widowControl w:val="1"/>
      </w:pPr>
      <w:r>
        <w:t>Illustrative example</w:t>
      </w:r>
    </w:p>
    <w:p>
      <w:pPr>
        <w:widowControl w:val="1"/>
      </w:pPr>
      <w:r>
        <w:t>Hypothetical illustration: suppose a driver strikes a pedestrian. The fact of injury does not by itself answer the criminal-law question. The investigator and court would need to examine the driver’s conduct, the applicable traffic or penal provision, the required mental state, causation and any legally relevant circumstances. The example shows why criminal liability is ingredient-based rather than outcome-based.</w:t>
      </w:r>
    </w:p>
    <w:p>
      <w:pPr>
        <w:pStyle w:val="Heading3"/>
        <w:widowControl w:val="1"/>
      </w:pPr>
      <w:r>
        <w:t>Key Comparison</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437"/>
            <w:shd w:fill="D9E5F0"/>
            <w:vAlign w:val="center"/>
            <w:tcMar>
              <w:top w:w="90" w:type="dxa"/>
              <w:start w:w="100" w:type="dxa"/>
              <w:bottom w:w="90" w:type="dxa"/>
              <w:end w:w="100" w:type="dxa"/>
            </w:tcMar>
          </w:tcPr>
          <w:p>
            <w:pPr>
              <w:jc w:val="center"/>
            </w:pPr>
            <w:r>
              <w:rPr>
                <w:b/>
                <w:sz w:val="19"/>
              </w:rPr>
              <w:t>Feature</w:t>
            </w:r>
          </w:p>
        </w:tc>
        <w:tc>
          <w:tcPr>
            <w:tcW w:type="dxa" w:w="2437"/>
            <w:shd w:fill="D9E5F0"/>
            <w:vAlign w:val="center"/>
            <w:tcMar>
              <w:top w:w="90" w:type="dxa"/>
              <w:start w:w="100" w:type="dxa"/>
              <w:bottom w:w="90" w:type="dxa"/>
              <w:end w:w="100" w:type="dxa"/>
            </w:tcMar>
          </w:tcPr>
          <w:p>
            <w:pPr>
              <w:jc w:val="center"/>
            </w:pPr>
            <w:r>
              <w:rPr>
                <w:b/>
                <w:sz w:val="19"/>
              </w:rPr>
              <w:t>Crime</w:t>
            </w:r>
          </w:p>
        </w:tc>
        <w:tc>
          <w:tcPr>
            <w:tcW w:type="dxa" w:w="2437"/>
            <w:shd w:fill="D9E5F0"/>
            <w:vAlign w:val="center"/>
            <w:tcMar>
              <w:top w:w="90" w:type="dxa"/>
              <w:start w:w="100" w:type="dxa"/>
              <w:bottom w:w="90" w:type="dxa"/>
              <w:end w:w="100" w:type="dxa"/>
            </w:tcMar>
          </w:tcPr>
          <w:p>
            <w:pPr>
              <w:jc w:val="center"/>
            </w:pPr>
            <w:r>
              <w:rPr>
                <w:b/>
                <w:sz w:val="19"/>
              </w:rPr>
              <w:t>Tort</w:t>
            </w:r>
          </w:p>
        </w:tc>
        <w:tc>
          <w:tcPr>
            <w:tcW w:type="dxa" w:w="2437"/>
            <w:shd w:fill="D9E5F0"/>
            <w:vAlign w:val="center"/>
            <w:tcMar>
              <w:top w:w="90" w:type="dxa"/>
              <w:start w:w="100" w:type="dxa"/>
              <w:bottom w:w="90" w:type="dxa"/>
              <w:end w:w="100" w:type="dxa"/>
            </w:tcMar>
          </w:tcPr>
          <w:p>
            <w:pPr>
              <w:jc w:val="center"/>
            </w:pPr>
            <w:r>
              <w:rPr>
                <w:b/>
                <w:sz w:val="19"/>
              </w:rPr>
              <w:t>Breach of contract</w:t>
            </w:r>
          </w:p>
        </w:tc>
      </w:tr>
      <w:tr>
        <w:tc>
          <w:tcPr>
            <w:tcW w:type="dxa" w:w="2437"/>
            <w:vAlign w:val="top"/>
            <w:tcMar>
              <w:top w:w="90" w:type="dxa"/>
              <w:start w:w="100" w:type="dxa"/>
              <w:bottom w:w="90" w:type="dxa"/>
              <w:end w:w="100" w:type="dxa"/>
            </w:tcMar>
          </w:tcPr>
          <w:p>
            <w:pPr>
              <w:spacing w:after="0"/>
            </w:pPr>
            <w:r>
              <w:rPr>
                <w:sz w:val="18"/>
              </w:rPr>
              <w:t>Nature</w:t>
            </w:r>
          </w:p>
        </w:tc>
        <w:tc>
          <w:tcPr>
            <w:tcW w:type="dxa" w:w="2437"/>
            <w:vAlign w:val="top"/>
            <w:tcMar>
              <w:top w:w="90" w:type="dxa"/>
              <w:start w:w="100" w:type="dxa"/>
              <w:bottom w:w="90" w:type="dxa"/>
              <w:end w:w="100" w:type="dxa"/>
            </w:tcMar>
          </w:tcPr>
          <w:p>
            <w:pPr>
              <w:spacing w:after="0"/>
            </w:pPr>
            <w:r>
              <w:rPr>
                <w:sz w:val="18"/>
              </w:rPr>
              <w:t>Public wrong defined by criminal law</w:t>
            </w:r>
          </w:p>
        </w:tc>
        <w:tc>
          <w:tcPr>
            <w:tcW w:type="dxa" w:w="2437"/>
            <w:vAlign w:val="top"/>
            <w:tcMar>
              <w:top w:w="90" w:type="dxa"/>
              <w:start w:w="100" w:type="dxa"/>
              <w:bottom w:w="90" w:type="dxa"/>
              <w:end w:w="100" w:type="dxa"/>
            </w:tcMar>
          </w:tcPr>
          <w:p>
            <w:pPr>
              <w:spacing w:after="0"/>
            </w:pPr>
            <w:r>
              <w:rPr>
                <w:sz w:val="18"/>
              </w:rPr>
              <w:t>Civil wrong causing legally recognized injury</w:t>
            </w:r>
          </w:p>
        </w:tc>
        <w:tc>
          <w:tcPr>
            <w:tcW w:type="dxa" w:w="2437"/>
            <w:vAlign w:val="top"/>
            <w:tcMar>
              <w:top w:w="90" w:type="dxa"/>
              <w:start w:w="100" w:type="dxa"/>
              <w:bottom w:w="90" w:type="dxa"/>
              <w:end w:w="100" w:type="dxa"/>
            </w:tcMar>
          </w:tcPr>
          <w:p>
            <w:pPr>
              <w:spacing w:after="0"/>
            </w:pPr>
            <w:r>
              <w:rPr>
                <w:sz w:val="18"/>
              </w:rPr>
              <w:t>Failure to perform a contractual obligation</w:t>
            </w:r>
          </w:p>
        </w:tc>
      </w:tr>
      <w:tr>
        <w:tc>
          <w:tcPr>
            <w:tcW w:type="dxa" w:w="2437"/>
            <w:vAlign w:val="top"/>
            <w:tcMar>
              <w:top w:w="90" w:type="dxa"/>
              <w:start w:w="100" w:type="dxa"/>
              <w:bottom w:w="90" w:type="dxa"/>
              <w:end w:w="100" w:type="dxa"/>
            </w:tcMar>
          </w:tcPr>
          <w:p>
            <w:pPr>
              <w:spacing w:after="0"/>
            </w:pPr>
            <w:r>
              <w:rPr>
                <w:sz w:val="18"/>
              </w:rPr>
              <w:t>Primary proceeding</w:t>
            </w:r>
          </w:p>
        </w:tc>
        <w:tc>
          <w:tcPr>
            <w:tcW w:type="dxa" w:w="2437"/>
            <w:vAlign w:val="top"/>
            <w:tcMar>
              <w:top w:w="90" w:type="dxa"/>
              <w:start w:w="100" w:type="dxa"/>
              <w:bottom w:w="90" w:type="dxa"/>
              <w:end w:w="100" w:type="dxa"/>
            </w:tcMar>
          </w:tcPr>
          <w:p>
            <w:pPr>
              <w:spacing w:after="0"/>
            </w:pPr>
            <w:r>
              <w:rPr>
                <w:sz w:val="18"/>
              </w:rPr>
              <w:t>State prosecution</w:t>
            </w:r>
          </w:p>
        </w:tc>
        <w:tc>
          <w:tcPr>
            <w:tcW w:type="dxa" w:w="2437"/>
            <w:vAlign w:val="top"/>
            <w:tcMar>
              <w:top w:w="90" w:type="dxa"/>
              <w:start w:w="100" w:type="dxa"/>
              <w:bottom w:w="90" w:type="dxa"/>
              <w:end w:w="100" w:type="dxa"/>
            </w:tcMar>
          </w:tcPr>
          <w:p>
            <w:pPr>
              <w:spacing w:after="0"/>
            </w:pPr>
            <w:r>
              <w:rPr>
                <w:sz w:val="18"/>
              </w:rPr>
              <w:t>Civil claim by injured party</w:t>
            </w:r>
          </w:p>
        </w:tc>
        <w:tc>
          <w:tcPr>
            <w:tcW w:type="dxa" w:w="2437"/>
            <w:vAlign w:val="top"/>
            <w:tcMar>
              <w:top w:w="90" w:type="dxa"/>
              <w:start w:w="100" w:type="dxa"/>
              <w:bottom w:w="90" w:type="dxa"/>
              <w:end w:w="100" w:type="dxa"/>
            </w:tcMar>
          </w:tcPr>
          <w:p>
            <w:pPr>
              <w:spacing w:after="0"/>
            </w:pPr>
            <w:r>
              <w:rPr>
                <w:sz w:val="18"/>
              </w:rPr>
              <w:t>Civil claim by contracting party</w:t>
            </w:r>
          </w:p>
        </w:tc>
      </w:tr>
      <w:tr>
        <w:tc>
          <w:tcPr>
            <w:tcW w:type="dxa" w:w="2437"/>
            <w:vAlign w:val="top"/>
            <w:tcMar>
              <w:top w:w="90" w:type="dxa"/>
              <w:start w:w="100" w:type="dxa"/>
              <w:bottom w:w="90" w:type="dxa"/>
              <w:end w:w="100" w:type="dxa"/>
            </w:tcMar>
          </w:tcPr>
          <w:p>
            <w:pPr>
              <w:spacing w:after="0"/>
            </w:pPr>
            <w:r>
              <w:rPr>
                <w:sz w:val="18"/>
              </w:rPr>
              <w:t>Typical result</w:t>
            </w:r>
          </w:p>
        </w:tc>
        <w:tc>
          <w:tcPr>
            <w:tcW w:type="dxa" w:w="2437"/>
            <w:vAlign w:val="top"/>
            <w:tcMar>
              <w:top w:w="90" w:type="dxa"/>
              <w:start w:w="100" w:type="dxa"/>
              <w:bottom w:w="90" w:type="dxa"/>
              <w:end w:w="100" w:type="dxa"/>
            </w:tcMar>
          </w:tcPr>
          <w:p>
            <w:pPr>
              <w:spacing w:after="0"/>
            </w:pPr>
            <w:r>
              <w:rPr>
                <w:sz w:val="18"/>
              </w:rPr>
              <w:t>Punishment or other criminal consequence</w:t>
            </w:r>
          </w:p>
        </w:tc>
        <w:tc>
          <w:tcPr>
            <w:tcW w:type="dxa" w:w="2437"/>
            <w:vAlign w:val="top"/>
            <w:tcMar>
              <w:top w:w="90" w:type="dxa"/>
              <w:start w:w="100" w:type="dxa"/>
              <w:bottom w:w="90" w:type="dxa"/>
              <w:end w:w="100" w:type="dxa"/>
            </w:tcMar>
          </w:tcPr>
          <w:p>
            <w:pPr>
              <w:spacing w:after="0"/>
            </w:pPr>
            <w:r>
              <w:rPr>
                <w:sz w:val="18"/>
              </w:rPr>
              <w:t>Compensation or other civil remedy</w:t>
            </w:r>
          </w:p>
        </w:tc>
        <w:tc>
          <w:tcPr>
            <w:tcW w:type="dxa" w:w="2437"/>
            <w:vAlign w:val="top"/>
            <w:tcMar>
              <w:top w:w="90" w:type="dxa"/>
              <w:start w:w="100" w:type="dxa"/>
              <w:bottom w:w="90" w:type="dxa"/>
              <w:end w:w="100" w:type="dxa"/>
            </w:tcMar>
          </w:tcPr>
          <w:p>
            <w:pPr>
              <w:spacing w:after="0"/>
            </w:pPr>
            <w:r>
              <w:rPr>
                <w:sz w:val="18"/>
              </w:rPr>
              <w:t>Damages, specific relief or other contractual remedy</w:t>
            </w:r>
          </w:p>
        </w:tc>
      </w:tr>
    </w:tbl>
    <w:p>
      <w:pPr>
        <w:widowControl w:val="1"/>
      </w:pPr>
    </w:p>
    <w:p>
      <w:pPr>
        <w:pStyle w:val="Heading3"/>
        <w:widowControl w:val="1"/>
      </w:pPr>
      <w:r>
        <w:t>Core Concepts Explained</w:t>
      </w:r>
    </w:p>
    <w:p>
      <w:pPr>
        <w:pStyle w:val="TeachingBullet"/>
        <w:widowControl w:val="1"/>
      </w:pPr>
      <w:r>
        <w:rPr>
          <w:b/>
        </w:rPr>
        <w:t>Begin with the legal idea:</w:t>
      </w:r>
      <w:r>
        <w:t xml:space="preserve"> an act becomes a crime because a valid law prohibits it and attaches a criminal consequence. Moral dislike by itself does not create a criminal offence.</w:t>
      </w:r>
    </w:p>
    <w:p>
      <w:pPr>
        <w:pStyle w:val="TeachingBullet"/>
        <w:widowControl w:val="1"/>
      </w:pPr>
      <w:r>
        <w:t>Separate the external part of an offence from the mental part. The external part may be an act, an omission where law imposes a duty, a result, and a causal link. The mental part may involve intention, knowledge, recklessness or negligence depending on the offence.</w:t>
      </w:r>
    </w:p>
    <w:p>
      <w:pPr>
        <w:pStyle w:val="TeachingBullet"/>
        <w:widowControl w:val="1"/>
      </w:pPr>
      <w:r>
        <w:t>Always ask whether a defence or general exception applies. A person may perform the physical act but still escape liability if the law recognizes a valid justification or excuse.</w:t>
      </w:r>
    </w:p>
    <w:p>
      <w:pPr>
        <w:pStyle w:val="TeachingBullet"/>
        <w:widowControl w:val="1"/>
      </w:pPr>
      <w:r>
        <w:t>For comparison questions, explain the nature of the wrong and the usual remedy: crime concerns public wrong and punishment; tort usually concerns civil injury and compensation; breach of contract concerns failure of a voluntarily assumed legal obligation.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that every immoral act is a crime or that every crime requires the same mental element. The exact ingredients depend on the offence.</w:t>
            </w:r>
          </w:p>
        </w:tc>
      </w:tr>
    </w:tbl>
    <w:p>
      <w:pPr>
        <w:pStyle w:val="Heading3"/>
        <w:widowControl w:val="1"/>
      </w:pPr>
      <w:r>
        <w:t>Preparation and Answer Use</w:t>
      </w:r>
    </w:p>
    <w:p>
      <w:pPr>
        <w:pStyle w:val="TeachingBullet"/>
        <w:widowControl w:val="1"/>
      </w:pPr>
      <w:r>
        <w:t>Learn a short legal definition of crime.</w:t>
      </w:r>
    </w:p>
    <w:p>
      <w:pPr>
        <w:pStyle w:val="TeachingBullet"/>
        <w:widowControl w:val="1"/>
      </w:pPr>
      <w:r>
        <w:t>Understand act/omission, intention or knowledge, causation and punishment at a basic level.</w:t>
      </w:r>
    </w:p>
    <w:p>
      <w:pPr>
        <w:pStyle w:val="TeachingBullet"/>
        <w:widowControl w:val="1"/>
      </w:pPr>
      <w:r>
        <w:rPr>
          <w:b/>
        </w:rPr>
        <w:t>Prepare distinctions:</w:t>
      </w:r>
      <w:r>
        <w:t xml:space="preserve"> crime vs tort, crime vs sin, crime vs breach of contract.</w:t>
      </w:r>
    </w:p>
    <w:p>
      <w:pPr>
        <w:pStyle w:val="SourceNote"/>
        <w:widowControl w:val="1"/>
      </w:pPr>
      <w:r>
        <w:t>In a definition question, begin with meaning, then elements, then distinctions, then one simple example.</w:t>
      </w:r>
    </w:p>
    <w:p>
      <w:pPr>
        <w:pStyle w:val="Heading3"/>
        <w:widowControl w:val="1"/>
      </w:pPr>
      <w:r>
        <w:t>Key Takeaways</w:t>
      </w:r>
    </w:p>
    <w:p>
      <w:pPr>
        <w:pStyle w:val="TakeawayBullet"/>
        <w:widowControl w:val="1"/>
      </w:pPr>
      <w:r>
        <w:t>Crime is defined by law, not merely by social dislike.</w:t>
      </w:r>
    </w:p>
    <w:p>
      <w:pPr>
        <w:pStyle w:val="TakeawayBullet"/>
        <w:widowControl w:val="1"/>
      </w:pPr>
      <w:r>
        <w:t>The state prosecutes criminal offences.</w:t>
      </w:r>
    </w:p>
    <w:p>
      <w:pPr>
        <w:pStyle w:val="TakeawayBullet"/>
        <w:widowControl w:val="1"/>
      </w:pPr>
      <w:r>
        <w:t>Many offences require both conduct and a specified mental state.</w:t>
      </w:r>
    </w:p>
    <w:p>
      <w:pPr>
        <w:pStyle w:val="TakeawayBullet"/>
        <w:widowControl w:val="1"/>
      </w:pPr>
      <w:r>
        <w:t>Defences can remove or reduce criminal liability.</w:t>
      </w:r>
    </w:p>
    <w:p>
      <w:pPr>
        <w:spacing w:after="20"/>
        <w:pBdr>
          <w:bottom w:val="single" w:sz="4" w:space="1" w:color="D9E2F3"/>
        </w:pBdr>
        <w:widowControl w:val="1"/>
      </w:pPr>
    </w:p>
    <w:p>
      <w:pPr>
        <w:pStyle w:val="Heading2"/>
        <w:widowControl w:val="1"/>
      </w:pPr>
      <w:r>
        <w:t>2. Arbitration</w:t>
      </w:r>
    </w:p>
    <w:p>
      <w:pPr>
        <w:pStyle w:val="Heading3"/>
        <w:widowControl w:val="1"/>
      </w:pPr>
      <w:r>
        <w:t>Official Syllabus Focus</w:t>
      </w:r>
    </w:p>
    <w:p>
      <w:pPr>
        <w:pStyle w:val="FocusBullet"/>
        <w:widowControl w:val="1"/>
      </w:pPr>
      <w:r>
        <w:t>Concept of arbitration</w:t>
      </w:r>
    </w:p>
    <w:p>
      <w:pPr>
        <w:pStyle w:val="FocusBullet"/>
        <w:widowControl w:val="1"/>
      </w:pPr>
      <w:r>
        <w:t>Arbitration with or without intervention of court</w:t>
      </w:r>
    </w:p>
    <w:p>
      <w:pPr>
        <w:pStyle w:val="FocusBullet"/>
        <w:widowControl w:val="1"/>
      </w:pPr>
      <w:r>
        <w:t>Arbitration in civil suits</w:t>
      </w:r>
    </w:p>
    <w:p>
      <w:pPr>
        <w:pStyle w:val="Heading3"/>
        <w:widowControl w:val="1"/>
      </w:pPr>
      <w:r>
        <w:t>Introduction and Scope</w:t>
      </w:r>
    </w:p>
    <w:p>
      <w:pPr>
        <w:pStyle w:val="TopicIntro"/>
        <w:widowControl w:val="1"/>
      </w:pPr>
      <w:r>
        <w:t>Arbitration is a method of resolving a dispute outside ordinary court adjudication by referring it to an agreed neutral decision-maker called an arbitrator.</w:t>
      </w:r>
    </w:p>
    <w:p>
      <w:pPr>
        <w:pStyle w:val="TopicIntro"/>
        <w:widowControl w:val="1"/>
      </w:pPr>
      <w:r>
        <w:t>Study the arbitration agreement, appointment of arbitrator, reference of dispute, award, and the limited situations in which a court becomes involved. The key idea is party choice: parties agree to submit a dispute to arbitration, while courts may support or supervise the process according to law.</w:t>
      </w:r>
    </w:p>
    <w:p>
      <w:pPr>
        <w:pStyle w:val="Heading3"/>
        <w:widowControl w:val="1"/>
      </w:pPr>
      <w:r>
        <w:t>Foundational explanation</w:t>
      </w:r>
    </w:p>
    <w:p>
      <w:pPr>
        <w:widowControl w:val="1"/>
      </w:pPr>
      <w:r>
        <w:t>Arbitration is consensual adjudication. The parties agree that an identified dispute, or disputes of a defined class, will be decided by an arbitrator or arbitral tribunal rather than by an ordinary court as the primary decision-maker. The arbitration agreement is therefore the source of arbitral authority, while the award is the tribunal’s determination of the dispute.</w:t>
      </w:r>
    </w:p>
    <w:p>
      <w:pPr>
        <w:widowControl w:val="1"/>
      </w:pPr>
      <w:r>
        <w:t>In Pakistan, the traditional domestic statutory framework remains associated with the Arbitration Act, 1940. A student should distinguish domestic arbitration under that framework from international commercial arbitration and from the recognition and enforcement of foreign arbitral awards, which may involve separate legislation and treaty obligations.</w:t>
      </w:r>
    </w:p>
    <w:p>
      <w:pPr>
        <w:pStyle w:val="Heading3"/>
        <w:widowControl w:val="1"/>
      </w:pPr>
      <w:r>
        <w:t>Life-cycle of an arbitration</w:t>
      </w:r>
    </w:p>
    <w:p>
      <w:pPr>
        <w:widowControl w:val="1"/>
      </w:pPr>
      <w:r>
        <w:t>The process can be learned as a sequence: a valid arbitration agreement exists; a dispute falls within its scope; the tribunal is constituted; jurisdictional or procedural objections are addressed; each side presents its case and evidence; the tribunal renders an award; and the award may then be recognized, enforced, remitted or challenged only within the legal framework governing the arbitration.</w:t>
      </w:r>
    </w:p>
    <w:p>
      <w:pPr>
        <w:widowControl w:val="1"/>
      </w:pPr>
      <w:r>
        <w:t>Party autonomy is important, but it is not unlimited. Mandatory law may determine whether a dispute is arbitrable, whether minimum procedural fairness was observed, and on what grounds a court may intervene.</w:t>
      </w:r>
    </w:p>
    <w:p>
      <w:pPr>
        <w:pStyle w:val="Heading3"/>
        <w:widowControl w:val="1"/>
      </w:pPr>
      <w:r>
        <w:t>Role of courts</w:t>
      </w:r>
    </w:p>
    <w:p>
      <w:pPr>
        <w:widowControl w:val="1"/>
      </w:pPr>
      <w:r>
        <w:t>Court support and court supervision should be kept conceptually separate. A court may support arbitration by staying parallel litigation, assisting with appointment in circumstances specified by law, preserving the process, or enforcing the award. Supervision concerns the limited grounds on which an award or arbitral process may be reviewed. The central principle is that a court does not ordinarily rehear the entire merits merely because one party dislikes the result.</w:t>
      </w:r>
    </w:p>
    <w:p>
      <w:pPr>
        <w:widowControl w:val="1"/>
      </w:pPr>
      <w:r>
        <w:t>This explains why the phrase 'alternative dispute resolution' should not be taken to mean 'law-free dispute resolution'. Arbitration operates within a legal framework that gives effect to the parties’ agreement and protects minimum procedural standards.</w:t>
      </w:r>
    </w:p>
    <w:p>
      <w:pPr>
        <w:pStyle w:val="Heading3"/>
        <w:widowControl w:val="1"/>
      </w:pPr>
      <w:r>
        <w:t>Illustrative example</w:t>
      </w:r>
    </w:p>
    <w:p>
      <w:pPr>
        <w:widowControl w:val="1"/>
      </w:pPr>
      <w:r>
        <w:t>Hypothetical illustration: two companies include an arbitration clause in a supply contract. A payment dispute later arises. If one company files an ordinary suit despite the clause, the other may invoke the arbitration agreement and seek the relief available under the applicable arbitration law. The legal question is not simply which forum is more convenient; it is whether the dispute falls within a valid arbitration agreement and what the governing statute permits the court to do.</w:t>
      </w:r>
    </w:p>
    <w:p>
      <w:pPr>
        <w:pStyle w:val="Heading3"/>
        <w:widowControl w:val="1"/>
      </w:pPr>
      <w:r>
        <w:t>Core Concepts Explained</w:t>
      </w:r>
    </w:p>
    <w:p>
      <w:pPr>
        <w:pStyle w:val="TeachingBullet"/>
        <w:widowControl w:val="1"/>
      </w:pPr>
      <w:r>
        <w:t>Think of arbitration as a private decision-making process created by the parties' agreement. The agreement is the legal foundation of the arbitrator's authority.</w:t>
      </w:r>
    </w:p>
    <w:p>
      <w:pPr>
        <w:pStyle w:val="TeachingBullet"/>
        <w:widowControl w:val="1"/>
      </w:pPr>
      <w:r>
        <w:rPr>
          <w:b/>
        </w:rPr>
        <w:t>The normal sequence is:</w:t>
      </w:r>
      <w:r>
        <w:t xml:space="preserve"> valid arbitration agreement, dispute arises, arbitrator is appointed, parties present their case, the arbitrator gives an award, and the award may then require recognition or enforcement through the legal system.</w:t>
      </w:r>
    </w:p>
    <w:p>
      <w:pPr>
        <w:pStyle w:val="TeachingBullet"/>
        <w:widowControl w:val="1"/>
      </w:pPr>
      <w:r>
        <w:t>Court involvement does not convert arbitration into an ordinary civil suit. Courts generally perform supporting or supervisory functions where the law allows, such as appointment-related assistance, stay of proceedings, or review of an award on limited grounds.</w:t>
      </w:r>
    </w:p>
    <w:p>
      <w:pPr>
        <w:pStyle w:val="TeachingBullet"/>
        <w:widowControl w:val="1"/>
      </w:pPr>
      <w:r>
        <w:t>In an exam, distinguish the arbitration agreement from the award: the agreement sends disputes to arbitration; the award is the final decision of the arbitrator on the dispute.</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describe arbitration as completely independent of courts. It is private adjudication, but legislation defines the circumstances in which courts may assist or supervise.</w:t>
            </w:r>
          </w:p>
        </w:tc>
      </w:tr>
    </w:tbl>
    <w:p>
      <w:pPr>
        <w:pStyle w:val="Heading3"/>
        <w:widowControl w:val="1"/>
      </w:pPr>
      <w:r>
        <w:t>Preparation and Answer Use</w:t>
      </w:r>
    </w:p>
    <w:p>
      <w:pPr>
        <w:pStyle w:val="TeachingBullet"/>
        <w:widowControl w:val="1"/>
      </w:pPr>
      <w:r>
        <w:rPr>
          <w:b/>
        </w:rPr>
        <w:t>Draw a flow:</w:t>
      </w:r>
      <w:r>
        <w:t xml:space="preserve"> agreement → reference → proceedings → award → court enforcement/challenge.</w:t>
      </w:r>
    </w:p>
    <w:p>
      <w:pPr>
        <w:pStyle w:val="TeachingBullet"/>
        <w:widowControl w:val="1"/>
      </w:pPr>
      <w:r>
        <w:t>Prepare the difference between arbitration with court intervention and arbitration without initial court intervention.</w:t>
      </w:r>
    </w:p>
    <w:p>
      <w:pPr>
        <w:pStyle w:val="TeachingBullet"/>
        <w:widowControl w:val="1"/>
      </w:pPr>
      <w:r>
        <w:t>Read the relevant Arbitration Act provisions together with illustrations or decided examples.</w:t>
      </w:r>
    </w:p>
    <w:p>
      <w:pPr>
        <w:pStyle w:val="SourceNote"/>
        <w:widowControl w:val="1"/>
      </w:pPr>
      <w:r>
        <w:t>Answer through a process diagram and clearly separate the role of the arbitrator from the role of the court.</w:t>
      </w:r>
    </w:p>
    <w:p>
      <w:pPr>
        <w:pStyle w:val="Heading3"/>
        <w:widowControl w:val="1"/>
      </w:pPr>
      <w:r>
        <w:t>Key Takeaways</w:t>
      </w:r>
    </w:p>
    <w:p>
      <w:pPr>
        <w:pStyle w:val="TakeawayBullet"/>
        <w:widowControl w:val="1"/>
      </w:pPr>
      <w:r>
        <w:t>Arbitration is based on agreement.</w:t>
      </w:r>
    </w:p>
    <w:p>
      <w:pPr>
        <w:pStyle w:val="TakeawayBullet"/>
        <w:widowControl w:val="1"/>
      </w:pPr>
      <w:r>
        <w:t>The arbitrator decides the dispute and gives an award.</w:t>
      </w:r>
    </w:p>
    <w:p>
      <w:pPr>
        <w:pStyle w:val="TakeawayBullet"/>
        <w:widowControl w:val="1"/>
      </w:pPr>
      <w:r>
        <w:t>Courts may assist in appointment, stay proceedings, remit/modify/set aside where law permits, and enforce an award.</w:t>
      </w:r>
    </w:p>
    <w:p>
      <w:pPr>
        <w:pStyle w:val="TakeawayBullet"/>
        <w:widowControl w:val="1"/>
      </w:pPr>
      <w:r>
        <w:t>Arbitration aims at a comparatively flexible dispute-resolution process.</w:t>
      </w:r>
    </w:p>
    <w:p>
      <w:pPr>
        <w:spacing w:after="20"/>
        <w:pBdr>
          <w:bottom w:val="single" w:sz="4" w:space="1" w:color="D9E2F3"/>
        </w:pBdr>
        <w:widowControl w:val="1"/>
      </w:pPr>
    </w:p>
    <w:p>
      <w:pPr>
        <w:pStyle w:val="Heading2"/>
        <w:widowControl w:val="1"/>
      </w:pPr>
      <w:r>
        <w:t>3. Establishment and Jurisdiction of Civil Courts</w:t>
      </w:r>
    </w:p>
    <w:p>
      <w:pPr>
        <w:pStyle w:val="Heading3"/>
        <w:widowControl w:val="1"/>
      </w:pPr>
      <w:r>
        <w:t>Official Syllabus Focus</w:t>
      </w:r>
    </w:p>
    <w:p>
      <w:pPr>
        <w:pStyle w:val="FocusBullet"/>
        <w:widowControl w:val="1"/>
      </w:pPr>
      <w:r>
        <w:t>Establishment of Civil Courts</w:t>
      </w:r>
    </w:p>
    <w:p>
      <w:pPr>
        <w:pStyle w:val="FocusBullet"/>
        <w:widowControl w:val="1"/>
      </w:pPr>
      <w:r>
        <w:t>Original jurisdiction</w:t>
      </w:r>
    </w:p>
    <w:p>
      <w:pPr>
        <w:pStyle w:val="FocusBullet"/>
        <w:widowControl w:val="1"/>
      </w:pPr>
      <w:r>
        <w:t>Appellate jurisdiction</w:t>
      </w:r>
    </w:p>
    <w:p>
      <w:pPr>
        <w:pStyle w:val="Heading3"/>
        <w:widowControl w:val="1"/>
      </w:pPr>
      <w:r>
        <w:t>Introduction and Scope</w:t>
      </w:r>
    </w:p>
    <w:p>
      <w:pPr>
        <w:pStyle w:val="TopicIntro"/>
        <w:widowControl w:val="1"/>
      </w:pPr>
      <w:r>
        <w:t>Civil courts decide private-law disputes such as property, contracts, declarations, injunctions and other civil rights, subject to statutory jurisdiction.</w:t>
      </w:r>
    </w:p>
    <w:p>
      <w:pPr>
        <w:pStyle w:val="TopicIntro"/>
        <w:widowControl w:val="1"/>
      </w:pPr>
      <w:r>
        <w:t>The topic is about the hierarchy of civil courts and the difference between a court hearing a matter first and a court reviewing a lower court decision. Jurisdiction may depend on subject matter, territory, pecuniary limits and statutory allocation.</w:t>
      </w:r>
    </w:p>
    <w:p>
      <w:pPr>
        <w:pStyle w:val="Heading3"/>
        <w:widowControl w:val="1"/>
      </w:pPr>
      <w:r>
        <w:t>Foundational explanation</w:t>
      </w:r>
    </w:p>
    <w:p>
      <w:pPr>
        <w:widowControl w:val="1"/>
      </w:pPr>
      <w:r>
        <w:t>A civil court cannot decide a dispute merely because the parties prefer that forum. It must possess jurisdiction conferred by law. Jurisdiction answers whether a court has legal competence over the type of controversy, the geographical connection, the monetary value where pecuniary limits apply, and the level of adjudication at which the matter is brought.</w:t>
      </w:r>
    </w:p>
    <w:p>
      <w:pPr>
        <w:widowControl w:val="1"/>
      </w:pPr>
      <w:r>
        <w:t>The hierarchy of civil courts is therefore only one part of the topic. The more fundamental question is allocation of judicial authority. A special statute may create a specialized tribunal or exclusive forum and thereby alter the normal route through the ordinary civil courts.</w:t>
      </w:r>
    </w:p>
    <w:p>
      <w:pPr>
        <w:pStyle w:val="Heading3"/>
        <w:widowControl w:val="1"/>
      </w:pPr>
      <w:r>
        <w:t>Dimensions of jurisdiction</w:t>
      </w:r>
    </w:p>
    <w:p>
      <w:pPr>
        <w:widowControl w:val="1"/>
      </w:pPr>
      <w:r>
        <w:t>Subject-matter jurisdiction concerns the legal nature of the dispute: for example, an ordinary civil claim, a family matter, a revenue dispute or a matter assigned by statute to a special forum. Territorial jurisdiction concerns the geographical link between the dispute and the court. Pecuniary jurisdiction concerns monetary thresholds where the relevant law uses them. Personal jurisdiction concerns legal authority over the parties where that question is relevant.</w:t>
      </w:r>
    </w:p>
    <w:p>
      <w:pPr>
        <w:widowControl w:val="1"/>
      </w:pPr>
      <w:r>
        <w:t>Original jurisdiction means that the court is the first judicial forum to determine the case. Appellate jurisdiction exists only where the law creates a right of appeal and specifies the appellate forum. Revision, review and constitutional supervisory jurisdiction are different remedies and should not be described as if they were ordinary appeals.</w:t>
      </w:r>
    </w:p>
    <w:p>
      <w:pPr>
        <w:pStyle w:val="Heading3"/>
        <w:widowControl w:val="1"/>
      </w:pPr>
      <w:r>
        <w:t>Practical analytical method</w:t>
      </w:r>
    </w:p>
    <w:p>
      <w:pPr>
        <w:widowControl w:val="1"/>
      </w:pPr>
      <w:r>
        <w:t>For a jurisdiction problem, ask four questions in order: What is the legal nature of the claim? Is any statute excluding or specially assigning jurisdiction? Which territorial facts connect the dispute to a court? If pecuniary allocation applies, which court is competent by value? Only after these questions should the answer move to the hierarchy of appeal.</w:t>
      </w:r>
    </w:p>
    <w:p>
      <w:pPr>
        <w:widowControl w:val="1"/>
      </w:pPr>
      <w:r>
        <w:t>A jurisdictional objection can be decisive because a judgment delivered without the legally required competence may be vulnerable even if the judge’s reasoning on the underlying dispute appears persuasive.</w:t>
      </w:r>
    </w:p>
    <w:p>
      <w:pPr>
        <w:pStyle w:val="Heading3"/>
        <w:widowControl w:val="1"/>
      </w:pPr>
      <w:r>
        <w:t>Core Concepts Explained</w:t>
      </w:r>
    </w:p>
    <w:p>
      <w:pPr>
        <w:pStyle w:val="TeachingBullet"/>
        <w:widowControl w:val="1"/>
      </w:pPr>
      <w:r>
        <w:t>Jurisdiction means legal authority to hear and decide a matter. Before discussing court hierarchy, first identify why a particular court is legally competent to take the case.</w:t>
      </w:r>
    </w:p>
    <w:p>
      <w:pPr>
        <w:pStyle w:val="TeachingBullet"/>
        <w:widowControl w:val="1"/>
      </w:pPr>
      <w:r>
        <w:t>Original jurisdiction means the case starts before that court. Appellate jurisdiction means the court examines a decision of a lower court because the law gives a right of appeal.</w:t>
      </w:r>
    </w:p>
    <w:p>
      <w:pPr>
        <w:pStyle w:val="TeachingBullet"/>
        <w:widowControl w:val="1"/>
      </w:pPr>
      <w:r>
        <w:t>Territorial jurisdiction asks where the cause, property or parties connect with the court's area. Pecuniary jurisdiction concerns monetary limits. Subject-matter jurisdiction concerns the legal nature of the dispute.</w:t>
      </w:r>
    </w:p>
    <w:p>
      <w:pPr>
        <w:pStyle w:val="TeachingBullet"/>
        <w:widowControl w:val="1"/>
      </w:pPr>
      <w:r>
        <w:rPr>
          <w:b/>
        </w:rPr>
        <w:t>When solving a problem, ask in order:</w:t>
      </w:r>
      <w:r>
        <w:t xml:space="preserve"> Is it a civil matter? Which territorial area is connected? Is there any monetary limit? Has a special statute given the matter to a special forum?</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use “jurisdiction” as a synonym for “power” in a vague sense. In procedural law it is a legal competence that must exist before valid adjudication.</w:t>
            </w:r>
          </w:p>
        </w:tc>
      </w:tr>
    </w:tbl>
    <w:p>
      <w:pPr>
        <w:pStyle w:val="Heading3"/>
        <w:widowControl w:val="1"/>
      </w:pPr>
      <w:r>
        <w:t>Preparation and Answer Use</w:t>
      </w:r>
    </w:p>
    <w:p>
      <w:pPr>
        <w:pStyle w:val="TeachingBullet"/>
        <w:widowControl w:val="1"/>
      </w:pPr>
      <w:r>
        <w:t>Learn the meaning of jurisdiction before learning court names.</w:t>
      </w:r>
    </w:p>
    <w:p>
      <w:pPr>
        <w:pStyle w:val="TeachingBullet"/>
        <w:widowControl w:val="1"/>
      </w:pPr>
      <w:r>
        <w:t>Prepare original vs appellate jurisdiction with examples.</w:t>
      </w:r>
    </w:p>
    <w:p>
      <w:pPr>
        <w:pStyle w:val="TeachingBullet"/>
        <w:widowControl w:val="1"/>
      </w:pPr>
      <w:r>
        <w:t>Understand territorial, pecuniary and subject-matter jurisdiction.</w:t>
      </w:r>
    </w:p>
    <w:p>
      <w:pPr>
        <w:pStyle w:val="TeachingBullet"/>
        <w:widowControl w:val="1"/>
      </w:pPr>
      <w:r>
        <w:t>Use the applicable civil-courts law/bare act for exact institutional details.</w:t>
      </w:r>
    </w:p>
    <w:p>
      <w:pPr>
        <w:pStyle w:val="Heading3"/>
        <w:widowControl w:val="1"/>
      </w:pPr>
      <w:r>
        <w:t>Key Takeaways</w:t>
      </w:r>
    </w:p>
    <w:p>
      <w:pPr>
        <w:pStyle w:val="TakeawayBullet"/>
        <w:widowControl w:val="1"/>
      </w:pPr>
      <w:r>
        <w:t>Original jurisdiction = first hearing of the suit.</w:t>
      </w:r>
    </w:p>
    <w:p>
      <w:pPr>
        <w:pStyle w:val="TakeawayBullet"/>
        <w:widowControl w:val="1"/>
      </w:pPr>
      <w:r>
        <w:t>Appellate jurisdiction = review of a lower court judgment/order where appeal is provided.</w:t>
      </w:r>
    </w:p>
    <w:p>
      <w:pPr>
        <w:pStyle w:val="TakeawayBullet"/>
        <w:widowControl w:val="1"/>
      </w:pPr>
      <w:r>
        <w:t>A court must have lawful jurisdiction before deciding a case.</w:t>
      </w:r>
    </w:p>
    <w:p>
      <w:pPr>
        <w:pStyle w:val="TakeawayBullet"/>
        <w:widowControl w:val="1"/>
      </w:pPr>
      <w:r>
        <w:t>Jurisdiction can depend on territory, value and nature of dispute.</w:t>
      </w:r>
    </w:p>
    <w:p>
      <w:pPr>
        <w:spacing w:after="20"/>
        <w:pBdr>
          <w:bottom w:val="single" w:sz="4" w:space="1" w:color="D9E2F3"/>
        </w:pBdr>
        <w:widowControl w:val="1"/>
      </w:pPr>
    </w:p>
    <w:p>
      <w:pPr>
        <w:pStyle w:val="Heading2"/>
        <w:widowControl w:val="1"/>
      </w:pPr>
      <w:r>
        <w:t>4. Code of Civil Procedure, 1908 (CPC)</w:t>
      </w:r>
    </w:p>
    <w:p>
      <w:pPr>
        <w:pStyle w:val="Heading3"/>
        <w:widowControl w:val="1"/>
      </w:pPr>
      <w:r>
        <w:t>Official Syllabus Focus</w:t>
      </w:r>
    </w:p>
    <w:p>
      <w:pPr>
        <w:pStyle w:val="FocusBullet"/>
        <w:widowControl w:val="1"/>
      </w:pPr>
      <w:r>
        <w:t>All provisions of the Code of Civil Procedure, 1908</w:t>
      </w:r>
    </w:p>
    <w:p>
      <w:pPr>
        <w:pStyle w:val="Heading3"/>
        <w:widowControl w:val="1"/>
      </w:pPr>
      <w:r>
        <w:t>Introduction and Scope</w:t>
      </w:r>
    </w:p>
    <w:p>
      <w:pPr>
        <w:pStyle w:val="TopicIntro"/>
        <w:widowControl w:val="1"/>
      </w:pPr>
      <w:r>
        <w:t>The CPC is the main procedural framework for how civil litigation is instituted, conducted, decided and enforced.</w:t>
      </w:r>
    </w:p>
    <w:p>
      <w:pPr>
        <w:pStyle w:val="TopicIntro"/>
        <w:widowControl w:val="1"/>
      </w:pPr>
      <w:r>
        <w:t>Think of the CPC as the life-cycle of a civil case: parties and jurisdiction, institution of suit, pleadings, summons, appearance, issues, evidence, judgment and decree, execution, appeals/review/revision, and special procedures. The precise legal effect comes from the Code, Orders and Rules.</w:t>
      </w:r>
    </w:p>
    <w:p>
      <w:pPr>
        <w:pStyle w:val="SourceNote"/>
        <w:widowControl w:val="1"/>
      </w:pPr>
      <w:r>
        <w:t>Primary authority: Code of Civil Procedure, 1908 (current applicable text and rules).</w:t>
      </w:r>
    </w:p>
    <w:p>
      <w:pPr>
        <w:pStyle w:val="Heading3"/>
        <w:widowControl w:val="1"/>
      </w:pPr>
      <w:r>
        <w:t>Why the CPC matters</w:t>
      </w:r>
    </w:p>
    <w:p>
      <w:pPr>
        <w:widowControl w:val="1"/>
      </w:pPr>
      <w:r>
        <w:t>The CPC is the procedural architecture through which civil rights are asserted, contested, adjudicated and enforced. Substantive law may tell a person that a contractual, proprietary or other civil right exists; procedure tells the person how to bring the claim before a competent court and how the court should move from pleading to enforceable decision.</w:t>
      </w:r>
    </w:p>
    <w:p>
      <w:pPr>
        <w:widowControl w:val="1"/>
      </w:pPr>
      <w:r>
        <w:t>The most effective way to learn the Code is to connect each procedural rule to a stage of litigation. This prevents the common problem of memorizing isolated sections or Orders without understanding why they exist.</w:t>
      </w:r>
    </w:p>
    <w:p>
      <w:pPr>
        <w:pStyle w:val="Heading3"/>
        <w:widowControl w:val="1"/>
      </w:pPr>
      <w:r>
        <w:t>Civil suit as a process map</w:t>
      </w:r>
    </w:p>
    <w:p>
      <w:pPr>
        <w:widowControl w:val="1"/>
      </w:pPr>
      <w:r>
        <w:t>A typical civil-case map begins with jurisdiction and institution of suit. It then moves to identification of parties, pleadings, service of summons, appearance and preliminary objections, admission or denial, framing of issues, discovery or production of material where applicable, evidence and hearing, judgment, decree or order, and finally execution. Alongside the main route are interim remedies, commissions, withdrawal or compromise, special procedures and post-judgment remedies.</w:t>
      </w:r>
    </w:p>
    <w:p>
      <w:pPr>
        <w:widowControl w:val="1"/>
      </w:pPr>
      <w:r>
        <w:t>Pleadings and issues perform different functions. Pleadings set out the material case of each side; issues identify the propositions of fact or law that genuinely require adjudication. Evidence should then be directed to those disputed propositions rather than becoming an uncontrolled narrative.</w:t>
      </w:r>
    </w:p>
    <w:p>
      <w:pPr>
        <w:pStyle w:val="Heading3"/>
        <w:widowControl w:val="1"/>
      </w:pPr>
      <w:r>
        <w:t>Decree, judgment, order and execution</w:t>
      </w:r>
    </w:p>
    <w:p>
      <w:pPr>
        <w:widowControl w:val="1"/>
      </w:pPr>
      <w:r>
        <w:t>A judgment gives the court’s reasons and determination. A decree is the formal expression of an adjudication that conclusively determines rights regarding matters in controversy in the suit to the extent defined by the Code. An order is a formal decision that is not a decree. These distinctions matter because the availability of appeal, execution or other remedies can depend on the legal character of the court’s decision.</w:t>
      </w:r>
    </w:p>
    <w:p>
      <w:pPr>
        <w:widowControl w:val="1"/>
      </w:pPr>
      <w:r>
        <w:t>Execution is the stage at which an adjudicated right is translated into practical relief. A successful litigant may still need judicial machinery to obtain possession, recover money, enforce an injunction or otherwise secure the benefit of the decree. Procedure therefore continues after the merits have been decided.</w:t>
      </w:r>
    </w:p>
    <w:p>
      <w:pPr>
        <w:pStyle w:val="Heading3"/>
        <w:widowControl w:val="1"/>
      </w:pPr>
      <w:r>
        <w:t>Corrective mechanisms</w:t>
      </w:r>
    </w:p>
    <w:p>
      <w:pPr>
        <w:widowControl w:val="1"/>
      </w:pPr>
      <w:r>
        <w:t>Appeal, review and revision should be learned separately. An appeal exists because legislation confers it and ordinarily allows a higher forum to reconsider the decision within the scope of the appeal. Review is a limited reconsideration by the same court under legally defined grounds. Revision is supervisory and addresses jurisdictional or procedural error within the statutory limits of revisional power. None of these concepts should be used interchangeably.</w:t>
      </w:r>
    </w:p>
    <w:p>
      <w:pPr>
        <w:widowControl w:val="1"/>
      </w:pPr>
      <w:r>
        <w:t>Two additional distinctions frequently cause confusion. Res sub judice concerns the effect of an already pending suit involving the legally required identity of issues and parties; res judicata concerns the finality of a matter already adjudicated. Set-off and counterclaim both permit defensive or responsive claims in a suit, but their legal requirements and procedural operation differ.</w:t>
      </w:r>
    </w:p>
    <w:p>
      <w:pPr>
        <w:pStyle w:val="Heading3"/>
        <w:widowControl w:val="1"/>
      </w:pPr>
      <w:r>
        <w:t>Concept Flow</w:t>
      </w:r>
    </w:p>
    <w:p>
      <w:pPr>
        <w:pStyle w:val="Flow"/>
        <w:widowControl w:val="1"/>
      </w:pPr>
      <w:r>
        <w:rPr>
          <w:b/>
        </w:rPr>
        <w:t>Jurisdiction &amp; suit</w:t>
      </w:r>
      <w:r>
        <w:t xml:space="preserve">  →  </w:t>
      </w:r>
      <w:r>
        <w:rPr>
          <w:b w:val="0"/>
        </w:rPr>
        <w:t>Pleadings</w:t>
      </w:r>
      <w:r>
        <w:t xml:space="preserve">  →  </w:t>
      </w:r>
      <w:r>
        <w:rPr>
          <w:b/>
        </w:rPr>
        <w:t>Service &amp; appearance</w:t>
      </w:r>
      <w:r>
        <w:t xml:space="preserve">  →  </w:t>
      </w:r>
      <w:r>
        <w:rPr>
          <w:b w:val="0"/>
        </w:rPr>
        <w:t>Issues</w:t>
      </w:r>
      <w:r>
        <w:t xml:space="preserve">  →  </w:t>
      </w:r>
      <w:r>
        <w:rPr>
          <w:b/>
        </w:rPr>
        <w:t>Evidence &amp; hearing</w:t>
      </w:r>
      <w:r>
        <w:t xml:space="preserve">  →  </w:t>
      </w:r>
      <w:r>
        <w:rPr>
          <w:b w:val="0"/>
        </w:rPr>
        <w:t>Judgment/decree</w:t>
      </w:r>
      <w:r>
        <w:t xml:space="preserve">  →  </w:t>
      </w:r>
      <w:r>
        <w:rPr>
          <w:b/>
        </w:rPr>
        <w:t>Execution</w:t>
      </w:r>
      <w:r>
        <w:t xml:space="preserve">  →  </w:t>
      </w:r>
      <w:r>
        <w:rPr>
          <w:b w:val="0"/>
        </w:rPr>
        <w:t>Appeal/review/revision</w:t>
      </w:r>
    </w:p>
    <w:p>
      <w:pPr>
        <w:pStyle w:val="Heading3"/>
        <w:widowControl w:val="1"/>
      </w:pPr>
      <w:r>
        <w:t>Core Concepts Explained</w:t>
      </w:r>
    </w:p>
    <w:p>
      <w:pPr>
        <w:pStyle w:val="TeachingBullet"/>
        <w:widowControl w:val="1"/>
      </w:pPr>
      <w:r>
        <w:t>Understand the CPC as the route map of a civil case. A civil right may exist under substantive law, but the CPC provides the machinery for bringing that right before a court and obtaining an enforceable decision.</w:t>
      </w:r>
    </w:p>
    <w:p>
      <w:pPr>
        <w:pStyle w:val="TeachingBullet"/>
        <w:widowControl w:val="1"/>
      </w:pPr>
      <w:r>
        <w:t>The life-cycle is easier than section-by-section memorization: jurisdiction and institution of suit; pleadings; service and appearance; framing of issues; evidence and hearing; judgment, decree or order; execution; and available corrective remedies.</w:t>
      </w:r>
    </w:p>
    <w:p>
      <w:pPr>
        <w:pStyle w:val="TeachingBullet"/>
        <w:widowControl w:val="1"/>
      </w:pPr>
      <w:r>
        <w:t>Pleadings tell the court what each side claims. Issues convert those competing claims into precise questions for trial. Evidence is then directed toward proving or disproving those questions.</w:t>
      </w:r>
    </w:p>
    <w:p>
      <w:pPr>
        <w:pStyle w:val="TeachingBullet"/>
        <w:widowControl w:val="1"/>
      </w:pPr>
      <w:r>
        <w:t>Execution is a separate but essential stage. Winning a decree is not always the end; the successful party may need the court's execution machinery to obtain the practical benefit of the decree.</w:t>
      </w:r>
    </w:p>
    <w:p>
      <w:pPr>
        <w:pStyle w:val="TeachingBullet"/>
        <w:widowControl w:val="1"/>
      </w:pPr>
      <w:r>
        <w:rPr>
          <w:b/>
        </w:rPr>
        <w:t>Keep the main corrective mechanisms separate:</w:t>
      </w:r>
      <w:r>
        <w:t xml:space="preserve"> an appeal is a statutory rehearing or reconsideration by a higher forum; review is reconsideration by the same court within limited grounds; revision is supervisory correction within the scope given by law.</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memorize Orders and sections without understanding where they appear in the life-cycle of a suit. Sequence is the key to this paper.</w:t>
            </w:r>
          </w:p>
        </w:tc>
      </w:tr>
    </w:tbl>
    <w:p>
      <w:pPr>
        <w:pStyle w:val="Heading3"/>
        <w:widowControl w:val="1"/>
      </w:pPr>
      <w:r>
        <w:t>Preparation and Answer Use</w:t>
      </w:r>
    </w:p>
    <w:p>
      <w:pPr>
        <w:pStyle w:val="TeachingBullet"/>
        <w:widowControl w:val="1"/>
      </w:pPr>
      <w:r>
        <w:t>Study in chronological order of a suit instead of section order.</w:t>
      </w:r>
    </w:p>
    <w:p>
      <w:pPr>
        <w:pStyle w:val="TeachingBullet"/>
        <w:widowControl w:val="1"/>
      </w:pPr>
      <w:r>
        <w:t>Prepare separate flowcharts for institution, interim relief, trial, decree, execution and appeal.</w:t>
      </w:r>
    </w:p>
    <w:p>
      <w:pPr>
        <w:pStyle w:val="TeachingBullet"/>
        <w:widowControl w:val="1"/>
      </w:pPr>
      <w:r>
        <w:rPr>
          <w:b/>
        </w:rPr>
        <w:t>Learn key distinctions:</w:t>
      </w:r>
      <w:r>
        <w:t xml:space="preserve"> judgment/decree/order; appeal/review/revision; set-off/counterclaim; res judicata/res sub judice.</w:t>
      </w:r>
    </w:p>
    <w:p>
      <w:pPr>
        <w:pStyle w:val="TeachingBullet"/>
        <w:widowControl w:val="1"/>
      </w:pPr>
      <w:r>
        <w:t>Read leading provisions from the current bare act after each concept.</w:t>
      </w:r>
    </w:p>
    <w:p>
      <w:pPr>
        <w:pStyle w:val="SourceNote"/>
        <w:widowControl w:val="1"/>
      </w:pPr>
      <w:r>
        <w:t>For a 20-mark answer, use the procedural sequence and insert exact legal provisions only where you are confident.</w:t>
      </w:r>
    </w:p>
    <w:p>
      <w:pPr>
        <w:pStyle w:val="Heading3"/>
        <w:widowControl w:val="1"/>
      </w:pPr>
      <w:r>
        <w:t>Key Takeaways</w:t>
      </w:r>
    </w:p>
    <w:p>
      <w:pPr>
        <w:pStyle w:val="TakeawayBullet"/>
        <w:widowControl w:val="1"/>
      </w:pPr>
      <w:r>
        <w:t>Civil procedure tells the court and parties how a civil right is enforced.</w:t>
      </w:r>
    </w:p>
    <w:p>
      <w:pPr>
        <w:pStyle w:val="TakeawayBullet"/>
        <w:widowControl w:val="1"/>
      </w:pPr>
      <w:r>
        <w:t>Pleadings define the controversy.</w:t>
      </w:r>
    </w:p>
    <w:p>
      <w:pPr>
        <w:pStyle w:val="TakeawayBullet"/>
        <w:widowControl w:val="1"/>
      </w:pPr>
      <w:r>
        <w:t>Issues identify disputed questions for trial.</w:t>
      </w:r>
    </w:p>
    <w:p>
      <w:pPr>
        <w:pStyle w:val="TakeawayBullet"/>
        <w:widowControl w:val="1"/>
      </w:pPr>
      <w:r>
        <w:t>A decree formally determines rights in a suit; execution enforces it.</w:t>
      </w:r>
    </w:p>
    <w:p>
      <w:pPr>
        <w:pStyle w:val="TakeawayBullet"/>
        <w:widowControl w:val="1"/>
      </w:pPr>
      <w:r>
        <w:t>Appeal is statutory; review and revision have different purposes and limits.</w:t>
      </w:r>
    </w:p>
    <w:p>
      <w:pPr>
        <w:spacing w:after="20"/>
        <w:pBdr>
          <w:bottom w:val="single" w:sz="4" w:space="1" w:color="D9E2F3"/>
        </w:pBdr>
        <w:widowControl w:val="1"/>
      </w:pPr>
    </w:p>
    <w:p>
      <w:pPr>
        <w:pStyle w:val="Heading2"/>
        <w:widowControl w:val="1"/>
      </w:pPr>
      <w:r>
        <w:t>5. Pakistan Penal Code, 1860 (PPC)</w:t>
      </w:r>
    </w:p>
    <w:p>
      <w:pPr>
        <w:pStyle w:val="Heading3"/>
        <w:widowControl w:val="1"/>
      </w:pPr>
      <w:r>
        <w:t>Official Syllabus Focus</w:t>
      </w:r>
    </w:p>
    <w:p>
      <w:pPr>
        <w:pStyle w:val="FocusBullet"/>
        <w:widowControl w:val="1"/>
      </w:pPr>
      <w:r>
        <w:t>All provisions of the Pakistan Penal Code, 1860</w:t>
      </w:r>
    </w:p>
    <w:p>
      <w:pPr>
        <w:pStyle w:val="Heading3"/>
        <w:widowControl w:val="1"/>
      </w:pPr>
      <w:r>
        <w:t>Introduction and Scope</w:t>
      </w:r>
    </w:p>
    <w:p>
      <w:pPr>
        <w:pStyle w:val="TopicIntro"/>
        <w:widowControl w:val="1"/>
      </w:pPr>
      <w:r>
        <w:t>The PPC is the central substantive criminal law defining many offences, punishments and general rules of criminal liability.</w:t>
      </w:r>
    </w:p>
    <w:p>
      <w:pPr>
        <w:pStyle w:val="TopicIntro"/>
        <w:widowControl w:val="1"/>
      </w:pPr>
      <w:r>
        <w:t>Prepare the Code in two layers. First, general principles: common intention, abetment, attempt, general exceptions and types of punishment. Second, offence groups: offences against the state/public order, person, property, documents and other protected interests. Exact ingredients matter more than storytelling.</w:t>
      </w:r>
    </w:p>
    <w:p>
      <w:pPr>
        <w:pStyle w:val="SourceNote"/>
        <w:widowControl w:val="1"/>
      </w:pPr>
      <w:r>
        <w:t>Primary authority: Pakistan Penal Code, 1860, as currently amended.</w:t>
      </w:r>
    </w:p>
    <w:p>
      <w:pPr>
        <w:pStyle w:val="Heading3"/>
        <w:widowControl w:val="1"/>
      </w:pPr>
      <w:r>
        <w:t>How to read the PPC</w:t>
      </w:r>
    </w:p>
    <w:p>
      <w:pPr>
        <w:widowControl w:val="1"/>
      </w:pPr>
      <w:r>
        <w:t>The PPC is substantive criminal law. Its importance lies not only in the offence chapters but also in the general provisions that shape liability across many offences. A sound preparation therefore begins with definitions, punishments, general exceptions, joint liability, abetment and attempt before moving to individual offence groups.</w:t>
      </w:r>
    </w:p>
    <w:p>
      <w:pPr>
        <w:widowControl w:val="1"/>
      </w:pPr>
      <w:r>
        <w:t>Each offence should be learned through ingredients rather than through a story-like summary. The learner should identify the prohibited conduct, any required result, the circumstances that must exist, the required mental element, the relevant definition clauses, and any exception or special rule.</w:t>
      </w:r>
    </w:p>
    <w:p>
      <w:pPr>
        <w:pStyle w:val="Heading3"/>
        <w:widowControl w:val="1"/>
      </w:pPr>
      <w:r>
        <w:t>General principles that cut across offences</w:t>
      </w:r>
    </w:p>
    <w:p>
      <w:pPr>
        <w:widowControl w:val="1"/>
      </w:pPr>
      <w:r>
        <w:t>Joint liability doctrines explain when a person may be responsible for conduct carried out together with others. Abetment addresses intentional assistance, instigation or forms of participation recognized by law. Attempt concerns sufficiently proximate steps toward an offence when the completed offence has not occurred. General exceptions identify circumstances in which conduct that superficially fits an offence may not attract ordinary criminal liability.</w:t>
      </w:r>
    </w:p>
    <w:p>
      <w:pPr>
        <w:widowControl w:val="1"/>
      </w:pPr>
      <w:r>
        <w:t>These doctrines are best tested through facts. For example, presence at the scene is not automatically the same as participation; preparation is not automatically the same as attempt; and a harmful result is not automatically proof of the mental element required for the offence.</w:t>
      </w:r>
    </w:p>
    <w:p>
      <w:pPr>
        <w:pStyle w:val="Heading3"/>
        <w:widowControl w:val="1"/>
      </w:pPr>
      <w:r>
        <w:t>Offence groups and comparison</w:t>
      </w:r>
    </w:p>
    <w:p>
      <w:pPr>
        <w:widowControl w:val="1"/>
      </w:pPr>
      <w:r>
        <w:t>Offences can be organized by the interest protected: the state and public order; the human body; property; documents and records; public justice; marriage and related interests; and other statutory interests. Within each group, comparison is essential because closely related offences often differ by one decisive ingredient such as consent, possession, entrustment, force, deception, intention or the nature of the property.</w:t>
      </w:r>
    </w:p>
    <w:p>
      <w:pPr>
        <w:widowControl w:val="1"/>
      </w:pPr>
      <w:r>
        <w:t>In problem questions, the answer should identify the best-fitting offence, test every ingredient against the facts, address possible alternative offences, and then consider exceptions or defences. Punishment should come after the legal classification, not before it.</w:t>
      </w:r>
    </w:p>
    <w:p>
      <w:pPr>
        <w:pStyle w:val="Heading3"/>
        <w:widowControl w:val="1"/>
      </w:pPr>
      <w:r>
        <w:t>Core Concepts Explained</w:t>
      </w:r>
    </w:p>
    <w:p>
      <w:pPr>
        <w:pStyle w:val="TeachingBullet"/>
        <w:widowControl w:val="1"/>
      </w:pPr>
      <w:r>
        <w:rPr>
          <w:b/>
        </w:rPr>
        <w:t>The PPC is substantive criminal law:</w:t>
      </w:r>
      <w:r>
        <w:t xml:space="preserve"> it identifies punishable conduct, defines many offences, states punishments, and contains general principles that operate across offences.</w:t>
      </w:r>
    </w:p>
    <w:p>
      <w:pPr>
        <w:pStyle w:val="TeachingBullet"/>
        <w:widowControl w:val="1"/>
      </w:pPr>
      <w:r>
        <w:rPr>
          <w:b/>
        </w:rPr>
        <w:t>Prepare every offence through its ingredients. Ask:</w:t>
      </w:r>
      <w:r>
        <w:t xml:space="preserve"> what act or omission is prohibited, what mental element is required, what result or circumstance must exist, and whether any exception changes liability.</w:t>
      </w:r>
    </w:p>
    <w:p>
      <w:pPr>
        <w:pStyle w:val="TeachingBullet"/>
        <w:widowControl w:val="1"/>
      </w:pPr>
      <w:r>
        <w:t>General principles such as common intention, abetment, attempt and general exceptions should be studied before offence-by-offence detail because they can affect many different fact patterns.</w:t>
      </w:r>
    </w:p>
    <w:p>
      <w:pPr>
        <w:pStyle w:val="TeachingBullet"/>
        <w:widowControl w:val="1"/>
      </w:pPr>
      <w:r>
        <w:t>Closely related offences should be compared by their legal ingredients rather than by ordinary-language labels. Small differences in intention, knowledge, property, force, consent or result can change the offence.</w:t>
      </w:r>
    </w:p>
    <w:p>
      <w:pPr>
        <w:pStyle w:val="TeachingBullet"/>
        <w:widowControl w:val="1"/>
      </w:pPr>
      <w:r>
        <w:t>In a problem question, first identify the possible offence, then match each legal ingredient with the facts, then consider exceptions or defences, and only then reach a conclusion.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begin an offence answer with punishment alone. The examiner first needs the legal ingredients that make the conduct fall within that offence.</w:t>
            </w:r>
          </w:p>
        </w:tc>
      </w:tr>
    </w:tbl>
    <w:p>
      <w:pPr>
        <w:pStyle w:val="Heading3"/>
        <w:widowControl w:val="1"/>
      </w:pPr>
      <w:r>
        <w:t>Preparation and Answer Use</w:t>
      </w:r>
    </w:p>
    <w:p>
      <w:pPr>
        <w:pStyle w:val="TeachingBullet"/>
        <w:widowControl w:val="1"/>
      </w:pPr>
      <w:r>
        <w:rPr>
          <w:b/>
        </w:rPr>
        <w:t>Make offence tables:</w:t>
      </w:r>
      <w:r>
        <w:t xml:space="preserve"> offence → ingredients → mental element → punishment/exception.</w:t>
      </w:r>
    </w:p>
    <w:p>
      <w:pPr>
        <w:pStyle w:val="TeachingBullet"/>
        <w:widowControl w:val="1"/>
      </w:pPr>
      <w:r>
        <w:t>Study general exceptions separately because they apply across offences.</w:t>
      </w:r>
    </w:p>
    <w:p>
      <w:pPr>
        <w:pStyle w:val="TeachingBullet"/>
        <w:widowControl w:val="1"/>
      </w:pPr>
      <w:r>
        <w:t>Compare closely related offences instead of memorizing them in isolation.</w:t>
      </w:r>
    </w:p>
    <w:p>
      <w:pPr>
        <w:pStyle w:val="TeachingBullet"/>
        <w:widowControl w:val="1"/>
      </w:pPr>
      <w:r>
        <w:t>Use the current official text for exact section wording and amendments.</w:t>
      </w:r>
    </w:p>
    <w:p>
      <w:pPr>
        <w:pStyle w:val="SourceNote"/>
        <w:widowControl w:val="1"/>
      </w:pPr>
      <w:r>
        <w:t>When asked about an offence, state the ingredients first; then explain each ingredient and finish with application.</w:t>
      </w:r>
    </w:p>
    <w:p>
      <w:pPr>
        <w:pStyle w:val="Heading3"/>
        <w:widowControl w:val="1"/>
      </w:pPr>
      <w:r>
        <w:t>Key Takeaways</w:t>
      </w:r>
    </w:p>
    <w:p>
      <w:pPr>
        <w:pStyle w:val="TakeawayBullet"/>
        <w:widowControl w:val="1"/>
      </w:pPr>
      <w:r>
        <w:t>Substantive criminal law defines what conduct is punishable.</w:t>
      </w:r>
    </w:p>
    <w:p>
      <w:pPr>
        <w:pStyle w:val="TakeawayBullet"/>
        <w:widowControl w:val="1"/>
      </w:pPr>
      <w:r>
        <w:t>Each offence has legal ingredients that prosecution must establish.</w:t>
      </w:r>
    </w:p>
    <w:p>
      <w:pPr>
        <w:pStyle w:val="TakeawayBullet"/>
        <w:widowControl w:val="1"/>
      </w:pPr>
      <w:r>
        <w:t>General exceptions can exclude liability in specified circumstances.</w:t>
      </w:r>
    </w:p>
    <w:p>
      <w:pPr>
        <w:pStyle w:val="TakeawayBullet"/>
        <w:widowControl w:val="1"/>
      </w:pPr>
      <w:r>
        <w:t>Intention, knowledge, dishonesty, fraud and negligence have different legal roles depending on the offence.</w:t>
      </w:r>
    </w:p>
    <w:p>
      <w:pPr>
        <w:spacing w:after="20"/>
        <w:pBdr>
          <w:bottom w:val="single" w:sz="4" w:space="1" w:color="D9E2F3"/>
        </w:pBdr>
        <w:widowControl w:val="1"/>
      </w:pPr>
    </w:p>
    <w:p>
      <w:pPr>
        <w:pStyle w:val="Heading2"/>
        <w:widowControl w:val="1"/>
      </w:pPr>
      <w:r>
        <w:t>6. Qanun-e-Shahadat Order, 1984</w:t>
      </w:r>
    </w:p>
    <w:p>
      <w:pPr>
        <w:pStyle w:val="Heading3"/>
        <w:widowControl w:val="1"/>
      </w:pPr>
      <w:r>
        <w:t>Official Syllabus Focus</w:t>
      </w:r>
    </w:p>
    <w:p>
      <w:pPr>
        <w:pStyle w:val="FocusBullet"/>
        <w:widowControl w:val="1"/>
      </w:pPr>
      <w:r>
        <w:t>All provisions of the Qanun-e-Shahadat Order, 1984</w:t>
      </w:r>
    </w:p>
    <w:p>
      <w:pPr>
        <w:pStyle w:val="Heading3"/>
        <w:widowControl w:val="1"/>
      </w:pPr>
      <w:r>
        <w:t>Introduction and Scope</w:t>
      </w:r>
    </w:p>
    <w:p>
      <w:pPr>
        <w:pStyle w:val="TopicIntro"/>
        <w:widowControl w:val="1"/>
      </w:pPr>
      <w:r>
        <w:t>The Qanun-e-Shahadat Order governs what facts may be proved, how evidence is produced and how courts assess different forms of proof in judicial proceedings.</w:t>
      </w:r>
    </w:p>
    <w:p>
      <w:pPr>
        <w:pStyle w:val="TopicIntro"/>
        <w:widowControl w:val="1"/>
      </w:pPr>
      <w:r>
        <w:t>The easiest map is: relevancy of facts → admissions/confessions → statements by unavailable persons → expert and character evidence → documentary/oral evidence → burden of proof → witnesses and examination. Evidence law is about the connection between a fact in issue and the material offered to prove or disprove it.</w:t>
      </w:r>
    </w:p>
    <w:p>
      <w:pPr>
        <w:pStyle w:val="SourceNote"/>
        <w:widowControl w:val="1"/>
      </w:pPr>
      <w:r>
        <w:t>Primary authority: Qanun-e-Shahadat Order, 1984, current official text.</w:t>
      </w:r>
    </w:p>
    <w:p>
      <w:pPr>
        <w:pStyle w:val="Heading3"/>
        <w:widowControl w:val="1"/>
      </w:pPr>
      <w:r>
        <w:t>Purpose of evidence law</w:t>
      </w:r>
    </w:p>
    <w:p>
      <w:pPr>
        <w:widowControl w:val="1"/>
      </w:pPr>
      <w:r>
        <w:t>Evidence law controls the material that may lawfully be used to prove or disprove facts in judicial proceedings. Its basic discipline is to move from the fact in issue to legally relevant material and then to the method by which that material is proved. This prevents a court from deciding a case on every piece of information that happens to exist.</w:t>
      </w:r>
    </w:p>
    <w:p>
      <w:pPr>
        <w:widowControl w:val="1"/>
      </w:pPr>
      <w:r>
        <w:t>Three questions should be kept separate: Is the fact relevant? Is the proposed material admissible under the governing rules? Has the fact actually been proved to the required legal standard? A relevant item can still fail because it is not proved in the legally required manner.</w:t>
      </w:r>
    </w:p>
    <w:p>
      <w:pPr>
        <w:pStyle w:val="Heading3"/>
        <w:widowControl w:val="1"/>
      </w:pPr>
      <w:r>
        <w:t>Core architecture</w:t>
      </w:r>
    </w:p>
    <w:p>
      <w:pPr>
        <w:widowControl w:val="1"/>
      </w:pPr>
      <w:r>
        <w:t>Start with facts in issue and relevant facts. Then study admissions and confessions, statements made in legally recognized circumstances, opinion and expert evidence, character evidence where relevant, oral and documentary proof, presumptions, burden of proof, competence of witnesses and the sequence of examination.</w:t>
      </w:r>
    </w:p>
    <w:p>
      <w:pPr>
        <w:widowControl w:val="1"/>
      </w:pPr>
      <w:r>
        <w:t>Documentary proof requires special attention because authenticity, primary and secondary evidence, electronic records and presumptions may determine whether a document can be relied upon. The existence of a photocopy, screenshot or electronic file does not automatically establish its legal authenticity.</w:t>
      </w:r>
    </w:p>
    <w:p>
      <w:pPr>
        <w:pStyle w:val="Heading3"/>
        <w:widowControl w:val="1"/>
      </w:pPr>
      <w:r>
        <w:t>Burden, presumptions and witness testing</w:t>
      </w:r>
    </w:p>
    <w:p>
      <w:pPr>
        <w:widowControl w:val="1"/>
      </w:pPr>
      <w:r>
        <w:t>The burden of proof allocates responsibility for establishing a proposition. A presumption may require a court to draw, permit it to draw, or regulate the evidentiary treatment of a fact according to the governing provision. The burden can also shift in a practical sense as evidence is produced, but this should not be confused with the ultimate legal burden where the law fixes it.</w:t>
      </w:r>
    </w:p>
    <w:p>
      <w:pPr>
        <w:widowControl w:val="1"/>
      </w:pPr>
      <w:r>
        <w:t>Examination-in-chief allows a party to present its witness; cross-examination tests accuracy, credibility, perception, memory and consistency within the rules of evidence; re-examination ordinarily clarifies matters arising from cross-examination. Effective evidence analysis therefore combines admissibility with reliability.</w:t>
      </w:r>
    </w:p>
    <w:p>
      <w:pPr>
        <w:pStyle w:val="Heading3"/>
        <w:widowControl w:val="1"/>
      </w:pPr>
      <w:r>
        <w:t>Core Concepts Explained</w:t>
      </w:r>
    </w:p>
    <w:p>
      <w:pPr>
        <w:pStyle w:val="TeachingBullet"/>
        <w:widowControl w:val="1"/>
      </w:pPr>
      <w:r>
        <w:rPr>
          <w:b/>
        </w:rPr>
        <w:t>Evidence law answers a basic question:</w:t>
      </w:r>
      <w:r>
        <w:t xml:space="preserve"> what material may a court legally use to decide whether a disputed fact is proved? The first step is always to identify the fact in issue and then ask whether the offered fact is legally relevant.</w:t>
      </w:r>
    </w:p>
    <w:p>
      <w:pPr>
        <w:pStyle w:val="TeachingBullet"/>
        <w:widowControl w:val="1"/>
      </w:pPr>
      <w:r>
        <w:t>Relevancy and proof are related but different. A fact may be relevant yet still require proper proof through an admissible witness, document, presumption or other legally recognized method.</w:t>
      </w:r>
    </w:p>
    <w:p>
      <w:pPr>
        <w:pStyle w:val="TeachingBullet"/>
        <w:widowControl w:val="1"/>
      </w:pPr>
      <w:r>
        <w:t>Admissions and confessions concern statements that can have evidentiary consequences; documentary and oral evidence have different rules; expert evidence assists the court on specialized matters but does not automatically decide the case.</w:t>
      </w:r>
    </w:p>
    <w:p>
      <w:pPr>
        <w:pStyle w:val="TeachingBullet"/>
        <w:widowControl w:val="1"/>
      </w:pPr>
      <w:r>
        <w:t>The burden of proof tells us who must establish a proposition. Presumptions may alter how that burden operates. The standard and allocation of proof must always be connected to the type of proceeding and issue.</w:t>
      </w:r>
    </w:p>
    <w:p>
      <w:pPr>
        <w:pStyle w:val="TeachingBullet"/>
        <w:widowControl w:val="1"/>
      </w:pPr>
      <w:r>
        <w:t>Witness examination is a process for presenting and testing testimony: examination-in-chief presents the witness's evidence, cross-examination tests it, and re-examination may clarify matters arising from cross-examination.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that every piece of information collected by a party is “evidence.” Evidence must satisfy legal rules of relevancy, admissibility and proof.</w:t>
            </w:r>
          </w:p>
        </w:tc>
      </w:tr>
    </w:tbl>
    <w:p>
      <w:pPr>
        <w:pStyle w:val="Heading3"/>
        <w:widowControl w:val="1"/>
      </w:pPr>
      <w:r>
        <w:t>Preparation and Answer Use</w:t>
      </w:r>
    </w:p>
    <w:p>
      <w:pPr>
        <w:pStyle w:val="TeachingBullet"/>
        <w:widowControl w:val="1"/>
      </w:pPr>
      <w:r>
        <w:t>Learn “fact in issue”, “relevant fact”, “evidence”, “proved/disproved/not proved”.</w:t>
      </w:r>
    </w:p>
    <w:p>
      <w:pPr>
        <w:pStyle w:val="TeachingBullet"/>
        <w:widowControl w:val="1"/>
      </w:pPr>
      <w:r>
        <w:t>Make separate charts for oral evidence, documentary evidence and presumptions.</w:t>
      </w:r>
    </w:p>
    <w:p>
      <w:pPr>
        <w:pStyle w:val="TeachingBullet"/>
        <w:widowControl w:val="1"/>
      </w:pPr>
      <w:r>
        <w:t>Prepare burden of proof and examination of witnesses carefully.</w:t>
      </w:r>
    </w:p>
    <w:p>
      <w:pPr>
        <w:pStyle w:val="TeachingBullet"/>
        <w:widowControl w:val="1"/>
      </w:pPr>
      <w:r>
        <w:t>Use the official current Qanun-e-Shahadat text for exact articles.</w:t>
      </w:r>
    </w:p>
    <w:p>
      <w:pPr>
        <w:pStyle w:val="SourceNote"/>
        <w:widowControl w:val="1"/>
      </w:pPr>
      <w:r>
        <w:t>Evidence answers score when rules are linked to purpose: reliability, fairness and proof of disputed facts.</w:t>
      </w:r>
    </w:p>
    <w:p>
      <w:pPr>
        <w:pStyle w:val="SourceNote"/>
        <w:widowControl w:val="1"/>
      </w:pPr>
      <w:r>
        <w:t>Accuracy note: Pakistan Code publishes the Qanun-e-Shahadat Order, 1984 as the governing federal evidence instrument; use the latest official text for amendments.</w:t>
      </w:r>
    </w:p>
    <w:p>
      <w:pPr>
        <w:pStyle w:val="Heading3"/>
        <w:widowControl w:val="1"/>
      </w:pPr>
      <w:r>
        <w:t>Key Takeaways</w:t>
      </w:r>
    </w:p>
    <w:p>
      <w:pPr>
        <w:pStyle w:val="TakeawayBullet"/>
        <w:widowControl w:val="1"/>
      </w:pPr>
      <w:r>
        <w:t>Not every fact is legally relevant.</w:t>
      </w:r>
    </w:p>
    <w:p>
      <w:pPr>
        <w:pStyle w:val="TakeawayBullet"/>
        <w:widowControl w:val="1"/>
      </w:pPr>
      <w:r>
        <w:t>Relevancy decides whether a fact can connect to the dispute.</w:t>
      </w:r>
    </w:p>
    <w:p>
      <w:pPr>
        <w:pStyle w:val="TakeawayBullet"/>
        <w:widowControl w:val="1"/>
      </w:pPr>
      <w:r>
        <w:t>Burden of proof determines who must establish a fact.</w:t>
      </w:r>
    </w:p>
    <w:p>
      <w:pPr>
        <w:pStyle w:val="TakeawayBullet"/>
        <w:widowControl w:val="1"/>
      </w:pPr>
      <w:r>
        <w:t>Witness examination normally moves through examination-in-chief, cross-examination and re-examination.</w:t>
      </w:r>
    </w:p>
    <w:p>
      <w:pPr>
        <w:pStyle w:val="TakeawayBullet"/>
        <w:widowControl w:val="1"/>
      </w:pPr>
      <w:r>
        <w:t>Documentary evidence has specific proof rules.</w:t>
      </w:r>
    </w:p>
    <w:p>
      <w:pPr>
        <w:spacing w:after="20"/>
        <w:pBdr>
          <w:bottom w:val="single" w:sz="4" w:space="1" w:color="D9E2F3"/>
        </w:pBdr>
        <w:widowControl w:val="1"/>
      </w:pPr>
    </w:p>
    <w:p>
      <w:pPr>
        <w:pStyle w:val="Heading2"/>
        <w:widowControl w:val="1"/>
      </w:pPr>
      <w:r>
        <w:t>7. Code of Criminal Procedure, 1898 (CrPC)</w:t>
      </w:r>
    </w:p>
    <w:p>
      <w:pPr>
        <w:pStyle w:val="Heading3"/>
        <w:widowControl w:val="1"/>
      </w:pPr>
      <w:r>
        <w:t>Official Syllabus Focus</w:t>
      </w:r>
    </w:p>
    <w:p>
      <w:pPr>
        <w:pStyle w:val="FocusBullet"/>
        <w:widowControl w:val="1"/>
      </w:pPr>
      <w:r>
        <w:t>All provisions of the Code of Criminal Procedure, 1898</w:t>
      </w:r>
    </w:p>
    <w:p>
      <w:pPr>
        <w:pStyle w:val="Heading3"/>
        <w:widowControl w:val="1"/>
      </w:pPr>
      <w:r>
        <w:t>Introduction and Scope</w:t>
      </w:r>
    </w:p>
    <w:p>
      <w:pPr>
        <w:pStyle w:val="TopicIntro"/>
        <w:widowControl w:val="1"/>
      </w:pPr>
      <w:r>
        <w:t>The CrPC provides the procedural machinery for criminal cases—from information and investigation to inquiry, trial, judgment, sentence and post-trial remedies.</w:t>
      </w:r>
    </w:p>
    <w:p>
      <w:pPr>
        <w:pStyle w:val="TopicIntro"/>
        <w:widowControl w:val="1"/>
      </w:pPr>
      <w:r>
        <w:t>Study it as a criminal-case timeline: complaint/FIR → arrest and investigation → remand/bail → cognizance → charge → trial → evidence → judgment/sentence → appeal/revision. Also understand powers of police, magistrates and courts.</w:t>
      </w:r>
    </w:p>
    <w:p>
      <w:pPr>
        <w:pStyle w:val="SourceNote"/>
        <w:widowControl w:val="1"/>
      </w:pPr>
      <w:r>
        <w:t>Primary authority: Code of Criminal Procedure, 1898, as currently amended.</w:t>
      </w:r>
    </w:p>
    <w:p>
      <w:pPr>
        <w:pStyle w:val="Heading3"/>
        <w:widowControl w:val="1"/>
      </w:pPr>
      <w:r>
        <w:t>Criminal procedure as a liberty-sensitive process</w:t>
      </w:r>
    </w:p>
    <w:p>
      <w:pPr>
        <w:widowControl w:val="1"/>
      </w:pPr>
      <w:r>
        <w:t>The CrPC provides the procedural route through which allegations become investigated cases and, where legally justified, prosecutions and trials. Because the process authorizes coercive powers such as arrest, search, remand and compulsory attendance, procedure is not mere administration. It is a framework for both enforcement and safeguards.</w:t>
      </w:r>
    </w:p>
    <w:p>
      <w:pPr>
        <w:widowControl w:val="1"/>
      </w:pPr>
      <w:r>
        <w:t>The easiest learning method is chronological: information or complaint; investigation; arrest where lawful; production before the competent judicial authority; remand or bail questions; police report or complaint proceedings; cognizance; charge; trial; evidence; judgment and sentence; and appeal, revision or other post-trial remedies.</w:t>
      </w:r>
    </w:p>
    <w:p>
      <w:pPr>
        <w:pStyle w:val="Heading3"/>
        <w:widowControl w:val="1"/>
      </w:pPr>
      <w:r>
        <w:t>Institutional roles</w:t>
      </w:r>
    </w:p>
    <w:p>
      <w:pPr>
        <w:widowControl w:val="1"/>
      </w:pPr>
      <w:r>
        <w:t>Police investigate and collect material within their legal powers. Prosecutors represent the public case in the manner prescribed by law. Magistrates and trial courts exercise judicial powers such as remand, bail, cognizance, framing of charge and adjudication according to jurisdiction. Higher courts exercise appellate, revisional, constitutional or other supervisory powers where law permits.</w:t>
      </w:r>
    </w:p>
    <w:p>
      <w:pPr>
        <w:widowControl w:val="1"/>
      </w:pPr>
      <w:r>
        <w:t>These functions should not be blurred. Investigation is not a judicial finding of guilt, and an accusation in an FIR is not itself proof. The trial is the process in which admissible evidence is tested and legal responsibility is determined by the competent court.</w:t>
      </w:r>
    </w:p>
    <w:p>
      <w:pPr>
        <w:pStyle w:val="Heading3"/>
        <w:widowControl w:val="1"/>
      </w:pPr>
      <w:r>
        <w:t>Bail, remand, cognizance and charge</w:t>
      </w:r>
    </w:p>
    <w:p>
      <w:pPr>
        <w:widowControl w:val="1"/>
      </w:pPr>
      <w:r>
        <w:t>Bail concerns release from custody on legally defined terms while proceedings continue; it is not an acquittal. Remand concerns lawful judicial authorization for continued custody within the limits and purposes recognized by procedure. Both issues directly engage personal liberty and therefore require a legal basis rather than routine administrative treatment.</w:t>
      </w:r>
    </w:p>
    <w:p>
      <w:pPr>
        <w:widowControl w:val="1"/>
      </w:pPr>
      <w:r>
        <w:t>Cognizance is the court’s formal taking up of an offence for judicial proceedings under the procedural framework. Charge identifies the accusation to be tried. Confusing the two leads to a distorted case timeline.</w:t>
      </w:r>
    </w:p>
    <w:p>
      <w:pPr>
        <w:pStyle w:val="Heading3"/>
        <w:widowControl w:val="1"/>
      </w:pPr>
      <w:r>
        <w:t>Problem-solving method</w:t>
      </w:r>
    </w:p>
    <w:p>
      <w:pPr>
        <w:widowControl w:val="1"/>
      </w:pPr>
      <w:r>
        <w:t>A procedural problem should be answered by locating the case at the correct stage. Ask what has already happened, which authority presently has power, what legal safeguard applies, and what the next lawful step is. This stage-based method is more reliable than recalling isolated sections without context.</w:t>
      </w:r>
    </w:p>
    <w:p>
      <w:pPr>
        <w:pStyle w:val="Heading3"/>
        <w:widowControl w:val="1"/>
      </w:pPr>
      <w:r>
        <w:t>Concept Flow</w:t>
      </w:r>
    </w:p>
    <w:p>
      <w:pPr>
        <w:pStyle w:val="Flow"/>
        <w:widowControl w:val="1"/>
      </w:pPr>
      <w:r>
        <w:rPr>
          <w:b/>
        </w:rPr>
        <w:t>Information/complaint</w:t>
      </w:r>
      <w:r>
        <w:t xml:space="preserve">  →  </w:t>
      </w:r>
      <w:r>
        <w:rPr>
          <w:b w:val="0"/>
        </w:rPr>
        <w:t>Investigation</w:t>
      </w:r>
      <w:r>
        <w:t xml:space="preserve">  →  </w:t>
      </w:r>
      <w:r>
        <w:rPr>
          <w:b/>
        </w:rPr>
        <w:t>Arrest/remand/bail</w:t>
      </w:r>
      <w:r>
        <w:t xml:space="preserve">  →  </w:t>
      </w:r>
      <w:r>
        <w:rPr>
          <w:b w:val="0"/>
        </w:rPr>
        <w:t>Cognizance</w:t>
      </w:r>
      <w:r>
        <w:t xml:space="preserve">  →  </w:t>
      </w:r>
      <w:r>
        <w:rPr>
          <w:b/>
        </w:rPr>
        <w:t>Charge</w:t>
      </w:r>
      <w:r>
        <w:t xml:space="preserve">  →  </w:t>
      </w:r>
      <w:r>
        <w:rPr>
          <w:b w:val="0"/>
        </w:rPr>
        <w:t>Trial &amp; evidence</w:t>
      </w:r>
      <w:r>
        <w:t xml:space="preserve">  →  </w:t>
      </w:r>
      <w:r>
        <w:rPr>
          <w:b/>
        </w:rPr>
        <w:t>Judgment/sentence</w:t>
      </w:r>
      <w:r>
        <w:t xml:space="preserve">  →  </w:t>
      </w:r>
      <w:r>
        <w:rPr>
          <w:b w:val="0"/>
        </w:rPr>
        <w:t>Appeal/revision</w:t>
      </w:r>
    </w:p>
    <w:p>
      <w:pPr>
        <w:pStyle w:val="Heading3"/>
        <w:widowControl w:val="1"/>
      </w:pPr>
      <w:r>
        <w:t>Core Concepts Explained</w:t>
      </w:r>
    </w:p>
    <w:p>
      <w:pPr>
        <w:pStyle w:val="TeachingBullet"/>
        <w:widowControl w:val="1"/>
      </w:pPr>
      <w:r>
        <w:t>The CrPC is the procedural route through which criminal law is enforced. The PPC may define an offence, but the CrPC explains how the case moves from information and investigation to trial and post-trial remedies.</w:t>
      </w:r>
    </w:p>
    <w:p>
      <w:pPr>
        <w:pStyle w:val="TeachingBullet"/>
        <w:widowControl w:val="1"/>
      </w:pPr>
      <w:r>
        <w:rPr>
          <w:b/>
        </w:rPr>
        <w:t>Learn the stages as a timeline:</w:t>
      </w:r>
      <w:r>
        <w:t xml:space="preserve"> information or complaint; investigation; arrest where lawful; remand or bail questions; submission of material to court; cognizance; charge; trial and evidence; judgment and sentence; appeal or revision.</w:t>
      </w:r>
    </w:p>
    <w:p>
      <w:pPr>
        <w:pStyle w:val="TeachingBullet"/>
        <w:widowControl w:val="1"/>
      </w:pPr>
      <w:r>
        <w:t>Different institutions perform different functions. Police investigate, prosecutors conduct the prosecution, magistrates and courts exercise judicial powers, and higher courts perform appellate or supervisory functions within law.</w:t>
      </w:r>
    </w:p>
    <w:p>
      <w:pPr>
        <w:pStyle w:val="TeachingBullet"/>
        <w:widowControl w:val="1"/>
      </w:pPr>
      <w:r>
        <w:t>Bail and remand should be studied as liberty-related decisions, not as routine paperwork. A good answer links legal authority, necessity, judicial oversight and procedural safeguards.</w:t>
      </w:r>
    </w:p>
    <w:p>
      <w:pPr>
        <w:pStyle w:val="TeachingBullet"/>
        <w:widowControl w:val="1"/>
      </w:pPr>
      <w:r>
        <w:t>Cognizance and charge are not the same. Cognizance concerns the court taking judicial notice of an offence for proceedings; charge identifies the accusation that will be tried.</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merge investigation and trial. Investigation collects and tests material; trial is the judicial process in which criminal responsibility is determined.</w:t>
            </w:r>
          </w:p>
        </w:tc>
      </w:tr>
    </w:tbl>
    <w:p>
      <w:pPr>
        <w:pStyle w:val="Heading3"/>
        <w:widowControl w:val="1"/>
      </w:pPr>
      <w:r>
        <w:t>Preparation and Answer Use</w:t>
      </w:r>
    </w:p>
    <w:p>
      <w:pPr>
        <w:pStyle w:val="TeachingBullet"/>
        <w:widowControl w:val="1"/>
      </w:pPr>
      <w:r>
        <w:t>Create one flowchart for a police-report case and one for a complaint case.</w:t>
      </w:r>
    </w:p>
    <w:p>
      <w:pPr>
        <w:pStyle w:val="TeachingBullet"/>
        <w:widowControl w:val="1"/>
      </w:pPr>
      <w:r>
        <w:t>Prepare arrest, remand, bail, cognizance, charge, trial and appeal as separate modules.</w:t>
      </w:r>
    </w:p>
    <w:p>
      <w:pPr>
        <w:pStyle w:val="TeachingBullet"/>
        <w:widowControl w:val="1"/>
      </w:pPr>
      <w:r>
        <w:t>Understand the roles of police, magistrate, prosecutor and trial court.</w:t>
      </w:r>
    </w:p>
    <w:p>
      <w:pPr>
        <w:pStyle w:val="TeachingBullet"/>
        <w:widowControl w:val="1"/>
      </w:pPr>
      <w:r>
        <w:t>Use current bare-act wording for exact powers and timelines.</w:t>
      </w:r>
    </w:p>
    <w:p>
      <w:pPr>
        <w:pStyle w:val="SourceNote"/>
        <w:widowControl w:val="1"/>
      </w:pPr>
      <w:r>
        <w:t>Keep the sequence of proceedings clear; procedural confusion is a major source of weak answers.</w:t>
      </w:r>
    </w:p>
    <w:p>
      <w:pPr>
        <w:pStyle w:val="Heading3"/>
        <w:widowControl w:val="1"/>
      </w:pPr>
      <w:r>
        <w:t>Key Takeaways</w:t>
      </w:r>
    </w:p>
    <w:p>
      <w:pPr>
        <w:pStyle w:val="TakeawayBullet"/>
        <w:widowControl w:val="1"/>
      </w:pPr>
      <w:r>
        <w:t>CrPC is procedural; PPC is substantive.</w:t>
      </w:r>
    </w:p>
    <w:p>
      <w:pPr>
        <w:pStyle w:val="TakeawayBullet"/>
        <w:widowControl w:val="1"/>
      </w:pPr>
      <w:r>
        <w:t>Investigation collects material; trial judicially determines guilt.</w:t>
      </w:r>
    </w:p>
    <w:p>
      <w:pPr>
        <w:pStyle w:val="TakeawayBullet"/>
        <w:widowControl w:val="1"/>
      </w:pPr>
      <w:r>
        <w:t>Bail, remand and arrest affect liberty and therefore require legal authority.</w:t>
      </w:r>
    </w:p>
    <w:p>
      <w:pPr>
        <w:pStyle w:val="TakeawayBullet"/>
        <w:widowControl w:val="1"/>
      </w:pPr>
      <w:r>
        <w:t>Cognizance and charge are different stages.</w:t>
      </w:r>
    </w:p>
    <w:p>
      <w:pPr>
        <w:pStyle w:val="TakeawayBullet"/>
        <w:widowControl w:val="1"/>
      </w:pPr>
      <w:r>
        <w:t>Appeal and revision are distinct corrective mechanisms.</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Pakistan Code — Ministry of Law and Justice — </w:t>
      </w:r>
      <w:hyperlink r:id="rId11">
        <w:r>
          <w:rPr>
            <w:color w:val="1F4E79"/>
            <w:u w:val="single"/>
          </w:rPr>
          <w:t>https://pakistancode.gov.pk/</w:t>
        </w:r>
      </w:hyperlink>
    </w:p>
    <w:p>
      <w:pPr>
        <w:pStyle w:val="Reference"/>
        <w:widowControl w:val="1"/>
      </w:pPr>
      <w:r>
        <w:t xml:space="preserve">• Code of Civil Procedure, 1908 — official/current legal text via Pakistan Code — </w:t>
      </w:r>
      <w:hyperlink r:id="rId11">
        <w:r>
          <w:rPr>
            <w:color w:val="1F4E79"/>
            <w:u w:val="single"/>
          </w:rPr>
          <w:t>https://pakistancode.gov.pk/</w:t>
        </w:r>
      </w:hyperlink>
    </w:p>
    <w:p>
      <w:pPr>
        <w:pStyle w:val="Reference"/>
        <w:widowControl w:val="1"/>
      </w:pPr>
      <w:r>
        <w:t xml:space="preserve">• Pakistan Penal Code, 1860 — official/current legal text via Pakistan Code — </w:t>
      </w:r>
      <w:hyperlink r:id="rId11">
        <w:r>
          <w:rPr>
            <w:color w:val="1F4E79"/>
            <w:u w:val="single"/>
          </w:rPr>
          <w:t>https://pakistancode.gov.pk/</w:t>
        </w:r>
      </w:hyperlink>
    </w:p>
    <w:p>
      <w:pPr>
        <w:pStyle w:val="Reference"/>
        <w:widowControl w:val="1"/>
      </w:pPr>
      <w:r>
        <w:t xml:space="preserve">• Qanun-e-Shahadat Order, 1984 — official/current legal text via Pakistan Code — </w:t>
      </w:r>
      <w:hyperlink r:id="rId11">
        <w:r>
          <w:rPr>
            <w:color w:val="1F4E79"/>
            <w:u w:val="single"/>
          </w:rPr>
          <w:t>https://pakistancode.gov.pk/</w:t>
        </w:r>
      </w:hyperlink>
    </w:p>
    <w:p>
      <w:pPr>
        <w:pStyle w:val="Reference"/>
        <w:widowControl w:val="1"/>
      </w:pPr>
      <w:r>
        <w:t xml:space="preserve">• Code of Criminal Procedure, 1898 — official/current legal text via Pakistan Code — </w:t>
      </w:r>
      <w:hyperlink r:id="rId11">
        <w:r>
          <w:rPr>
            <w:color w:val="1F4E79"/>
            <w:u w:val="single"/>
          </w:rPr>
          <w:t>https://pakistancode.gov.pk/</w:t>
        </w:r>
      </w:hyperlink>
    </w:p>
    <w:p>
      <w:pPr>
        <w:widowControl w:val="1"/>
      </w:pPr>
      <w:r>
        <w:br w:type="page"/>
      </w:r>
    </w:p>
    <w:p>
      <w:pPr>
        <w:pStyle w:val="Heading1"/>
        <w:widowControl w:val="1"/>
      </w:pPr>
      <w:r>
        <w:t>2. CONSTITUTIONAL LAW (Code 39)</w:t>
      </w:r>
    </w:p>
    <w:p>
      <w:pPr>
        <w:widowControl w:val="1"/>
      </w:pPr>
      <w:r>
        <w:t>Constitutional Law studies the rules that create, distribute and limit public power. FPSC combines general constitutional concepts, comparative constitutional systems, Pakistan’s constitutional history and important Pakistani cases.</w:t>
      </w:r>
    </w:p>
    <w:p>
      <w:pPr>
        <w:pStyle w:val="Heading2"/>
        <w:widowControl w:val="1"/>
      </w:pPr>
      <w:r>
        <w:t>How to Study This Subject</w:t>
      </w:r>
    </w:p>
    <w:p>
      <w:pPr>
        <w:pStyle w:val="TeachingBullet"/>
        <w:widowControl w:val="1"/>
      </w:pPr>
      <w:r>
        <w:t>Prepare concepts first; they become the vocabulary for every comparative answer.</w:t>
      </w:r>
    </w:p>
    <w:p>
      <w:pPr>
        <w:pStyle w:val="TeachingBullet"/>
        <w:widowControl w:val="1"/>
      </w:pPr>
      <w:r>
        <w:rPr>
          <w:b/>
        </w:rPr>
        <w:t>Use comparison tables for countries:</w:t>
      </w:r>
      <w:r>
        <w:t xml:space="preserve"> executive, legislature, judiciary, constitution type, federal/unitary character and review.</w:t>
      </w:r>
    </w:p>
    <w:p>
      <w:pPr>
        <w:pStyle w:val="TeachingBullet"/>
        <w:widowControl w:val="1"/>
      </w:pPr>
      <w:r>
        <w:t>Prepare Pakistan history as a timeline.</w:t>
      </w:r>
    </w:p>
    <w:p>
      <w:pPr>
        <w:pStyle w:val="TeachingBullet"/>
        <w:widowControl w:val="1"/>
      </w:pPr>
      <w:r>
        <w:t>For cases, learn facts in one line, legal issue, holding and constitutional significance.</w:t>
      </w:r>
    </w:p>
    <w:p>
      <w:pPr>
        <w:pStyle w:val="Heading3"/>
        <w:widowControl w:val="1"/>
      </w:pPr>
      <w:r>
        <w:t>Beginner Roadmap</w:t>
      </w:r>
    </w:p>
    <w:p>
      <w:pPr>
        <w:widowControl w:val="1"/>
      </w:pPr>
      <w:r>
        <w:t>First master the vocabulary of rule of law, separation of powers, judicial review and rights. Next compare constitutional systems through one common template. Finally study Pakistan as a timeline and connect the leading cases to each constitutional crisis or institutional question.</w:t>
      </w:r>
    </w:p>
    <w:p>
      <w:pPr>
        <w:pStyle w:val="Heading2"/>
        <w:widowControl w:val="1"/>
      </w:pPr>
      <w:r>
        <w:t>Subject Map</w:t>
      </w:r>
    </w:p>
    <w:p>
      <w:pPr>
        <w:pStyle w:val="FocusBullet"/>
        <w:widowControl w:val="1"/>
      </w:pPr>
      <w:r>
        <w:t>1. Definition, Scope and Basic Constitutional Concepts</w:t>
      </w:r>
    </w:p>
    <w:p>
      <w:pPr>
        <w:pStyle w:val="FocusBullet"/>
        <w:widowControl w:val="1"/>
      </w:pPr>
      <w:r>
        <w:t>2. Constitutional Structures</w:t>
      </w:r>
    </w:p>
    <w:p>
      <w:pPr>
        <w:pStyle w:val="FocusBullet"/>
        <w:widowControl w:val="1"/>
      </w:pPr>
      <w:r>
        <w:t>3. Judiciary, Judicial Independence and Judicial Review</w:t>
      </w:r>
    </w:p>
    <w:p>
      <w:pPr>
        <w:pStyle w:val="FocusBullet"/>
        <w:widowControl w:val="1"/>
      </w:pPr>
      <w:r>
        <w:t>4. Fundamental Rights and Civil Liberties</w:t>
      </w:r>
    </w:p>
    <w:p>
      <w:pPr>
        <w:pStyle w:val="FocusBullet"/>
        <w:widowControl w:val="1"/>
      </w:pPr>
      <w:r>
        <w:t>5. Comparative Constitutional Law</w:t>
      </w:r>
    </w:p>
    <w:p>
      <w:pPr>
        <w:pStyle w:val="FocusBullet"/>
        <w:widowControl w:val="1"/>
      </w:pPr>
      <w:r>
        <w:t>6. Constitutional History of Pakistan</w:t>
      </w:r>
    </w:p>
    <w:p>
      <w:pPr>
        <w:pStyle w:val="FocusBullet"/>
        <w:widowControl w:val="1"/>
      </w:pPr>
      <w:r>
        <w:t>7. Leading Constitutional Cases</w:t>
      </w:r>
    </w:p>
    <w:p>
      <w:pPr>
        <w:pStyle w:val="Heading2"/>
        <w:widowControl w:val="1"/>
      </w:pPr>
      <w:r>
        <w:t>1. Definition, Scope and Basic Constitutional Concepts</w:t>
      </w:r>
    </w:p>
    <w:p>
      <w:pPr>
        <w:pStyle w:val="Heading3"/>
        <w:widowControl w:val="1"/>
      </w:pPr>
      <w:r>
        <w:t>Official Syllabus Focus</w:t>
      </w:r>
    </w:p>
    <w:p>
      <w:pPr>
        <w:pStyle w:val="FocusBullet"/>
        <w:widowControl w:val="1"/>
      </w:pPr>
      <w:r>
        <w:t>Definition and scope</w:t>
      </w:r>
    </w:p>
    <w:p>
      <w:pPr>
        <w:pStyle w:val="FocusBullet"/>
        <w:widowControl w:val="1"/>
      </w:pPr>
      <w:r>
        <w:t>Constitutional conventions</w:t>
      </w:r>
    </w:p>
    <w:p>
      <w:pPr>
        <w:pStyle w:val="FocusBullet"/>
        <w:widowControl w:val="1"/>
      </w:pPr>
      <w:r>
        <w:t>Rule of law</w:t>
      </w:r>
    </w:p>
    <w:p>
      <w:pPr>
        <w:pStyle w:val="FocusBullet"/>
        <w:widowControl w:val="1"/>
      </w:pPr>
      <w:r>
        <w:t>Due process</w:t>
      </w:r>
    </w:p>
    <w:p>
      <w:pPr>
        <w:pStyle w:val="Heading3"/>
        <w:widowControl w:val="1"/>
      </w:pPr>
      <w:r>
        <w:t>Introduction and Scope</w:t>
      </w:r>
    </w:p>
    <w:p>
      <w:pPr>
        <w:pStyle w:val="TopicIntro"/>
        <w:widowControl w:val="1"/>
      </w:pPr>
      <w:r>
        <w:t>Constitutional law governs the basic institutions of the state, their powers, the limits on those powers and the rights of individuals.</w:t>
      </w:r>
    </w:p>
    <w:p>
      <w:pPr>
        <w:pStyle w:val="TopicIntro"/>
        <w:widowControl w:val="1"/>
      </w:pPr>
      <w:r>
        <w:t>Conventions are non-legal political practices that help constitutional systems operate. Rule of law means public power must be exercised according to law rather than arbitrary will. Due process broadly requires lawful and fair procedures when the state affects rights, liberty or property.</w:t>
      </w:r>
    </w:p>
    <w:p>
      <w:pPr>
        <w:pStyle w:val="Heading3"/>
        <w:widowControl w:val="1"/>
      </w:pPr>
      <w:r>
        <w:t>Constitutional law as the law of public power</w:t>
      </w:r>
    </w:p>
    <w:p>
      <w:pPr>
        <w:widowControl w:val="1"/>
      </w:pPr>
      <w:r>
        <w:t>Constitutional law answers four connected questions: who may exercise public power, how that power is distributed, what procedures constrain it, and what rights limit it. A constitution therefore performs both an enabling function and a limiting function. It creates institutions and gives them authority, but it also places authority inside a legal structure.</w:t>
      </w:r>
    </w:p>
    <w:p>
      <w:pPr>
        <w:widowControl w:val="1"/>
      </w:pPr>
      <w:r>
        <w:t>The distinction between a constitution and constitutional law is useful. The constitutional text may be the central legal instrument, but constitutional law also includes authoritative judicial interpretation, legislation made under the constitution, conventions and institutional practices to the extent recognized by the legal system.</w:t>
      </w:r>
    </w:p>
    <w:p>
      <w:pPr>
        <w:pStyle w:val="Heading3"/>
        <w:widowControl w:val="1"/>
      </w:pPr>
      <w:r>
        <w:t>Conventions, rule of law and due process</w:t>
      </w:r>
    </w:p>
    <w:p>
      <w:pPr>
        <w:widowControl w:val="1"/>
      </w:pPr>
      <w:r>
        <w:t>Constitutional conventions are practices that regulate political conduct even though their enforcement may be political rather than judicial. They are especially important in parliamentary systems because a legal power may be exercised according to an accepted constitutional practice that narrows how the power is used in ordinary circumstances.</w:t>
      </w:r>
    </w:p>
    <w:p>
      <w:pPr>
        <w:widowControl w:val="1"/>
      </w:pPr>
      <w:r>
        <w:t>Rule of law requires more than formal equality. It demands lawful authority, non-arbitrary government, legal accountability, access to independent adjudication and predictable application of law. Due process adds the idea that state action affecting important interests should be taken through fair, lawful procedures. Notice, an opportunity to respond, impartial decision-making and reasoned legal authority are recurring features of procedural fairness.</w:t>
      </w:r>
    </w:p>
    <w:p>
      <w:pPr>
        <w:pStyle w:val="Heading3"/>
        <w:widowControl w:val="1"/>
      </w:pPr>
      <w:r>
        <w:t>Formal and substantive perspectives</w:t>
      </w:r>
    </w:p>
    <w:p>
      <w:pPr>
        <w:widowControl w:val="1"/>
      </w:pPr>
      <w:r>
        <w:t>A formal approach asks whether government acts through validly enacted law and follows prescribed procedures. A substantive approach also asks whether the legal order protects basic rights and guards against profoundly arbitrary or oppressive exercises of power. Constitutional systems differ in how strongly they incorporate substantive review, so an answer should connect general theory with the specific constitutional text being discussed.</w:t>
      </w:r>
    </w:p>
    <w:p>
      <w:pPr>
        <w:pStyle w:val="Heading3"/>
        <w:widowControl w:val="1"/>
      </w:pPr>
      <w:r>
        <w:t>Core Concepts Explained</w:t>
      </w:r>
    </w:p>
    <w:p>
      <w:pPr>
        <w:pStyle w:val="TeachingBullet"/>
        <w:widowControl w:val="1"/>
      </w:pPr>
      <w:r>
        <w:t>Constitutional law deals with the creation of state institutions, distribution of public power, limits on that power and protection of rights. It is therefore both structural and rights-oriented.</w:t>
      </w:r>
    </w:p>
    <w:p>
      <w:pPr>
        <w:pStyle w:val="TeachingBullet"/>
        <w:widowControl w:val="1"/>
      </w:pPr>
      <w:r>
        <w:t>Constitutional conventions are recurring political practices that help institutions operate even when they are not enforced in the same way as ordinary legal rules. Their importance is practical and constitutional rather than merely social.</w:t>
      </w:r>
    </w:p>
    <w:p>
      <w:pPr>
        <w:pStyle w:val="TeachingBullet"/>
        <w:widowControl w:val="1"/>
      </w:pPr>
      <w:r>
        <w:t>Rule of law requires public officials to act under law, through lawful authority and subject to legal accountability. It is the opposite of arbitrary rule based only on personal will.</w:t>
      </w:r>
    </w:p>
    <w:p>
      <w:pPr>
        <w:pStyle w:val="TeachingBullet"/>
        <w:widowControl w:val="1"/>
      </w:pPr>
      <w:r>
        <w:t>Due process expresses the idea that state action affecting important interests must follow lawful and fair procedures. In constitutional analysis, explain notice, opportunity to be heard, impartial decision-making and lawful authority where relevant.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treat rule of law as only “everyone is equal.” Equality is important, but rule of law also concerns legality, non-arbitrariness, accountability and fair legal process.</w:t>
            </w:r>
          </w:p>
        </w:tc>
      </w:tr>
    </w:tbl>
    <w:p>
      <w:pPr>
        <w:pStyle w:val="Heading3"/>
        <w:widowControl w:val="1"/>
      </w:pPr>
      <w:r>
        <w:t>Preparation and Answer Use</w:t>
      </w:r>
    </w:p>
    <w:p>
      <w:pPr>
        <w:pStyle w:val="TeachingBullet"/>
        <w:widowControl w:val="1"/>
      </w:pPr>
      <w:r>
        <w:t>Prepare one precise definition for each concept.</w:t>
      </w:r>
    </w:p>
    <w:p>
      <w:pPr>
        <w:pStyle w:val="TeachingBullet"/>
        <w:widowControl w:val="1"/>
      </w:pPr>
      <w:r>
        <w:t>Use short examples from parliamentary and judicial practice.</w:t>
      </w:r>
    </w:p>
    <w:p>
      <w:pPr>
        <w:pStyle w:val="TeachingBullet"/>
        <w:widowControl w:val="1"/>
      </w:pPr>
      <w:r>
        <w:t>Explain both formal legality and substantive protection where relevant.</w:t>
      </w:r>
    </w:p>
    <w:p>
      <w:pPr>
        <w:pStyle w:val="Heading3"/>
        <w:widowControl w:val="1"/>
      </w:pPr>
      <w:r>
        <w:t>Key Takeaways</w:t>
      </w:r>
    </w:p>
    <w:p>
      <w:pPr>
        <w:pStyle w:val="TakeawayBullet"/>
        <w:widowControl w:val="1"/>
      </w:pPr>
      <w:r>
        <w:t>A constitution organizes public power.</w:t>
      </w:r>
    </w:p>
    <w:p>
      <w:pPr>
        <w:pStyle w:val="TakeawayBullet"/>
        <w:widowControl w:val="1"/>
      </w:pPr>
      <w:r>
        <w:t>Conventions may be politically binding even when not judicially enforceable.</w:t>
      </w:r>
    </w:p>
    <w:p>
      <w:pPr>
        <w:pStyle w:val="TakeawayBullet"/>
        <w:widowControl w:val="1"/>
      </w:pPr>
      <w:r>
        <w:t>Rule of law rejects arbitrary government.</w:t>
      </w:r>
    </w:p>
    <w:p>
      <w:pPr>
        <w:pStyle w:val="TakeawayBullet"/>
        <w:widowControl w:val="1"/>
      </w:pPr>
      <w:r>
        <w:t>Due process connects state action with lawful and fair procedure.</w:t>
      </w:r>
    </w:p>
    <w:p>
      <w:pPr>
        <w:spacing w:after="20"/>
        <w:pBdr>
          <w:bottom w:val="single" w:sz="4" w:space="1" w:color="D9E2F3"/>
        </w:pBdr>
        <w:widowControl w:val="1"/>
      </w:pPr>
    </w:p>
    <w:p>
      <w:pPr>
        <w:pStyle w:val="Heading2"/>
        <w:widowControl w:val="1"/>
      </w:pPr>
      <w:r>
        <w:t>2. Constitutional Structures</w:t>
      </w:r>
    </w:p>
    <w:p>
      <w:pPr>
        <w:pStyle w:val="Heading3"/>
        <w:widowControl w:val="1"/>
      </w:pPr>
      <w:r>
        <w:t>Official Syllabus Focus</w:t>
      </w:r>
    </w:p>
    <w:p>
      <w:pPr>
        <w:pStyle w:val="FocusBullet"/>
        <w:widowControl w:val="1"/>
      </w:pPr>
      <w:r>
        <w:t>Parliamentary system</w:t>
      </w:r>
    </w:p>
    <w:p>
      <w:pPr>
        <w:pStyle w:val="FocusBullet"/>
        <w:widowControl w:val="1"/>
      </w:pPr>
      <w:r>
        <w:t>Presidential system</w:t>
      </w:r>
    </w:p>
    <w:p>
      <w:pPr>
        <w:pStyle w:val="FocusBullet"/>
        <w:widowControl w:val="1"/>
      </w:pPr>
      <w:r>
        <w:t>Separation of powers</w:t>
      </w:r>
    </w:p>
    <w:p>
      <w:pPr>
        <w:pStyle w:val="Heading3"/>
        <w:widowControl w:val="1"/>
      </w:pPr>
      <w:r>
        <w:t>Introduction and Scope</w:t>
      </w:r>
    </w:p>
    <w:p>
      <w:pPr>
        <w:pStyle w:val="TopicIntro"/>
        <w:widowControl w:val="1"/>
      </w:pPr>
      <w:r>
        <w:t>Constitutional structures explain where executive and legislative authority is located and how state institutions check one another.</w:t>
      </w:r>
    </w:p>
    <w:p>
      <w:pPr>
        <w:pStyle w:val="TopicIntro"/>
        <w:widowControl w:val="1"/>
      </w:pPr>
      <w:r>
        <w:t>In a parliamentary system the executive is politically linked to and accountable to the legislature. In a presidential system the executive is separately elected or separately constituted and enjoys a more distinct tenure. Separation of powers distributes state functions while checks and balances prevent concentration.</w:t>
      </w:r>
    </w:p>
    <w:p>
      <w:pPr>
        <w:pStyle w:val="Heading3"/>
        <w:widowControl w:val="1"/>
      </w:pPr>
      <w:r>
        <w:t>Parliamentary and presidential government</w:t>
      </w:r>
    </w:p>
    <w:p>
      <w:pPr>
        <w:widowControl w:val="1"/>
      </w:pPr>
      <w:r>
        <w:t>The basic difference lies in the relationship between executive and legislature. In a parliamentary model, the political executive ordinarily emerges from the legislature and remains responsible to it through mechanisms such as confidence. In a presidential model, the chief executive and legislature possess separate electoral or constitutional mandates and fixed or independently protected tenures.</w:t>
      </w:r>
    </w:p>
    <w:p>
      <w:pPr>
        <w:widowControl w:val="1"/>
      </w:pPr>
      <w:r>
        <w:t>This difference affects cabinet formation, removal, dissolution, legislative bargaining and the management of political deadlock. It does not mean that one system has checks and the other does not; rather, the checks operate through different institutional relationships.</w:t>
      </w:r>
    </w:p>
    <w:p>
      <w:pPr>
        <w:pStyle w:val="Heading3"/>
        <w:widowControl w:val="1"/>
      </w:pPr>
      <w:r>
        <w:t>Separation of powers and checks and balances</w:t>
      </w:r>
    </w:p>
    <w:p>
      <w:pPr>
        <w:widowControl w:val="1"/>
      </w:pPr>
      <w:r>
        <w:t>Separation of powers is best understood as a principle against excessive concentration of governmental functions. Modern constitutions rarely place all legislative, executive and judicial activity in completely isolated compartments. Instead, they distribute primary functions while allowing controlled interaction.</w:t>
      </w:r>
    </w:p>
    <w:p>
      <w:pPr>
        <w:widowControl w:val="1"/>
      </w:pPr>
      <w:r>
        <w:t>Checks and balances are the institutional mechanisms that make that interaction accountable. Examples include legislative scrutiny of the executive, executive assent or veto mechanisms where constitutionally provided, judicial review, budgetary control, confirmation processes and constitutionally defined removal procedures. Their legitimacy depends on the constitutional allocation of power, not simply on whether they appear politically useful.</w:t>
      </w:r>
    </w:p>
    <w:p>
      <w:pPr>
        <w:pStyle w:val="Heading3"/>
        <w:widowControl w:val="1"/>
      </w:pPr>
      <w:r>
        <w:t>Comparison method</w:t>
      </w:r>
    </w:p>
    <w:p>
      <w:pPr>
        <w:widowControl w:val="1"/>
      </w:pPr>
      <w:r>
        <w:t>A strong comparative answer asks the same questions of each system: How is the head of government selected? Is executive tenure dependent on legislative confidence? Can the legislature be dissolved, and by whom? How are ministers appointed? What happens during institutional deadlock? How is judicial review organized? Using identical criteria prevents a comparison from becoming a list of unrelated national facts.</w:t>
      </w:r>
    </w:p>
    <w:p>
      <w:pPr>
        <w:pStyle w:val="Heading3"/>
        <w:widowControl w:val="1"/>
      </w:pPr>
      <w:r>
        <w:t>Key Comparison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D9E5F0"/>
            <w:vAlign w:val="center"/>
            <w:tcMar>
              <w:top w:w="90" w:type="dxa"/>
              <w:start w:w="100" w:type="dxa"/>
              <w:bottom w:w="90" w:type="dxa"/>
              <w:end w:w="100" w:type="dxa"/>
            </w:tcMar>
          </w:tcPr>
          <w:p>
            <w:pPr>
              <w:jc w:val="center"/>
            </w:pPr>
            <w:r>
              <w:rPr>
                <w:b/>
                <w:sz w:val="19"/>
              </w:rPr>
              <w:t>Question</w:t>
            </w:r>
          </w:p>
        </w:tc>
        <w:tc>
          <w:tcPr>
            <w:tcW w:type="dxa" w:w="3250"/>
            <w:shd w:fill="D9E5F0"/>
            <w:vAlign w:val="center"/>
            <w:tcMar>
              <w:top w:w="90" w:type="dxa"/>
              <w:start w:w="100" w:type="dxa"/>
              <w:bottom w:w="90" w:type="dxa"/>
              <w:end w:w="100" w:type="dxa"/>
            </w:tcMar>
          </w:tcPr>
          <w:p>
            <w:pPr>
              <w:jc w:val="center"/>
            </w:pPr>
            <w:r>
              <w:rPr>
                <w:b/>
                <w:sz w:val="19"/>
              </w:rPr>
              <w:t>Parliamentary system</w:t>
            </w:r>
          </w:p>
        </w:tc>
        <w:tc>
          <w:tcPr>
            <w:tcW w:type="dxa" w:w="3250"/>
            <w:shd w:fill="D9E5F0"/>
            <w:vAlign w:val="center"/>
            <w:tcMar>
              <w:top w:w="90" w:type="dxa"/>
              <w:start w:w="100" w:type="dxa"/>
              <w:bottom w:w="90" w:type="dxa"/>
              <w:end w:w="100" w:type="dxa"/>
            </w:tcMar>
          </w:tcPr>
          <w:p>
            <w:pPr>
              <w:jc w:val="center"/>
            </w:pPr>
            <w:r>
              <w:rPr>
                <w:b/>
                <w:sz w:val="19"/>
              </w:rPr>
              <w:t>Presidential system</w:t>
            </w:r>
          </w:p>
        </w:tc>
      </w:tr>
      <w:tr>
        <w:tc>
          <w:tcPr>
            <w:tcW w:type="dxa" w:w="3250"/>
            <w:vAlign w:val="top"/>
            <w:tcMar>
              <w:top w:w="90" w:type="dxa"/>
              <w:start w:w="100" w:type="dxa"/>
              <w:bottom w:w="90" w:type="dxa"/>
              <w:end w:w="100" w:type="dxa"/>
            </w:tcMar>
          </w:tcPr>
          <w:p>
            <w:pPr>
              <w:spacing w:after="0"/>
            </w:pPr>
            <w:r>
              <w:rPr>
                <w:sz w:val="18"/>
              </w:rPr>
              <w:t>Executive origin</w:t>
            </w:r>
          </w:p>
        </w:tc>
        <w:tc>
          <w:tcPr>
            <w:tcW w:type="dxa" w:w="3250"/>
            <w:vAlign w:val="top"/>
            <w:tcMar>
              <w:top w:w="90" w:type="dxa"/>
              <w:start w:w="100" w:type="dxa"/>
              <w:bottom w:w="90" w:type="dxa"/>
              <w:end w:w="100" w:type="dxa"/>
            </w:tcMar>
          </w:tcPr>
          <w:p>
            <w:pPr>
              <w:spacing w:after="0"/>
            </w:pPr>
            <w:r>
              <w:rPr>
                <w:sz w:val="18"/>
              </w:rPr>
              <w:t>Government normally emerges from legislature</w:t>
            </w:r>
          </w:p>
        </w:tc>
        <w:tc>
          <w:tcPr>
            <w:tcW w:type="dxa" w:w="3250"/>
            <w:vAlign w:val="top"/>
            <w:tcMar>
              <w:top w:w="90" w:type="dxa"/>
              <w:start w:w="100" w:type="dxa"/>
              <w:bottom w:w="90" w:type="dxa"/>
              <w:end w:w="100" w:type="dxa"/>
            </w:tcMar>
          </w:tcPr>
          <w:p>
            <w:pPr>
              <w:spacing w:after="0"/>
            </w:pPr>
            <w:r>
              <w:rPr>
                <w:sz w:val="18"/>
              </w:rPr>
              <w:t>Executive has a separate constitutional mandate</w:t>
            </w:r>
          </w:p>
        </w:tc>
      </w:tr>
      <w:tr>
        <w:tc>
          <w:tcPr>
            <w:tcW w:type="dxa" w:w="3250"/>
            <w:vAlign w:val="top"/>
            <w:tcMar>
              <w:top w:w="90" w:type="dxa"/>
              <w:start w:w="100" w:type="dxa"/>
              <w:bottom w:w="90" w:type="dxa"/>
              <w:end w:w="100" w:type="dxa"/>
            </w:tcMar>
          </w:tcPr>
          <w:p>
            <w:pPr>
              <w:spacing w:after="0"/>
            </w:pPr>
            <w:r>
              <w:rPr>
                <w:sz w:val="18"/>
              </w:rPr>
              <w:t>Political survival</w:t>
            </w:r>
          </w:p>
        </w:tc>
        <w:tc>
          <w:tcPr>
            <w:tcW w:type="dxa" w:w="3250"/>
            <w:vAlign w:val="top"/>
            <w:tcMar>
              <w:top w:w="90" w:type="dxa"/>
              <w:start w:w="100" w:type="dxa"/>
              <w:bottom w:w="90" w:type="dxa"/>
              <w:end w:w="100" w:type="dxa"/>
            </w:tcMar>
          </w:tcPr>
          <w:p>
            <w:pPr>
              <w:spacing w:after="0"/>
            </w:pPr>
            <w:r>
              <w:rPr>
                <w:sz w:val="18"/>
              </w:rPr>
              <w:t>Depends on legislative confidence</w:t>
            </w:r>
          </w:p>
        </w:tc>
        <w:tc>
          <w:tcPr>
            <w:tcW w:type="dxa" w:w="3250"/>
            <w:vAlign w:val="top"/>
            <w:tcMar>
              <w:top w:w="90" w:type="dxa"/>
              <w:start w:w="100" w:type="dxa"/>
              <w:bottom w:w="90" w:type="dxa"/>
              <w:end w:w="100" w:type="dxa"/>
            </w:tcMar>
          </w:tcPr>
          <w:p>
            <w:pPr>
              <w:spacing w:after="0"/>
            </w:pPr>
            <w:r>
              <w:rPr>
                <w:sz w:val="18"/>
              </w:rPr>
              <w:t>Fixed/separate tenure subject to constitutional removal</w:t>
            </w:r>
          </w:p>
        </w:tc>
      </w:tr>
      <w:tr>
        <w:tc>
          <w:tcPr>
            <w:tcW w:type="dxa" w:w="3250"/>
            <w:vAlign w:val="top"/>
            <w:tcMar>
              <w:top w:w="90" w:type="dxa"/>
              <w:start w:w="100" w:type="dxa"/>
              <w:bottom w:w="90" w:type="dxa"/>
              <w:end w:w="100" w:type="dxa"/>
            </w:tcMar>
          </w:tcPr>
          <w:p>
            <w:pPr>
              <w:spacing w:after="0"/>
            </w:pPr>
            <w:r>
              <w:rPr>
                <w:sz w:val="18"/>
              </w:rPr>
              <w:t>Executive–legislative relation</w:t>
            </w:r>
          </w:p>
        </w:tc>
        <w:tc>
          <w:tcPr>
            <w:tcW w:type="dxa" w:w="3250"/>
            <w:vAlign w:val="top"/>
            <w:tcMar>
              <w:top w:w="90" w:type="dxa"/>
              <w:start w:w="100" w:type="dxa"/>
              <w:bottom w:w="90" w:type="dxa"/>
              <w:end w:w="100" w:type="dxa"/>
            </w:tcMar>
          </w:tcPr>
          <w:p>
            <w:pPr>
              <w:spacing w:after="0"/>
            </w:pPr>
            <w:r>
              <w:rPr>
                <w:sz w:val="18"/>
              </w:rPr>
              <w:t>Greater fusion</w:t>
            </w:r>
          </w:p>
        </w:tc>
        <w:tc>
          <w:tcPr>
            <w:tcW w:type="dxa" w:w="3250"/>
            <w:vAlign w:val="top"/>
            <w:tcMar>
              <w:top w:w="90" w:type="dxa"/>
              <w:start w:w="100" w:type="dxa"/>
              <w:bottom w:w="90" w:type="dxa"/>
              <w:end w:w="100" w:type="dxa"/>
            </w:tcMar>
          </w:tcPr>
          <w:p>
            <w:pPr>
              <w:spacing w:after="0"/>
            </w:pPr>
            <w:r>
              <w:rPr>
                <w:sz w:val="18"/>
              </w:rPr>
              <w:t>Greater institutional separation</w:t>
            </w:r>
          </w:p>
        </w:tc>
      </w:tr>
      <w:tr>
        <w:tc>
          <w:tcPr>
            <w:tcW w:type="dxa" w:w="3250"/>
            <w:vAlign w:val="top"/>
            <w:tcMar>
              <w:top w:w="90" w:type="dxa"/>
              <w:start w:w="100" w:type="dxa"/>
              <w:bottom w:w="90" w:type="dxa"/>
              <w:end w:w="100" w:type="dxa"/>
            </w:tcMar>
          </w:tcPr>
          <w:p>
            <w:pPr>
              <w:spacing w:after="0"/>
            </w:pPr>
            <w:r>
              <w:rPr>
                <w:sz w:val="18"/>
              </w:rPr>
              <w:t>Typical risk</w:t>
            </w:r>
          </w:p>
        </w:tc>
        <w:tc>
          <w:tcPr>
            <w:tcW w:type="dxa" w:w="3250"/>
            <w:vAlign w:val="top"/>
            <w:tcMar>
              <w:top w:w="90" w:type="dxa"/>
              <w:start w:w="100" w:type="dxa"/>
              <w:bottom w:w="90" w:type="dxa"/>
              <w:end w:w="100" w:type="dxa"/>
            </w:tcMar>
          </w:tcPr>
          <w:p>
            <w:pPr>
              <w:spacing w:after="0"/>
            </w:pPr>
            <w:r>
              <w:rPr>
                <w:sz w:val="18"/>
              </w:rPr>
              <w:t>Executive dominance through majority or unstable coalitions</w:t>
            </w:r>
          </w:p>
        </w:tc>
        <w:tc>
          <w:tcPr>
            <w:tcW w:type="dxa" w:w="3250"/>
            <w:vAlign w:val="top"/>
            <w:tcMar>
              <w:top w:w="90" w:type="dxa"/>
              <w:start w:w="100" w:type="dxa"/>
              <w:bottom w:w="90" w:type="dxa"/>
              <w:end w:w="100" w:type="dxa"/>
            </w:tcMar>
          </w:tcPr>
          <w:p>
            <w:pPr>
              <w:spacing w:after="0"/>
            </w:pPr>
            <w:r>
              <w:rPr>
                <w:sz w:val="18"/>
              </w:rPr>
              <w:t>Deadlock between separately elected branches</w:t>
            </w:r>
          </w:p>
        </w:tc>
      </w:tr>
    </w:tbl>
    <w:p>
      <w:pPr>
        <w:widowControl w:val="1"/>
      </w:pPr>
    </w:p>
    <w:p>
      <w:pPr>
        <w:pStyle w:val="Heading3"/>
        <w:widowControl w:val="1"/>
      </w:pPr>
      <w:r>
        <w:t>Core Concepts Explained</w:t>
      </w:r>
    </w:p>
    <w:p>
      <w:pPr>
        <w:pStyle w:val="TeachingBullet"/>
        <w:widowControl w:val="1"/>
      </w:pPr>
      <w:r>
        <w:t>A parliamentary system links executive survival to legislative confidence. The head of government normally emerges from the parliamentary majority and remains politically accountable to the legislature.</w:t>
      </w:r>
    </w:p>
    <w:p>
      <w:pPr>
        <w:pStyle w:val="TeachingBullet"/>
        <w:widowControl w:val="1"/>
      </w:pPr>
      <w:r>
        <w:t>A presidential system creates a more separate executive mandate and tenure. The executive and legislature derive authority separately, so conflict can occur without automatically removing either branch.</w:t>
      </w:r>
    </w:p>
    <w:p>
      <w:pPr>
        <w:pStyle w:val="TeachingBullet"/>
        <w:widowControl w:val="1"/>
      </w:pPr>
      <w:r>
        <w:t>Separation of powers is not usually absolute. Modern constitutions distribute functions while creating checks: vetoes, confirmations, judicial review, legislative oversight, financial control and impeachment or removal procedures.</w:t>
      </w:r>
    </w:p>
    <w:p>
      <w:pPr>
        <w:pStyle w:val="TeachingBullet"/>
        <w:widowControl w:val="1"/>
      </w:pPr>
      <w:r>
        <w:rPr>
          <w:b/>
        </w:rPr>
        <w:t>When comparing systems, use the same questions:</w:t>
      </w:r>
      <w:r>
        <w:t xml:space="preserve"> Who chooses the executive? Can the legislature remove it politically? Can the executive dissolve the legislature? How are ministers selected? How are institutional deadlocks managed?</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that parliamentary systems have no separation of powers. They have a fusion of executive-legislative leadership, but legal and institutional checks still exist.</w:t>
            </w:r>
          </w:p>
        </w:tc>
      </w:tr>
    </w:tbl>
    <w:p>
      <w:pPr>
        <w:pStyle w:val="Heading3"/>
        <w:widowControl w:val="1"/>
      </w:pPr>
      <w:r>
        <w:t>Preparation and Answer Use</w:t>
      </w:r>
    </w:p>
    <w:p>
      <w:pPr>
        <w:pStyle w:val="TeachingBullet"/>
        <w:widowControl w:val="1"/>
      </w:pPr>
      <w:r>
        <w:t>Prepare a parliamentary vs presidential table.</w:t>
      </w:r>
    </w:p>
    <w:p>
      <w:pPr>
        <w:pStyle w:val="TeachingBullet"/>
        <w:widowControl w:val="1"/>
      </w:pPr>
      <w:r>
        <w:t>Add advantages, risks and examples without turning the answer into political opinion.</w:t>
      </w:r>
    </w:p>
    <w:p>
      <w:pPr>
        <w:pStyle w:val="TeachingBullet"/>
        <w:widowControl w:val="1"/>
      </w:pPr>
      <w:r>
        <w:t>Explain checks and balances as a practical modification of strict separation.</w:t>
      </w:r>
    </w:p>
    <w:p>
      <w:pPr>
        <w:pStyle w:val="Heading3"/>
        <w:widowControl w:val="1"/>
      </w:pPr>
      <w:r>
        <w:t>Key Takeaways</w:t>
      </w:r>
    </w:p>
    <w:p>
      <w:pPr>
        <w:pStyle w:val="TakeawayBullet"/>
        <w:widowControl w:val="1"/>
      </w:pPr>
      <w:r>
        <w:t>Parliamentary government emphasizes responsible government.</w:t>
      </w:r>
    </w:p>
    <w:p>
      <w:pPr>
        <w:pStyle w:val="TakeawayBullet"/>
        <w:widowControl w:val="1"/>
      </w:pPr>
      <w:r>
        <w:t>Presidential government emphasizes institutional separation.</w:t>
      </w:r>
    </w:p>
    <w:p>
      <w:pPr>
        <w:pStyle w:val="TakeawayBullet"/>
        <w:widowControl w:val="1"/>
      </w:pPr>
      <w:r>
        <w:t>Modern constitutions rarely use absolute separation.</w:t>
      </w:r>
    </w:p>
    <w:p>
      <w:pPr>
        <w:pStyle w:val="TakeawayBullet"/>
        <w:widowControl w:val="1"/>
      </w:pPr>
      <w:r>
        <w:t>Checks and balances are designed to restrain abuse.</w:t>
      </w:r>
    </w:p>
    <w:p>
      <w:pPr>
        <w:spacing w:after="20"/>
        <w:pBdr>
          <w:bottom w:val="single" w:sz="4" w:space="1" w:color="D9E2F3"/>
        </w:pBdr>
        <w:widowControl w:val="1"/>
      </w:pPr>
    </w:p>
    <w:p>
      <w:pPr>
        <w:pStyle w:val="Heading2"/>
        <w:widowControl w:val="1"/>
      </w:pPr>
      <w:r>
        <w:t>3. Judiciary, Judicial Independence and Judicial Review</w:t>
      </w:r>
    </w:p>
    <w:p>
      <w:pPr>
        <w:pStyle w:val="Heading3"/>
        <w:widowControl w:val="1"/>
      </w:pPr>
      <w:r>
        <w:t>Official Syllabus Focus</w:t>
      </w:r>
    </w:p>
    <w:p>
      <w:pPr>
        <w:pStyle w:val="FocusBullet"/>
        <w:widowControl w:val="1"/>
      </w:pPr>
      <w:r>
        <w:t>Independence of judiciary</w:t>
      </w:r>
    </w:p>
    <w:p>
      <w:pPr>
        <w:pStyle w:val="FocusBullet"/>
        <w:widowControl w:val="1"/>
      </w:pPr>
      <w:r>
        <w:t>Judicial review</w:t>
      </w:r>
    </w:p>
    <w:p>
      <w:pPr>
        <w:pStyle w:val="FocusBullet"/>
        <w:widowControl w:val="1"/>
      </w:pPr>
      <w:r>
        <w:t>Theories of constitutional interpretation</w:t>
      </w:r>
    </w:p>
    <w:p>
      <w:pPr>
        <w:pStyle w:val="Heading3"/>
        <w:widowControl w:val="1"/>
      </w:pPr>
      <w:r>
        <w:t>Introduction and Scope</w:t>
      </w:r>
    </w:p>
    <w:p>
      <w:pPr>
        <w:pStyle w:val="TopicIntro"/>
        <w:widowControl w:val="1"/>
      </w:pPr>
      <w:r>
        <w:t>The judiciary interprets law, resolves disputes and, in systems with judicial review, may examine whether public action conforms to the constitution.</w:t>
      </w:r>
    </w:p>
    <w:p>
      <w:pPr>
        <w:pStyle w:val="TopicIntro"/>
        <w:widowControl w:val="1"/>
      </w:pPr>
      <w:r>
        <w:t>Judicial independence concerns institutional and decisional freedom from improper influence. Judicial review is the power to test legislation or executive action against higher constitutional law. Interpretation theories differ on how judges should use text, history, structure, purpose and precedent.</w:t>
      </w:r>
    </w:p>
    <w:p>
      <w:pPr>
        <w:pStyle w:val="Heading3"/>
        <w:widowControl w:val="1"/>
      </w:pPr>
      <w:r>
        <w:t>What judicial independence protects</w:t>
      </w:r>
    </w:p>
    <w:p>
      <w:pPr>
        <w:widowControl w:val="1"/>
      </w:pPr>
      <w:r>
        <w:t>Judicial independence exists to protect impartial adjudication. It has an institutional dimension, concerning the judiciary as a branch, and an individual dimension, concerning the ability of a judge to decide a case according to law without improper pressure. Independence is therefore compatible with lawful accountability; it does not mean that judges are free from constitutional limits or ethical obligations.</w:t>
      </w:r>
    </w:p>
    <w:p>
      <w:pPr>
        <w:widowControl w:val="1"/>
      </w:pPr>
      <w:r>
        <w:t>Common safeguards include rules on appointment, security of tenure, removal through defined procedures, financial security, court administration and protection from external interference. Their design differs across constitutional systems.</w:t>
      </w:r>
    </w:p>
    <w:p>
      <w:pPr>
        <w:pStyle w:val="Heading3"/>
        <w:widowControl w:val="1"/>
      </w:pPr>
      <w:r>
        <w:t>Judicial review</w:t>
      </w:r>
    </w:p>
    <w:p>
      <w:pPr>
        <w:widowControl w:val="1"/>
      </w:pPr>
      <w:r>
        <w:t>Judicial review is the authority to test legislative or executive action against higher constitutional law. It should be distinguished from an ordinary appeal. An appeal usually asks a higher court to reconsider a lower court decision in a case; constitutional review asks whether public action itself is legally compatible with the constitution.</w:t>
      </w:r>
    </w:p>
    <w:p>
      <w:pPr>
        <w:widowControl w:val="1"/>
      </w:pPr>
      <w:r>
        <w:t>The intensity and remedy of judicial review depend on the constitutional system. Some questions may involve direct invalidation, reading down, declarations, constitutional writs or other remedies. The existence of review therefore does not by itself answer how far courts may go.</w:t>
      </w:r>
    </w:p>
    <w:p>
      <w:pPr>
        <w:pStyle w:val="Heading3"/>
        <w:widowControl w:val="1"/>
      </w:pPr>
      <w:r>
        <w:t>Constitutional interpretation</w:t>
      </w:r>
    </w:p>
    <w:p>
      <w:pPr>
        <w:widowControl w:val="1"/>
      </w:pPr>
      <w:r>
        <w:t>Interpretive approaches include close attention to text, historical meaning, constitutional structure, precedent, purpose and underlying constitutional values. Real judicial reasoning often combines methods rather than following a single pure theory. The analytical task is to explain why a method is relevant to the legal question and how it constrains the interpretation.</w:t>
      </w:r>
    </w:p>
    <w:p>
      <w:pPr>
        <w:widowControl w:val="1"/>
      </w:pPr>
      <w:r>
        <w:t>Debates over judicial activism and restraint should be presented as debates about institutional role, democratic authority, rights protection and the limits of adjudication. They should not be reduced to praise or criticism of a particular political outcome.</w:t>
      </w:r>
    </w:p>
    <w:p>
      <w:pPr>
        <w:pStyle w:val="Heading3"/>
        <w:widowControl w:val="1"/>
      </w:pPr>
      <w:r>
        <w:t>Core Concepts Explained</w:t>
      </w:r>
    </w:p>
    <w:p>
      <w:pPr>
        <w:pStyle w:val="TeachingBullet"/>
        <w:widowControl w:val="1"/>
      </w:pPr>
      <w:r>
        <w:rPr>
          <w:b/>
        </w:rPr>
        <w:t>Judicial independence has two dimensions:</w:t>
      </w:r>
      <w:r>
        <w:t xml:space="preserve"> institutional independence of the judiciary as a branch and decisional independence of individual judges when deciding cases.</w:t>
      </w:r>
    </w:p>
    <w:p>
      <w:pPr>
        <w:pStyle w:val="TeachingBullet"/>
        <w:widowControl w:val="1"/>
      </w:pPr>
      <w:r>
        <w:t>Safeguards commonly concern appointment, tenure, removal, remuneration, court administration and protection from improper pressure. Their purpose is impartial adjudication, not judicial isolation from all accountability.</w:t>
      </w:r>
    </w:p>
    <w:p>
      <w:pPr>
        <w:pStyle w:val="TeachingBullet"/>
        <w:widowControl w:val="1"/>
      </w:pPr>
      <w:r>
        <w:t>Judicial review means examining whether legislation or executive action complies with higher constitutional norms. It is different from an appeal, which usually reviews a lower court decision within an ordinary case.</w:t>
      </w:r>
    </w:p>
    <w:p>
      <w:pPr>
        <w:pStyle w:val="TeachingBullet"/>
        <w:widowControl w:val="1"/>
      </w:pPr>
      <w:r>
        <w:t>Constitutional interpretation asks how broad constitutional language should be understood. Textual, historical, structural, purposive and precedent-based approaches may point to different reasoning, and judges may combine them.</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describe judicial review as unlimited judicial supremacy. Its scope depends on the constitution, jurisdiction and remedial rules of the legal system.</w:t>
            </w:r>
          </w:p>
        </w:tc>
      </w:tr>
    </w:tbl>
    <w:p>
      <w:pPr>
        <w:pStyle w:val="Heading3"/>
        <w:widowControl w:val="1"/>
      </w:pPr>
      <w:r>
        <w:t>Preparation and Answer Use</w:t>
      </w:r>
    </w:p>
    <w:p>
      <w:pPr>
        <w:pStyle w:val="TeachingBullet"/>
        <w:widowControl w:val="1"/>
      </w:pPr>
      <w:r>
        <w:t>Learn institutional safeguards for judicial independence.</w:t>
      </w:r>
    </w:p>
    <w:p>
      <w:pPr>
        <w:pStyle w:val="TeachingBullet"/>
        <w:widowControl w:val="1"/>
      </w:pPr>
      <w:r>
        <w:t>Separate judicial review from ordinary appeal.</w:t>
      </w:r>
    </w:p>
    <w:p>
      <w:pPr>
        <w:pStyle w:val="TeachingBullet"/>
        <w:widowControl w:val="1"/>
      </w:pPr>
      <w:r>
        <w:rPr>
          <w:b/>
        </w:rPr>
        <w:t>Prepare interpretation approaches in neutral language:</w:t>
      </w:r>
      <w:r>
        <w:t xml:space="preserve"> textual, historical/original, purposive, structural and precedent-based.</w:t>
      </w:r>
    </w:p>
    <w:p>
      <w:pPr>
        <w:pStyle w:val="Heading3"/>
        <w:widowControl w:val="1"/>
      </w:pPr>
      <w:r>
        <w:t>Key Takeaways</w:t>
      </w:r>
    </w:p>
    <w:p>
      <w:pPr>
        <w:pStyle w:val="TakeawayBullet"/>
        <w:widowControl w:val="1"/>
      </w:pPr>
      <w:r>
        <w:t>Independence supports impartial adjudication.</w:t>
      </w:r>
    </w:p>
    <w:p>
      <w:pPr>
        <w:pStyle w:val="TakeawayBullet"/>
        <w:widowControl w:val="1"/>
      </w:pPr>
      <w:r>
        <w:t>Judicial review enforces constitutional supremacy where the constitution permits it.</w:t>
      </w:r>
    </w:p>
    <w:p>
      <w:pPr>
        <w:pStyle w:val="TakeawayBullet"/>
        <w:widowControl w:val="1"/>
      </w:pPr>
      <w:r>
        <w:t>Interpretation converts broad constitutional text into rules for cases.</w:t>
      </w:r>
    </w:p>
    <w:p>
      <w:pPr>
        <w:spacing w:after="20"/>
        <w:pBdr>
          <w:bottom w:val="single" w:sz="4" w:space="1" w:color="D9E2F3"/>
        </w:pBdr>
        <w:widowControl w:val="1"/>
      </w:pPr>
    </w:p>
    <w:p>
      <w:pPr>
        <w:pStyle w:val="Heading2"/>
        <w:widowControl w:val="1"/>
      </w:pPr>
      <w:r>
        <w:t>4. Fundamental Rights and Civil Liberties</w:t>
      </w:r>
    </w:p>
    <w:p>
      <w:pPr>
        <w:pStyle w:val="Heading3"/>
        <w:widowControl w:val="1"/>
      </w:pPr>
      <w:r>
        <w:t>Official Syllabus Focus</w:t>
      </w:r>
    </w:p>
    <w:p>
      <w:pPr>
        <w:pStyle w:val="FocusBullet"/>
        <w:widowControl w:val="1"/>
      </w:pPr>
      <w:r>
        <w:t>Speech</w:t>
      </w:r>
    </w:p>
    <w:p>
      <w:pPr>
        <w:pStyle w:val="FocusBullet"/>
        <w:widowControl w:val="1"/>
      </w:pPr>
      <w:r>
        <w:t>Association</w:t>
      </w:r>
    </w:p>
    <w:p>
      <w:pPr>
        <w:pStyle w:val="FocusBullet"/>
        <w:widowControl w:val="1"/>
      </w:pPr>
      <w:r>
        <w:t>Assembly</w:t>
      </w:r>
    </w:p>
    <w:p>
      <w:pPr>
        <w:pStyle w:val="FocusBullet"/>
        <w:widowControl w:val="1"/>
      </w:pPr>
      <w:r>
        <w:t>Movement</w:t>
      </w:r>
    </w:p>
    <w:p>
      <w:pPr>
        <w:pStyle w:val="FocusBullet"/>
        <w:widowControl w:val="1"/>
      </w:pPr>
      <w:r>
        <w:t>Right to counsel</w:t>
      </w:r>
    </w:p>
    <w:p>
      <w:pPr>
        <w:pStyle w:val="FocusBullet"/>
        <w:widowControl w:val="1"/>
      </w:pPr>
      <w:r>
        <w:t>Life</w:t>
      </w:r>
    </w:p>
    <w:p>
      <w:pPr>
        <w:pStyle w:val="FocusBullet"/>
        <w:widowControl w:val="1"/>
      </w:pPr>
      <w:r>
        <w:t>Property</w:t>
      </w:r>
    </w:p>
    <w:p>
      <w:pPr>
        <w:pStyle w:val="FocusBullet"/>
        <w:widowControl w:val="1"/>
      </w:pPr>
      <w:r>
        <w:t>Religion</w:t>
      </w:r>
    </w:p>
    <w:p>
      <w:pPr>
        <w:pStyle w:val="FocusBullet"/>
        <w:widowControl w:val="1"/>
      </w:pPr>
      <w:r>
        <w:t>Privacy</w:t>
      </w:r>
    </w:p>
    <w:p>
      <w:pPr>
        <w:pStyle w:val="FocusBullet"/>
        <w:widowControl w:val="1"/>
      </w:pPr>
      <w:r>
        <w:t>Self-incrimination</w:t>
      </w:r>
    </w:p>
    <w:p>
      <w:pPr>
        <w:pStyle w:val="FocusBullet"/>
        <w:widowControl w:val="1"/>
      </w:pPr>
      <w:r>
        <w:t>Double jeopardy</w:t>
      </w:r>
    </w:p>
    <w:p>
      <w:pPr>
        <w:pStyle w:val="Heading3"/>
        <w:widowControl w:val="1"/>
      </w:pPr>
      <w:r>
        <w:t>Introduction and Scope</w:t>
      </w:r>
    </w:p>
    <w:p>
      <w:pPr>
        <w:pStyle w:val="TopicIntro"/>
        <w:widowControl w:val="1"/>
      </w:pPr>
      <w:r>
        <w:t>Fundamental rights protect individuals and groups against unlawful state interference and, in some systems, impose positive duties on the state.</w:t>
      </w:r>
    </w:p>
    <w:p>
      <w:pPr>
        <w:pStyle w:val="TopicIntro"/>
        <w:widowControl w:val="1"/>
      </w:pPr>
      <w:r>
        <w:t>Prepare each right through four questions: What interest is protected? Who may claim it? What kind of restriction is possible? What judicial remedy is available? Rights often conflict with public order, security, reputation or the rights of others, so constitutional analysis requires proportional and lawful reasoning.</w:t>
      </w:r>
    </w:p>
    <w:p>
      <w:pPr>
        <w:pStyle w:val="Heading3"/>
        <w:widowControl w:val="1"/>
      </w:pPr>
      <w:r>
        <w:t>Rights analysis as a structured inquiry</w:t>
      </w:r>
    </w:p>
    <w:p>
      <w:pPr>
        <w:widowControl w:val="1"/>
      </w:pPr>
      <w:r>
        <w:t>A fundamental-rights answer should identify the right, the holder of the right, the state measure affecting it, the constitutional source of any restriction, and the standard by which that restriction is tested. This prevents rights from being treated as slogans.</w:t>
      </w:r>
    </w:p>
    <w:p>
      <w:pPr>
        <w:widowControl w:val="1"/>
      </w:pPr>
      <w:r>
        <w:t>Rights may protect freedom, autonomy, participation, equality, dignity, property, fair process and other interests. Some are framed in absolute language; many are qualified by constitutionally recognized restrictions. The exact text and authoritative case law determine the legal position.</w:t>
      </w:r>
    </w:p>
    <w:p>
      <w:pPr>
        <w:pStyle w:val="Heading3"/>
        <w:widowControl w:val="1"/>
      </w:pPr>
      <w:r>
        <w:t>Fair-trial and criminal-process rights</w:t>
      </w:r>
    </w:p>
    <w:p>
      <w:pPr>
        <w:widowControl w:val="1"/>
      </w:pPr>
      <w:r>
        <w:t>Rights to counsel, protection against compelled self-incrimination, protection against double jeopardy and access to an impartial hearing work together to reduce the risk of coercive or unreliable criminal adjudication. They should be understood as a system of procedural fairness rather than as unrelated technical rules.</w:t>
      </w:r>
    </w:p>
    <w:p>
      <w:pPr>
        <w:widowControl w:val="1"/>
      </w:pPr>
      <w:r>
        <w:t>Privacy, expression and association now frequently arise in digital settings. The legal principle remains constitutional, but the factual context may involve digital surveillance, online speech, platform communications or electronic records. Contemporary examples should therefore be used only after identifying the governing constitutional standard.</w:t>
      </w:r>
    </w:p>
    <w:p>
      <w:pPr>
        <w:pStyle w:val="Heading3"/>
        <w:widowControl w:val="1"/>
      </w:pPr>
      <w:r>
        <w:t>Balancing and limitation</w:t>
      </w:r>
    </w:p>
    <w:p>
      <w:pPr>
        <w:widowControl w:val="1"/>
      </w:pPr>
      <w:r>
        <w:t>Where a right is qualified, analysis normally asks whether the restriction has a valid legal basis, pursues a constitutionally legitimate objective, is sufficiently connected to that objective and does not exceed the limitation permitted by the constitutional framework. Different jurisdictions formulate these tests differently, so comparative concepts such as proportionality should not be inserted into a system without checking its legal doctrine.</w:t>
      </w:r>
    </w:p>
    <w:p>
      <w:pPr>
        <w:pStyle w:val="Heading3"/>
        <w:widowControl w:val="1"/>
      </w:pPr>
      <w:r>
        <w:t>Core Concepts Explained</w:t>
      </w:r>
    </w:p>
    <w:p>
      <w:pPr>
        <w:pStyle w:val="TeachingBullet"/>
        <w:widowControl w:val="1"/>
      </w:pPr>
      <w:r>
        <w:t>Treat each right as a structured problem rather than a slogan. Identify the protected interest, the person or group claiming the right, the state action interfering with it, and the constitutional test for that interference.</w:t>
      </w:r>
    </w:p>
    <w:p>
      <w:pPr>
        <w:pStyle w:val="TeachingBullet"/>
        <w:widowControl w:val="1"/>
      </w:pPr>
      <w:r>
        <w:t>Rights may protect speech, movement, association, religion, privacy, life, property and fair-trial interests, but many rights operate alongside lawful restrictions designed to protect other constitutional interests.</w:t>
      </w:r>
    </w:p>
    <w:p>
      <w:pPr>
        <w:pStyle w:val="TeachingBullet"/>
        <w:widowControl w:val="1"/>
      </w:pPr>
      <w:r>
        <w:t>Fair-trial protections work as a cluster. Counsel, protection against compelled self-incrimination, rules against double jeopardy, notice of accusation and impartial hearing all help reduce abusive or unreliable criminal process.</w:t>
      </w:r>
    </w:p>
    <w:p>
      <w:pPr>
        <w:pStyle w:val="TeachingBullet"/>
        <w:widowControl w:val="1"/>
      </w:pPr>
      <w:r>
        <w:t>A strong answer distinguishes the existence of a right from the legality of a restriction. The analytical question is whether the restriction has lawful authority and satisfies the constitutional standard applicable to that right.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assume that calling something a “fundamental right” means no restriction is ever possible. The constitutional text and case law determine the scope and limits.</w:t>
            </w:r>
          </w:p>
        </w:tc>
      </w:tr>
    </w:tbl>
    <w:p>
      <w:pPr>
        <w:pStyle w:val="Heading3"/>
        <w:widowControl w:val="1"/>
      </w:pPr>
      <w:r>
        <w:t>Preparation and Answer Use</w:t>
      </w:r>
    </w:p>
    <w:p>
      <w:pPr>
        <w:pStyle w:val="TeachingBullet"/>
        <w:widowControl w:val="1"/>
      </w:pPr>
      <w:r>
        <w:t>Make one-page rights cards.</w:t>
      </w:r>
    </w:p>
    <w:p>
      <w:pPr>
        <w:pStyle w:val="TeachingBullet"/>
        <w:widowControl w:val="1"/>
      </w:pPr>
      <w:r>
        <w:t>Learn the difference between absolute and qualified rights in general theory.</w:t>
      </w:r>
    </w:p>
    <w:p>
      <w:pPr>
        <w:pStyle w:val="TeachingBullet"/>
        <w:widowControl w:val="1"/>
      </w:pPr>
      <w:r>
        <w:t>For Pakistan, consult the current Constitution and leading judgments for exact scope.</w:t>
      </w:r>
    </w:p>
    <w:p>
      <w:pPr>
        <w:pStyle w:val="Heading3"/>
        <w:widowControl w:val="1"/>
      </w:pPr>
      <w:r>
        <w:t>Key Takeaways</w:t>
      </w:r>
    </w:p>
    <w:p>
      <w:pPr>
        <w:pStyle w:val="TakeawayBullet"/>
        <w:widowControl w:val="1"/>
      </w:pPr>
      <w:r>
        <w:t>Rights limit public power.</w:t>
      </w:r>
    </w:p>
    <w:p>
      <w:pPr>
        <w:pStyle w:val="TakeawayBullet"/>
        <w:widowControl w:val="1"/>
      </w:pPr>
      <w:r>
        <w:t>A restriction must have legal authority and constitutional justification.</w:t>
      </w:r>
    </w:p>
    <w:p>
      <w:pPr>
        <w:pStyle w:val="TakeawayBullet"/>
        <w:widowControl w:val="1"/>
      </w:pPr>
      <w:r>
        <w:t>Fair trial protections include counsel, protection against compelled self-incrimination and double jeopardy concepts.</w:t>
      </w:r>
    </w:p>
    <w:p>
      <w:pPr>
        <w:pStyle w:val="TakeawayBullet"/>
        <w:widowControl w:val="1"/>
      </w:pPr>
      <w:r>
        <w:t>Privacy and expression increasingly arise in digital contexts.</w:t>
      </w:r>
    </w:p>
    <w:p>
      <w:pPr>
        <w:spacing w:after="20"/>
        <w:pBdr>
          <w:bottom w:val="single" w:sz="4" w:space="1" w:color="D9E2F3"/>
        </w:pBdr>
        <w:widowControl w:val="1"/>
      </w:pPr>
    </w:p>
    <w:p>
      <w:pPr>
        <w:pStyle w:val="Heading2"/>
        <w:widowControl w:val="1"/>
      </w:pPr>
      <w:r>
        <w:t>5. Comparative Constitutional Law</w:t>
      </w:r>
    </w:p>
    <w:p>
      <w:pPr>
        <w:pStyle w:val="Heading3"/>
        <w:widowControl w:val="1"/>
      </w:pPr>
      <w:r>
        <w:t>Official Syllabus Focus</w:t>
      </w:r>
    </w:p>
    <w:p>
      <w:pPr>
        <w:pStyle w:val="FocusBullet"/>
        <w:widowControl w:val="1"/>
      </w:pPr>
      <w:r>
        <w:t>United Kingdom</w:t>
      </w:r>
    </w:p>
    <w:p>
      <w:pPr>
        <w:pStyle w:val="FocusBullet"/>
        <w:widowControl w:val="1"/>
      </w:pPr>
      <w:r>
        <w:t>United States</w:t>
      </w:r>
    </w:p>
    <w:p>
      <w:pPr>
        <w:pStyle w:val="FocusBullet"/>
        <w:widowControl w:val="1"/>
      </w:pPr>
      <w:r>
        <w:t>France</w:t>
      </w:r>
    </w:p>
    <w:p>
      <w:pPr>
        <w:pStyle w:val="FocusBullet"/>
        <w:widowControl w:val="1"/>
      </w:pPr>
      <w:r>
        <w:t>Russia</w:t>
      </w:r>
    </w:p>
    <w:p>
      <w:pPr>
        <w:pStyle w:val="FocusBullet"/>
        <w:widowControl w:val="1"/>
      </w:pPr>
      <w:r>
        <w:t>China</w:t>
      </w:r>
    </w:p>
    <w:p>
      <w:pPr>
        <w:pStyle w:val="FocusBullet"/>
        <w:widowControl w:val="1"/>
      </w:pPr>
      <w:r>
        <w:t>Pakistan</w:t>
      </w:r>
    </w:p>
    <w:p>
      <w:pPr>
        <w:pStyle w:val="FocusBullet"/>
        <w:widowControl w:val="1"/>
      </w:pPr>
      <w:r>
        <w:t>India</w:t>
      </w:r>
    </w:p>
    <w:p>
      <w:pPr>
        <w:pStyle w:val="FocusBullet"/>
        <w:widowControl w:val="1"/>
      </w:pPr>
      <w:r>
        <w:t>Turkey</w:t>
      </w:r>
    </w:p>
    <w:p>
      <w:pPr>
        <w:pStyle w:val="Heading3"/>
        <w:widowControl w:val="1"/>
      </w:pPr>
      <w:r>
        <w:t>Introduction and Scope</w:t>
      </w:r>
    </w:p>
    <w:p>
      <w:pPr>
        <w:pStyle w:val="TopicIntro"/>
        <w:widowControl w:val="1"/>
      </w:pPr>
      <w:r>
        <w:t>Comparative constitutional law examines how different states organize government, protect rights and control public power.</w:t>
      </w:r>
    </w:p>
    <w:p>
      <w:pPr>
        <w:pStyle w:val="TopicIntro"/>
        <w:widowControl w:val="1"/>
      </w:pPr>
      <w:r>
        <w:t>FPSC expects principles rather than encyclopedic constitutional history. Compare constitution type, executive-legislative relationship, federal/unitary structure, court system, constitutional review and rights protection. Focus on patterns and contrasts.</w:t>
      </w:r>
    </w:p>
    <w:p>
      <w:pPr>
        <w:pStyle w:val="Heading3"/>
        <w:widowControl w:val="1"/>
      </w:pPr>
      <w:r>
        <w:t>Purpose of comparison</w:t>
      </w:r>
    </w:p>
    <w:p>
      <w:pPr>
        <w:widowControl w:val="1"/>
      </w:pPr>
      <w:r>
        <w:t>Comparative constitutional law studies how different legal systems answer recurring problems of government: executive accountability, legislative representation, territorial distribution of power, judicial independence, constitutional review and protection of rights. The objective is not to collect national trivia but to identify institutional design choices and their consequences.</w:t>
      </w:r>
    </w:p>
    <w:p>
      <w:pPr>
        <w:widowControl w:val="1"/>
      </w:pPr>
      <w:r>
        <w:t>The same label may conceal important differences. Two states can both be federal and parliamentary while differing substantially in second chambers, emergency powers, party discipline, judicial appointment or centre-province relations. Similarly, two presidential systems can differ in veto design, legislative powers and constitutional review.</w:t>
      </w:r>
    </w:p>
    <w:p>
      <w:pPr>
        <w:pStyle w:val="Heading3"/>
        <w:widowControl w:val="1"/>
      </w:pPr>
      <w:r>
        <w:t>Common comparison template</w:t>
      </w:r>
    </w:p>
    <w:p>
      <w:pPr>
        <w:widowControl w:val="1"/>
      </w:pPr>
      <w:r>
        <w:t>For the United Kingdom, focus on an uncodified constitutional order, parliamentary government, constitutional statutes, common law, conventions and parliamentary sovereignty as developed within the contemporary legal system. For the United States, focus on a written federal constitution, separately elected presidency, bicameral Congress, federalism and strong-form judicial review.</w:t>
      </w:r>
    </w:p>
    <w:p>
      <w:pPr>
        <w:widowControl w:val="1"/>
      </w:pPr>
      <w:r>
        <w:t>For France, examine the Fifth Republic’s dual executive and the practical relationship between President, Prime Minister and parliamentary majority. For Pakistan and India, compare written constitutions, federal features and parliamentary government while carefully noting differences in constitutional text and institutional practice. Russia, China and Türkiye require the same neutral institutional template, with current arrangements verified from authoritative constitutional materials rather than inferred from older textbooks.</w:t>
      </w:r>
    </w:p>
    <w:p>
      <w:pPr>
        <w:pStyle w:val="Heading3"/>
        <w:widowControl w:val="1"/>
      </w:pPr>
      <w:r>
        <w:t>Avoiding weak comparison</w:t>
      </w:r>
    </w:p>
    <w:p>
      <w:pPr>
        <w:widowControl w:val="1"/>
      </w:pPr>
      <w:r>
        <w:t>A comparison is strongest when every system is tested against the same variable. For example, 'Who selects the executive?' can be answered for all eight systems. By contrast, comparing the UK’s conventions with the USA’s number of states and France’s electoral history produces no analytical relationship.</w:t>
      </w:r>
    </w:p>
    <w:p>
      <w:pPr>
        <w:pStyle w:val="Heading3"/>
        <w:widowControl w:val="1"/>
      </w:pPr>
      <w:r>
        <w:t>Core Concepts Explained</w:t>
      </w:r>
    </w:p>
    <w:p>
      <w:pPr>
        <w:pStyle w:val="TeachingBullet"/>
        <w:widowControl w:val="1"/>
      </w:pPr>
      <w:r>
        <w:t>Comparative constitutional law is easiest when every country is studied through the same template: type of constitution, executive structure, legislature, federal or unitary arrangement, judiciary, constitutional review and rights protection.</w:t>
      </w:r>
    </w:p>
    <w:p>
      <w:pPr>
        <w:pStyle w:val="TeachingBullet"/>
        <w:widowControl w:val="1"/>
      </w:pPr>
      <w:r>
        <w:t>The purpose is not to memorize political history of eight states. It is to identify how different constitutional designs solve similar problems such as executive accountability, territorial distribution of power and constitutional enforcement.</w:t>
      </w:r>
    </w:p>
    <w:p>
      <w:pPr>
        <w:pStyle w:val="TeachingBullet"/>
        <w:widowControl w:val="1"/>
      </w:pPr>
      <w:r>
        <w:rPr>
          <w:b/>
        </w:rPr>
        <w:t>Use paired comparison:</w:t>
      </w:r>
      <w:r>
        <w:t xml:space="preserve"> UK and USA for parliamentary traditions versus presidential separation; Pakistan and India for parliamentary federalism; France for a mixed executive model; and other systems for different institutional arrangements.</w:t>
      </w:r>
    </w:p>
    <w:p>
      <w:pPr>
        <w:pStyle w:val="TeachingBullet"/>
        <w:widowControl w:val="1"/>
      </w:pPr>
      <w:r>
        <w:t>Contemporary features can change through constitutional amendments or institutional reform, so exact current arrangements should be checked from authoritative constitutional sources before examination.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compare countries through unrelated facts. Use identical headings so the examiner can immediately see the constitutional contrast.</w:t>
            </w:r>
          </w:p>
        </w:tc>
      </w:tr>
    </w:tbl>
    <w:p>
      <w:pPr>
        <w:pStyle w:val="Heading3"/>
        <w:widowControl w:val="1"/>
      </w:pPr>
      <w:r>
        <w:t>Preparation and Answer Use</w:t>
      </w:r>
    </w:p>
    <w:p>
      <w:pPr>
        <w:pStyle w:val="TeachingBullet"/>
        <w:widowControl w:val="1"/>
      </w:pPr>
      <w:r>
        <w:t>Create a common comparison template for all eight systems.</w:t>
      </w:r>
    </w:p>
    <w:p>
      <w:pPr>
        <w:pStyle w:val="TeachingBullet"/>
        <w:widowControl w:val="1"/>
      </w:pPr>
      <w:r>
        <w:t>Study two countries together to remember contrasts.</w:t>
      </w:r>
    </w:p>
    <w:p>
      <w:pPr>
        <w:pStyle w:val="TeachingBullet"/>
        <w:widowControl w:val="1"/>
      </w:pPr>
      <w:r>
        <w:t>Use current constitutional arrangements from authoritative sources when writing contemporary features.</w:t>
      </w:r>
    </w:p>
    <w:p>
      <w:pPr>
        <w:pStyle w:val="SourceNote"/>
        <w:widowControl w:val="1"/>
      </w:pPr>
      <w:r>
        <w:t>A comparative answer should use the same headings for each country so the examiner can see the comparison.</w:t>
      </w:r>
    </w:p>
    <w:p>
      <w:pPr>
        <w:pStyle w:val="Heading3"/>
        <w:widowControl w:val="1"/>
      </w:pPr>
      <w:r>
        <w:t>Key Takeaways</w:t>
      </w:r>
    </w:p>
    <w:p>
      <w:pPr>
        <w:pStyle w:val="TakeawayBullet"/>
        <w:widowControl w:val="1"/>
      </w:pPr>
      <w:r>
        <w:rPr>
          <w:b/>
        </w:rPr>
        <w:t>UK:</w:t>
      </w:r>
      <w:r>
        <w:t xml:space="preserve"> uncodified constitutional order with parliamentary traditions.</w:t>
      </w:r>
    </w:p>
    <w:p>
      <w:pPr>
        <w:pStyle w:val="TakeawayBullet"/>
        <w:widowControl w:val="1"/>
      </w:pPr>
      <w:r>
        <w:rPr>
          <w:b/>
        </w:rPr>
        <w:t>USA:</w:t>
      </w:r>
      <w:r>
        <w:t xml:space="preserve"> written federal constitution with presidential separation and strong judicial review.</w:t>
      </w:r>
    </w:p>
    <w:p>
      <w:pPr>
        <w:pStyle w:val="TakeawayBullet"/>
        <w:widowControl w:val="1"/>
      </w:pPr>
      <w:r>
        <w:rPr>
          <w:b/>
        </w:rPr>
        <w:t>Pakistan and India:</w:t>
      </w:r>
      <w:r>
        <w:t xml:space="preserve"> written constitutions with parliamentary federal structures, though details differ.</w:t>
      </w:r>
    </w:p>
    <w:p>
      <w:pPr>
        <w:pStyle w:val="TakeawayBullet"/>
        <w:widowControl w:val="1"/>
      </w:pPr>
      <w:r>
        <w:rPr>
          <w:b/>
        </w:rPr>
        <w:t>France:</w:t>
      </w:r>
      <w:r>
        <w:t xml:space="preserve"> semi-presidential features under the Fifth Republic.</w:t>
      </w:r>
    </w:p>
    <w:p>
      <w:pPr>
        <w:pStyle w:val="TakeawayBullet"/>
        <w:widowControl w:val="1"/>
      </w:pPr>
      <w:r>
        <w:rPr>
          <w:b/>
        </w:rPr>
        <w:t>China:</w:t>
      </w:r>
      <w:r>
        <w:t xml:space="preserve"> constitutional structure centered on the state system led by the National People’s Congress; study current institutional detail carefully.</w:t>
      </w:r>
    </w:p>
    <w:p>
      <w:pPr>
        <w:spacing w:after="20"/>
        <w:pBdr>
          <w:bottom w:val="single" w:sz="4" w:space="1" w:color="D9E2F3"/>
        </w:pBdr>
        <w:widowControl w:val="1"/>
      </w:pPr>
    </w:p>
    <w:p>
      <w:pPr>
        <w:pStyle w:val="Heading2"/>
        <w:widowControl w:val="1"/>
      </w:pPr>
      <w:r>
        <w:t>6. Constitutional History of Pakistan</w:t>
      </w:r>
    </w:p>
    <w:p>
      <w:pPr>
        <w:pStyle w:val="Heading3"/>
        <w:widowControl w:val="1"/>
      </w:pPr>
      <w:r>
        <w:t>Official Syllabus Focus</w:t>
      </w:r>
    </w:p>
    <w:p>
      <w:pPr>
        <w:pStyle w:val="FocusBullet"/>
        <w:widowControl w:val="1"/>
      </w:pPr>
      <w:r>
        <w:t>Government of India Act 1935</w:t>
      </w:r>
    </w:p>
    <w:p>
      <w:pPr>
        <w:pStyle w:val="FocusBullet"/>
        <w:widowControl w:val="1"/>
      </w:pPr>
      <w:r>
        <w:t>Indian Independence Act 1947</w:t>
      </w:r>
    </w:p>
    <w:p>
      <w:pPr>
        <w:pStyle w:val="FocusBullet"/>
        <w:widowControl w:val="1"/>
      </w:pPr>
      <w:r>
        <w:t>Objectives Resolution 1949</w:t>
      </w:r>
    </w:p>
    <w:p>
      <w:pPr>
        <w:pStyle w:val="FocusBullet"/>
        <w:widowControl w:val="1"/>
      </w:pPr>
      <w:r>
        <w:t>Constitutions of 1956, 1962 and 1973</w:t>
      </w:r>
    </w:p>
    <w:p>
      <w:pPr>
        <w:pStyle w:val="FocusBullet"/>
        <w:widowControl w:val="1"/>
      </w:pPr>
      <w:r>
        <w:t>Abrogation/suspension and martial laws</w:t>
      </w:r>
    </w:p>
    <w:p>
      <w:pPr>
        <w:pStyle w:val="FocusBullet"/>
        <w:widowControl w:val="1"/>
      </w:pPr>
      <w:r>
        <w:t>LFO 1970</w:t>
      </w:r>
    </w:p>
    <w:p>
      <w:pPr>
        <w:pStyle w:val="FocusBullet"/>
        <w:widowControl w:val="1"/>
      </w:pPr>
      <w:r>
        <w:t>PCO 1981</w:t>
      </w:r>
    </w:p>
    <w:p>
      <w:pPr>
        <w:pStyle w:val="FocusBullet"/>
        <w:widowControl w:val="1"/>
      </w:pPr>
      <w:r>
        <w:t>RCO 1985</w:t>
      </w:r>
    </w:p>
    <w:p>
      <w:pPr>
        <w:pStyle w:val="FocusBullet"/>
        <w:widowControl w:val="1"/>
      </w:pPr>
      <w:r>
        <w:t>LFO 2002</w:t>
      </w:r>
    </w:p>
    <w:p>
      <w:pPr>
        <w:pStyle w:val="FocusBullet"/>
        <w:widowControl w:val="1"/>
      </w:pPr>
      <w:r>
        <w:t>Amendments in the 1973 Constitution</w:t>
      </w:r>
    </w:p>
    <w:p>
      <w:pPr>
        <w:pStyle w:val="Heading3"/>
        <w:widowControl w:val="1"/>
      </w:pPr>
      <w:r>
        <w:t>Introduction and Scope</w:t>
      </w:r>
    </w:p>
    <w:p>
      <w:pPr>
        <w:pStyle w:val="TopicIntro"/>
        <w:widowControl w:val="1"/>
      </w:pPr>
      <w:r>
        <w:t>Pakistan’s constitutional history is a sequence of constitution-making, institutional conflict, military interventions, restoration and amendment.</w:t>
      </w:r>
    </w:p>
    <w:p>
      <w:pPr>
        <w:pStyle w:val="TopicIntro"/>
        <w:widowControl w:val="1"/>
      </w:pPr>
      <w:r>
        <w:t>Study this as a timeline. For every constitutional instrument identify the political context, form of government, federal structure, position of the executive, legislature and judiciary, fundamental rights, and the reason it mattered for later constitutional development.</w:t>
      </w:r>
    </w:p>
    <w:p>
      <w:pPr>
        <w:pStyle w:val="SourceNote"/>
        <w:widowControl w:val="1"/>
      </w:pPr>
      <w:r>
        <w:t>Primary authority: Constitution of the Islamic Republic of Pakistan, current official text; constitutional instruments should be checked in official legal records.</w:t>
      </w:r>
    </w:p>
    <w:p>
      <w:pPr>
        <w:pStyle w:val="Heading3"/>
        <w:widowControl w:val="1"/>
      </w:pPr>
      <w:r>
        <w:t>How to study constitutional history</w:t>
      </w:r>
    </w:p>
    <w:p>
      <w:pPr>
        <w:widowControl w:val="1"/>
      </w:pPr>
      <w:r>
        <w:t>Pakistan’s constitutional history should be read as a sequence of legal settlements and disruptions rather than as a list of rulers. Each stage should be examined through the source of legal authority, form of executive government, federal design, legislature, judiciary, rights, amendment process and the circumstances in which the arrangement changed.</w:t>
      </w:r>
    </w:p>
    <w:p>
      <w:pPr>
        <w:widowControl w:val="1"/>
      </w:pPr>
      <w:r>
        <w:t>The Government of India Act 1935 mattered because it provided much of the inherited administrative and federal framework used during the transition. The Indian Independence Act 1947 created the legal setting for independence. The Objectives Resolution 1949 articulated constitutional principles that influenced later constitution-making.</w:t>
      </w:r>
    </w:p>
    <w:p>
      <w:pPr>
        <w:pStyle w:val="Heading3"/>
        <w:widowControl w:val="1"/>
      </w:pPr>
      <w:r>
        <w:t>Constitutional experiments and interruptions</w:t>
      </w:r>
    </w:p>
    <w:p>
      <w:pPr>
        <w:widowControl w:val="1"/>
      </w:pPr>
      <w:r>
        <w:t>The 1956 Constitution established Pakistan’s first indigenous constitutional order and a parliamentary framework. The 1962 Constitution moved toward a presidential design. The 1973 Constitution restored a parliamentary federal structure and remains the central constitutional text, subject to amendments and periods of interruption.</w:t>
      </w:r>
    </w:p>
    <w:p>
      <w:pPr>
        <w:widowControl w:val="1"/>
      </w:pPr>
      <w:r>
        <w:t>Martial-law periods, provisional constitutional orders and suspension or abeyance of constitutional arrangements generated recurring judicial questions about legality, necessity, continuity of state institutions and the limits of extra-constitutional power. These periods should be connected to the major constitutional cases rather than memorized separately.</w:t>
      </w:r>
    </w:p>
    <w:p>
      <w:pPr>
        <w:pStyle w:val="Heading3"/>
        <w:widowControl w:val="1"/>
      </w:pPr>
      <w:r>
        <w:t>Amendments as changes in institutional balance</w:t>
      </w:r>
    </w:p>
    <w:p>
      <w:pPr>
        <w:widowControl w:val="1"/>
      </w:pPr>
      <w:r>
        <w:t>An amendment should be studied through its effect. Ask whether it changed executive-legislative relations, federal distribution, judicial structure, rights or the amendment process itself. This method is more durable than memorizing amendment numbers without understanding the constitutional problem addressed.</w:t>
      </w:r>
    </w:p>
    <w:p>
      <w:pPr>
        <w:widowControl w:val="1"/>
      </w:pPr>
      <w:r>
        <w:t>For current preparation, the operative constitutional text and recent amendments must be checked from an official source because constitutional provisions can change. Pakistan Code currently highlights the Constitution (Twenty-sixth Amendment) Act, 2024 in its constitutional materials.</w:t>
      </w:r>
    </w:p>
    <w:p>
      <w:pPr>
        <w:pStyle w:val="Heading3"/>
        <w:widowControl w:val="1"/>
      </w:pPr>
      <w:r>
        <w:t>Core Concepts Explained</w:t>
      </w:r>
    </w:p>
    <w:p>
      <w:pPr>
        <w:pStyle w:val="TeachingBullet"/>
        <w:widowControl w:val="1"/>
      </w:pPr>
      <w:r>
        <w:t>Study the history as a sequence of constitutional experiments rather than isolated dates. For each stage ask: What was the political context? Which institutions held power? What form of government existed? Why did the arrangement change?</w:t>
      </w:r>
    </w:p>
    <w:p>
      <w:pPr>
        <w:pStyle w:val="TeachingBullet"/>
        <w:widowControl w:val="1"/>
      </w:pPr>
      <w:r>
        <w:t>The Government of India Act 1935 and Independence framework are important for the transitional legal order. The Objectives Resolution supplied a constitutional statement of principles for later constitution-making.</w:t>
      </w:r>
    </w:p>
    <w:p>
      <w:pPr>
        <w:pStyle w:val="TeachingBullet"/>
        <w:widowControl w:val="1"/>
      </w:pPr>
      <w:r>
        <w:t>The 1956, 1962 and 1973 constitutions should be compared through executive form, federal structure, legislature, judiciary, rights and amendment arrangements. Comparison is more useful than separate memorization.</w:t>
      </w:r>
    </w:p>
    <w:p>
      <w:pPr>
        <w:pStyle w:val="TeachingBullet"/>
        <w:widowControl w:val="1"/>
      </w:pPr>
      <w:r>
        <w:t>Periods of abrogation, suspension, martial law and provisional constitutional orders matter because they generated recurring questions of legality, judicial validation, necessity, restoration and constitutional supremacy.</w:t>
      </w:r>
    </w:p>
    <w:p>
      <w:pPr>
        <w:pStyle w:val="TeachingBullet"/>
        <w:widowControl w:val="1"/>
      </w:pPr>
      <w:r>
        <w:t>For amendments, focus on how an amendment changed institutional balance or rights rather than memorizing a bare number without constitutional effect.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reduce constitutional history to a chronology of rulers. The examiner is testing constitutional change, institutional design and legal consequences.</w:t>
            </w:r>
          </w:p>
        </w:tc>
      </w:tr>
    </w:tbl>
    <w:p>
      <w:pPr>
        <w:pStyle w:val="Heading3"/>
        <w:widowControl w:val="1"/>
      </w:pPr>
      <w:r>
        <w:t>Preparation and Answer Use</w:t>
      </w:r>
    </w:p>
    <w:p>
      <w:pPr>
        <w:pStyle w:val="TeachingBullet"/>
        <w:widowControl w:val="1"/>
      </w:pPr>
      <w:r>
        <w:t>Draw a 1935 → 1947 → 1949 → 1956 → 1958 → 1962 → 1969/70 → 1973 timeline.</w:t>
      </w:r>
    </w:p>
    <w:p>
      <w:pPr>
        <w:pStyle w:val="TeachingBullet"/>
        <w:widowControl w:val="1"/>
      </w:pPr>
      <w:r>
        <w:t>Prepare a 1956 vs 1962 vs 1973 comparison.</w:t>
      </w:r>
    </w:p>
    <w:p>
      <w:pPr>
        <w:pStyle w:val="TeachingBullet"/>
        <w:widowControl w:val="1"/>
      </w:pPr>
      <w:r>
        <w:t>For amendments, prioritize structural amendments and use the latest official Constitution for current text.</w:t>
      </w:r>
    </w:p>
    <w:p>
      <w:pPr>
        <w:pStyle w:val="Heading3"/>
        <w:widowControl w:val="1"/>
      </w:pPr>
      <w:r>
        <w:t>Key Takeaways</w:t>
      </w:r>
    </w:p>
    <w:p>
      <w:pPr>
        <w:pStyle w:val="TakeawayBullet"/>
        <w:widowControl w:val="1"/>
      </w:pPr>
      <w:r>
        <w:t>1935 Act strongly influenced the transitional administrative framework.</w:t>
      </w:r>
    </w:p>
    <w:p>
      <w:pPr>
        <w:pStyle w:val="TakeawayBullet"/>
        <w:widowControl w:val="1"/>
      </w:pPr>
      <w:r>
        <w:t>Objectives Resolution expressed constitutional principles that later shaped constitution-making.</w:t>
      </w:r>
    </w:p>
    <w:p>
      <w:pPr>
        <w:pStyle w:val="TakeawayBullet"/>
        <w:widowControl w:val="1"/>
      </w:pPr>
      <w:r>
        <w:t>1956 introduced Pakistan’s first constitution; 1962 created a presidential model; 1973 restored a parliamentary federal design.</w:t>
      </w:r>
    </w:p>
    <w:p>
      <w:pPr>
        <w:pStyle w:val="TakeawayBullet"/>
        <w:widowControl w:val="1"/>
      </w:pPr>
      <w:r>
        <w:t>Extra-constitutional interruptions are central to Pakistan’s constitutional jurisprudence.</w:t>
      </w:r>
    </w:p>
    <w:p>
      <w:pPr>
        <w:spacing w:after="20"/>
        <w:pBdr>
          <w:bottom w:val="single" w:sz="4" w:space="1" w:color="D9E2F3"/>
        </w:pBdr>
        <w:widowControl w:val="1"/>
      </w:pPr>
    </w:p>
    <w:p>
      <w:pPr>
        <w:pStyle w:val="Heading2"/>
        <w:widowControl w:val="1"/>
      </w:pPr>
      <w:r>
        <w:t>7. Leading Constitutional Cases</w:t>
      </w:r>
    </w:p>
    <w:p>
      <w:pPr>
        <w:pStyle w:val="Heading3"/>
        <w:widowControl w:val="1"/>
      </w:pPr>
      <w:r>
        <w:t>Official Syllabus Focus</w:t>
      </w:r>
    </w:p>
    <w:p>
      <w:pPr>
        <w:pStyle w:val="FocusBullet"/>
        <w:widowControl w:val="1"/>
      </w:pPr>
      <w:r>
        <w:t>Maulvi Tamizuddin Khan</w:t>
      </w:r>
    </w:p>
    <w:p>
      <w:pPr>
        <w:pStyle w:val="FocusBullet"/>
        <w:widowControl w:val="1"/>
      </w:pPr>
      <w:r>
        <w:t>Reference by Governor-General</w:t>
      </w:r>
    </w:p>
    <w:p>
      <w:pPr>
        <w:pStyle w:val="FocusBullet"/>
        <w:widowControl w:val="1"/>
      </w:pPr>
      <w:r>
        <w:t>Usif Patel</w:t>
      </w:r>
    </w:p>
    <w:p>
      <w:pPr>
        <w:pStyle w:val="FocusBullet"/>
        <w:widowControl w:val="1"/>
      </w:pPr>
      <w:r>
        <w:t>State v Dosso</w:t>
      </w:r>
    </w:p>
    <w:p>
      <w:pPr>
        <w:pStyle w:val="FocusBullet"/>
        <w:widowControl w:val="1"/>
      </w:pPr>
      <w:r>
        <w:t>Asma Jilani</w:t>
      </w:r>
    </w:p>
    <w:p>
      <w:pPr>
        <w:pStyle w:val="FocusBullet"/>
        <w:widowControl w:val="1"/>
      </w:pPr>
      <w:r>
        <w:t>Begum Nusrat Bhutto</w:t>
      </w:r>
    </w:p>
    <w:p>
      <w:pPr>
        <w:pStyle w:val="FocusBullet"/>
        <w:widowControl w:val="1"/>
      </w:pPr>
      <w:r>
        <w:t>Hakim Khan</w:t>
      </w:r>
    </w:p>
    <w:p>
      <w:pPr>
        <w:pStyle w:val="FocusBullet"/>
        <w:widowControl w:val="1"/>
      </w:pPr>
      <w:r>
        <w:t>Nawaz Sharif v President</w:t>
      </w:r>
    </w:p>
    <w:p>
      <w:pPr>
        <w:pStyle w:val="FocusBullet"/>
        <w:widowControl w:val="1"/>
      </w:pPr>
      <w:r>
        <w:t>Benazir Bhutto cases</w:t>
      </w:r>
    </w:p>
    <w:p>
      <w:pPr>
        <w:pStyle w:val="FocusBullet"/>
        <w:widowControl w:val="1"/>
      </w:pPr>
      <w:r>
        <w:t>Haji Saifullah</w:t>
      </w:r>
    </w:p>
    <w:p>
      <w:pPr>
        <w:pStyle w:val="FocusBullet"/>
        <w:widowControl w:val="1"/>
      </w:pPr>
      <w:r>
        <w:t>Khawaja Ahmad Tariq Rahim</w:t>
      </w:r>
    </w:p>
    <w:p>
      <w:pPr>
        <w:pStyle w:val="FocusBullet"/>
        <w:widowControl w:val="1"/>
      </w:pPr>
      <w:r>
        <w:t>Mahmood Khan Achakzai</w:t>
      </w:r>
    </w:p>
    <w:p>
      <w:pPr>
        <w:pStyle w:val="FocusBullet"/>
        <w:widowControl w:val="1"/>
      </w:pPr>
      <w:r>
        <w:t>Zafar Ali Shah</w:t>
      </w:r>
    </w:p>
    <w:p>
      <w:pPr>
        <w:pStyle w:val="FocusBullet"/>
        <w:widowControl w:val="1"/>
      </w:pPr>
      <w:r>
        <w:t>Sindh High Court Bar Association and other cases listed by FPSC</w:t>
      </w:r>
    </w:p>
    <w:p>
      <w:pPr>
        <w:pStyle w:val="Heading3"/>
        <w:widowControl w:val="1"/>
      </w:pPr>
      <w:r>
        <w:t>Introduction and Scope</w:t>
      </w:r>
    </w:p>
    <w:p>
      <w:pPr>
        <w:pStyle w:val="TopicIntro"/>
        <w:widowControl w:val="1"/>
      </w:pPr>
      <w:r>
        <w:t>These cases show how Pakistani courts have dealt with dissolution of legislatures, revolutionary legality, martial law, constitutional restoration, judicial review and institutional power.</w:t>
      </w:r>
    </w:p>
    <w:p>
      <w:pPr>
        <w:pStyle w:val="TopicIntro"/>
        <w:widowControl w:val="1"/>
      </w:pPr>
      <w:r>
        <w:t>Do not memorize long facts. For each case learn: year/citation, one-line facts, constitutional question, ruling, doctrine used, and long-term significance. The cases should be studied chronologically because later judgments often revisit earlier reasoning.</w:t>
      </w:r>
    </w:p>
    <w:p>
      <w:pPr>
        <w:pStyle w:val="SourceNote"/>
        <w:widowControl w:val="1"/>
      </w:pPr>
      <w:r>
        <w:t>Primary authority: authoritative Supreme Court reports/judgments; case names, citations and holdings must be verified from official or reliable law reports.</w:t>
      </w:r>
    </w:p>
    <w:p>
      <w:pPr>
        <w:pStyle w:val="Heading3"/>
        <w:widowControl w:val="1"/>
      </w:pPr>
      <w:r>
        <w:t>Case-law method</w:t>
      </w:r>
    </w:p>
    <w:p>
      <w:pPr>
        <w:widowControl w:val="1"/>
      </w:pPr>
      <w:r>
        <w:t>Constitutional cases should be prepared as legal propositions, not as long narratives. For each case, record the material facts in one or two lines, formulate the constitutional issue, state the holding, identify the doctrine or reasoning, and explain what later law did with that doctrine.</w:t>
      </w:r>
    </w:p>
    <w:p>
      <w:pPr>
        <w:widowControl w:val="1"/>
      </w:pPr>
      <w:r>
        <w:t>Chronology is especially important in Pakistan because later judgments repeatedly reassessed earlier judicial responses to constitutional breakdown. A student should therefore be able to explain a line of doctrine rather than merely quote isolated holdings.</w:t>
      </w:r>
    </w:p>
    <w:p>
      <w:pPr>
        <w:pStyle w:val="Heading3"/>
        <w:widowControl w:val="1"/>
      </w:pPr>
      <w:r>
        <w:t>Core doctrinal line</w:t>
      </w:r>
    </w:p>
    <w:p>
      <w:pPr>
        <w:widowControl w:val="1"/>
      </w:pPr>
      <w:r>
        <w:t>The Maulvi Tamizuddin litigation is central to the early dispute over constituent authority and dissolution. State v Dosso became associated with a theory of revolutionary legality. Asma Jilani later rejected the legitimacy of Yahya Khan’s martial-law regime and is widely treated as a decisive repudiation of the earlier revolutionary-legality approach.</w:t>
      </w:r>
    </w:p>
    <w:p>
      <w:pPr>
        <w:widowControl w:val="1"/>
      </w:pPr>
      <w:r>
        <w:t>Begum Nusrat Bhutto and Zafar Ali Shah are major cases in which military takeovers were judicially addressed through necessity-era reasoning. The Sindh High Court Bar Association case concerning the 2007 emergency is important because the Supreme Court later declared the principal emergency instruments and actions challenged there unconstitutional and void.</w:t>
      </w:r>
    </w:p>
    <w:p>
      <w:pPr>
        <w:pStyle w:val="Heading3"/>
        <w:widowControl w:val="1"/>
      </w:pPr>
      <w:r>
        <w:t>How to use authority accurately</w:t>
      </w:r>
    </w:p>
    <w:p>
      <w:pPr>
        <w:widowControl w:val="1"/>
      </w:pPr>
      <w:r>
        <w:t>Do not state that one case permanently settled every later constitutional crisis. The value of a case lies in the proposition it established and the way later courts accepted, distinguished, limited or rejected it. Where a later Supreme Court judgment characterizes an older case, make clear that the characterization is part of later judicial analysis rather than a substitute for reading the original decision.</w:t>
      </w:r>
    </w:p>
    <w:p>
      <w:pPr>
        <w:widowControl w:val="1"/>
      </w:pPr>
      <w:r>
        <w:t>Citations should be checked from reported judgments or official judicial databases. In examination writing, an accurate principle with a correct case name is preferable to a fabricated quotation or uncertain citation.</w:t>
      </w:r>
    </w:p>
    <w:p>
      <w:pPr>
        <w:pStyle w:val="Heading3"/>
        <w:widowControl w:val="1"/>
      </w:pPr>
      <w:r>
        <w:t>Core Concepts Explained</w:t>
      </w:r>
    </w:p>
    <w:p>
      <w:pPr>
        <w:pStyle w:val="TeachingBullet"/>
        <w:widowControl w:val="1"/>
      </w:pPr>
      <w:r>
        <w:rPr>
          <w:b/>
        </w:rPr>
        <w:t>Prepare every case in a fixed five-part format:</w:t>
      </w:r>
      <w:r>
        <w:t xml:space="preserve"> one-line facts; constitutional issue; court's holding; doctrine or reasoning; long-term significance.</w:t>
      </w:r>
    </w:p>
    <w:p>
      <w:pPr>
        <w:pStyle w:val="TeachingBullet"/>
        <w:widowControl w:val="1"/>
      </w:pPr>
      <w:r>
        <w:t>Early cases should be understood in the context of dissolution of representative institutions and questions of constitutional authority. Later cases revisit military intervention, necessity, judicial power and restoration.</w:t>
      </w:r>
    </w:p>
    <w:p>
      <w:pPr>
        <w:pStyle w:val="TeachingBullet"/>
        <w:widowControl w:val="1"/>
      </w:pPr>
      <w:r>
        <w:t>A case is valuable because of the constitutional principle it established, accepted, limited or rejected. The principle should be linked to later constitutional development.</w:t>
      </w:r>
    </w:p>
    <w:p>
      <w:pPr>
        <w:pStyle w:val="TeachingBullet"/>
        <w:widowControl w:val="1"/>
      </w:pPr>
      <w:r>
        <w:t>Chronology helps because Pakistani constitutional jurisprudence often reacts to earlier judgments. A strong answer can show how later courts reconsidered older doctrines instead of treating each case as isolated.</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reproduce long factual narratives. Case-law marks come from identifying the legal question, holding and constitutional significance accurately.</w:t>
            </w:r>
          </w:p>
        </w:tc>
      </w:tr>
    </w:tbl>
    <w:p>
      <w:pPr>
        <w:pStyle w:val="Heading3"/>
        <w:widowControl w:val="1"/>
      </w:pPr>
      <w:r>
        <w:t>Preparation and Answer Use</w:t>
      </w:r>
    </w:p>
    <w:p>
      <w:pPr>
        <w:pStyle w:val="TeachingBullet"/>
        <w:widowControl w:val="1"/>
      </w:pPr>
      <w:r>
        <w:rPr>
          <w:b/>
        </w:rPr>
        <w:t>Make a five-column case table:</w:t>
      </w:r>
      <w:r>
        <w:t xml:space="preserve"> case | facts | issue | holding | significance.</w:t>
      </w:r>
    </w:p>
    <w:p>
      <w:pPr>
        <w:pStyle w:val="TeachingBullet"/>
        <w:widowControl w:val="1"/>
      </w:pPr>
      <w:r>
        <w:rPr>
          <w:b/>
        </w:rPr>
        <w:t>Group cases by theme:</w:t>
      </w:r>
      <w:r>
        <w:t xml:space="preserve"> dissolution, martial law/necessity, judicial power, constitutional supremacy.</w:t>
      </w:r>
    </w:p>
    <w:p>
      <w:pPr>
        <w:pStyle w:val="TeachingBullet"/>
        <w:widowControl w:val="1"/>
      </w:pPr>
      <w:r>
        <w:t>Check case names and citations from reliable law reports or official judicial databases.</w:t>
      </w:r>
    </w:p>
    <w:p>
      <w:pPr>
        <w:pStyle w:val="SourceNote"/>
        <w:widowControl w:val="1"/>
      </w:pPr>
      <w:r>
        <w:t>Case-law answers should emphasize constitutional principle, not only facts.</w:t>
      </w:r>
    </w:p>
    <w:p>
      <w:pPr>
        <w:pStyle w:val="Heading3"/>
        <w:widowControl w:val="1"/>
      </w:pPr>
      <w:r>
        <w:t>Key Takeaways</w:t>
      </w:r>
    </w:p>
    <w:p>
      <w:pPr>
        <w:pStyle w:val="TakeawayBullet"/>
        <w:widowControl w:val="1"/>
      </w:pPr>
      <w:r>
        <w:t>Tamizuddin litigation is central to early constitutional breakdown.</w:t>
      </w:r>
    </w:p>
    <w:p>
      <w:pPr>
        <w:pStyle w:val="TakeawayBullet"/>
        <w:widowControl w:val="1"/>
      </w:pPr>
      <w:r>
        <w:t>Dosso is associated with the judicial treatment of revolutionary legality.</w:t>
      </w:r>
    </w:p>
    <w:p>
      <w:pPr>
        <w:pStyle w:val="TakeawayBullet"/>
        <w:widowControl w:val="1"/>
      </w:pPr>
      <w:r>
        <w:t>Asma Jilani rejected the legitimacy of Yahya Khan’s martial-law regime.</w:t>
      </w:r>
    </w:p>
    <w:p>
      <w:pPr>
        <w:pStyle w:val="TakeawayBullet"/>
        <w:widowControl w:val="1"/>
      </w:pPr>
      <w:r>
        <w:t>Nusrat Bhutto and Zafar Ali Shah are major necessity-era cases.</w:t>
      </w:r>
    </w:p>
    <w:p>
      <w:pPr>
        <w:pStyle w:val="TakeawayBullet"/>
        <w:widowControl w:val="1"/>
      </w:pPr>
      <w:r>
        <w:t>Sindh High Court Bar Association (2009) is important for the 2007 emergency and judicial restoration context.</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Constitution of the Islamic Republic of Pakistan — official legal text — </w:t>
      </w:r>
      <w:hyperlink r:id="rId11">
        <w:r>
          <w:rPr>
            <w:color w:val="1F4E79"/>
            <w:u w:val="single"/>
          </w:rPr>
          <w:t>https://pakistancode.gov.pk/</w:t>
        </w:r>
      </w:hyperlink>
    </w:p>
    <w:p>
      <w:pPr>
        <w:pStyle w:val="Reference"/>
        <w:widowControl w:val="1"/>
      </w:pPr>
      <w:r>
        <w:t xml:space="preserve">• Supreme Court of Pakistan — judgments and institutional material — </w:t>
      </w:r>
      <w:hyperlink r:id="rId12">
        <w:r>
          <w:rPr>
            <w:color w:val="1F4E79"/>
            <w:u w:val="single"/>
          </w:rPr>
          <w:t>https://www.supremecourt.gov.pk/</w:t>
        </w:r>
      </w:hyperlink>
    </w:p>
    <w:p>
      <w:pPr>
        <w:pStyle w:val="Reference"/>
        <w:widowControl w:val="1"/>
      </w:pPr>
      <w:r>
        <w:t xml:space="preserve">• FPSC Revised Scheme and Syllabus for CSS Competitive Examination — </w:t>
      </w:r>
      <w:hyperlink r:id="rId13">
        <w:r>
          <w:rPr>
            <w:color w:val="1F4E79"/>
            <w:u w:val="single"/>
          </w:rPr>
          <w:t>https://www.fpsc.gov.pk/</w:t>
        </w:r>
      </w:hyperlink>
    </w:p>
    <w:p>
      <w:pPr>
        <w:widowControl w:val="1"/>
      </w:pPr>
      <w:r>
        <w:br w:type="page"/>
      </w:r>
    </w:p>
    <w:p>
      <w:pPr>
        <w:pStyle w:val="Heading1"/>
        <w:widowControl w:val="1"/>
      </w:pPr>
      <w:r>
        <w:t>3. INTERNATIONAL LAW (Code 40)</w:t>
      </w:r>
    </w:p>
    <w:p>
      <w:pPr>
        <w:widowControl w:val="1"/>
      </w:pPr>
      <w:r>
        <w:t>International Law explains the legal rules governing relations among states, international organizations and, increasingly, individuals. FPSC’s outline moves from sources and statehood to treaties, disputes, force, responsibility, jurisdiction and armed conflict.</w:t>
      </w:r>
    </w:p>
    <w:p>
      <w:pPr>
        <w:pStyle w:val="Heading2"/>
        <w:widowControl w:val="1"/>
      </w:pPr>
      <w:r>
        <w:t>How to Study This Subject</w:t>
      </w:r>
    </w:p>
    <w:p>
      <w:pPr>
        <w:pStyle w:val="TeachingBullet"/>
        <w:widowControl w:val="1"/>
      </w:pPr>
      <w:r>
        <w:t>Learn Article 38 of the ICJ Statute early; it organizes the sources topic.</w:t>
      </w:r>
    </w:p>
    <w:p>
      <w:pPr>
        <w:pStyle w:val="TeachingBullet"/>
        <w:widowControl w:val="1"/>
      </w:pPr>
      <w:r>
        <w:t>Use treaties and ICJ cases as examples, but only where accurately remembered.</w:t>
      </w:r>
    </w:p>
    <w:p>
      <w:pPr>
        <w:pStyle w:val="TeachingBullet"/>
        <w:widowControl w:val="1"/>
      </w:pPr>
      <w:r>
        <w:t>Distinguish jus ad bellum (use of force) from international humanitarian law (conduct during conflict).</w:t>
      </w:r>
    </w:p>
    <w:p>
      <w:pPr>
        <w:pStyle w:val="TeachingBullet"/>
        <w:widowControl w:val="1"/>
      </w:pPr>
      <w:r>
        <w:t>Use short issue-rule-application-conclusion structure for problem questions.</w:t>
      </w:r>
    </w:p>
    <w:p>
      <w:pPr>
        <w:pStyle w:val="Heading3"/>
        <w:widowControl w:val="1"/>
      </w:pPr>
      <w:r>
        <w:t>Beginner Roadmap</w:t>
      </w:r>
    </w:p>
    <w:p>
      <w:pPr>
        <w:widowControl w:val="1"/>
      </w:pPr>
      <w:r>
        <w:t>Start with sources and legal personality, then move to treaties, dispute settlement and state powers. Keep the use-of-force rules separate from humanitarian law. Finish by linking responsibility, jurisdiction, diplomacy, conflict and neutrality to the same basic idea: states possess rights but exercise them within international obligations.</w:t>
      </w:r>
    </w:p>
    <w:p>
      <w:pPr>
        <w:pStyle w:val="Heading2"/>
        <w:widowControl w:val="1"/>
      </w:pPr>
      <w:r>
        <w:t>Subject Map</w:t>
      </w:r>
    </w:p>
    <w:p>
      <w:pPr>
        <w:pStyle w:val="FocusBullet"/>
        <w:widowControl w:val="1"/>
      </w:pPr>
      <w:r>
        <w:t>1. Nature, Origin and Basis of International Law</w:t>
      </w:r>
    </w:p>
    <w:p>
      <w:pPr>
        <w:pStyle w:val="FocusBullet"/>
        <w:widowControl w:val="1"/>
      </w:pPr>
      <w:r>
        <w:t>2. International Law and State Law</w:t>
      </w:r>
    </w:p>
    <w:p>
      <w:pPr>
        <w:pStyle w:val="FocusBullet"/>
        <w:widowControl w:val="1"/>
      </w:pPr>
      <w:r>
        <w:t>3. Statehood and Recognition</w:t>
      </w:r>
    </w:p>
    <w:p>
      <w:pPr>
        <w:pStyle w:val="FocusBullet"/>
        <w:widowControl w:val="1"/>
      </w:pPr>
      <w:r>
        <w:t>4. Law of Treaties</w:t>
      </w:r>
    </w:p>
    <w:p>
      <w:pPr>
        <w:pStyle w:val="FocusBullet"/>
        <w:widowControl w:val="1"/>
      </w:pPr>
      <w:r>
        <w:t>5. Peaceful Settlement of International Disputes</w:t>
      </w:r>
    </w:p>
    <w:p>
      <w:pPr>
        <w:pStyle w:val="FocusBullet"/>
        <w:widowControl w:val="1"/>
      </w:pPr>
      <w:r>
        <w:t>6. International Humanitarian Law (IHL)</w:t>
      </w:r>
    </w:p>
    <w:p>
      <w:pPr>
        <w:pStyle w:val="FocusBullet"/>
        <w:widowControl w:val="1"/>
      </w:pPr>
      <w:r>
        <w:t>7. Use of Force</w:t>
      </w:r>
    </w:p>
    <w:p>
      <w:pPr>
        <w:pStyle w:val="FocusBullet"/>
        <w:widowControl w:val="1"/>
      </w:pPr>
      <w:r>
        <w:t>8. International Institutions</w:t>
      </w:r>
    </w:p>
    <w:p>
      <w:pPr>
        <w:pStyle w:val="FocusBullet"/>
        <w:widowControl w:val="1"/>
      </w:pPr>
      <w:r>
        <w:t>9. State Territorial Sovereignty</w:t>
      </w:r>
    </w:p>
    <w:p>
      <w:pPr>
        <w:pStyle w:val="FocusBullet"/>
        <w:widowControl w:val="1"/>
      </w:pPr>
      <w:r>
        <w:t>10. State Responsibility</w:t>
      </w:r>
    </w:p>
    <w:p>
      <w:pPr>
        <w:pStyle w:val="FocusBullet"/>
        <w:widowControl w:val="1"/>
      </w:pPr>
      <w:r>
        <w:t>11. State Jurisdiction</w:t>
      </w:r>
    </w:p>
    <w:p>
      <w:pPr>
        <w:pStyle w:val="FocusBullet"/>
        <w:widowControl w:val="1"/>
      </w:pPr>
      <w:r>
        <w:t>12. Succession to Rights and Obligations</w:t>
      </w:r>
    </w:p>
    <w:p>
      <w:pPr>
        <w:pStyle w:val="FocusBullet"/>
        <w:widowControl w:val="1"/>
      </w:pPr>
      <w:r>
        <w:t>13. The State and the Individual</w:t>
      </w:r>
    </w:p>
    <w:p>
      <w:pPr>
        <w:pStyle w:val="FocusBullet"/>
        <w:widowControl w:val="1"/>
      </w:pPr>
      <w:r>
        <w:t>14. The State and Economic Interests</w:t>
      </w:r>
    </w:p>
    <w:p>
      <w:pPr>
        <w:pStyle w:val="FocusBullet"/>
        <w:widowControl w:val="1"/>
      </w:pPr>
      <w:r>
        <w:t>15. Diplomatic Envoys, Consuls and Other Representatives</w:t>
      </w:r>
    </w:p>
    <w:p>
      <w:pPr>
        <w:pStyle w:val="FocusBullet"/>
        <w:widowControl w:val="1"/>
      </w:pPr>
      <w:r>
        <w:t>16. War, Armed Conflicts and Other Hostilities</w:t>
      </w:r>
    </w:p>
    <w:p>
      <w:pPr>
        <w:pStyle w:val="FocusBullet"/>
        <w:widowControl w:val="1"/>
      </w:pPr>
      <w:r>
        <w:t>17. Neutrality</w:t>
      </w:r>
    </w:p>
    <w:p>
      <w:pPr>
        <w:pStyle w:val="Heading2"/>
        <w:widowControl w:val="1"/>
      </w:pPr>
      <w:r>
        <w:t>1. Nature, Origin and Basis of International Law</w:t>
      </w:r>
    </w:p>
    <w:p>
      <w:pPr>
        <w:pStyle w:val="Heading3"/>
        <w:widowControl w:val="1"/>
      </w:pPr>
      <w:r>
        <w:t>Official Syllabus Focus</w:t>
      </w:r>
    </w:p>
    <w:p>
      <w:pPr>
        <w:pStyle w:val="FocusBullet"/>
        <w:widowControl w:val="1"/>
      </w:pPr>
      <w:r>
        <w:t>Emergence of international law</w:t>
      </w:r>
    </w:p>
    <w:p>
      <w:pPr>
        <w:pStyle w:val="FocusBullet"/>
        <w:widowControl w:val="1"/>
      </w:pPr>
      <w:r>
        <w:t>Early European authors</w:t>
      </w:r>
    </w:p>
    <w:p>
      <w:pPr>
        <w:pStyle w:val="FocusBullet"/>
        <w:widowControl w:val="1"/>
      </w:pPr>
      <w:r>
        <w:t>Nation-state system</w:t>
      </w:r>
    </w:p>
    <w:p>
      <w:pPr>
        <w:pStyle w:val="FocusBullet"/>
        <w:widowControl w:val="1"/>
      </w:pPr>
      <w:r>
        <w:t>Enforcement/effectiveness/weakness</w:t>
      </w:r>
    </w:p>
    <w:p>
      <w:pPr>
        <w:pStyle w:val="FocusBullet"/>
        <w:widowControl w:val="1"/>
      </w:pPr>
      <w:r>
        <w:t>Juridical basis</w:t>
      </w:r>
    </w:p>
    <w:p>
      <w:pPr>
        <w:pStyle w:val="FocusBullet"/>
        <w:widowControl w:val="1"/>
      </w:pPr>
      <w:r>
        <w:t>Future and material sources</w:t>
      </w:r>
    </w:p>
    <w:p>
      <w:pPr>
        <w:pStyle w:val="Heading3"/>
        <w:widowControl w:val="1"/>
      </w:pPr>
      <w:r>
        <w:t>Introduction and Scope</w:t>
      </w:r>
    </w:p>
    <w:p>
      <w:pPr>
        <w:pStyle w:val="TopicIntro"/>
        <w:widowControl w:val="1"/>
      </w:pPr>
      <w:r>
        <w:t>International law is the body of rules and principles that regulates international relations, especially the conduct of states and international organizations.</w:t>
      </w:r>
    </w:p>
    <w:p>
      <w:pPr>
        <w:pStyle w:val="TopicIntro"/>
        <w:widowControl w:val="1"/>
      </w:pPr>
      <w:r>
        <w:t>This topic asks why international law developed, why states treat it as law despite the absence of a single world legislature or police force, and how consent, custom, institutions, reciprocity and legitimacy support compliance.</w:t>
      </w:r>
    </w:p>
    <w:p>
      <w:pPr>
        <w:pStyle w:val="Heading3"/>
        <w:widowControl w:val="1"/>
      </w:pPr>
      <w:r>
        <w:t>Historical and conceptual background</w:t>
      </w:r>
    </w:p>
    <w:p>
      <w:pPr>
        <w:widowControl w:val="1"/>
      </w:pPr>
      <w:r>
        <w:t>International law developed from the need to regulate relations among political communities that could not be governed by one common domestic authority. Diplomatic practice, war and peace, maritime activity, trade, territorial arrangements and treaty-making all generated recurring rules. European publicists such as Vitoria, Gentili and Grotius were influential in early modern doctrine, but modern international law also reflects later global participation, decolonization, international organizations and multilateral treaty-making.</w:t>
      </w:r>
    </w:p>
    <w:p>
      <w:pPr>
        <w:widowControl w:val="1"/>
      </w:pPr>
      <w:r>
        <w:t>The modern system is decentralized. There is no single world legislature with general law-making power and no single police institution enforcing every rule. Nevertheless, states routinely invoke international law in diplomacy, litigation, treaty performance, domestic courts and institutional practice. The absence of centralized enforcement therefore describes the structure of the system; it does not logically establish that the system lacks legal character.</w:t>
      </w:r>
    </w:p>
    <w:p>
      <w:pPr>
        <w:pStyle w:val="Heading3"/>
        <w:widowControl w:val="1"/>
      </w:pPr>
      <w:r>
        <w:t>Why states are bound</w:t>
      </w:r>
    </w:p>
    <w:p>
      <w:pPr>
        <w:widowControl w:val="1"/>
      </w:pPr>
      <w:r>
        <w:t>Different theories explain the juridical basis of international obligation. Consent theories emphasize treaties and accepted rules; customary law shows that obligation can also arise from general practice accepted as law. Good faith, reciprocity, institutional membership and the stability produced by predictable legal relations help explain why states often comply even when immediate coercion is absent.</w:t>
      </w:r>
    </w:p>
    <w:p>
      <w:pPr>
        <w:widowControl w:val="1"/>
      </w:pPr>
      <w:r>
        <w:t>Natural-law approaches historically linked international obligation to reason, justice or universal moral order. Positivist approaches place greater weight on rules derived from state consent and recognized law-making processes. Contemporary international law cannot be reduced neatly to either tradition because it includes treaty obligations, customary rules, peremptory norms, institutional law and obligations whose legal operation is not explained by bilateral consent alone.</w:t>
      </w:r>
    </w:p>
    <w:p>
      <w:pPr>
        <w:pStyle w:val="Heading3"/>
        <w:widowControl w:val="1"/>
      </w:pPr>
      <w:r>
        <w:t>Effectiveness and enforcement</w:t>
      </w:r>
    </w:p>
    <w:p>
      <w:pPr>
        <w:widowControl w:val="1"/>
      </w:pPr>
      <w:r>
        <w:t>Enforcement can occur through several channels: domestic legislation and courts; diplomatic protest and negotiation; international adjudication where jurisdiction exists; lawful countermeasures; treaty monitoring bodies; institutional sanctions; Security Council measures within the Charter; and reputational or reciprocal consequences. The availability of a mechanism depends on the rule and the forum.</w:t>
      </w:r>
    </w:p>
    <w:p>
      <w:pPr>
        <w:widowControl w:val="1"/>
      </w:pPr>
      <w:r>
        <w:t>A balanced evaluation should distinguish imperfect enforcement from non-existence of law. Domestic systems also experience under-enforcement. The stronger criticism is that international enforcement can be uneven, jurisdiction may depend on consent, powerful states may resist accountability, and institutional action can be constrained by politics. These are genuine limitations without making the legal system imaginary.</w:t>
      </w:r>
    </w:p>
    <w:p>
      <w:pPr>
        <w:pStyle w:val="Heading3"/>
        <w:widowControl w:val="1"/>
      </w:pPr>
      <w:r>
        <w:t>Core Concepts Explained</w:t>
      </w:r>
    </w:p>
    <w:p>
      <w:pPr>
        <w:pStyle w:val="TeachingBullet"/>
        <w:widowControl w:val="1"/>
      </w:pPr>
      <w:r>
        <w:t>International law developed as states and other international actors needed stable rules for diplomacy, territory, treaties, trade, conflict and cooperation. Its decentralized structure differs from domestic legal systems but does not make it non-law.</w:t>
      </w:r>
    </w:p>
    <w:p>
      <w:pPr>
        <w:pStyle w:val="TeachingBullet"/>
        <w:widowControl w:val="1"/>
      </w:pPr>
      <w:r>
        <w:t>The “basis of obligation” debate asks why states are legally bound. Explanations include consent, custom, good faith, reciprocity, institutional practice and broader theories of legal order.</w:t>
      </w:r>
    </w:p>
    <w:p>
      <w:pPr>
        <w:pStyle w:val="TeachingBullet"/>
        <w:widowControl w:val="1"/>
      </w:pPr>
      <w:r>
        <w:rPr>
          <w:b/>
        </w:rPr>
        <w:t>Enforcement is spread across multiple mechanisms:</w:t>
      </w:r>
      <w:r>
        <w:t xml:space="preserve"> domestic implementation, diplomatic pressure, countermeasures within law, international adjudication where jurisdiction exists, sanctions or collective measures, and reputational or reciprocal costs.</w:t>
      </w:r>
    </w:p>
    <w:p>
      <w:pPr>
        <w:pStyle w:val="TeachingBullet"/>
        <w:widowControl w:val="1"/>
      </w:pPr>
      <w:r>
        <w:t>When discussing weakness, distinguish absence of centralized police from absence of legal consequences. International law can be unevenly enforced while still shaping state conduct and legal argument.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answer “international law is weak because there is no world government” and stop. Explain how a decentralized legal order creates and enforces obligations.</w:t>
            </w:r>
          </w:p>
        </w:tc>
      </w:tr>
    </w:tbl>
    <w:p>
      <w:pPr>
        <w:pStyle w:val="Heading3"/>
        <w:widowControl w:val="1"/>
      </w:pPr>
      <w:r>
        <w:t>Preparation and Answer Use</w:t>
      </w:r>
    </w:p>
    <w:p>
      <w:pPr>
        <w:pStyle w:val="TeachingBullet"/>
        <w:widowControl w:val="1"/>
      </w:pPr>
      <w:r>
        <w:t>Prepare natural-law and positivist ideas only to the level needed to explain the basis of obligation.</w:t>
      </w:r>
    </w:p>
    <w:p>
      <w:pPr>
        <w:pStyle w:val="TeachingBullet"/>
        <w:widowControl w:val="1"/>
      </w:pPr>
      <w:r>
        <w:t>Discuss enforcement through diplomacy, domestic implementation, international courts, collective measures and reputational/reciprocal pressures.</w:t>
      </w:r>
    </w:p>
    <w:p>
      <w:pPr>
        <w:pStyle w:val="Heading3"/>
        <w:widowControl w:val="1"/>
      </w:pPr>
      <w:r>
        <w:t>Key Takeaways</w:t>
      </w:r>
    </w:p>
    <w:p>
      <w:pPr>
        <w:pStyle w:val="TakeawayBullet"/>
        <w:widowControl w:val="1"/>
      </w:pPr>
      <w:r>
        <w:t>International law is decentralized compared with domestic law.</w:t>
      </w:r>
    </w:p>
    <w:p>
      <w:pPr>
        <w:pStyle w:val="TakeawayBullet"/>
        <w:widowControl w:val="1"/>
      </w:pPr>
      <w:r>
        <w:t>Lack of centralized enforcement does not mean absence of legal obligation.</w:t>
      </w:r>
    </w:p>
    <w:p>
      <w:pPr>
        <w:pStyle w:val="TakeawayBullet"/>
        <w:widowControl w:val="1"/>
      </w:pPr>
      <w:r>
        <w:t>States create and accept rules through treaties, custom and other recognized sources.</w:t>
      </w:r>
    </w:p>
    <w:p>
      <w:pPr>
        <w:spacing w:after="20"/>
        <w:pBdr>
          <w:bottom w:val="single" w:sz="4" w:space="1" w:color="D9E2F3"/>
        </w:pBdr>
        <w:widowControl w:val="1"/>
      </w:pPr>
    </w:p>
    <w:p>
      <w:pPr>
        <w:pStyle w:val="Heading2"/>
        <w:widowControl w:val="1"/>
      </w:pPr>
      <w:r>
        <w:t>2. International Law and State Law</w:t>
      </w:r>
    </w:p>
    <w:p>
      <w:pPr>
        <w:pStyle w:val="Heading3"/>
        <w:widowControl w:val="1"/>
      </w:pPr>
      <w:r>
        <w:t>Official Syllabus Focus</w:t>
      </w:r>
    </w:p>
    <w:p>
      <w:pPr>
        <w:pStyle w:val="FocusBullet"/>
        <w:widowControl w:val="1"/>
      </w:pPr>
      <w:r>
        <w:t>Article 38 ICJ Statute</w:t>
      </w:r>
    </w:p>
    <w:p>
      <w:pPr>
        <w:pStyle w:val="FocusBullet"/>
        <w:widowControl w:val="1"/>
      </w:pPr>
      <w:r>
        <w:t>Primary sources</w:t>
      </w:r>
    </w:p>
    <w:p>
      <w:pPr>
        <w:pStyle w:val="FocusBullet"/>
        <w:widowControl w:val="1"/>
      </w:pPr>
      <w:r>
        <w:t>Subsidiary sources</w:t>
      </w:r>
    </w:p>
    <w:p>
      <w:pPr>
        <w:pStyle w:val="FocusBullet"/>
        <w:widowControl w:val="1"/>
      </w:pPr>
      <w:r>
        <w:t>International soft law</w:t>
      </w:r>
    </w:p>
    <w:p>
      <w:pPr>
        <w:pStyle w:val="Heading3"/>
        <w:widowControl w:val="1"/>
      </w:pPr>
      <w:r>
        <w:t>Introduction and Scope</w:t>
      </w:r>
    </w:p>
    <w:p>
      <w:pPr>
        <w:pStyle w:val="TopicIntro"/>
        <w:widowControl w:val="1"/>
      </w:pPr>
      <w:r>
        <w:t>This topic examines both the sources of international law and how international rules relate to domestic legal systems.</w:t>
      </w:r>
    </w:p>
    <w:p>
      <w:pPr>
        <w:pStyle w:val="TopicIntro"/>
        <w:widowControl w:val="1"/>
      </w:pPr>
      <w:r>
        <w:t>Article 38(1) of the ICJ Statute identifies treaties, international custom and general principles of law, with judicial decisions and scholarly writings as subsidiary means. Domestic systems differ in how treaties and customary rules become enforceable internally.</w:t>
      </w:r>
    </w:p>
    <w:p>
      <w:pPr>
        <w:pStyle w:val="SourceNote"/>
        <w:widowControl w:val="1"/>
      </w:pPr>
      <w:r>
        <w:t>Primary international authority: Statute of the International Court of Justice, Article 38.</w:t>
      </w:r>
    </w:p>
    <w:p>
      <w:pPr>
        <w:pStyle w:val="Heading3"/>
        <w:widowControl w:val="1"/>
      </w:pPr>
      <w:r>
        <w:t>Sources of international law</w:t>
      </w:r>
    </w:p>
    <w:p>
      <w:pPr>
        <w:widowControl w:val="1"/>
      </w:pPr>
      <w:r>
        <w:t>Article 38(1) of the Statute of the International Court of Justice is the standard organizing provision for sources. It directs the Court to apply international conventions, international custom, and general principles of law, while treating judicial decisions and the teachings of highly qualified publicists as subsidiary means for determining rules. The provision is not a complete theory of every form of modern international law, but it remains the central examination map.</w:t>
      </w:r>
    </w:p>
    <w:p>
      <w:pPr>
        <w:widowControl w:val="1"/>
      </w:pPr>
      <w:r>
        <w:t>Treaties create written obligations for their parties. Customary international law requires two elements: sufficiently general and consistent state practice, and opinio juris, meaning acceptance that the practice is carried out because law requires or permits it. General principles help prevent gaps and draw on principles recognized across legal systems or inherent in the international legal order.</w:t>
      </w:r>
    </w:p>
    <w:p>
      <w:pPr>
        <w:pStyle w:val="Heading3"/>
        <w:widowControl w:val="1"/>
      </w:pPr>
      <w:r>
        <w:t>Judicial decisions, scholarship and soft law</w:t>
      </w:r>
    </w:p>
    <w:p>
      <w:pPr>
        <w:widowControl w:val="1"/>
      </w:pPr>
      <w:r>
        <w:t>International judicial decisions are influential but do not operate as a universal system of binding precedent in the same manner as a common-law hierarchy. Article 59 of the ICJ Statute limits the binding force of ICJ judgments to the parties and the particular case, while earlier decisions may still carry persuasive authority in later reasoning.</w:t>
      </w:r>
    </w:p>
    <w:p>
      <w:pPr>
        <w:widowControl w:val="1"/>
      </w:pPr>
      <w:r>
        <w:t>Soft law includes declarations, guidelines, codes, resolutions and standards that are not binding in the same way as a treaty rule but may influence state behaviour, treaty interpretation, institutional practice or the emergence of custom. A student should explain both the lack of formal binding force and the possible practical legal significance.</w:t>
      </w:r>
    </w:p>
    <w:p>
      <w:pPr>
        <w:pStyle w:val="Heading3"/>
        <w:widowControl w:val="1"/>
      </w:pPr>
      <w:r>
        <w:t>International law inside domestic systems</w:t>
      </w:r>
    </w:p>
    <w:p>
      <w:pPr>
        <w:widowControl w:val="1"/>
      </w:pPr>
      <w:r>
        <w:t>Monism and dualism are theoretical models. Monist approaches conceptualize international and domestic law as parts of one legal order; dualist approaches stress that the two systems operate separately and that domestic legal steps may be required before an international rule can be enforced internally.</w:t>
      </w:r>
    </w:p>
    <w:p>
      <w:pPr>
        <w:widowControl w:val="1"/>
      </w:pPr>
      <w:r>
        <w:t>Actual national systems are more complex than the theory labels. A constitution may treat treaties differently from customary law, require legislative implementation for some obligations, or allow courts to use international law as an interpretive aid. Therefore, a country-specific answer must examine the relevant constitutional and statutory rules rather than simply label the state 'monist' or 'dualist'.</w:t>
      </w:r>
    </w:p>
    <w:p>
      <w:pPr>
        <w:pStyle w:val="Heading3"/>
        <w:widowControl w:val="1"/>
      </w:pPr>
      <w:r>
        <w:t>Core Concepts Explained</w:t>
      </w:r>
    </w:p>
    <w:p>
      <w:pPr>
        <w:pStyle w:val="TeachingBullet"/>
        <w:widowControl w:val="1"/>
      </w:pPr>
      <w:r>
        <w:rPr>
          <w:b/>
        </w:rPr>
        <w:t>This topic has two connected parts:</w:t>
      </w:r>
      <w:r>
        <w:t xml:space="preserve"> the recognized sources of international law and the way international rules operate inside national legal systems.</w:t>
      </w:r>
    </w:p>
    <w:p>
      <w:pPr>
        <w:pStyle w:val="TeachingBullet"/>
        <w:widowControl w:val="1"/>
      </w:pPr>
      <w:r>
        <w:t>Article 38 of the ICJ Statute is the organizing map for sources: treaties, custom and general principles, with judicial decisions and learned writings serving as subsidiary means for determining rules.</w:t>
      </w:r>
    </w:p>
    <w:p>
      <w:pPr>
        <w:pStyle w:val="TeachingBullet"/>
        <w:widowControl w:val="1"/>
      </w:pPr>
      <w:r>
        <w:t>Custom requires both a sufficiently general practice and acceptance of that practice as legally required. Repetition alone is not enough if states do not treat the practice as law.</w:t>
      </w:r>
    </w:p>
    <w:p>
      <w:pPr>
        <w:pStyle w:val="TeachingBullet"/>
        <w:widowControl w:val="1"/>
      </w:pPr>
      <w:r>
        <w:t>Monist theories see international and domestic law as parts of one legal order; dualist theories emphasize separate systems and the need for domestic legal steps before some international rules become internally enforceable.</w:t>
      </w:r>
    </w:p>
    <w:p>
      <w:pPr>
        <w:pStyle w:val="TeachingBullet"/>
        <w:widowControl w:val="1"/>
      </w:pPr>
      <w:r>
        <w:t>Soft law includes non-binding instruments or standards that may guide conduct, interpretation or future law-making even though they do not operate like a treaty obligation.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call judicial decisions a primary source equivalent to treaties and custom under Article 38. They are listed as subsidiary means for determining rules.</w:t>
            </w:r>
          </w:p>
        </w:tc>
      </w:tr>
    </w:tbl>
    <w:p>
      <w:pPr>
        <w:pStyle w:val="Heading3"/>
        <w:widowControl w:val="1"/>
      </w:pPr>
      <w:r>
        <w:t>Preparation and Answer Use</w:t>
      </w:r>
    </w:p>
    <w:p>
      <w:pPr>
        <w:pStyle w:val="TeachingBullet"/>
        <w:widowControl w:val="1"/>
      </w:pPr>
      <w:r>
        <w:t>Memorize the structure, not merely the words, of Article 38.</w:t>
      </w:r>
    </w:p>
    <w:p>
      <w:pPr>
        <w:pStyle w:val="TeachingBullet"/>
        <w:widowControl w:val="1"/>
      </w:pPr>
      <w:r>
        <w:t>Prepare monism and dualism as theories of international/domestic-law relationship.</w:t>
      </w:r>
    </w:p>
    <w:p>
      <w:pPr>
        <w:pStyle w:val="TeachingBullet"/>
        <w:widowControl w:val="1"/>
      </w:pPr>
      <w:r>
        <w:t>Understand that soft law may influence behavior without having the same status as a binding treaty rule.</w:t>
      </w:r>
    </w:p>
    <w:p>
      <w:pPr>
        <w:pStyle w:val="Heading3"/>
        <w:widowControl w:val="1"/>
      </w:pPr>
      <w:r>
        <w:t>Key Takeaways</w:t>
      </w:r>
    </w:p>
    <w:p>
      <w:pPr>
        <w:pStyle w:val="TakeawayBullet"/>
        <w:widowControl w:val="1"/>
      </w:pPr>
      <w:r>
        <w:t>Treaties bind parties according to international law.</w:t>
      </w:r>
    </w:p>
    <w:p>
      <w:pPr>
        <w:pStyle w:val="TakeawayBullet"/>
        <w:widowControl w:val="1"/>
      </w:pPr>
      <w:r>
        <w:t>Custom requires general practice accepted as law.</w:t>
      </w:r>
    </w:p>
    <w:p>
      <w:pPr>
        <w:pStyle w:val="TakeawayBullet"/>
        <w:widowControl w:val="1"/>
      </w:pPr>
      <w:r>
        <w:t>Judicial decisions are subsidiary means under Article 38, not a global system of binding precedent in the domestic-law sense.</w:t>
      </w:r>
    </w:p>
    <w:p>
      <w:pPr>
        <w:spacing w:after="20"/>
        <w:pBdr>
          <w:bottom w:val="single" w:sz="4" w:space="1" w:color="D9E2F3"/>
        </w:pBdr>
        <w:widowControl w:val="1"/>
      </w:pPr>
    </w:p>
    <w:p>
      <w:pPr>
        <w:pStyle w:val="Heading2"/>
        <w:widowControl w:val="1"/>
      </w:pPr>
      <w:r>
        <w:t>3. Statehood and Recognition</w:t>
      </w:r>
    </w:p>
    <w:p>
      <w:pPr>
        <w:pStyle w:val="Heading3"/>
        <w:widowControl w:val="1"/>
      </w:pPr>
      <w:r>
        <w:t>Official Syllabus Focus</w:t>
      </w:r>
    </w:p>
    <w:p>
      <w:pPr>
        <w:pStyle w:val="FocusBullet"/>
        <w:widowControl w:val="1"/>
      </w:pPr>
      <w:r>
        <w:t>Personality and statehood</w:t>
      </w:r>
    </w:p>
    <w:p>
      <w:pPr>
        <w:pStyle w:val="FocusBullet"/>
        <w:widowControl w:val="1"/>
      </w:pPr>
      <w:r>
        <w:t>Subjects of international law</w:t>
      </w:r>
    </w:p>
    <w:p>
      <w:pPr>
        <w:pStyle w:val="FocusBullet"/>
        <w:widowControl w:val="1"/>
      </w:pPr>
      <w:r>
        <w:t>Recognition of state and government</w:t>
      </w:r>
    </w:p>
    <w:p>
      <w:pPr>
        <w:pStyle w:val="FocusBullet"/>
        <w:widowControl w:val="1"/>
      </w:pPr>
      <w:r>
        <w:t>Recognition in national law</w:t>
      </w:r>
    </w:p>
    <w:p>
      <w:pPr>
        <w:pStyle w:val="Heading3"/>
        <w:widowControl w:val="1"/>
      </w:pPr>
      <w:r>
        <w:t>Introduction and Scope</w:t>
      </w:r>
    </w:p>
    <w:p>
      <w:pPr>
        <w:pStyle w:val="TopicIntro"/>
        <w:widowControl w:val="1"/>
      </w:pPr>
      <w:r>
        <w:t>Statehood determines whether an entity qualifies as a state in international law; recognition concerns how other states respond to that status or to a government.</w:t>
      </w:r>
    </w:p>
    <w:p>
      <w:pPr>
        <w:pStyle w:val="TopicIntro"/>
        <w:widowControl w:val="1"/>
      </w:pPr>
      <w:r>
        <w:t>Study the classic statehood criteria, legal personality, declaratory and constitutive theories of recognition, de facto/de jure recognition, and the practical legal effects of recognition.</w:t>
      </w:r>
    </w:p>
    <w:p>
      <w:pPr>
        <w:pStyle w:val="Heading3"/>
        <w:widowControl w:val="1"/>
      </w:pPr>
      <w:r>
        <w:t>Statehood</w:t>
      </w:r>
    </w:p>
    <w:p>
      <w:pPr>
        <w:widowControl w:val="1"/>
      </w:pPr>
      <w:r>
        <w:t>Statehood concerns whether an entity possesses the legal characteristics of a state. The frequently cited Montevideo formulation identifies a permanent population, defined territory, government and capacity to enter relations with other states. These criteria are useful, but modern disputes can also involve self-determination, unlawful territorial acquisition, effectiveness, external control and institutional recognition.</w:t>
      </w:r>
    </w:p>
    <w:p>
      <w:pPr>
        <w:widowControl w:val="1"/>
      </w:pPr>
      <w:r>
        <w:t>A defined territory does not require perfectly settled boundaries. Likewise, a government need not be free from every internal challenge. The deeper question is whether there is a sufficiently stable territorial-political community capable of operating as a state under international law.</w:t>
      </w:r>
    </w:p>
    <w:p>
      <w:pPr>
        <w:pStyle w:val="Heading3"/>
        <w:widowControl w:val="1"/>
      </w:pPr>
      <w:r>
        <w:t>Recognition theories</w:t>
      </w:r>
    </w:p>
    <w:p>
      <w:pPr>
        <w:widowControl w:val="1"/>
      </w:pPr>
      <w:r>
        <w:t>The declaratory theory treats recognition as acknowledgement of a status that exists when the legal criteria for statehood are satisfied. The constitutive theory assigns recognition a stronger role in creating international legal status or the capacity to participate fully in the international community.</w:t>
      </w:r>
    </w:p>
    <w:p>
      <w:pPr>
        <w:widowControl w:val="1"/>
      </w:pPr>
      <w:r>
        <w:t>Modern practice often reflects elements of both approaches. An entity may claim statehood independently of recognition, yet widespread recognition can have major practical consequences for diplomatic relations, treaty participation, access to institutions, immunities and treatment in domestic courts.</w:t>
      </w:r>
    </w:p>
    <w:p>
      <w:pPr>
        <w:pStyle w:val="Heading3"/>
        <w:widowControl w:val="1"/>
      </w:pPr>
      <w:r>
        <w:t>State versus government recognition</w:t>
      </w:r>
    </w:p>
    <w:p>
      <w:pPr>
        <w:widowControl w:val="1"/>
      </w:pPr>
      <w:r>
        <w:t>Recognition of a state concerns the international legal personality of the territorial political entity. Recognition of a government concerns which authority is accepted as entitled to represent that state. Governments can change while the state remains the same legal person.</w:t>
      </w:r>
    </w:p>
    <w:p>
      <w:pPr>
        <w:widowControl w:val="1"/>
      </w:pPr>
      <w:r>
        <w:t>Contested examples should be used carefully. The learner should identify the legal question being illustrated—statehood, representation, self-determination or diplomatic recognition—without treating politically disputed claims as uncontested facts.</w:t>
      </w:r>
    </w:p>
    <w:p>
      <w:pPr>
        <w:pStyle w:val="Heading3"/>
        <w:widowControl w:val="1"/>
      </w:pPr>
      <w:r>
        <w:t>Core Concepts Explained</w:t>
      </w:r>
    </w:p>
    <w:p>
      <w:pPr>
        <w:pStyle w:val="TeachingBullet"/>
        <w:widowControl w:val="1"/>
      </w:pPr>
      <w:r>
        <w:t>Statehood asks whether an entity possesses the legal characteristics of a state. Recognition asks how other states acknowledge and deal with that claimed status or with a government exercising authority.</w:t>
      </w:r>
    </w:p>
    <w:p>
      <w:pPr>
        <w:pStyle w:val="TeachingBullet"/>
        <w:widowControl w:val="1"/>
      </w:pPr>
      <w:r>
        <w:t>The classic criteria focus on population, territory, government and capacity for international relations. In practice, statehood disputes can also involve self-determination, effectiveness and competing legal claims.</w:t>
      </w:r>
    </w:p>
    <w:p>
      <w:pPr>
        <w:pStyle w:val="TeachingBullet"/>
        <w:widowControl w:val="1"/>
      </w:pPr>
      <w:r>
        <w:t>The declaratory view treats recognition mainly as acknowledgement of an existing legal fact; the constitutive view gives recognition a larger role in creating international legal status.</w:t>
      </w:r>
    </w:p>
    <w:p>
      <w:pPr>
        <w:pStyle w:val="TeachingBullet"/>
        <w:widowControl w:val="1"/>
      </w:pPr>
      <w:r>
        <w:t>Recognition of a state and recognition of a government are distinct. A state may continue to exist even while other states dispute which authority should be treated as its government.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that recognition automatically creates statehood in every theory. Explain the competing theories and practical legal effects.</w:t>
            </w:r>
          </w:p>
        </w:tc>
      </w:tr>
    </w:tbl>
    <w:p>
      <w:pPr>
        <w:pStyle w:val="Heading3"/>
        <w:widowControl w:val="1"/>
      </w:pPr>
      <w:r>
        <w:t>Preparation and Answer Use</w:t>
      </w:r>
    </w:p>
    <w:p>
      <w:pPr>
        <w:pStyle w:val="TeachingBullet"/>
        <w:widowControl w:val="1"/>
      </w:pPr>
      <w:r>
        <w:t>Learn statehood criteria and recognition theories separately.</w:t>
      </w:r>
    </w:p>
    <w:p>
      <w:pPr>
        <w:pStyle w:val="TeachingBullet"/>
        <w:widowControl w:val="1"/>
      </w:pPr>
      <w:r>
        <w:t>Use contested-state examples carefully and neutrally.</w:t>
      </w:r>
    </w:p>
    <w:p>
      <w:pPr>
        <w:pStyle w:val="TeachingBullet"/>
        <w:widowControl w:val="1"/>
      </w:pPr>
      <w:r>
        <w:t>Explain the difference between recognizing a state and recognizing a government.</w:t>
      </w:r>
    </w:p>
    <w:p>
      <w:pPr>
        <w:pStyle w:val="Heading3"/>
        <w:widowControl w:val="1"/>
      </w:pPr>
      <w:r>
        <w:t>Key Takeaways</w:t>
      </w:r>
    </w:p>
    <w:p>
      <w:pPr>
        <w:pStyle w:val="TakeawayBullet"/>
        <w:widowControl w:val="1"/>
      </w:pPr>
      <w:r>
        <w:t>Statehood and recognition are related but not identical.</w:t>
      </w:r>
    </w:p>
    <w:p>
      <w:pPr>
        <w:pStyle w:val="TakeawayBullet"/>
        <w:widowControl w:val="1"/>
      </w:pPr>
      <w:r>
        <w:t>Recognition may have diplomatic and domestic legal consequences.</w:t>
      </w:r>
    </w:p>
    <w:p>
      <w:pPr>
        <w:pStyle w:val="TakeawayBullet"/>
        <w:widowControl w:val="1"/>
      </w:pPr>
      <w:r>
        <w:t>International organizations and individuals can possess forms of international legal personality too.</w:t>
      </w:r>
    </w:p>
    <w:p>
      <w:pPr>
        <w:spacing w:after="20"/>
        <w:pBdr>
          <w:bottom w:val="single" w:sz="4" w:space="1" w:color="D9E2F3"/>
        </w:pBdr>
        <w:widowControl w:val="1"/>
      </w:pPr>
    </w:p>
    <w:p>
      <w:pPr>
        <w:pStyle w:val="Heading2"/>
        <w:widowControl w:val="1"/>
      </w:pPr>
      <w:r>
        <w:t>4. Law of Treaties</w:t>
      </w:r>
    </w:p>
    <w:p>
      <w:pPr>
        <w:pStyle w:val="Heading3"/>
        <w:widowControl w:val="1"/>
      </w:pPr>
      <w:r>
        <w:t>Official Syllabus Focus</w:t>
      </w:r>
    </w:p>
    <w:p>
      <w:pPr>
        <w:pStyle w:val="FocusBullet"/>
        <w:widowControl w:val="1"/>
      </w:pPr>
      <w:r>
        <w:t>Vienna Convention on the Law of Treaties</w:t>
      </w:r>
    </w:p>
    <w:p>
      <w:pPr>
        <w:pStyle w:val="Heading3"/>
        <w:widowControl w:val="1"/>
      </w:pPr>
      <w:r>
        <w:t>Introduction and Scope</w:t>
      </w:r>
    </w:p>
    <w:p>
      <w:pPr>
        <w:pStyle w:val="TopicIntro"/>
        <w:widowControl w:val="1"/>
      </w:pPr>
      <w:r>
        <w:t>Treaty law explains how international agreements are made, interpreted, applied, amended, invalidated and terminated.</w:t>
      </w:r>
    </w:p>
    <w:p>
      <w:pPr>
        <w:pStyle w:val="TopicIntro"/>
        <w:widowControl w:val="1"/>
      </w:pPr>
      <w:r>
        <w:t>Use the Vienna Convention as the map: conclusion and consent to be bound, reservations, entry into force, pacta sunt servanda, interpretation, third states, invalidity, termination/suspension and consequences.</w:t>
      </w:r>
    </w:p>
    <w:p>
      <w:pPr>
        <w:pStyle w:val="SourceNote"/>
        <w:widowControl w:val="1"/>
      </w:pPr>
      <w:r>
        <w:t>Primary international authority: Vienna Convention on the Law of Treaties, 1969, especially Articles 26 and 31–32 for performance and interpretation.</w:t>
      </w:r>
    </w:p>
    <w:p>
      <w:pPr>
        <w:pStyle w:val="Heading3"/>
        <w:widowControl w:val="1"/>
      </w:pPr>
      <w:r>
        <w:t>Treaty life-cycle</w:t>
      </w:r>
    </w:p>
    <w:p>
      <w:pPr>
        <w:widowControl w:val="1"/>
      </w:pPr>
      <w:r>
        <w:t>The Vienna Convention on the Law of Treaties 1969 provides the standard framework for treaties between states. The life-cycle begins with negotiation and adoption of text, moves through authentication and consent to be bound, and then to entry into force, performance, interpretation, amendment and possible suspension or termination.</w:t>
      </w:r>
    </w:p>
    <w:p>
      <w:pPr>
        <w:widowControl w:val="1"/>
      </w:pPr>
      <w:r>
        <w:t>Consent to be bound may be expressed by signature, ratification, acceptance, approval, accession or another agreed method depending on the treaty. The legal consequence of signature alone therefore depends on the treaty and the applicable rules.</w:t>
      </w:r>
    </w:p>
    <w:p>
      <w:pPr>
        <w:pStyle w:val="Heading3"/>
        <w:widowControl w:val="1"/>
      </w:pPr>
      <w:r>
        <w:t>Performance, reservations and third states</w:t>
      </w:r>
    </w:p>
    <w:p>
      <w:pPr>
        <w:widowControl w:val="1"/>
      </w:pPr>
      <w:r>
        <w:t>Pacta sunt servanda, reflected in Article 26 of the Convention, means that every treaty in force is binding on its parties and must be performed in good faith. A party may not simply invoke internal-law difficulty as a general excuse for non-performance.</w:t>
      </w:r>
    </w:p>
    <w:p>
      <w:pPr>
        <w:widowControl w:val="1"/>
      </w:pPr>
      <w:r>
        <w:t>A reservation is a unilateral statement by which a state seeks to exclude or modify the legal effect of certain treaty provisions in their application to that state. Reservations are controlled by the treaty and the Convention framework, including compatibility with the treaty's object and purpose where the treaty does not resolve the matter differently.</w:t>
      </w:r>
    </w:p>
    <w:p>
      <w:pPr>
        <w:widowControl w:val="1"/>
      </w:pPr>
      <w:r>
        <w:t>Treaties generally do not create obligations or rights for third states without the conditions required by treaty law. This reflects the consensual structure of treaty obligation.</w:t>
      </w:r>
    </w:p>
    <w:p>
      <w:pPr>
        <w:pStyle w:val="Heading3"/>
        <w:widowControl w:val="1"/>
      </w:pPr>
      <w:r>
        <w:t>Interpretation, invalidity and termination</w:t>
      </w:r>
    </w:p>
    <w:p>
      <w:pPr>
        <w:widowControl w:val="1"/>
      </w:pPr>
      <w:r>
        <w:t>Article 31 begins interpretation with the ordinary meaning of terms in their context and in light of the treaty's object and purpose, applied in good faith. Supplementary means under Article 32 may assist in the circumstances provided by the Convention. Interpretation is therefore a legal method, not an invitation to choose any policy-preferred meaning.</w:t>
      </w:r>
    </w:p>
    <w:p>
      <w:pPr>
        <w:widowControl w:val="1"/>
      </w:pPr>
      <w:r>
        <w:t>Invalidity and termination must remain separate. Invalidity concerns defects affecting consent or the legal validity of the treaty, such as specified error, fraud, coercion or conflict with a peremptory norm. Termination concerns ending or suspending obligations under a treaty that was validly in force, for example under treaty provisions or legally recognized grounds.</w:t>
      </w:r>
    </w:p>
    <w:p>
      <w:pPr>
        <w:pStyle w:val="Heading3"/>
        <w:widowControl w:val="1"/>
      </w:pPr>
      <w:r>
        <w:t>Concept Flow</w:t>
      </w:r>
    </w:p>
    <w:p>
      <w:pPr>
        <w:pStyle w:val="Flow"/>
        <w:widowControl w:val="1"/>
      </w:pPr>
      <w:r>
        <w:rPr>
          <w:b/>
        </w:rPr>
        <w:t>Negotiation/adoption</w:t>
      </w:r>
      <w:r>
        <w:t xml:space="preserve">  →  </w:t>
      </w:r>
      <w:r>
        <w:rPr>
          <w:b w:val="0"/>
        </w:rPr>
        <w:t>Authentication/signature</w:t>
      </w:r>
      <w:r>
        <w:t xml:space="preserve">  →  </w:t>
      </w:r>
      <w:r>
        <w:rPr>
          <w:b/>
        </w:rPr>
        <w:t>Consent to be bound</w:t>
      </w:r>
      <w:r>
        <w:t xml:space="preserve">  →  </w:t>
      </w:r>
      <w:r>
        <w:rPr>
          <w:b w:val="0"/>
        </w:rPr>
        <w:t>Entry into force</w:t>
      </w:r>
      <w:r>
        <w:t xml:space="preserve">  →  </w:t>
      </w:r>
      <w:r>
        <w:rPr>
          <w:b/>
        </w:rPr>
        <w:t>Performance &amp; interpretation</w:t>
      </w:r>
      <w:r>
        <w:t xml:space="preserve">  →  </w:t>
      </w:r>
      <w:r>
        <w:rPr>
          <w:b w:val="0"/>
        </w:rPr>
        <w:t>Amendment</w:t>
      </w:r>
      <w:r>
        <w:t xml:space="preserve">  →  </w:t>
      </w:r>
      <w:r>
        <w:rPr>
          <w:b/>
        </w:rPr>
        <w:t>Suspension/termination</w:t>
      </w:r>
    </w:p>
    <w:p>
      <w:pPr>
        <w:pStyle w:val="Heading3"/>
        <w:widowControl w:val="1"/>
      </w:pPr>
      <w:r>
        <w:t>Core Concepts Explained</w:t>
      </w:r>
    </w:p>
    <w:p>
      <w:pPr>
        <w:pStyle w:val="TeachingBullet"/>
        <w:widowControl w:val="1"/>
      </w:pPr>
      <w:r>
        <w:rPr>
          <w:b/>
        </w:rPr>
        <w:t>Treaty law can be learned as a life-cycle:</w:t>
      </w:r>
      <w:r>
        <w:t xml:space="preserve"> negotiation and adoption; signature or other authentication; consent to be bound; entry into force; performance; interpretation; amendment; and possible suspension or termination.</w:t>
      </w:r>
    </w:p>
    <w:p>
      <w:pPr>
        <w:pStyle w:val="TeachingBullet"/>
        <w:widowControl w:val="1"/>
      </w:pPr>
      <w:r>
        <w:t>Pacta sunt servanda expresses the basic principle that treaties in force must be performed in good faith. Domestic inconvenience does not by itself cancel an international obligation.</w:t>
      </w:r>
    </w:p>
    <w:p>
      <w:pPr>
        <w:pStyle w:val="TeachingBullet"/>
        <w:widowControl w:val="1"/>
      </w:pPr>
      <w:r>
        <w:t>Reservations allow a state, within applicable rules, to seek exclusion or modification of the legal effect of certain treaty provisions in relation to that state. Their permissibility depends on the treaty and compatibility rules.</w:t>
      </w:r>
    </w:p>
    <w:p>
      <w:pPr>
        <w:pStyle w:val="TeachingBullet"/>
        <w:widowControl w:val="1"/>
      </w:pPr>
      <w:r>
        <w:t>Interpretation starts with the ordinary meaning of treaty terms in their context and in light of the treaty's object and purpose. It is a disciplined legal method, not a search for any politically convenient meaning.</w:t>
      </w:r>
    </w:p>
    <w:p>
      <w:pPr>
        <w:pStyle w:val="TeachingBullet"/>
        <w:widowControl w:val="1"/>
      </w:pPr>
      <w:r>
        <w:t>Invalidity concerns defects affecting the treaty or consent; termination concerns bringing obligations to an end after a valid treaty exists. Keep these concepts separate.</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use “treaty is invalid” and “treaty has terminated” as interchangeable expressions. They answer different legal questions.</w:t>
            </w:r>
          </w:p>
        </w:tc>
      </w:tr>
    </w:tbl>
    <w:p>
      <w:pPr>
        <w:pStyle w:val="Heading3"/>
        <w:widowControl w:val="1"/>
      </w:pPr>
      <w:r>
        <w:t>Preparation and Answer Use</w:t>
      </w:r>
    </w:p>
    <w:p>
      <w:pPr>
        <w:pStyle w:val="TeachingBullet"/>
        <w:widowControl w:val="1"/>
      </w:pPr>
      <w:r>
        <w:t>Create a treaty life-cycle diagram.</w:t>
      </w:r>
    </w:p>
    <w:p>
      <w:pPr>
        <w:pStyle w:val="TeachingBullet"/>
        <w:widowControl w:val="1"/>
      </w:pPr>
      <w:r>
        <w:rPr>
          <w:b/>
        </w:rPr>
        <w:t>Learn the general interpretation approach:</w:t>
      </w:r>
      <w:r>
        <w:t xml:space="preserve"> text, context, object and purpose.</w:t>
      </w:r>
    </w:p>
    <w:p>
      <w:pPr>
        <w:pStyle w:val="TeachingBullet"/>
        <w:widowControl w:val="1"/>
      </w:pPr>
      <w:r>
        <w:t>Separate invalidity from termination.</w:t>
      </w:r>
    </w:p>
    <w:p>
      <w:pPr>
        <w:pStyle w:val="Heading3"/>
        <w:widowControl w:val="1"/>
      </w:pPr>
      <w:r>
        <w:t>Key Takeaways</w:t>
      </w:r>
    </w:p>
    <w:p>
      <w:pPr>
        <w:pStyle w:val="TakeawayBullet"/>
        <w:widowControl w:val="1"/>
      </w:pPr>
      <w:r>
        <w:t>Pacta sunt servanda means treaties in force bind parties and must be performed in good faith.</w:t>
      </w:r>
    </w:p>
    <w:p>
      <w:pPr>
        <w:pStyle w:val="TakeawayBullet"/>
        <w:widowControl w:val="1"/>
      </w:pPr>
      <w:r>
        <w:t>Reservation rules depend on the treaty and compatibility with its object and purpose.</w:t>
      </w:r>
    </w:p>
    <w:p>
      <w:pPr>
        <w:pStyle w:val="TakeawayBullet"/>
        <w:widowControl w:val="1"/>
      </w:pPr>
      <w:r>
        <w:t>Treaty interpretation is structured, not free-form.</w:t>
      </w:r>
    </w:p>
    <w:p>
      <w:pPr>
        <w:spacing w:after="20"/>
        <w:pBdr>
          <w:bottom w:val="single" w:sz="4" w:space="1" w:color="D9E2F3"/>
        </w:pBdr>
        <w:widowControl w:val="1"/>
      </w:pPr>
    </w:p>
    <w:p>
      <w:pPr>
        <w:pStyle w:val="Heading2"/>
        <w:widowControl w:val="1"/>
      </w:pPr>
      <w:r>
        <w:t>5. Peaceful Settlement of International Disputes</w:t>
      </w:r>
    </w:p>
    <w:p>
      <w:pPr>
        <w:pStyle w:val="Heading3"/>
        <w:widowControl w:val="1"/>
      </w:pPr>
      <w:r>
        <w:t>Official Syllabus Focus</w:t>
      </w:r>
    </w:p>
    <w:p>
      <w:pPr>
        <w:pStyle w:val="FocusBullet"/>
        <w:widowControl w:val="1"/>
      </w:pPr>
      <w:r>
        <w:t>Negotiation</w:t>
      </w:r>
    </w:p>
    <w:p>
      <w:pPr>
        <w:pStyle w:val="FocusBullet"/>
        <w:widowControl w:val="1"/>
      </w:pPr>
      <w:r>
        <w:t>Mediation/good offices</w:t>
      </w:r>
    </w:p>
    <w:p>
      <w:pPr>
        <w:pStyle w:val="FocusBullet"/>
        <w:widowControl w:val="1"/>
      </w:pPr>
      <w:r>
        <w:t>Inquiry</w:t>
      </w:r>
    </w:p>
    <w:p>
      <w:pPr>
        <w:pStyle w:val="FocusBullet"/>
        <w:widowControl w:val="1"/>
      </w:pPr>
      <w:r>
        <w:t>UN settlement</w:t>
      </w:r>
    </w:p>
    <w:p>
      <w:pPr>
        <w:pStyle w:val="FocusBullet"/>
        <w:widowControl w:val="1"/>
      </w:pPr>
      <w:r>
        <w:t>Conciliation</w:t>
      </w:r>
    </w:p>
    <w:p>
      <w:pPr>
        <w:pStyle w:val="FocusBullet"/>
        <w:widowControl w:val="1"/>
      </w:pPr>
      <w:r>
        <w:t>Arbitration</w:t>
      </w:r>
    </w:p>
    <w:p>
      <w:pPr>
        <w:pStyle w:val="FocusBullet"/>
        <w:widowControl w:val="1"/>
      </w:pPr>
      <w:r>
        <w:t>ICJ</w:t>
      </w:r>
    </w:p>
    <w:p>
      <w:pPr>
        <w:pStyle w:val="Heading3"/>
        <w:widowControl w:val="1"/>
      </w:pPr>
      <w:r>
        <w:t>Introduction and Scope</w:t>
      </w:r>
    </w:p>
    <w:p>
      <w:pPr>
        <w:pStyle w:val="TopicIntro"/>
        <w:widowControl w:val="1"/>
      </w:pPr>
      <w:r>
        <w:t>International disputes may be settled through diplomatic or adjudicative methods rather than force.</w:t>
      </w:r>
    </w:p>
    <w:p>
      <w:pPr>
        <w:pStyle w:val="TopicIntro"/>
        <w:widowControl w:val="1"/>
      </w:pPr>
      <w:r>
        <w:t>Diplomatic methods keep greater control with the parties; adjudicative methods such as arbitration and judicial settlement produce legal decisions based on consent to jurisdiction.</w:t>
      </w:r>
    </w:p>
    <w:p>
      <w:pPr>
        <w:pStyle w:val="Heading3"/>
        <w:widowControl w:val="1"/>
      </w:pPr>
      <w:r>
        <w:t>Basic obligation and methods</w:t>
      </w:r>
    </w:p>
    <w:p>
      <w:pPr>
        <w:widowControl w:val="1"/>
      </w:pPr>
      <w:r>
        <w:t>The UN Charter requires members to settle international disputes by peaceful means so that international peace, security and justice are not endangered. Peaceful settlement is a family of methods rather than one procedure. The choice depends on consent, urgency, political relations, subject matter and whether the parties want a negotiated or legally binding outcome.</w:t>
      </w:r>
    </w:p>
    <w:p>
      <w:pPr>
        <w:widowControl w:val="1"/>
      </w:pPr>
      <w:r>
        <w:t>Negotiation is direct engagement between the parties. Good offices involve a third party helping the parties come together. Mediation involves more active assistance in developing a settlement. Inquiry clarifies disputed facts. Conciliation generally combines investigation with non-binding proposals.</w:t>
      </w:r>
    </w:p>
    <w:p>
      <w:pPr>
        <w:pStyle w:val="Heading3"/>
        <w:widowControl w:val="1"/>
      </w:pPr>
      <w:r>
        <w:t>Arbitration and judicial settlement</w:t>
      </w:r>
    </w:p>
    <w:p>
      <w:pPr>
        <w:widowControl w:val="1"/>
      </w:pPr>
      <w:r>
        <w:t>Arbitration is adjudication based on consent in which the parties submit a dispute to a tribunal and receive an award. The parties often have greater control over composition and procedure than in a permanent court. Judicial settlement before the ICJ is also consent-based in contentious cases, but the Court is a permanent judicial institution operating under its Statute and Rules.</w:t>
      </w:r>
    </w:p>
    <w:p>
      <w:pPr>
        <w:widowControl w:val="1"/>
      </w:pPr>
      <w:r>
        <w:t>Consent to ICJ jurisdiction can arise through a compromissory clause in a treaty, a special agreement, reciprocal optional-clause declarations, or another valid jurisdictional basis. The Court cannot simply hear every dispute between UN member states.</w:t>
      </w:r>
    </w:p>
    <w:p>
      <w:pPr>
        <w:pStyle w:val="Heading3"/>
        <w:widowControl w:val="1"/>
      </w:pPr>
      <w:r>
        <w:t>Choosing a method</w:t>
      </w:r>
    </w:p>
    <w:p>
      <w:pPr>
        <w:widowControl w:val="1"/>
      </w:pPr>
      <w:r>
        <w:t>Comparison should focus on four variables: how much control the parties retain, what the third party does, whether the result is legally binding, and whether the process applies law or seeks a negotiated compromise. Diplomatic methods may preserve relationships and flexibility; adjudication can provide authoritative legal resolution but requires a jurisdictional basis.</w:t>
      </w:r>
    </w:p>
    <w:p>
      <w:pPr>
        <w:pStyle w:val="Heading3"/>
        <w:widowControl w:val="1"/>
      </w:pPr>
      <w:r>
        <w:t>Key Comparison</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437"/>
            <w:shd w:fill="D9E5F0"/>
            <w:vAlign w:val="center"/>
            <w:tcMar>
              <w:top w:w="90" w:type="dxa"/>
              <w:start w:w="100" w:type="dxa"/>
              <w:bottom w:w="90" w:type="dxa"/>
              <w:end w:w="100" w:type="dxa"/>
            </w:tcMar>
          </w:tcPr>
          <w:p>
            <w:pPr>
              <w:jc w:val="center"/>
            </w:pPr>
            <w:r>
              <w:rPr>
                <w:b/>
                <w:sz w:val="19"/>
              </w:rPr>
              <w:t>Method</w:t>
            </w:r>
          </w:p>
        </w:tc>
        <w:tc>
          <w:tcPr>
            <w:tcW w:type="dxa" w:w="2437"/>
            <w:shd w:fill="D9E5F0"/>
            <w:vAlign w:val="center"/>
            <w:tcMar>
              <w:top w:w="90" w:type="dxa"/>
              <w:start w:w="100" w:type="dxa"/>
              <w:bottom w:w="90" w:type="dxa"/>
              <w:end w:w="100" w:type="dxa"/>
            </w:tcMar>
          </w:tcPr>
          <w:p>
            <w:pPr>
              <w:jc w:val="center"/>
            </w:pPr>
            <w:r>
              <w:rPr>
                <w:b/>
                <w:sz w:val="19"/>
              </w:rPr>
              <w:t>Third-party role</w:t>
            </w:r>
          </w:p>
        </w:tc>
        <w:tc>
          <w:tcPr>
            <w:tcW w:type="dxa" w:w="2437"/>
            <w:shd w:fill="D9E5F0"/>
            <w:vAlign w:val="center"/>
            <w:tcMar>
              <w:top w:w="90" w:type="dxa"/>
              <w:start w:w="100" w:type="dxa"/>
              <w:bottom w:w="90" w:type="dxa"/>
              <w:end w:w="100" w:type="dxa"/>
            </w:tcMar>
          </w:tcPr>
          <w:p>
            <w:pPr>
              <w:jc w:val="center"/>
            </w:pPr>
            <w:r>
              <w:rPr>
                <w:b/>
                <w:sz w:val="19"/>
              </w:rPr>
              <w:t>Binding?</w:t>
            </w:r>
          </w:p>
        </w:tc>
        <w:tc>
          <w:tcPr>
            <w:tcW w:type="dxa" w:w="2437"/>
            <w:shd w:fill="D9E5F0"/>
            <w:vAlign w:val="center"/>
            <w:tcMar>
              <w:top w:w="90" w:type="dxa"/>
              <w:start w:w="100" w:type="dxa"/>
              <w:bottom w:w="90" w:type="dxa"/>
              <w:end w:w="100" w:type="dxa"/>
            </w:tcMar>
          </w:tcPr>
          <w:p>
            <w:pPr>
              <w:jc w:val="center"/>
            </w:pPr>
            <w:r>
              <w:rPr>
                <w:b/>
                <w:sz w:val="19"/>
              </w:rPr>
              <w:t>Character</w:t>
            </w:r>
          </w:p>
        </w:tc>
      </w:tr>
      <w:tr>
        <w:tc>
          <w:tcPr>
            <w:tcW w:type="dxa" w:w="2437"/>
            <w:vAlign w:val="top"/>
            <w:tcMar>
              <w:top w:w="90" w:type="dxa"/>
              <w:start w:w="100" w:type="dxa"/>
              <w:bottom w:w="90" w:type="dxa"/>
              <w:end w:w="100" w:type="dxa"/>
            </w:tcMar>
          </w:tcPr>
          <w:p>
            <w:pPr>
              <w:spacing w:after="0"/>
            </w:pPr>
            <w:r>
              <w:rPr>
                <w:sz w:val="18"/>
              </w:rPr>
              <w:t>Negotiation</w:t>
            </w:r>
          </w:p>
        </w:tc>
        <w:tc>
          <w:tcPr>
            <w:tcW w:type="dxa" w:w="2437"/>
            <w:vAlign w:val="top"/>
            <w:tcMar>
              <w:top w:w="90" w:type="dxa"/>
              <w:start w:w="100" w:type="dxa"/>
              <w:bottom w:w="90" w:type="dxa"/>
              <w:end w:w="100" w:type="dxa"/>
            </w:tcMar>
          </w:tcPr>
          <w:p>
            <w:pPr>
              <w:spacing w:after="0"/>
            </w:pPr>
            <w:r>
              <w:rPr>
                <w:sz w:val="18"/>
              </w:rPr>
              <w:t>None</w:t>
            </w:r>
          </w:p>
        </w:tc>
        <w:tc>
          <w:tcPr>
            <w:tcW w:type="dxa" w:w="2437"/>
            <w:vAlign w:val="top"/>
            <w:tcMar>
              <w:top w:w="90" w:type="dxa"/>
              <w:start w:w="100" w:type="dxa"/>
              <w:bottom w:w="90" w:type="dxa"/>
              <w:end w:w="100" w:type="dxa"/>
            </w:tcMar>
          </w:tcPr>
          <w:p>
            <w:pPr>
              <w:spacing w:after="0"/>
            </w:pPr>
            <w:r>
              <w:rPr>
                <w:sz w:val="18"/>
              </w:rPr>
              <w:t>No, unless agreement results</w:t>
            </w:r>
          </w:p>
        </w:tc>
        <w:tc>
          <w:tcPr>
            <w:tcW w:type="dxa" w:w="2437"/>
            <w:vAlign w:val="top"/>
            <w:tcMar>
              <w:top w:w="90" w:type="dxa"/>
              <w:start w:w="100" w:type="dxa"/>
              <w:bottom w:w="90" w:type="dxa"/>
              <w:end w:w="100" w:type="dxa"/>
            </w:tcMar>
          </w:tcPr>
          <w:p>
            <w:pPr>
              <w:spacing w:after="0"/>
            </w:pPr>
            <w:r>
              <w:rPr>
                <w:sz w:val="18"/>
              </w:rPr>
              <w:t>Diplomatic</w:t>
            </w:r>
          </w:p>
        </w:tc>
      </w:tr>
      <w:tr>
        <w:tc>
          <w:tcPr>
            <w:tcW w:type="dxa" w:w="2437"/>
            <w:vAlign w:val="top"/>
            <w:tcMar>
              <w:top w:w="90" w:type="dxa"/>
              <w:start w:w="100" w:type="dxa"/>
              <w:bottom w:w="90" w:type="dxa"/>
              <w:end w:w="100" w:type="dxa"/>
            </w:tcMar>
          </w:tcPr>
          <w:p>
            <w:pPr>
              <w:spacing w:after="0"/>
            </w:pPr>
            <w:r>
              <w:rPr>
                <w:sz w:val="18"/>
              </w:rPr>
              <w:t>Mediation</w:t>
            </w:r>
          </w:p>
        </w:tc>
        <w:tc>
          <w:tcPr>
            <w:tcW w:type="dxa" w:w="2437"/>
            <w:vAlign w:val="top"/>
            <w:tcMar>
              <w:top w:w="90" w:type="dxa"/>
              <w:start w:w="100" w:type="dxa"/>
              <w:bottom w:w="90" w:type="dxa"/>
              <w:end w:w="100" w:type="dxa"/>
            </w:tcMar>
          </w:tcPr>
          <w:p>
            <w:pPr>
              <w:spacing w:after="0"/>
            </w:pPr>
            <w:r>
              <w:rPr>
                <w:sz w:val="18"/>
              </w:rPr>
              <w:t>Active facilitator</w:t>
            </w:r>
          </w:p>
        </w:tc>
        <w:tc>
          <w:tcPr>
            <w:tcW w:type="dxa" w:w="2437"/>
            <w:vAlign w:val="top"/>
            <w:tcMar>
              <w:top w:w="90" w:type="dxa"/>
              <w:start w:w="100" w:type="dxa"/>
              <w:bottom w:w="90" w:type="dxa"/>
              <w:end w:w="100" w:type="dxa"/>
            </w:tcMar>
          </w:tcPr>
          <w:p>
            <w:pPr>
              <w:spacing w:after="0"/>
            </w:pPr>
            <w:r>
              <w:rPr>
                <w:sz w:val="18"/>
              </w:rPr>
              <w:t>Normally no</w:t>
            </w:r>
          </w:p>
        </w:tc>
        <w:tc>
          <w:tcPr>
            <w:tcW w:type="dxa" w:w="2437"/>
            <w:vAlign w:val="top"/>
            <w:tcMar>
              <w:top w:w="90" w:type="dxa"/>
              <w:start w:w="100" w:type="dxa"/>
              <w:bottom w:w="90" w:type="dxa"/>
              <w:end w:w="100" w:type="dxa"/>
            </w:tcMar>
          </w:tcPr>
          <w:p>
            <w:pPr>
              <w:spacing w:after="0"/>
            </w:pPr>
            <w:r>
              <w:rPr>
                <w:sz w:val="18"/>
              </w:rPr>
              <w:t>Diplomatic</w:t>
            </w:r>
          </w:p>
        </w:tc>
      </w:tr>
      <w:tr>
        <w:tc>
          <w:tcPr>
            <w:tcW w:type="dxa" w:w="2437"/>
            <w:vAlign w:val="top"/>
            <w:tcMar>
              <w:top w:w="90" w:type="dxa"/>
              <w:start w:w="100" w:type="dxa"/>
              <w:bottom w:w="90" w:type="dxa"/>
              <w:end w:w="100" w:type="dxa"/>
            </w:tcMar>
          </w:tcPr>
          <w:p>
            <w:pPr>
              <w:spacing w:after="0"/>
            </w:pPr>
            <w:r>
              <w:rPr>
                <w:sz w:val="18"/>
              </w:rPr>
              <w:t>Inquiry</w:t>
            </w:r>
          </w:p>
        </w:tc>
        <w:tc>
          <w:tcPr>
            <w:tcW w:type="dxa" w:w="2437"/>
            <w:vAlign w:val="top"/>
            <w:tcMar>
              <w:top w:w="90" w:type="dxa"/>
              <w:start w:w="100" w:type="dxa"/>
              <w:bottom w:w="90" w:type="dxa"/>
              <w:end w:w="100" w:type="dxa"/>
            </w:tcMar>
          </w:tcPr>
          <w:p>
            <w:pPr>
              <w:spacing w:after="0"/>
            </w:pPr>
            <w:r>
              <w:rPr>
                <w:sz w:val="18"/>
              </w:rPr>
              <w:t>Clarifies facts</w:t>
            </w:r>
          </w:p>
        </w:tc>
        <w:tc>
          <w:tcPr>
            <w:tcW w:type="dxa" w:w="2437"/>
            <w:vAlign w:val="top"/>
            <w:tcMar>
              <w:top w:w="90" w:type="dxa"/>
              <w:start w:w="100" w:type="dxa"/>
              <w:bottom w:w="90" w:type="dxa"/>
              <w:end w:w="100" w:type="dxa"/>
            </w:tcMar>
          </w:tcPr>
          <w:p>
            <w:pPr>
              <w:spacing w:after="0"/>
            </w:pPr>
            <w:r>
              <w:rPr>
                <w:sz w:val="18"/>
              </w:rPr>
              <w:t>Normally no</w:t>
            </w:r>
          </w:p>
        </w:tc>
        <w:tc>
          <w:tcPr>
            <w:tcW w:type="dxa" w:w="2437"/>
            <w:vAlign w:val="top"/>
            <w:tcMar>
              <w:top w:w="90" w:type="dxa"/>
              <w:start w:w="100" w:type="dxa"/>
              <w:bottom w:w="90" w:type="dxa"/>
              <w:end w:w="100" w:type="dxa"/>
            </w:tcMar>
          </w:tcPr>
          <w:p>
            <w:pPr>
              <w:spacing w:after="0"/>
            </w:pPr>
            <w:r>
              <w:rPr>
                <w:sz w:val="18"/>
              </w:rPr>
              <w:t>Fact-finding</w:t>
            </w:r>
          </w:p>
        </w:tc>
      </w:tr>
      <w:tr>
        <w:tc>
          <w:tcPr>
            <w:tcW w:type="dxa" w:w="2437"/>
            <w:vAlign w:val="top"/>
            <w:tcMar>
              <w:top w:w="90" w:type="dxa"/>
              <w:start w:w="100" w:type="dxa"/>
              <w:bottom w:w="90" w:type="dxa"/>
              <w:end w:w="100" w:type="dxa"/>
            </w:tcMar>
          </w:tcPr>
          <w:p>
            <w:pPr>
              <w:spacing w:after="0"/>
            </w:pPr>
            <w:r>
              <w:rPr>
                <w:sz w:val="18"/>
              </w:rPr>
              <w:t>Conciliation</w:t>
            </w:r>
          </w:p>
        </w:tc>
        <w:tc>
          <w:tcPr>
            <w:tcW w:type="dxa" w:w="2437"/>
            <w:vAlign w:val="top"/>
            <w:tcMar>
              <w:top w:w="90" w:type="dxa"/>
              <w:start w:w="100" w:type="dxa"/>
              <w:bottom w:w="90" w:type="dxa"/>
              <w:end w:w="100" w:type="dxa"/>
            </w:tcMar>
          </w:tcPr>
          <w:p>
            <w:pPr>
              <w:spacing w:after="0"/>
            </w:pPr>
            <w:r>
              <w:rPr>
                <w:sz w:val="18"/>
              </w:rPr>
              <w:t>Investigates and proposes terms</w:t>
            </w:r>
          </w:p>
        </w:tc>
        <w:tc>
          <w:tcPr>
            <w:tcW w:type="dxa" w:w="2437"/>
            <w:vAlign w:val="top"/>
            <w:tcMar>
              <w:top w:w="90" w:type="dxa"/>
              <w:start w:w="100" w:type="dxa"/>
              <w:bottom w:w="90" w:type="dxa"/>
              <w:end w:w="100" w:type="dxa"/>
            </w:tcMar>
          </w:tcPr>
          <w:p>
            <w:pPr>
              <w:spacing w:after="0"/>
            </w:pPr>
            <w:r>
              <w:rPr>
                <w:sz w:val="18"/>
              </w:rPr>
              <w:t>Normally no</w:t>
            </w:r>
          </w:p>
        </w:tc>
        <w:tc>
          <w:tcPr>
            <w:tcW w:type="dxa" w:w="2437"/>
            <w:vAlign w:val="top"/>
            <w:tcMar>
              <w:top w:w="90" w:type="dxa"/>
              <w:start w:w="100" w:type="dxa"/>
              <w:bottom w:w="90" w:type="dxa"/>
              <w:end w:w="100" w:type="dxa"/>
            </w:tcMar>
          </w:tcPr>
          <w:p>
            <w:pPr>
              <w:spacing w:after="0"/>
            </w:pPr>
            <w:r>
              <w:rPr>
                <w:sz w:val="18"/>
              </w:rPr>
              <w:t>Diplomatic/quasi-institutional</w:t>
            </w:r>
          </w:p>
        </w:tc>
      </w:tr>
      <w:tr>
        <w:tc>
          <w:tcPr>
            <w:tcW w:type="dxa" w:w="2437"/>
            <w:vAlign w:val="top"/>
            <w:tcMar>
              <w:top w:w="90" w:type="dxa"/>
              <w:start w:w="100" w:type="dxa"/>
              <w:bottom w:w="90" w:type="dxa"/>
              <w:end w:w="100" w:type="dxa"/>
            </w:tcMar>
          </w:tcPr>
          <w:p>
            <w:pPr>
              <w:spacing w:after="0"/>
            </w:pPr>
            <w:r>
              <w:rPr>
                <w:sz w:val="18"/>
              </w:rPr>
              <w:t>Arbitration</w:t>
            </w:r>
          </w:p>
        </w:tc>
        <w:tc>
          <w:tcPr>
            <w:tcW w:type="dxa" w:w="2437"/>
            <w:vAlign w:val="top"/>
            <w:tcMar>
              <w:top w:w="90" w:type="dxa"/>
              <w:start w:w="100" w:type="dxa"/>
              <w:bottom w:w="90" w:type="dxa"/>
              <w:end w:w="100" w:type="dxa"/>
            </w:tcMar>
          </w:tcPr>
          <w:p>
            <w:pPr>
              <w:spacing w:after="0"/>
            </w:pPr>
            <w:r>
              <w:rPr>
                <w:sz w:val="18"/>
              </w:rPr>
              <w:t>Tribunal chosen/constituted by consent</w:t>
            </w:r>
          </w:p>
        </w:tc>
        <w:tc>
          <w:tcPr>
            <w:tcW w:type="dxa" w:w="2437"/>
            <w:vAlign w:val="top"/>
            <w:tcMar>
              <w:top w:w="90" w:type="dxa"/>
              <w:start w:w="100" w:type="dxa"/>
              <w:bottom w:w="90" w:type="dxa"/>
              <w:end w:w="100" w:type="dxa"/>
            </w:tcMar>
          </w:tcPr>
          <w:p>
            <w:pPr>
              <w:spacing w:after="0"/>
            </w:pPr>
            <w:r>
              <w:rPr>
                <w:sz w:val="18"/>
              </w:rPr>
              <w:t>Yes under governing submission</w:t>
            </w:r>
          </w:p>
        </w:tc>
        <w:tc>
          <w:tcPr>
            <w:tcW w:type="dxa" w:w="2437"/>
            <w:vAlign w:val="top"/>
            <w:tcMar>
              <w:top w:w="90" w:type="dxa"/>
              <w:start w:w="100" w:type="dxa"/>
              <w:bottom w:w="90" w:type="dxa"/>
              <w:end w:w="100" w:type="dxa"/>
            </w:tcMar>
          </w:tcPr>
          <w:p>
            <w:pPr>
              <w:spacing w:after="0"/>
            </w:pPr>
            <w:r>
              <w:rPr>
                <w:sz w:val="18"/>
              </w:rPr>
              <w:t>Adjudicative</w:t>
            </w:r>
          </w:p>
        </w:tc>
      </w:tr>
      <w:tr>
        <w:tc>
          <w:tcPr>
            <w:tcW w:type="dxa" w:w="2437"/>
            <w:vAlign w:val="top"/>
            <w:tcMar>
              <w:top w:w="90" w:type="dxa"/>
              <w:start w:w="100" w:type="dxa"/>
              <w:bottom w:w="90" w:type="dxa"/>
              <w:end w:w="100" w:type="dxa"/>
            </w:tcMar>
          </w:tcPr>
          <w:p>
            <w:pPr>
              <w:spacing w:after="0"/>
            </w:pPr>
            <w:r>
              <w:rPr>
                <w:sz w:val="18"/>
              </w:rPr>
              <w:t>ICJ contentious case</w:t>
            </w:r>
          </w:p>
        </w:tc>
        <w:tc>
          <w:tcPr>
            <w:tcW w:type="dxa" w:w="2437"/>
            <w:vAlign w:val="top"/>
            <w:tcMar>
              <w:top w:w="90" w:type="dxa"/>
              <w:start w:w="100" w:type="dxa"/>
              <w:bottom w:w="90" w:type="dxa"/>
              <w:end w:w="100" w:type="dxa"/>
            </w:tcMar>
          </w:tcPr>
          <w:p>
            <w:pPr>
              <w:spacing w:after="0"/>
            </w:pPr>
            <w:r>
              <w:rPr>
                <w:sz w:val="18"/>
              </w:rPr>
              <w:t>Permanent judicial court</w:t>
            </w:r>
          </w:p>
        </w:tc>
        <w:tc>
          <w:tcPr>
            <w:tcW w:type="dxa" w:w="2437"/>
            <w:vAlign w:val="top"/>
            <w:tcMar>
              <w:top w:w="90" w:type="dxa"/>
              <w:start w:w="100" w:type="dxa"/>
              <w:bottom w:w="90" w:type="dxa"/>
              <w:end w:w="100" w:type="dxa"/>
            </w:tcMar>
          </w:tcPr>
          <w:p>
            <w:pPr>
              <w:spacing w:after="0"/>
            </w:pPr>
            <w:r>
              <w:rPr>
                <w:sz w:val="18"/>
              </w:rPr>
              <w:t>Yes for parties to case</w:t>
            </w:r>
          </w:p>
        </w:tc>
        <w:tc>
          <w:tcPr>
            <w:tcW w:type="dxa" w:w="2437"/>
            <w:vAlign w:val="top"/>
            <w:tcMar>
              <w:top w:w="90" w:type="dxa"/>
              <w:start w:w="100" w:type="dxa"/>
              <w:bottom w:w="90" w:type="dxa"/>
              <w:end w:w="100" w:type="dxa"/>
            </w:tcMar>
          </w:tcPr>
          <w:p>
            <w:pPr>
              <w:spacing w:after="0"/>
            </w:pPr>
            <w:r>
              <w:rPr>
                <w:sz w:val="18"/>
              </w:rPr>
              <w:t>Judicial</w:t>
            </w:r>
          </w:p>
        </w:tc>
      </w:tr>
    </w:tbl>
    <w:p>
      <w:pPr>
        <w:widowControl w:val="1"/>
      </w:pPr>
    </w:p>
    <w:p>
      <w:pPr>
        <w:pStyle w:val="Heading3"/>
        <w:widowControl w:val="1"/>
      </w:pPr>
      <w:r>
        <w:t>Core Concepts Explained</w:t>
      </w:r>
    </w:p>
    <w:p>
      <w:pPr>
        <w:pStyle w:val="TeachingBullet"/>
        <w:widowControl w:val="1"/>
      </w:pPr>
      <w:r>
        <w:t>Begin by separating diplomatic methods from adjudicative methods. Diplomatic methods aim at negotiated settlement and leave more control with the parties; adjudicative methods apply law to produce a legal decision.</w:t>
      </w:r>
    </w:p>
    <w:p>
      <w:pPr>
        <w:pStyle w:val="TeachingBullet"/>
        <w:widowControl w:val="1"/>
      </w:pPr>
      <w:r>
        <w:t>Negotiation is direct communication. Good offices help bring parties together; mediation involves more active third-party participation; inquiry clarifies disputed facts; conciliation may investigate and propose settlement terms.</w:t>
      </w:r>
    </w:p>
    <w:p>
      <w:pPr>
        <w:pStyle w:val="TeachingBullet"/>
        <w:widowControl w:val="1"/>
      </w:pPr>
      <w:r>
        <w:t>Arbitration depends on consent to submit a dispute to a tribunal chosen or constituted for that dispute or category of disputes. Judicial settlement before the ICJ also depends on a valid basis of consent to jurisdiction.</w:t>
      </w:r>
    </w:p>
    <w:p>
      <w:pPr>
        <w:pStyle w:val="TeachingBullet"/>
        <w:widowControl w:val="1"/>
      </w:pPr>
      <w:r>
        <w:t>In an exam comparison, always mention the third party's role, whether the result is binding, the degree of party control, and whether the process is legal or primarily diplomatic.</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assume the ICJ can hear every international dispute automatically. Contentious jurisdiction is based on state consent.</w:t>
            </w:r>
          </w:p>
        </w:tc>
      </w:tr>
    </w:tbl>
    <w:p>
      <w:pPr>
        <w:pStyle w:val="Heading3"/>
        <w:widowControl w:val="1"/>
      </w:pPr>
      <w:r>
        <w:t>Preparation and Answer Use</w:t>
      </w:r>
    </w:p>
    <w:p>
      <w:pPr>
        <w:pStyle w:val="TeachingBullet"/>
        <w:widowControl w:val="1"/>
      </w:pPr>
      <w:r>
        <w:rPr>
          <w:b/>
        </w:rPr>
        <w:t>Make a table:</w:t>
      </w:r>
      <w:r>
        <w:t xml:space="preserve"> method | third-party role | binding/non-binding | party control.</w:t>
      </w:r>
    </w:p>
    <w:p>
      <w:pPr>
        <w:pStyle w:val="TeachingBullet"/>
        <w:widowControl w:val="1"/>
      </w:pPr>
      <w:r>
        <w:t>Study ICJ jurisdiction separately from the merits of a dispute.</w:t>
      </w:r>
    </w:p>
    <w:p>
      <w:pPr>
        <w:pStyle w:val="Heading3"/>
        <w:widowControl w:val="1"/>
      </w:pPr>
      <w:r>
        <w:t>Key Takeaways</w:t>
      </w:r>
    </w:p>
    <w:p>
      <w:pPr>
        <w:pStyle w:val="TakeawayBullet"/>
        <w:widowControl w:val="1"/>
      </w:pPr>
      <w:r>
        <w:t>Negotiation is direct party-to-party settlement.</w:t>
      </w:r>
    </w:p>
    <w:p>
      <w:pPr>
        <w:pStyle w:val="TakeawayBullet"/>
        <w:widowControl w:val="1"/>
      </w:pPr>
      <w:r>
        <w:t>Mediation involves active third-party assistance.</w:t>
      </w:r>
    </w:p>
    <w:p>
      <w:pPr>
        <w:pStyle w:val="TakeawayBullet"/>
        <w:widowControl w:val="1"/>
      </w:pPr>
      <w:r>
        <w:t>Arbitration is based on consent and results in an award.</w:t>
      </w:r>
    </w:p>
    <w:p>
      <w:pPr>
        <w:pStyle w:val="TakeawayBullet"/>
        <w:widowControl w:val="1"/>
      </w:pPr>
      <w:r>
        <w:t>ICJ contentious jurisdiction depends on state consent.</w:t>
      </w:r>
    </w:p>
    <w:p>
      <w:pPr>
        <w:spacing w:after="20"/>
        <w:pBdr>
          <w:bottom w:val="single" w:sz="4" w:space="1" w:color="D9E2F3"/>
        </w:pBdr>
        <w:widowControl w:val="1"/>
      </w:pPr>
    </w:p>
    <w:p>
      <w:pPr>
        <w:pStyle w:val="Heading2"/>
        <w:widowControl w:val="1"/>
      </w:pPr>
      <w:r>
        <w:t>6. International Humanitarian Law (IHL)</w:t>
      </w:r>
    </w:p>
    <w:p>
      <w:pPr>
        <w:pStyle w:val="Heading3"/>
        <w:widowControl w:val="1"/>
      </w:pPr>
      <w:r>
        <w:t>Official Syllabus Focus</w:t>
      </w:r>
    </w:p>
    <w:p>
      <w:pPr>
        <w:pStyle w:val="FocusBullet"/>
        <w:widowControl w:val="1"/>
      </w:pPr>
      <w:r>
        <w:t>International/non-international armed conflict</w:t>
      </w:r>
    </w:p>
    <w:p>
      <w:pPr>
        <w:pStyle w:val="FocusBullet"/>
        <w:widowControl w:val="1"/>
      </w:pPr>
      <w:r>
        <w:t>Combatants/protected persons</w:t>
      </w:r>
    </w:p>
    <w:p>
      <w:pPr>
        <w:pStyle w:val="FocusBullet"/>
        <w:widowControl w:val="1"/>
      </w:pPr>
      <w:r>
        <w:t>Wounded, sick, shipwrecked</w:t>
      </w:r>
    </w:p>
    <w:p>
      <w:pPr>
        <w:pStyle w:val="FocusBullet"/>
        <w:widowControl w:val="1"/>
      </w:pPr>
      <w:r>
        <w:t>POWs</w:t>
      </w:r>
    </w:p>
    <w:p>
      <w:pPr>
        <w:pStyle w:val="FocusBullet"/>
        <w:widowControl w:val="1"/>
      </w:pPr>
      <w:r>
        <w:t>Civilians</w:t>
      </w:r>
    </w:p>
    <w:p>
      <w:pPr>
        <w:pStyle w:val="FocusBullet"/>
        <w:widowControl w:val="1"/>
      </w:pPr>
      <w:r>
        <w:t>Limits on methods and means</w:t>
      </w:r>
    </w:p>
    <w:p>
      <w:pPr>
        <w:pStyle w:val="Heading3"/>
        <w:widowControl w:val="1"/>
      </w:pPr>
      <w:r>
        <w:t>Introduction and Scope</w:t>
      </w:r>
    </w:p>
    <w:p>
      <w:pPr>
        <w:pStyle w:val="TopicIntro"/>
        <w:widowControl w:val="1"/>
      </w:pPr>
      <w:r>
        <w:t>IHL regulates the conduct of hostilities and protects persons who are not, or are no longer, taking part in armed conflict.</w:t>
      </w:r>
    </w:p>
    <w:p>
      <w:pPr>
        <w:pStyle w:val="TopicIntro"/>
        <w:widowControl w:val="1"/>
      </w:pPr>
      <w:r>
        <w:t>The core questions are: what type of armed conflict exists, who is protected, what targets may be attacked, and what weapons or methods are restricted. Distinction, proportionality and precautions are central operational ideas.</w:t>
      </w:r>
    </w:p>
    <w:p>
      <w:pPr>
        <w:pStyle w:val="SourceNote"/>
        <w:widowControl w:val="1"/>
      </w:pPr>
      <w:r>
        <w:t>Primary international authorities: Geneva Conventions and customary IHL as reflected in the ICRC IHL databases.</w:t>
      </w:r>
    </w:p>
    <w:p>
      <w:pPr>
        <w:pStyle w:val="Heading3"/>
        <w:widowControl w:val="1"/>
      </w:pPr>
      <w:r>
        <w:t>When IHL applies</w:t>
      </w:r>
    </w:p>
    <w:p>
      <w:pPr>
        <w:widowControl w:val="1"/>
      </w:pPr>
      <w:r>
        <w:t>International humanitarian law applies because an armed conflict exists, not because the conflict has been legally justified under the law on the use of force. This distinction is essential. Jus ad bellum addresses whether resort to force is lawful; jus in bello or IHL regulates conduct once the legal threshold of armed conflict is reached.</w:t>
      </w:r>
    </w:p>
    <w:p>
      <w:pPr>
        <w:widowControl w:val="1"/>
      </w:pPr>
      <w:r>
        <w:t>The first analytical step is classification. International armed conflicts generally involve resort to armed force between states. Non-international armed conflicts involve sufficiently intense protracted armed violence between state authorities and organized armed groups, or between such groups, subject to the applicable legal tests. Classification determines which treaty rules apply, though customary IHL also matters.</w:t>
      </w:r>
    </w:p>
    <w:p>
      <w:pPr>
        <w:pStyle w:val="Heading3"/>
        <w:widowControl w:val="1"/>
      </w:pPr>
      <w:r>
        <w:t>Protection of persons</w:t>
      </w:r>
    </w:p>
    <w:p>
      <w:pPr>
        <w:widowControl w:val="1"/>
      </w:pPr>
      <w:r>
        <w:t>The Geneva Conventions establish protection for wounded and sick members of armed forces, wounded, sick and shipwrecked persons at sea, prisoners of war, and civilians in international armed conflict. Common Article 3 provides minimum protections in non-international armed conflict. Additional treaty and customary rules regulate detention, humane treatment and specific vulnerable categories.</w:t>
      </w:r>
    </w:p>
    <w:p>
      <w:pPr>
        <w:widowControl w:val="1"/>
      </w:pPr>
      <w:r>
        <w:t>A person may be protected because of status or because the person is hors de combat—out of the fight due to surrender, detention, unconsciousness or another legally recognized condition. Protection is not a reward for political sympathy; it is a legal consequence of humanitarian rules.</w:t>
      </w:r>
    </w:p>
    <w:p>
      <w:pPr>
        <w:pStyle w:val="Heading3"/>
        <w:widowControl w:val="1"/>
      </w:pPr>
      <w:r>
        <w:t>Conduct of hostilities</w:t>
      </w:r>
    </w:p>
    <w:p>
      <w:pPr>
        <w:widowControl w:val="1"/>
      </w:pPr>
      <w:r>
        <w:t>Distinction requires parties to direct operations against military objectives and not civilians or civilian objects as such. Proportionality prohibits attacks expected to cause incidental civilian harm excessive in relation to the concrete and direct military advantage anticipated. Precautions require feasible steps to verify targets and reduce civilian harm.</w:t>
      </w:r>
    </w:p>
    <w:p>
      <w:pPr>
        <w:widowControl w:val="1"/>
      </w:pPr>
      <w:r>
        <w:t>These principles are connected but different. A civilian object does not become targetable merely because anticipated collateral damage appears small; targetability first depends on whether it qualifies as a military objective. Proportionality is assessed only after a lawful military objective has been identified.</w:t>
      </w:r>
    </w:p>
    <w:p>
      <w:pPr>
        <w:pStyle w:val="Heading3"/>
        <w:widowControl w:val="1"/>
      </w:pPr>
      <w:r>
        <w:t>Key Comparison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D9E5F0"/>
            <w:vAlign w:val="center"/>
            <w:tcMar>
              <w:top w:w="90" w:type="dxa"/>
              <w:start w:w="100" w:type="dxa"/>
              <w:bottom w:w="90" w:type="dxa"/>
              <w:end w:w="100" w:type="dxa"/>
            </w:tcMar>
          </w:tcPr>
          <w:p>
            <w:pPr>
              <w:jc w:val="center"/>
            </w:pPr>
            <w:r>
              <w:rPr>
                <w:b/>
                <w:sz w:val="19"/>
              </w:rPr>
              <w:t>Question</w:t>
            </w:r>
          </w:p>
        </w:tc>
        <w:tc>
          <w:tcPr>
            <w:tcW w:type="dxa" w:w="3250"/>
            <w:shd w:fill="D9E5F0"/>
            <w:vAlign w:val="center"/>
            <w:tcMar>
              <w:top w:w="90" w:type="dxa"/>
              <w:start w:w="100" w:type="dxa"/>
              <w:bottom w:w="90" w:type="dxa"/>
              <w:end w:w="100" w:type="dxa"/>
            </w:tcMar>
          </w:tcPr>
          <w:p>
            <w:pPr>
              <w:jc w:val="center"/>
            </w:pPr>
            <w:r>
              <w:rPr>
                <w:b/>
                <w:sz w:val="19"/>
              </w:rPr>
              <w:t>Jus ad bellum</w:t>
            </w:r>
          </w:p>
        </w:tc>
        <w:tc>
          <w:tcPr>
            <w:tcW w:type="dxa" w:w="3250"/>
            <w:shd w:fill="D9E5F0"/>
            <w:vAlign w:val="center"/>
            <w:tcMar>
              <w:top w:w="90" w:type="dxa"/>
              <w:start w:w="100" w:type="dxa"/>
              <w:bottom w:w="90" w:type="dxa"/>
              <w:end w:w="100" w:type="dxa"/>
            </w:tcMar>
          </w:tcPr>
          <w:p>
            <w:pPr>
              <w:jc w:val="center"/>
            </w:pPr>
            <w:r>
              <w:rPr>
                <w:b/>
                <w:sz w:val="19"/>
              </w:rPr>
              <w:t>International humanitarian law</w:t>
            </w:r>
          </w:p>
        </w:tc>
      </w:tr>
      <w:tr>
        <w:tc>
          <w:tcPr>
            <w:tcW w:type="dxa" w:w="3250"/>
            <w:vAlign w:val="top"/>
            <w:tcMar>
              <w:top w:w="90" w:type="dxa"/>
              <w:start w:w="100" w:type="dxa"/>
              <w:bottom w:w="90" w:type="dxa"/>
              <w:end w:w="100" w:type="dxa"/>
            </w:tcMar>
          </w:tcPr>
          <w:p>
            <w:pPr>
              <w:spacing w:after="0"/>
            </w:pPr>
            <w:r>
              <w:rPr>
                <w:sz w:val="18"/>
              </w:rPr>
              <w:t>Core issue</w:t>
            </w:r>
          </w:p>
        </w:tc>
        <w:tc>
          <w:tcPr>
            <w:tcW w:type="dxa" w:w="3250"/>
            <w:vAlign w:val="top"/>
            <w:tcMar>
              <w:top w:w="90" w:type="dxa"/>
              <w:start w:w="100" w:type="dxa"/>
              <w:bottom w:w="90" w:type="dxa"/>
              <w:end w:w="100" w:type="dxa"/>
            </w:tcMar>
          </w:tcPr>
          <w:p>
            <w:pPr>
              <w:spacing w:after="0"/>
            </w:pPr>
            <w:r>
              <w:rPr>
                <w:sz w:val="18"/>
              </w:rPr>
              <w:t>Was resort to force lawful?</w:t>
            </w:r>
          </w:p>
        </w:tc>
        <w:tc>
          <w:tcPr>
            <w:tcW w:type="dxa" w:w="3250"/>
            <w:vAlign w:val="top"/>
            <w:tcMar>
              <w:top w:w="90" w:type="dxa"/>
              <w:start w:w="100" w:type="dxa"/>
              <w:bottom w:w="90" w:type="dxa"/>
              <w:end w:w="100" w:type="dxa"/>
            </w:tcMar>
          </w:tcPr>
          <w:p>
            <w:pPr>
              <w:spacing w:after="0"/>
            </w:pPr>
            <w:r>
              <w:rPr>
                <w:sz w:val="18"/>
              </w:rPr>
              <w:t>How must parties conduct hostilities?</w:t>
            </w:r>
          </w:p>
        </w:tc>
      </w:tr>
      <w:tr>
        <w:tc>
          <w:tcPr>
            <w:tcW w:type="dxa" w:w="3250"/>
            <w:vAlign w:val="top"/>
            <w:tcMar>
              <w:top w:w="90" w:type="dxa"/>
              <w:start w:w="100" w:type="dxa"/>
              <w:bottom w:w="90" w:type="dxa"/>
              <w:end w:w="100" w:type="dxa"/>
            </w:tcMar>
          </w:tcPr>
          <w:p>
            <w:pPr>
              <w:spacing w:after="0"/>
            </w:pPr>
            <w:r>
              <w:rPr>
                <w:sz w:val="18"/>
              </w:rPr>
              <w:t>Main framework</w:t>
            </w:r>
          </w:p>
        </w:tc>
        <w:tc>
          <w:tcPr>
            <w:tcW w:type="dxa" w:w="3250"/>
            <w:vAlign w:val="top"/>
            <w:tcMar>
              <w:top w:w="90" w:type="dxa"/>
              <w:start w:w="100" w:type="dxa"/>
              <w:bottom w:w="90" w:type="dxa"/>
              <w:end w:w="100" w:type="dxa"/>
            </w:tcMar>
          </w:tcPr>
          <w:p>
            <w:pPr>
              <w:spacing w:after="0"/>
            </w:pPr>
            <w:r>
              <w:rPr>
                <w:sz w:val="18"/>
              </w:rPr>
              <w:t>UN Charter and customary law</w:t>
            </w:r>
          </w:p>
        </w:tc>
        <w:tc>
          <w:tcPr>
            <w:tcW w:type="dxa" w:w="3250"/>
            <w:vAlign w:val="top"/>
            <w:tcMar>
              <w:top w:w="90" w:type="dxa"/>
              <w:start w:w="100" w:type="dxa"/>
              <w:bottom w:w="90" w:type="dxa"/>
              <w:end w:w="100" w:type="dxa"/>
            </w:tcMar>
          </w:tcPr>
          <w:p>
            <w:pPr>
              <w:spacing w:after="0"/>
            </w:pPr>
            <w:r>
              <w:rPr>
                <w:sz w:val="18"/>
              </w:rPr>
              <w:t>Geneva/Hague law and customary IHL</w:t>
            </w:r>
          </w:p>
        </w:tc>
      </w:tr>
      <w:tr>
        <w:tc>
          <w:tcPr>
            <w:tcW w:type="dxa" w:w="3250"/>
            <w:vAlign w:val="top"/>
            <w:tcMar>
              <w:top w:w="90" w:type="dxa"/>
              <w:start w:w="100" w:type="dxa"/>
              <w:bottom w:w="90" w:type="dxa"/>
              <w:end w:w="100" w:type="dxa"/>
            </w:tcMar>
          </w:tcPr>
          <w:p>
            <w:pPr>
              <w:spacing w:after="0"/>
            </w:pPr>
            <w:r>
              <w:rPr>
                <w:sz w:val="18"/>
              </w:rPr>
              <w:t>When relevant</w:t>
            </w:r>
          </w:p>
        </w:tc>
        <w:tc>
          <w:tcPr>
            <w:tcW w:type="dxa" w:w="3250"/>
            <w:vAlign w:val="top"/>
            <w:tcMar>
              <w:top w:w="90" w:type="dxa"/>
              <w:start w:w="100" w:type="dxa"/>
              <w:bottom w:w="90" w:type="dxa"/>
              <w:end w:w="100" w:type="dxa"/>
            </w:tcMar>
          </w:tcPr>
          <w:p>
            <w:pPr>
              <w:spacing w:after="0"/>
            </w:pPr>
            <w:r>
              <w:rPr>
                <w:sz w:val="18"/>
              </w:rPr>
              <w:t>Before and during resort to force</w:t>
            </w:r>
          </w:p>
        </w:tc>
        <w:tc>
          <w:tcPr>
            <w:tcW w:type="dxa" w:w="3250"/>
            <w:vAlign w:val="top"/>
            <w:tcMar>
              <w:top w:w="90" w:type="dxa"/>
              <w:start w:w="100" w:type="dxa"/>
              <w:bottom w:w="90" w:type="dxa"/>
              <w:end w:w="100" w:type="dxa"/>
            </w:tcMar>
          </w:tcPr>
          <w:p>
            <w:pPr>
              <w:spacing w:after="0"/>
            </w:pPr>
            <w:r>
              <w:rPr>
                <w:sz w:val="18"/>
              </w:rPr>
              <w:t>Once armed-conflict threshold is met</w:t>
            </w:r>
          </w:p>
        </w:tc>
      </w:tr>
      <w:tr>
        <w:tc>
          <w:tcPr>
            <w:tcW w:type="dxa" w:w="3250"/>
            <w:vAlign w:val="top"/>
            <w:tcMar>
              <w:top w:w="90" w:type="dxa"/>
              <w:start w:w="100" w:type="dxa"/>
              <w:bottom w:w="90" w:type="dxa"/>
              <w:end w:w="100" w:type="dxa"/>
            </w:tcMar>
          </w:tcPr>
          <w:p>
            <w:pPr>
              <w:spacing w:after="0"/>
            </w:pPr>
            <w:r>
              <w:rPr>
                <w:sz w:val="18"/>
              </w:rPr>
              <w:t>Key idea</w:t>
            </w:r>
          </w:p>
        </w:tc>
        <w:tc>
          <w:tcPr>
            <w:tcW w:type="dxa" w:w="3250"/>
            <w:vAlign w:val="top"/>
            <w:tcMar>
              <w:top w:w="90" w:type="dxa"/>
              <w:start w:w="100" w:type="dxa"/>
              <w:bottom w:w="90" w:type="dxa"/>
              <w:end w:w="100" w:type="dxa"/>
            </w:tcMar>
          </w:tcPr>
          <w:p>
            <w:pPr>
              <w:spacing w:after="0"/>
            </w:pPr>
            <w:r>
              <w:rPr>
                <w:sz w:val="18"/>
              </w:rPr>
              <w:t>Prohibition/recognized legal bases</w:t>
            </w:r>
          </w:p>
        </w:tc>
        <w:tc>
          <w:tcPr>
            <w:tcW w:type="dxa" w:w="3250"/>
            <w:vAlign w:val="top"/>
            <w:tcMar>
              <w:top w:w="90" w:type="dxa"/>
              <w:start w:w="100" w:type="dxa"/>
              <w:bottom w:w="90" w:type="dxa"/>
              <w:end w:w="100" w:type="dxa"/>
            </w:tcMar>
          </w:tcPr>
          <w:p>
            <w:pPr>
              <w:spacing w:after="0"/>
            </w:pPr>
            <w:r>
              <w:rPr>
                <w:sz w:val="18"/>
              </w:rPr>
              <w:t>Distinction, proportionality, precautions, humane treatment</w:t>
            </w:r>
          </w:p>
        </w:tc>
      </w:tr>
    </w:tbl>
    <w:p>
      <w:pPr>
        <w:widowControl w:val="1"/>
      </w:pPr>
    </w:p>
    <w:p>
      <w:pPr>
        <w:pStyle w:val="Heading3"/>
        <w:widowControl w:val="1"/>
      </w:pPr>
      <w:r>
        <w:t>Core Concepts Explained</w:t>
      </w:r>
    </w:p>
    <w:p>
      <w:pPr>
        <w:pStyle w:val="TeachingBullet"/>
        <w:widowControl w:val="1"/>
      </w:pPr>
      <w:r>
        <w:t>IHL begins once the legal threshold of armed conflict is met. Its application does not depend on whether one side had a lawful reason to start the conflict.</w:t>
      </w:r>
    </w:p>
    <w:p>
      <w:pPr>
        <w:pStyle w:val="TeachingBullet"/>
        <w:widowControl w:val="1"/>
      </w:pPr>
      <w:r>
        <w:t>First classify the conflict as international or non-international because classification affects the applicable treaty framework and legal rules.</w:t>
      </w:r>
    </w:p>
    <w:p>
      <w:pPr>
        <w:pStyle w:val="TeachingBullet"/>
        <w:widowControl w:val="1"/>
      </w:pPr>
      <w:r>
        <w:t>The principle of distinction requires parties to distinguish military objectives and combatants from civilians and civilian objects. Proportionality restricts attacks expected to cause excessive incidental civilian harm in relation to the concrete and direct military advantage anticipated.</w:t>
      </w:r>
    </w:p>
    <w:p>
      <w:pPr>
        <w:pStyle w:val="TeachingBullet"/>
        <w:widowControl w:val="1"/>
      </w:pPr>
      <w:r>
        <w:t>Precautions require feasible steps to reduce civilian harm. Separate rules protect wounded, sick, shipwrecked persons, prisoners and detainees, and persons who are no longer participating in hostilities.</w:t>
      </w:r>
    </w:p>
    <w:p>
      <w:pPr>
        <w:pStyle w:val="TeachingBullet"/>
        <w:widowControl w:val="1"/>
      </w:pPr>
      <w:r>
        <w:t>IHL also limits weapons and methods of warfare through treaty and customary rules. Humanitarian protection and military necessity operate within a legal framework, not as unlimited competing slogans.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confuse IHL with the UN Charter rules on whether force may be initiated. IHL regulates conduct during armed conflict.</w:t>
            </w:r>
          </w:p>
        </w:tc>
      </w:tr>
    </w:tbl>
    <w:p>
      <w:pPr>
        <w:pStyle w:val="Heading3"/>
        <w:widowControl w:val="1"/>
      </w:pPr>
      <w:r>
        <w:t>Preparation and Answer Use</w:t>
      </w:r>
    </w:p>
    <w:p>
      <w:pPr>
        <w:pStyle w:val="TeachingBullet"/>
        <w:widowControl w:val="1"/>
      </w:pPr>
      <w:r>
        <w:t>Keep IHL separate from the legality of starting a war.</w:t>
      </w:r>
    </w:p>
    <w:p>
      <w:pPr>
        <w:pStyle w:val="TeachingBullet"/>
        <w:widowControl w:val="1"/>
      </w:pPr>
      <w:r>
        <w:t>Prepare protected categories and basic targeting principles.</w:t>
      </w:r>
    </w:p>
    <w:p>
      <w:pPr>
        <w:pStyle w:val="TeachingBullet"/>
        <w:widowControl w:val="1"/>
      </w:pPr>
      <w:r>
        <w:t>Use Geneva Conventions terminology accurately.</w:t>
      </w:r>
    </w:p>
    <w:p>
      <w:pPr>
        <w:pStyle w:val="Heading3"/>
        <w:widowControl w:val="1"/>
      </w:pPr>
      <w:r>
        <w:t>Key Takeaways</w:t>
      </w:r>
    </w:p>
    <w:p>
      <w:pPr>
        <w:pStyle w:val="TakeawayBullet"/>
        <w:widowControl w:val="1"/>
      </w:pPr>
      <w:r>
        <w:t>IHL applies because an armed conflict exists, regardless of political justification for it.</w:t>
      </w:r>
    </w:p>
    <w:p>
      <w:pPr>
        <w:pStyle w:val="TakeawayBullet"/>
        <w:widowControl w:val="1"/>
      </w:pPr>
      <w:r>
        <w:t>Civilians and civilian objects receive protection against direct attack.</w:t>
      </w:r>
    </w:p>
    <w:p>
      <w:pPr>
        <w:pStyle w:val="TakeawayBullet"/>
        <w:widowControl w:val="1"/>
      </w:pPr>
      <w:r>
        <w:t>Wounded, sick and detained persons have specific protections.</w:t>
      </w:r>
    </w:p>
    <w:p>
      <w:pPr>
        <w:spacing w:after="20"/>
        <w:pBdr>
          <w:bottom w:val="single" w:sz="4" w:space="1" w:color="D9E2F3"/>
        </w:pBdr>
        <w:widowControl w:val="1"/>
      </w:pPr>
    </w:p>
    <w:p>
      <w:pPr>
        <w:pStyle w:val="Heading2"/>
        <w:widowControl w:val="1"/>
      </w:pPr>
      <w:r>
        <w:t>7. Use of Force</w:t>
      </w:r>
    </w:p>
    <w:p>
      <w:pPr>
        <w:pStyle w:val="Heading3"/>
        <w:widowControl w:val="1"/>
      </w:pPr>
      <w:r>
        <w:t>Official Syllabus Focus</w:t>
      </w:r>
    </w:p>
    <w:p>
      <w:pPr>
        <w:pStyle w:val="FocusBullet"/>
        <w:widowControl w:val="1"/>
      </w:pPr>
      <w:r>
        <w:t>Law before UN Charter</w:t>
      </w:r>
    </w:p>
    <w:p>
      <w:pPr>
        <w:pStyle w:val="FocusBullet"/>
        <w:widowControl w:val="1"/>
      </w:pPr>
      <w:r>
        <w:t>Law after Charter</w:t>
      </w:r>
    </w:p>
    <w:p>
      <w:pPr>
        <w:pStyle w:val="FocusBullet"/>
        <w:widowControl w:val="1"/>
      </w:pPr>
      <w:r>
        <w:t>Collective use of force</w:t>
      </w:r>
    </w:p>
    <w:p>
      <w:pPr>
        <w:pStyle w:val="FocusBullet"/>
        <w:widowControl w:val="1"/>
      </w:pPr>
      <w:r>
        <w:t>Self-defence</w:t>
      </w:r>
    </w:p>
    <w:p>
      <w:pPr>
        <w:pStyle w:val="Heading3"/>
        <w:widowControl w:val="1"/>
      </w:pPr>
      <w:r>
        <w:t>Introduction and Scope</w:t>
      </w:r>
    </w:p>
    <w:p>
      <w:pPr>
        <w:pStyle w:val="TopicIntro"/>
        <w:widowControl w:val="1"/>
      </w:pPr>
      <w:r>
        <w:t>The modern law on force asks when states may lawfully resort to military force.</w:t>
      </w:r>
    </w:p>
    <w:p>
      <w:pPr>
        <w:pStyle w:val="TopicIntro"/>
        <w:widowControl w:val="1"/>
      </w:pPr>
      <w:r>
        <w:t>The UN Charter framework generally prohibits the threat or use of force, with recognized legal pathways including self-defence and collective-security action through the Security Council. Exact application can be legally and politically contested.</w:t>
      </w:r>
    </w:p>
    <w:p>
      <w:pPr>
        <w:pStyle w:val="SourceNote"/>
        <w:widowControl w:val="1"/>
      </w:pPr>
      <w:r>
        <w:t>Primary international authority: UN Charter, especially Articles 2(4), 39–42 and 51.</w:t>
      </w:r>
    </w:p>
    <w:p>
      <w:pPr>
        <w:pStyle w:val="Heading3"/>
        <w:widowControl w:val="1"/>
      </w:pPr>
      <w:r>
        <w:t>Charter framework</w:t>
      </w:r>
    </w:p>
    <w:p>
      <w:pPr>
        <w:widowControl w:val="1"/>
      </w:pPr>
      <w:r>
        <w:t>The modern starting point is Article 2(4) of the UN Charter, which prohibits the threat or use of force against the territorial integrity or political independence of states or in another manner inconsistent with UN purposes. The Charter then creates a collective-security system centered on the Security Council and preserves the inherent right of individual or collective self-defence under Article 51 if the legal conditions are met.</w:t>
      </w:r>
    </w:p>
    <w:p>
      <w:pPr>
        <w:widowControl w:val="1"/>
      </w:pPr>
      <w:r>
        <w:t>The law on force is therefore structured around prohibition first and legal justification second. Political grievance, strategic interest or humanitarian concern does not automatically create a legal authorization.</w:t>
      </w:r>
    </w:p>
    <w:p>
      <w:pPr>
        <w:pStyle w:val="Heading3"/>
        <w:widowControl w:val="1"/>
      </w:pPr>
      <w:r>
        <w:t>Self-defence</w:t>
      </w:r>
    </w:p>
    <w:p>
      <w:pPr>
        <w:widowControl w:val="1"/>
      </w:pPr>
      <w:r>
        <w:t>Self-defence analysis should identify the triggering event, the state entitled to respond, necessity and proportionality, any issue of attribution or armed groups, the temporal relationship between attack and response, and the Charter requirement to report measures to the Security Council. Collective self-defence adds the position and request or consent of the state defended, depending on the circumstances and applicable law.</w:t>
      </w:r>
    </w:p>
    <w:p>
      <w:pPr>
        <w:widowControl w:val="1"/>
      </w:pPr>
      <w:r>
        <w:t>Necessity asks whether defensive force is required to address the armed attack or continuing threat recognized by law. Proportionality limits the scale and nature of the response to the defensive purpose; it does not require a mirror image of the original attack.</w:t>
      </w:r>
    </w:p>
    <w:p>
      <w:pPr>
        <w:pStyle w:val="Heading3"/>
        <w:widowControl w:val="1"/>
      </w:pPr>
      <w:r>
        <w:t>Security Council and contested doctrines</w:t>
      </w:r>
    </w:p>
    <w:p>
      <w:pPr>
        <w:widowControl w:val="1"/>
      </w:pPr>
      <w:r>
        <w:t>The Security Council may act under Chapter VII after making the determinations required by the Charter and may impose non-forcible measures or authorize force within its powers. This institutional route must be distinguished from unilateral self-defence.</w:t>
      </w:r>
    </w:p>
    <w:p>
      <w:pPr>
        <w:widowControl w:val="1"/>
      </w:pPr>
      <w:r>
        <w:t>Questions such as anticipatory self-defence, force against non-state actors operating from another state, and humanitarian intervention without Council authorization remain subjects of significant legal debate. In examination writing, the Charter text, accepted rules and contested positions should be separated clearly.</w:t>
      </w:r>
    </w:p>
    <w:p>
      <w:pPr>
        <w:pStyle w:val="Heading3"/>
        <w:widowControl w:val="1"/>
      </w:pPr>
      <w:r>
        <w:t>Core Concepts Explained</w:t>
      </w:r>
    </w:p>
    <w:p>
      <w:pPr>
        <w:pStyle w:val="TeachingBullet"/>
        <w:widowControl w:val="1"/>
      </w:pPr>
      <w:r>
        <w:t>The modern starting point is the UN Charter prohibition on the threat or use of force in international relations, subject to recognized legal exceptions and collective-security mechanisms.</w:t>
      </w:r>
    </w:p>
    <w:p>
      <w:pPr>
        <w:pStyle w:val="TeachingBullet"/>
        <w:widowControl w:val="1"/>
      </w:pPr>
      <w:r>
        <w:t>Self-defence should be studied through trigger, necessity, proportionality, attribution or context where relevant, and the Charter reporting framework. Individual and collective self-defence must be distinguished.</w:t>
      </w:r>
    </w:p>
    <w:p>
      <w:pPr>
        <w:pStyle w:val="TeachingBullet"/>
        <w:widowControl w:val="1"/>
      </w:pPr>
      <w:r>
        <w:t>Security Council action under the Charter is different from unilateral self-defence. The Council may determine threats to peace and authorize or take measures within its Charter powers.</w:t>
      </w:r>
    </w:p>
    <w:p>
      <w:pPr>
        <w:pStyle w:val="TeachingBullet"/>
        <w:widowControl w:val="1"/>
      </w:pPr>
      <w:r>
        <w:t>Contemporary debates can be legally contested. In examination writing, separate settled Charter text from controversial doctrines or politically asserted justifications.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state that any serious political grievance permits military force. The answer must start from the Charter framework and recognized legal bases.</w:t>
            </w:r>
          </w:p>
        </w:tc>
      </w:tr>
    </w:tbl>
    <w:p>
      <w:pPr>
        <w:pStyle w:val="Heading3"/>
        <w:widowControl w:val="1"/>
      </w:pPr>
      <w:r>
        <w:t>Preparation and Answer Use</w:t>
      </w:r>
    </w:p>
    <w:p>
      <w:pPr>
        <w:pStyle w:val="TeachingBullet"/>
        <w:widowControl w:val="1"/>
      </w:pPr>
      <w:r>
        <w:t>Learn Charter Articles 2(4), 39–42 and 51 conceptually.</w:t>
      </w:r>
    </w:p>
    <w:p>
      <w:pPr>
        <w:pStyle w:val="TeachingBullet"/>
        <w:widowControl w:val="1"/>
      </w:pPr>
      <w:r>
        <w:t>Separate individual self-defence, collective self-defence and Security Council enforcement.</w:t>
      </w:r>
    </w:p>
    <w:p>
      <w:pPr>
        <w:pStyle w:val="TeachingBullet"/>
        <w:widowControl w:val="1"/>
      </w:pPr>
      <w:r>
        <w:t>Avoid treating political arguments as settled law.</w:t>
      </w:r>
    </w:p>
    <w:p>
      <w:pPr>
        <w:pStyle w:val="Heading3"/>
        <w:widowControl w:val="1"/>
      </w:pPr>
      <w:r>
        <w:t>Key Takeaways</w:t>
      </w:r>
    </w:p>
    <w:p>
      <w:pPr>
        <w:pStyle w:val="TakeawayBullet"/>
        <w:widowControl w:val="1"/>
      </w:pPr>
      <w:r>
        <w:t>Prohibition of force is a central Charter rule.</w:t>
      </w:r>
    </w:p>
    <w:p>
      <w:pPr>
        <w:pStyle w:val="TakeawayBullet"/>
        <w:widowControl w:val="1"/>
      </w:pPr>
      <w:r>
        <w:t>Self-defence is tied to legal conditions and reporting requirements under the Charter framework.</w:t>
      </w:r>
    </w:p>
    <w:p>
      <w:pPr>
        <w:pStyle w:val="TakeawayBullet"/>
        <w:widowControl w:val="1"/>
      </w:pPr>
      <w:r>
        <w:t>Collective security is institutionally linked to the UN Security Council.</w:t>
      </w:r>
    </w:p>
    <w:p>
      <w:pPr>
        <w:spacing w:after="20"/>
        <w:pBdr>
          <w:bottom w:val="single" w:sz="4" w:space="1" w:color="D9E2F3"/>
        </w:pBdr>
        <w:widowControl w:val="1"/>
      </w:pPr>
    </w:p>
    <w:p>
      <w:pPr>
        <w:pStyle w:val="Heading2"/>
        <w:widowControl w:val="1"/>
      </w:pPr>
      <w:r>
        <w:t>8. International Institutions</w:t>
      </w:r>
    </w:p>
    <w:p>
      <w:pPr>
        <w:pStyle w:val="Heading3"/>
        <w:widowControl w:val="1"/>
      </w:pPr>
      <w:r>
        <w:t>Official Syllabus Focus</w:t>
      </w:r>
    </w:p>
    <w:p>
      <w:pPr>
        <w:pStyle w:val="FocusBullet"/>
        <w:widowControl w:val="1"/>
      </w:pPr>
      <w:r>
        <w:t>International institutions</w:t>
      </w:r>
    </w:p>
    <w:p>
      <w:pPr>
        <w:pStyle w:val="Heading3"/>
        <w:widowControl w:val="1"/>
      </w:pPr>
      <w:r>
        <w:t>Introduction and Scope</w:t>
      </w:r>
    </w:p>
    <w:p>
      <w:pPr>
        <w:pStyle w:val="TopicIntro"/>
        <w:widowControl w:val="1"/>
      </w:pPr>
      <w:r>
        <w:t>International institutions are permanent bodies created by states to cooperate, make decisions, administer regimes or settle disputes.</w:t>
      </w:r>
    </w:p>
    <w:p>
      <w:pPr>
        <w:pStyle w:val="TopicIntro"/>
        <w:widowControl w:val="1"/>
      </w:pPr>
      <w:r>
        <w:t>Study legal personality, constituent instruments, membership, organs, powers, privileges and responsibility. The UN is the main example, but regional and specialized organizations also matter.</w:t>
      </w:r>
    </w:p>
    <w:p>
      <w:pPr>
        <w:pStyle w:val="Heading3"/>
        <w:widowControl w:val="1"/>
      </w:pPr>
      <w:r>
        <w:t>Legal personality and constituent instruments</w:t>
      </w:r>
    </w:p>
    <w:p>
      <w:pPr>
        <w:widowControl w:val="1"/>
      </w:pPr>
      <w:r>
        <w:t>An international organization is created by states through a constituent instrument that establishes organs, functions and powers. It is not simply a conference or informal coalition. Legal personality allows the organization to hold rights and duties, enter agreements, possess privileges and immunities, and perform functions distinct from those of its member states.</w:t>
      </w:r>
    </w:p>
    <w:p>
      <w:pPr>
        <w:widowControl w:val="1"/>
      </w:pPr>
      <w:r>
        <w:t>The classic legal question is not whether an organization has the same sovereignty as a state—it ordinarily does not—but what legal capacity is necessary for the functions assigned to it.</w:t>
      </w:r>
    </w:p>
    <w:p>
      <w:pPr>
        <w:pStyle w:val="Heading3"/>
        <w:widowControl w:val="1"/>
      </w:pPr>
      <w:r>
        <w:t>Express and implied powers</w:t>
      </w:r>
    </w:p>
    <w:p>
      <w:pPr>
        <w:widowControl w:val="1"/>
      </w:pPr>
      <w:r>
        <w:t>Express powers are written into the constituent treaty. Implied powers may be inferred when they are necessary for the organization to perform its assigned functions, subject to the legal limits of the constituent instrument. The doctrine prevents the organization from being ineffective while also guarding against unlimited institutional authority.</w:t>
      </w:r>
    </w:p>
    <w:p>
      <w:pPr>
        <w:widowControl w:val="1"/>
      </w:pPr>
      <w:r>
        <w:t>Responsibility and accountability follow from institutional autonomy. An organization can incur legal responsibility for conduct attributable to it under the relevant legal framework, while member states may have separate responsibilities of their own.</w:t>
      </w:r>
    </w:p>
    <w:p>
      <w:pPr>
        <w:pStyle w:val="Heading3"/>
        <w:widowControl w:val="1"/>
      </w:pPr>
      <w:r>
        <w:t>The United Nations as the core model</w:t>
      </w:r>
    </w:p>
    <w:p>
      <w:pPr>
        <w:widowControl w:val="1"/>
      </w:pPr>
      <w:r>
        <w:t>The UN is the most useful model because its Charter creates principal organs with distinct roles: the General Assembly, Security Council, Economic and Social Council, International Court of Justice, Secretariat and the historically inactive Trusteeship Council. The Security Council has primary responsibility for international peace and security under the Charter, while the General Assembly has broad deliberative and recommendation functions.</w:t>
      </w:r>
    </w:p>
    <w:p>
      <w:pPr>
        <w:widowControl w:val="1"/>
      </w:pPr>
      <w:r>
        <w:t>Specialized agencies and regional organizations operate under separate constituent instruments. Their powers should be examined from those instruments rather than assumed from the UN model.</w:t>
      </w:r>
    </w:p>
    <w:p>
      <w:pPr>
        <w:pStyle w:val="Heading3"/>
        <w:widowControl w:val="1"/>
      </w:pPr>
      <w:r>
        <w:t>Core Concepts Explained</w:t>
      </w:r>
    </w:p>
    <w:p>
      <w:pPr>
        <w:pStyle w:val="TeachingBullet"/>
        <w:widowControl w:val="1"/>
      </w:pPr>
      <w:r>
        <w:t>An international organization is created by an agreement or constituent instrument that gives it organs, functions and powers separate from those of any single member state.</w:t>
      </w:r>
    </w:p>
    <w:p>
      <w:pPr>
        <w:pStyle w:val="TeachingBullet"/>
        <w:widowControl w:val="1"/>
      </w:pPr>
      <w:r>
        <w:t>Legal personality allows an organization to hold rights and duties, enter agreements or perform functions on the international plane within its legal capacity.</w:t>
      </w:r>
    </w:p>
    <w:p>
      <w:pPr>
        <w:pStyle w:val="TeachingBullet"/>
        <w:widowControl w:val="1"/>
      </w:pPr>
      <w:r>
        <w:t>Express powers are written in the constituent instrument; implied powers may be inferred when necessary to perform assigned functions, subject to the organization's legal framework.</w:t>
      </w:r>
    </w:p>
    <w:p>
      <w:pPr>
        <w:pStyle w:val="TeachingBullet"/>
        <w:widowControl w:val="1"/>
      </w:pPr>
      <w:r>
        <w:rPr>
          <w:b/>
        </w:rPr>
        <w:t>Use the UN as the main model:</w:t>
      </w:r>
      <w:r>
        <w:t xml:space="preserve"> distinguish the purposes of principal organs, then apply the same method to specialized or regional organizations.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treat an international organization as a “world government.” Its authority comes from its constituent legal framework and the powers given by member states.</w:t>
            </w:r>
          </w:p>
        </w:tc>
      </w:tr>
    </w:tbl>
    <w:p>
      <w:pPr>
        <w:pStyle w:val="Heading3"/>
        <w:widowControl w:val="1"/>
      </w:pPr>
      <w:r>
        <w:t>Preparation and Answer Use</w:t>
      </w:r>
    </w:p>
    <w:p>
      <w:pPr>
        <w:pStyle w:val="TeachingBullet"/>
        <w:widowControl w:val="1"/>
      </w:pPr>
      <w:r>
        <w:t>Use the UN as the core model.</w:t>
      </w:r>
    </w:p>
    <w:p>
      <w:pPr>
        <w:pStyle w:val="TeachingBullet"/>
        <w:widowControl w:val="1"/>
      </w:pPr>
      <w:r>
        <w:t>Prepare difference between organization powers expressly granted and powers implied by functions.</w:t>
      </w:r>
    </w:p>
    <w:p>
      <w:pPr>
        <w:pStyle w:val="Heading3"/>
        <w:widowControl w:val="1"/>
      </w:pPr>
      <w:r>
        <w:t>Key Takeaways</w:t>
      </w:r>
    </w:p>
    <w:p>
      <w:pPr>
        <w:pStyle w:val="TakeawayBullet"/>
        <w:widowControl w:val="1"/>
      </w:pPr>
      <w:r>
        <w:t>Organizations are created by legal instruments.</w:t>
      </w:r>
    </w:p>
    <w:p>
      <w:pPr>
        <w:pStyle w:val="TakeawayBullet"/>
        <w:widowControl w:val="1"/>
      </w:pPr>
      <w:r>
        <w:t>Their powers depend on their constituent framework.</w:t>
      </w:r>
    </w:p>
    <w:p>
      <w:pPr>
        <w:pStyle w:val="TakeawayBullet"/>
        <w:widowControl w:val="1"/>
      </w:pPr>
      <w:r>
        <w:t>They can have international legal personality distinct from member states.</w:t>
      </w:r>
    </w:p>
    <w:p>
      <w:pPr>
        <w:spacing w:after="20"/>
        <w:pBdr>
          <w:bottom w:val="single" w:sz="4" w:space="1" w:color="D9E2F3"/>
        </w:pBdr>
        <w:widowControl w:val="1"/>
      </w:pPr>
    </w:p>
    <w:p>
      <w:pPr>
        <w:pStyle w:val="Heading2"/>
        <w:widowControl w:val="1"/>
      </w:pPr>
      <w:r>
        <w:t>9. State Territorial Sovereignty</w:t>
      </w:r>
    </w:p>
    <w:p>
      <w:pPr>
        <w:pStyle w:val="Heading3"/>
        <w:widowControl w:val="1"/>
      </w:pPr>
      <w:r>
        <w:t>Official Syllabus Focus</w:t>
      </w:r>
    </w:p>
    <w:p>
      <w:pPr>
        <w:pStyle w:val="FocusBullet"/>
        <w:widowControl w:val="1"/>
      </w:pPr>
      <w:r>
        <w:t>State territorial sovereignty</w:t>
      </w:r>
    </w:p>
    <w:p>
      <w:pPr>
        <w:pStyle w:val="Heading3"/>
        <w:widowControl w:val="1"/>
      </w:pPr>
      <w:r>
        <w:t>Introduction and Scope</w:t>
      </w:r>
    </w:p>
    <w:p>
      <w:pPr>
        <w:pStyle w:val="TopicIntro"/>
        <w:widowControl w:val="1"/>
      </w:pPr>
      <w:r>
        <w:t>Territorial sovereignty is the state’s legal authority over its territory, subject to international obligations.</w:t>
      </w:r>
    </w:p>
    <w:p>
      <w:pPr>
        <w:pStyle w:val="TopicIntro"/>
        <w:widowControl w:val="1"/>
      </w:pPr>
      <w:r>
        <w:t>Prepare acquisition and loss of territory in classical doctrine, boundaries, land territory, internal waters/territorial sea and the idea that sovereignty entails both rights and duties.</w:t>
      </w:r>
    </w:p>
    <w:p>
      <w:pPr>
        <w:pStyle w:val="Heading3"/>
        <w:widowControl w:val="1"/>
      </w:pPr>
      <w:r>
        <w:t>Meaning of territorial sovereignty</w:t>
      </w:r>
    </w:p>
    <w:p>
      <w:pPr>
        <w:widowControl w:val="1"/>
      </w:pPr>
      <w:r>
        <w:t>Territorial sovereignty means that a state possesses primary legal authority over its territory while remaining bound by international law. Sovereignty therefore combines competence with obligation. A state may control entry, regulate persons and property, and administer public authority within its territory, but it must also respect treaty duties, immunities, human rights obligations and the sovereign rights of other states.</w:t>
      </w:r>
    </w:p>
    <w:p>
      <w:pPr>
        <w:widowControl w:val="1"/>
      </w:pPr>
      <w:r>
        <w:t>Territorial title and territorial administration are related but distinct. A state may claim legal title while another entity exercises practical control, and disputes may require examination of treaties, historical title, conduct, boundary instruments and effectivités.</w:t>
      </w:r>
    </w:p>
    <w:p>
      <w:pPr>
        <w:pStyle w:val="Heading3"/>
        <w:widowControl w:val="1"/>
      </w:pPr>
      <w:r>
        <w:t>Acquisition, boundaries and maritime spaces</w:t>
      </w:r>
    </w:p>
    <w:p>
      <w:pPr>
        <w:widowControl w:val="1"/>
      </w:pPr>
      <w:r>
        <w:t>Classical doctrine discussed occupation, cession, prescription, conquest and accretion, but modern international law—especially the prohibition on acquisition of territory by unlawful force—changes how historical categories can be used. A contemporary answer should not reproduce nineteenth-century modes without explaining modern legal constraints.</w:t>
      </w:r>
    </w:p>
    <w:p>
      <w:pPr>
        <w:widowControl w:val="1"/>
      </w:pPr>
      <w:r>
        <w:t>Land territory should be distinguished from maritime zones. Internal waters and the territorial sea are closely connected to sovereignty, while the exclusive economic zone and continental shelf involve sovereign rights for specified purposes rather than full territorial sovereignty. Airspace above land territory and territorial sea is also part of the territorial legal framework.</w:t>
      </w:r>
    </w:p>
    <w:p>
      <w:pPr>
        <w:pStyle w:val="Heading3"/>
        <w:widowControl w:val="1"/>
      </w:pPr>
      <w:r>
        <w:t>Boundary stability</w:t>
      </w:r>
    </w:p>
    <w:p>
      <w:pPr>
        <w:widowControl w:val="1"/>
      </w:pPr>
      <w:r>
        <w:t>International law places strong value on boundary stability. Treaty boundaries and inherited administrative boundaries can have enduring legal effect, and boundary arrangements are often treated differently from ordinary treaty obligations because stability of territory is central to international order.</w:t>
      </w:r>
    </w:p>
    <w:p>
      <w:pPr>
        <w:pStyle w:val="Heading3"/>
        <w:widowControl w:val="1"/>
      </w:pPr>
      <w:r>
        <w:t>Core Concepts Explained</w:t>
      </w:r>
    </w:p>
    <w:p>
      <w:pPr>
        <w:pStyle w:val="TeachingBullet"/>
        <w:widowControl w:val="1"/>
      </w:pPr>
      <w:r>
        <w:t>Territorial sovereignty means a state has primary legal authority over its land territory and related maritime and air spaces, but that authority operates subject to international obligations.</w:t>
      </w:r>
    </w:p>
    <w:p>
      <w:pPr>
        <w:pStyle w:val="TeachingBullet"/>
        <w:widowControl w:val="1"/>
      </w:pPr>
      <w:r>
        <w:t>Territorial questions can involve title, boundaries, administration, treaties and effective exercise of authority. Historical possession alone may not settle a modern legal dispute.</w:t>
      </w:r>
    </w:p>
    <w:p>
      <w:pPr>
        <w:pStyle w:val="TeachingBullet"/>
        <w:widowControl w:val="1"/>
      </w:pPr>
      <w:r>
        <w:t>Land territory should be studied together with internal waters, territorial sea and airspace at a basic conceptual level. Different maritime zones carry different legal rights, so avoid using “territory” loosely for every sea area.</w:t>
      </w:r>
    </w:p>
    <w:p>
      <w:pPr>
        <w:pStyle w:val="TeachingBullet"/>
        <w:widowControl w:val="1"/>
      </w:pPr>
      <w:r>
        <w:t>Sovereignty includes duties as well as rights, including respect for treaty obligations and the rights of other states under international law.</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describe sovereignty as unlimited freedom. International legal obligations are constraints that a sovereign state itself is required to respect.</w:t>
            </w:r>
          </w:p>
        </w:tc>
      </w:tr>
    </w:tbl>
    <w:p>
      <w:pPr>
        <w:pStyle w:val="Heading3"/>
        <w:widowControl w:val="1"/>
      </w:pPr>
      <w:r>
        <w:t>Preparation and Answer Use</w:t>
      </w:r>
    </w:p>
    <w:p>
      <w:pPr>
        <w:pStyle w:val="TeachingBullet"/>
        <w:widowControl w:val="1"/>
      </w:pPr>
      <w:r>
        <w:t>Map land, sea and air dimensions.</w:t>
      </w:r>
    </w:p>
    <w:p>
      <w:pPr>
        <w:pStyle w:val="TeachingBullet"/>
        <w:widowControl w:val="1"/>
      </w:pPr>
      <w:r>
        <w:t>Study boundary disputes through title, effectivités and treaty interpretation at a basic level.</w:t>
      </w:r>
    </w:p>
    <w:p>
      <w:pPr>
        <w:pStyle w:val="Heading3"/>
        <w:widowControl w:val="1"/>
      </w:pPr>
      <w:r>
        <w:t>Key Takeaways</w:t>
      </w:r>
    </w:p>
    <w:p>
      <w:pPr>
        <w:pStyle w:val="TakeawayBullet"/>
        <w:widowControl w:val="1"/>
      </w:pPr>
      <w:r>
        <w:t>Territory is a foundation of state authority.</w:t>
      </w:r>
    </w:p>
    <w:p>
      <w:pPr>
        <w:pStyle w:val="TakeawayBullet"/>
        <w:widowControl w:val="1"/>
      </w:pPr>
      <w:r>
        <w:t>Sovereignty is not unlimited; treaties and customary law constrain its exercise.</w:t>
      </w:r>
    </w:p>
    <w:p>
      <w:pPr>
        <w:spacing w:after="20"/>
        <w:pBdr>
          <w:bottom w:val="single" w:sz="4" w:space="1" w:color="D9E2F3"/>
        </w:pBdr>
        <w:widowControl w:val="1"/>
      </w:pPr>
    </w:p>
    <w:p>
      <w:pPr>
        <w:pStyle w:val="Heading2"/>
        <w:widowControl w:val="1"/>
      </w:pPr>
      <w:r>
        <w:t>10. State Responsibility</w:t>
      </w:r>
    </w:p>
    <w:p>
      <w:pPr>
        <w:pStyle w:val="Heading3"/>
        <w:widowControl w:val="1"/>
      </w:pPr>
      <w:r>
        <w:t>Official Syllabus Focus</w:t>
      </w:r>
    </w:p>
    <w:p>
      <w:pPr>
        <w:pStyle w:val="FocusBullet"/>
        <w:widowControl w:val="1"/>
      </w:pPr>
      <w:r>
        <w:t>State responsibility</w:t>
      </w:r>
    </w:p>
    <w:p>
      <w:pPr>
        <w:pStyle w:val="Heading3"/>
        <w:widowControl w:val="1"/>
      </w:pPr>
      <w:r>
        <w:t>Introduction and Scope</w:t>
      </w:r>
    </w:p>
    <w:p>
      <w:pPr>
        <w:pStyle w:val="TopicIntro"/>
        <w:widowControl w:val="1"/>
      </w:pPr>
      <w:r>
        <w:t>State responsibility concerns the legal consequences when conduct attributable to a state breaches an international obligation.</w:t>
      </w:r>
    </w:p>
    <w:p>
      <w:pPr>
        <w:pStyle w:val="TopicIntro"/>
        <w:widowControl w:val="1"/>
      </w:pPr>
      <w:r>
        <w:t>The basic framework is attribution + breach, followed by consequences such as cessation and reparation. Circumstances precluding wrongfulness are separate and narrowly framed.</w:t>
      </w:r>
    </w:p>
    <w:p>
      <w:pPr>
        <w:pStyle w:val="SourceNote"/>
        <w:widowControl w:val="1"/>
      </w:pPr>
      <w:r>
        <w:t>Primary reference: International Law Commission Articles on Responsibility of States for Internationally Wrongful Acts (2001).</w:t>
      </w:r>
    </w:p>
    <w:p>
      <w:pPr>
        <w:pStyle w:val="Heading3"/>
        <w:widowControl w:val="1"/>
      </w:pPr>
      <w:r>
        <w:t>Core framework</w:t>
      </w:r>
    </w:p>
    <w:p>
      <w:pPr>
        <w:widowControl w:val="1"/>
      </w:pPr>
      <w:r>
        <w:t>The International Law Commission's 2001 Articles on Responsibility of States for Internationally Wrongful Acts provide the standard analytical framework. An internationally wrongful act exists when conduct is attributable to a state under international law and that conduct constitutes a breach of an international obligation of the state.</w:t>
      </w:r>
    </w:p>
    <w:p>
      <w:pPr>
        <w:widowControl w:val="1"/>
      </w:pPr>
      <w:r>
        <w:t>The framework is secondary law: it does not itself define every primary obligation. The underlying duty may come from a treaty, customary law or another international rule. State responsibility asks what happens when that primary rule is breached.</w:t>
      </w:r>
    </w:p>
    <w:p>
      <w:pPr>
        <w:pStyle w:val="Heading3"/>
        <w:widowControl w:val="1"/>
      </w:pPr>
      <w:r>
        <w:t>Attribution and breach</w:t>
      </w:r>
    </w:p>
    <w:p>
      <w:pPr>
        <w:widowControl w:val="1"/>
      </w:pPr>
      <w:r>
        <w:t>Conduct of state organs is attributable to the state even when a particular official acts unlawfully under domestic law, provided the international rules of attribution are satisfied. Attribution can also extend to entities empowered to exercise governmental authority and, in defined circumstances, to conduct directed or controlled by a state.</w:t>
      </w:r>
    </w:p>
    <w:p>
      <w:pPr>
        <w:widowControl w:val="1"/>
      </w:pPr>
      <w:r>
        <w:t>Breach is assessed against the content of the obligation in force for the state at the relevant time. The same conduct may breach several obligations, and continuing wrongful acts raise temporal questions about when breach begins and ends.</w:t>
      </w:r>
    </w:p>
    <w:p>
      <w:pPr>
        <w:pStyle w:val="Heading3"/>
        <w:widowControl w:val="1"/>
      </w:pPr>
      <w:r>
        <w:t>Consequences and reparation</w:t>
      </w:r>
    </w:p>
    <w:p>
      <w:pPr>
        <w:widowControl w:val="1"/>
      </w:pPr>
      <w:r>
        <w:t>The responsible state must cease continuing wrongful conduct and may have to offer assurances or guarantees of non-repetition where appropriate. Full reparation aims to address the injury caused and may take the form of restitution, compensation or satisfaction, separately or in combination.</w:t>
      </w:r>
    </w:p>
    <w:p>
      <w:pPr>
        <w:widowControl w:val="1"/>
      </w:pPr>
      <w:r>
        <w:t>Circumstances precluding wrongfulness—such as valid consent, self-defence, countermeasures, force majeure, distress or necessity under narrowly defined conditions—do not erase the underlying rule. They address whether wrongfulness is precluded in the particular circumstances.</w:t>
      </w:r>
    </w:p>
    <w:p>
      <w:pPr>
        <w:pStyle w:val="Heading3"/>
        <w:widowControl w:val="1"/>
      </w:pPr>
      <w:r>
        <w:t>Concept Flow</w:t>
      </w:r>
    </w:p>
    <w:p>
      <w:pPr>
        <w:pStyle w:val="Flow"/>
        <w:widowControl w:val="1"/>
      </w:pPr>
      <w:r>
        <w:rPr>
          <w:b/>
        </w:rPr>
        <w:t>Attribution</w:t>
      </w:r>
      <w:r>
        <w:t xml:space="preserve">  →  </w:t>
      </w:r>
      <w:r>
        <w:rPr>
          <w:b w:val="0"/>
        </w:rPr>
        <w:t>Breach of international obligation</w:t>
      </w:r>
      <w:r>
        <w:t xml:space="preserve">  →  </w:t>
      </w:r>
      <w:r>
        <w:rPr>
          <w:b/>
        </w:rPr>
        <w:t>Cessation/non-repetition</w:t>
      </w:r>
      <w:r>
        <w:t xml:space="preserve">  →  </w:t>
      </w:r>
      <w:r>
        <w:rPr>
          <w:b w:val="0"/>
        </w:rPr>
        <w:t>Reparation</w:t>
      </w:r>
    </w:p>
    <w:p>
      <w:pPr>
        <w:pStyle w:val="Heading3"/>
        <w:widowControl w:val="1"/>
      </w:pPr>
      <w:r>
        <w:t>Core Concepts Explained</w:t>
      </w:r>
    </w:p>
    <w:p>
      <w:pPr>
        <w:pStyle w:val="TeachingBullet"/>
        <w:widowControl w:val="1"/>
      </w:pPr>
      <w:r>
        <w:rPr>
          <w:b/>
        </w:rPr>
        <w:t>The core test is simple:</w:t>
      </w:r>
      <w:r>
        <w:t xml:space="preserve"> Is the conduct attributable to the state, and does that conduct breach an international obligation binding on the state at that time?</w:t>
      </w:r>
    </w:p>
    <w:p>
      <w:pPr>
        <w:pStyle w:val="TeachingBullet"/>
        <w:widowControl w:val="1"/>
      </w:pPr>
      <w:r>
        <w:t>Attribution connects conduct to the state through organs, entities exercising governmental authority or other recognized legal links. It is different from proving personal criminal guilt.</w:t>
      </w:r>
    </w:p>
    <w:p>
      <w:pPr>
        <w:pStyle w:val="TeachingBullet"/>
        <w:widowControl w:val="1"/>
      </w:pPr>
      <w:r>
        <w:t>After breach, consequences may include cessation of the wrongful conduct, assurances where appropriate, and full reparation for injury. Reparation may take the form of restitution, compensation or satisfaction depending on the harm.</w:t>
      </w:r>
    </w:p>
    <w:p>
      <w:pPr>
        <w:pStyle w:val="TeachingBullet"/>
        <w:widowControl w:val="1"/>
      </w:pPr>
      <w:r>
        <w:t>Circumstances precluding wrongfulness are exceptional doctrines that may prevent an otherwise wrongful act from being treated as internationally wrongful in narrowly defined situations.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confuse state responsibility with punishment of an individual offender. It is the international legal responsibility of a state for attributable breaches.</w:t>
            </w:r>
          </w:p>
        </w:tc>
      </w:tr>
    </w:tbl>
    <w:p>
      <w:pPr>
        <w:pStyle w:val="Heading3"/>
        <w:widowControl w:val="1"/>
      </w:pPr>
      <w:r>
        <w:t>Preparation and Answer Use</w:t>
      </w:r>
    </w:p>
    <w:p>
      <w:pPr>
        <w:pStyle w:val="TeachingBullet"/>
        <w:widowControl w:val="1"/>
      </w:pPr>
      <w:r>
        <w:rPr>
          <w:b/>
        </w:rPr>
        <w:t>Memorize the two-step core:</w:t>
      </w:r>
      <w:r>
        <w:t xml:space="preserve"> attribution and breach.</w:t>
      </w:r>
    </w:p>
    <w:p>
      <w:pPr>
        <w:pStyle w:val="TeachingBullet"/>
        <w:widowControl w:val="1"/>
      </w:pPr>
      <w:r>
        <w:rPr>
          <w:b/>
        </w:rPr>
        <w:t>Prepare forms of reparation:</w:t>
      </w:r>
      <w:r>
        <w:t xml:space="preserve"> restitution, compensation and satisfaction.</w:t>
      </w:r>
    </w:p>
    <w:p>
      <w:pPr>
        <w:pStyle w:val="TeachingBullet"/>
        <w:widowControl w:val="1"/>
      </w:pPr>
      <w:r>
        <w:t>Do not confuse responsibility with criminal guilt.</w:t>
      </w:r>
    </w:p>
    <w:p>
      <w:pPr>
        <w:pStyle w:val="Heading3"/>
        <w:widowControl w:val="1"/>
      </w:pPr>
      <w:r>
        <w:t>Key Takeaways</w:t>
      </w:r>
    </w:p>
    <w:p>
      <w:pPr>
        <w:pStyle w:val="TakeawayBullet"/>
        <w:widowControl w:val="1"/>
      </w:pPr>
      <w:r>
        <w:t>A state can be responsible for acts of its organs.</w:t>
      </w:r>
    </w:p>
    <w:p>
      <w:pPr>
        <w:pStyle w:val="TakeawayBullet"/>
        <w:widowControl w:val="1"/>
      </w:pPr>
      <w:r>
        <w:t>Breach is assessed against the international obligation in force.</w:t>
      </w:r>
    </w:p>
    <w:p>
      <w:pPr>
        <w:pStyle w:val="TakeawayBullet"/>
        <w:widowControl w:val="1"/>
      </w:pPr>
      <w:r>
        <w:t>Reparation aims to address injury caused by the wrongful act.</w:t>
      </w:r>
    </w:p>
    <w:p>
      <w:pPr>
        <w:spacing w:after="20"/>
        <w:pBdr>
          <w:bottom w:val="single" w:sz="4" w:space="1" w:color="D9E2F3"/>
        </w:pBdr>
        <w:widowControl w:val="1"/>
      </w:pPr>
    </w:p>
    <w:p>
      <w:pPr>
        <w:pStyle w:val="Heading2"/>
        <w:widowControl w:val="1"/>
      </w:pPr>
      <w:r>
        <w:t>11. State Jurisdiction</w:t>
      </w:r>
    </w:p>
    <w:p>
      <w:pPr>
        <w:pStyle w:val="Heading3"/>
        <w:widowControl w:val="1"/>
      </w:pPr>
      <w:r>
        <w:t>Official Syllabus Focus</w:t>
      </w:r>
    </w:p>
    <w:p>
      <w:pPr>
        <w:pStyle w:val="FocusBullet"/>
        <w:widowControl w:val="1"/>
      </w:pPr>
      <w:r>
        <w:t>State jurisdiction</w:t>
      </w:r>
    </w:p>
    <w:p>
      <w:pPr>
        <w:pStyle w:val="Heading3"/>
        <w:widowControl w:val="1"/>
      </w:pPr>
      <w:r>
        <w:t>Introduction and Scope</w:t>
      </w:r>
    </w:p>
    <w:p>
      <w:pPr>
        <w:pStyle w:val="TopicIntro"/>
        <w:widowControl w:val="1"/>
      </w:pPr>
      <w:r>
        <w:t>Jurisdiction is the legal authority of a state to prescribe rules, adjudicate disputes and enforce law.</w:t>
      </w:r>
    </w:p>
    <w:p>
      <w:pPr>
        <w:pStyle w:val="TopicIntro"/>
        <w:widowControl w:val="1"/>
      </w:pPr>
      <w:r>
        <w:t>Study territorial jurisdiction first, then nationality, passive personality, protective and universal jurisdiction. Enforcement jurisdiction is especially sensitive when exercised beyond territory.</w:t>
      </w:r>
    </w:p>
    <w:p>
      <w:pPr>
        <w:pStyle w:val="Heading3"/>
        <w:widowControl w:val="1"/>
      </w:pPr>
      <w:r>
        <w:t>Three dimensions</w:t>
      </w:r>
    </w:p>
    <w:p>
      <w:pPr>
        <w:widowControl w:val="1"/>
      </w:pPr>
      <w:r>
        <w:t>State jurisdiction can be divided into prescriptive jurisdiction, adjudicative jurisdiction and enforcement jurisdiction. Prescriptive jurisdiction concerns authority to make law applicable to conduct or persons. Adjudicative jurisdiction concerns authority of courts or tribunals to decide cases. Enforcement jurisdiction concerns coercive implementation, such as arrest or seizure.</w:t>
      </w:r>
    </w:p>
    <w:p>
      <w:pPr>
        <w:widowControl w:val="1"/>
      </w:pPr>
      <w:r>
        <w:t>These dimensions can point in different directions. A state may have a legal basis to criminalize certain conduct abroad yet still lack authority to send its police into another state's territory without consent or another recognized legal basis.</w:t>
      </w:r>
    </w:p>
    <w:p>
      <w:pPr>
        <w:pStyle w:val="Heading3"/>
        <w:widowControl w:val="1"/>
      </w:pPr>
      <w:r>
        <w:t>Bases of jurisdiction</w:t>
      </w:r>
    </w:p>
    <w:p>
      <w:pPr>
        <w:widowControl w:val="1"/>
      </w:pPr>
      <w:r>
        <w:t>Territorial jurisdiction is the normal starting point. Nationality jurisdiction permits regulation of nationals in circumstances recognized by international law. Passive personality links jurisdiction to nationality of the victim. The protective principle addresses conduct threatening essential state interests. Universal jurisdiction is claimed for a limited category of offences considered of concern to the international community, subject to legal controversy and domestic implementation.</w:t>
      </w:r>
    </w:p>
    <w:p>
      <w:pPr>
        <w:widowControl w:val="1"/>
      </w:pPr>
      <w:r>
        <w:t>Extraterritorial jurisdiction should always be connected to a recognized basis and to principles of reasonableness, comity or treaty limitation where relevant. Labels alone do not settle every jurisdictional conflict.</w:t>
      </w:r>
    </w:p>
    <w:p>
      <w:pPr>
        <w:pStyle w:val="Heading3"/>
        <w:widowControl w:val="1"/>
      </w:pPr>
      <w:r>
        <w:t>Enforcement abroad</w:t>
      </w:r>
    </w:p>
    <w:p>
      <w:pPr>
        <w:widowControl w:val="1"/>
      </w:pPr>
      <w:r>
        <w:t>Enforcement is the most sovereignty-sensitive category. Physical police action, search, arrest or seizure in foreign territory ordinarily requires consent, treaty authority or another valid legal basis. Mutual legal assistance and extradition exist precisely because cross-border enforcement cannot normally be conducted unilaterally.</w:t>
      </w:r>
    </w:p>
    <w:p>
      <w:pPr>
        <w:pStyle w:val="Heading3"/>
        <w:widowControl w:val="1"/>
      </w:pPr>
      <w:r>
        <w:t>Core Concepts Explained</w:t>
      </w:r>
    </w:p>
    <w:p>
      <w:pPr>
        <w:pStyle w:val="TeachingBullet"/>
        <w:widowControl w:val="1"/>
      </w:pPr>
      <w:r>
        <w:rPr>
          <w:b/>
        </w:rPr>
        <w:t>Jurisdiction has three useful dimensions:</w:t>
      </w:r>
      <w:r>
        <w:t xml:space="preserve"> prescriptive jurisdiction to make rules, adjudicative jurisdiction to decide cases, and enforcement jurisdiction to compel compliance.</w:t>
      </w:r>
    </w:p>
    <w:p>
      <w:pPr>
        <w:pStyle w:val="TeachingBullet"/>
        <w:widowControl w:val="1"/>
      </w:pPr>
      <w:r>
        <w:t>Territoriality is the normal starting point because states have primary authority over conduct in their territory. Nationality jurisdiction connects a state to its nationals abroad.</w:t>
      </w:r>
    </w:p>
    <w:p>
      <w:pPr>
        <w:pStyle w:val="TeachingBullet"/>
        <w:widowControl w:val="1"/>
      </w:pPr>
      <w:r>
        <w:t>Other bases may include passive personality, protective jurisdiction and universal jurisdiction in recognized circumstances. Each basis has its own legal rationale and limits.</w:t>
      </w:r>
    </w:p>
    <w:p>
      <w:pPr>
        <w:pStyle w:val="TeachingBullet"/>
        <w:widowControl w:val="1"/>
      </w:pPr>
      <w:r>
        <w:t>Enforcement abroad is especially restricted because physically exercising state power in another state's territory can infringe sovereignty unless international law or consent permits it.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treat a valid basis to prescribe law as automatic permission to send police or enforcement officers into another state.</w:t>
            </w:r>
          </w:p>
        </w:tc>
      </w:tr>
    </w:tbl>
    <w:p>
      <w:pPr>
        <w:pStyle w:val="Heading3"/>
        <w:widowControl w:val="1"/>
      </w:pPr>
      <w:r>
        <w:t>Preparation and Answer Use</w:t>
      </w:r>
    </w:p>
    <w:p>
      <w:pPr>
        <w:pStyle w:val="TeachingBullet"/>
        <w:widowControl w:val="1"/>
      </w:pPr>
      <w:r>
        <w:t>Create a table of jurisdiction bases with one simple example each.</w:t>
      </w:r>
    </w:p>
    <w:p>
      <w:pPr>
        <w:pStyle w:val="TeachingBullet"/>
        <w:widowControl w:val="1"/>
      </w:pPr>
      <w:r>
        <w:t>Separate prescriptive, adjudicative and enforcement jurisdiction.</w:t>
      </w:r>
    </w:p>
    <w:p>
      <w:pPr>
        <w:pStyle w:val="Heading3"/>
        <w:widowControl w:val="1"/>
      </w:pPr>
      <w:r>
        <w:t>Key Takeaways</w:t>
      </w:r>
    </w:p>
    <w:p>
      <w:pPr>
        <w:pStyle w:val="TakeawayBullet"/>
        <w:widowControl w:val="1"/>
      </w:pPr>
      <w:r>
        <w:t>Territoriality is the primary basis.</w:t>
      </w:r>
    </w:p>
    <w:p>
      <w:pPr>
        <w:pStyle w:val="TakeawayBullet"/>
        <w:widowControl w:val="1"/>
      </w:pPr>
      <w:r>
        <w:t>Extraterritorial jurisdiction requires a recognized legal basis and is subject to international limits.</w:t>
      </w:r>
    </w:p>
    <w:p>
      <w:pPr>
        <w:spacing w:after="20"/>
        <w:pBdr>
          <w:bottom w:val="single" w:sz="4" w:space="1" w:color="D9E2F3"/>
        </w:pBdr>
        <w:widowControl w:val="1"/>
      </w:pPr>
    </w:p>
    <w:p>
      <w:pPr>
        <w:pStyle w:val="Heading2"/>
        <w:widowControl w:val="1"/>
      </w:pPr>
      <w:r>
        <w:t>12. Succession to Rights and Obligations</w:t>
      </w:r>
    </w:p>
    <w:p>
      <w:pPr>
        <w:pStyle w:val="Heading3"/>
        <w:widowControl w:val="1"/>
      </w:pPr>
      <w:r>
        <w:t>Official Syllabus Focus</w:t>
      </w:r>
    </w:p>
    <w:p>
      <w:pPr>
        <w:pStyle w:val="FocusBullet"/>
        <w:widowControl w:val="1"/>
      </w:pPr>
      <w:r>
        <w:t>State succession</w:t>
      </w:r>
    </w:p>
    <w:p>
      <w:pPr>
        <w:pStyle w:val="Heading3"/>
        <w:widowControl w:val="1"/>
      </w:pPr>
      <w:r>
        <w:t>Introduction and Scope</w:t>
      </w:r>
    </w:p>
    <w:p>
      <w:pPr>
        <w:pStyle w:val="TopicIntro"/>
        <w:widowControl w:val="1"/>
      </w:pPr>
      <w:r>
        <w:t>State succession asks what happens to international rights and obligations when responsibility for a territory changes from one state to another.</w:t>
      </w:r>
    </w:p>
    <w:p>
      <w:pPr>
        <w:pStyle w:val="TopicIntro"/>
        <w:widowControl w:val="1"/>
      </w:pPr>
      <w:r>
        <w:t>Prepare succession in relation to treaties, property, debts, archives and nationality. The rules vary with the type of succession and the legal instrument involved.</w:t>
      </w:r>
    </w:p>
    <w:p>
      <w:pPr>
        <w:pStyle w:val="Heading3"/>
        <w:widowControl w:val="1"/>
      </w:pPr>
      <w:r>
        <w:t>What state succession means</w:t>
      </w:r>
    </w:p>
    <w:p>
      <w:pPr>
        <w:widowControl w:val="1"/>
      </w:pPr>
      <w:r>
        <w:t>State succession occurs when one state replaces another in responsibility for the international relations of a territory. The legal result depends on the kind of succession—such as transfer of territory, separation, dissolution or decolonization—and on the category of right or obligation involved.</w:t>
      </w:r>
    </w:p>
    <w:p>
      <w:pPr>
        <w:widowControl w:val="1"/>
      </w:pPr>
      <w:r>
        <w:t>There is no single rule that every treaty automatically continues or automatically ends. Treaty succession, state property, archives, debts and nationality raise different questions and may be governed by treaty, custom, agreement between successor states or specific institutional practice.</w:t>
      </w:r>
    </w:p>
    <w:p>
      <w:pPr>
        <w:pStyle w:val="Heading3"/>
        <w:widowControl w:val="1"/>
      </w:pPr>
      <w:r>
        <w:t>Treaties and boundaries</w:t>
      </w:r>
    </w:p>
    <w:p>
      <w:pPr>
        <w:widowControl w:val="1"/>
      </w:pPr>
      <w:r>
        <w:t>Boundary treaties and territorial regimes receive special protection because stability of borders is a fundamental interest of international order. A change of sovereignty does not normally permit a successor state to reopen an established boundary simply by rejecting the predecessor's treaty.</w:t>
      </w:r>
    </w:p>
    <w:p>
      <w:pPr>
        <w:widowControl w:val="1"/>
      </w:pPr>
      <w:r>
        <w:t>For other treaties, continuity may depend on the type of succession and treaty. Newly independent states historically generated the 'clean slate' debate, while dissolution and separation often involve questions of continuity, succession or negotiated allocation.</w:t>
      </w:r>
    </w:p>
    <w:p>
      <w:pPr>
        <w:pStyle w:val="Heading3"/>
        <w:widowControl w:val="1"/>
      </w:pPr>
      <w:r>
        <w:t>Practical method</w:t>
      </w:r>
    </w:p>
    <w:p>
      <w:pPr>
        <w:widowControl w:val="1"/>
      </w:pPr>
      <w:r>
        <w:t>Always identify the event first. Did one state dissolve completely, did part of a state separate, or was territory transferred? Then identify the legal category—treaty, debt, property, archive or nationality. Only after these steps should the applicable rule be stated.</w:t>
      </w:r>
    </w:p>
    <w:p>
      <w:pPr>
        <w:pStyle w:val="Heading3"/>
        <w:widowControl w:val="1"/>
      </w:pPr>
      <w:r>
        <w:t>Core Concepts Explained</w:t>
      </w:r>
    </w:p>
    <w:p>
      <w:pPr>
        <w:pStyle w:val="TeachingBullet"/>
        <w:widowControl w:val="1"/>
      </w:pPr>
      <w:r>
        <w:t>State succession occurs when responsibility for a territory shifts from one state to another. The legal consequences depend on the kind of succession and the type of right or obligation involved.</w:t>
      </w:r>
    </w:p>
    <w:p>
      <w:pPr>
        <w:pStyle w:val="TeachingBullet"/>
        <w:widowControl w:val="1"/>
      </w:pPr>
      <w:r>
        <w:t>Study treaty succession, state property, archives, debts and nationality separately because international law does not apply one identical rule to all categories.</w:t>
      </w:r>
    </w:p>
    <w:p>
      <w:pPr>
        <w:pStyle w:val="TeachingBullet"/>
        <w:widowControl w:val="1"/>
      </w:pPr>
      <w:r>
        <w:t>Dissolution, separation, transfer of territory and decolonization can create different legal questions. Always identify the factual type of succession before stating a rule.</w:t>
      </w:r>
    </w:p>
    <w:p>
      <w:pPr>
        <w:pStyle w:val="TeachingBullet"/>
        <w:widowControl w:val="1"/>
      </w:pPr>
      <w:r>
        <w:t>Boundary arrangements are treated with special stability because international order depends on settled territorial limits.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answer succession questions with a single formula that “all obligations transfer” or “no obligations transfer.” The result is category-specific.</w:t>
            </w:r>
          </w:p>
        </w:tc>
      </w:tr>
    </w:tbl>
    <w:p>
      <w:pPr>
        <w:pStyle w:val="Heading3"/>
        <w:widowControl w:val="1"/>
      </w:pPr>
      <w:r>
        <w:t>Preparation and Answer Use</w:t>
      </w:r>
    </w:p>
    <w:p>
      <w:pPr>
        <w:pStyle w:val="TeachingBullet"/>
        <w:widowControl w:val="1"/>
      </w:pPr>
      <w:r>
        <w:rPr>
          <w:b/>
        </w:rPr>
        <w:t>Study categories:</w:t>
      </w:r>
      <w:r>
        <w:t xml:space="preserve"> dissolution, separation, transfer and newly independent states.</w:t>
      </w:r>
    </w:p>
    <w:p>
      <w:pPr>
        <w:pStyle w:val="TeachingBullet"/>
        <w:widowControl w:val="1"/>
      </w:pPr>
      <w:r>
        <w:t>Do not assume every obligation automatically transfers in the same way.</w:t>
      </w:r>
    </w:p>
    <w:p>
      <w:pPr>
        <w:pStyle w:val="Heading3"/>
        <w:widowControl w:val="1"/>
      </w:pPr>
      <w:r>
        <w:t>Key Takeaways</w:t>
      </w:r>
    </w:p>
    <w:p>
      <w:pPr>
        <w:pStyle w:val="TakeawayBullet"/>
        <w:widowControl w:val="1"/>
      </w:pPr>
      <w:r>
        <w:t>Succession is context-specific.</w:t>
      </w:r>
    </w:p>
    <w:p>
      <w:pPr>
        <w:pStyle w:val="TakeawayBullet"/>
        <w:widowControl w:val="1"/>
      </w:pPr>
      <w:r>
        <w:t>Boundary regimes receive special stability in international law.</w:t>
      </w:r>
    </w:p>
    <w:p>
      <w:pPr>
        <w:spacing w:after="20"/>
        <w:pBdr>
          <w:bottom w:val="single" w:sz="4" w:space="1" w:color="D9E2F3"/>
        </w:pBdr>
        <w:widowControl w:val="1"/>
      </w:pPr>
    </w:p>
    <w:p>
      <w:pPr>
        <w:pStyle w:val="Heading2"/>
        <w:widowControl w:val="1"/>
      </w:pPr>
      <w:r>
        <w:t>13. The State and the Individual</w:t>
      </w:r>
    </w:p>
    <w:p>
      <w:pPr>
        <w:pStyle w:val="Heading3"/>
        <w:widowControl w:val="1"/>
      </w:pPr>
      <w:r>
        <w:t>Official Syllabus Focus</w:t>
      </w:r>
    </w:p>
    <w:p>
      <w:pPr>
        <w:pStyle w:val="FocusBullet"/>
        <w:widowControl w:val="1"/>
      </w:pPr>
      <w:r>
        <w:t>State and individual</w:t>
      </w:r>
    </w:p>
    <w:p>
      <w:pPr>
        <w:pStyle w:val="Heading3"/>
        <w:widowControl w:val="1"/>
      </w:pPr>
      <w:r>
        <w:t>Introduction and Scope</w:t>
      </w:r>
    </w:p>
    <w:p>
      <w:pPr>
        <w:pStyle w:val="TopicIntro"/>
        <w:widowControl w:val="1"/>
      </w:pPr>
      <w:r>
        <w:t>Modern international law increasingly recognizes individuals as holders of rights and, in some fields, bearers of responsibilities.</w:t>
      </w:r>
    </w:p>
    <w:p>
      <w:pPr>
        <w:pStyle w:val="TopicIntro"/>
        <w:widowControl w:val="1"/>
      </w:pPr>
      <w:r>
        <w:t>Study nationality, treatment of aliens, diplomatic protection, human rights, refugees and individual criminal responsibility as the main bridges between the state and the person.</w:t>
      </w:r>
    </w:p>
    <w:p>
      <w:pPr>
        <w:pStyle w:val="Heading3"/>
        <w:widowControl w:val="1"/>
      </w:pPr>
      <w:r>
        <w:t>Changing position of the individual</w:t>
      </w:r>
    </w:p>
    <w:p>
      <w:pPr>
        <w:widowControl w:val="1"/>
      </w:pPr>
      <w:r>
        <w:t>Classical international law concentrated on states, but modern international law gives individuals direct rights and, in certain fields, direct responsibilities. Human-rights law, refugee law, nationality, consular protection and international criminal law all demonstrate this change.</w:t>
      </w:r>
    </w:p>
    <w:p>
      <w:pPr>
        <w:widowControl w:val="1"/>
      </w:pPr>
      <w:r>
        <w:t>The individual nevertheless does not possess the same general legal capacity as a state. International personality is functional and field-specific: a person may hold treaty rights, access a complaints mechanism where one exists, or incur criminal responsibility, without possessing state sovereignty or treaty-making power.</w:t>
      </w:r>
    </w:p>
    <w:p>
      <w:pPr>
        <w:pStyle w:val="Heading3"/>
        <w:widowControl w:val="1"/>
      </w:pPr>
      <w:r>
        <w:t>Nationality and diplomatic protection</w:t>
      </w:r>
    </w:p>
    <w:p>
      <w:pPr>
        <w:widowControl w:val="1"/>
      </w:pPr>
      <w:r>
        <w:t>Nationality is the legal bond between a person and a state under domestic law operating within international constraints. It can affect diplomatic protection, political membership, travel documentation and other rights. Statelessness exists where no state considers a person its national under the operation of its law.</w:t>
      </w:r>
    </w:p>
    <w:p>
      <w:pPr>
        <w:widowControl w:val="1"/>
      </w:pPr>
      <w:r>
        <w:t>Diplomatic protection is a state-to-state process in which a state invokes responsibility for injury to its national. It is different from a direct individual petition before a human-rights body. Requirements such as nationality of claims and exhaustion of local remedies may be relevant depending on the legal context.</w:t>
      </w:r>
    </w:p>
    <w:p>
      <w:pPr>
        <w:pStyle w:val="Heading3"/>
        <w:widowControl w:val="1"/>
      </w:pPr>
      <w:r>
        <w:t>Human rights, refugees and criminal responsibility</w:t>
      </w:r>
    </w:p>
    <w:p>
      <w:pPr>
        <w:widowControl w:val="1"/>
      </w:pPr>
      <w:r>
        <w:t>Human-rights treaties regulate how states treat individuals within the treaty's scope. Refugee law protects persons who satisfy the applicable refugee definition and engages principles such as non-refoulement. International criminal law can impose individual responsibility for crimes such as genocide, crimes against humanity and war crimes under the relevant legal instruments.</w:t>
      </w:r>
    </w:p>
    <w:p>
      <w:pPr>
        <w:widowControl w:val="1"/>
      </w:pPr>
      <w:r>
        <w:t>These fields should not be merged. A refugee determination is not a criminal trial, and an international human-rights violation by a state is not automatically the same legal question as individual criminal responsibility.</w:t>
      </w:r>
    </w:p>
    <w:p>
      <w:pPr>
        <w:pStyle w:val="Heading3"/>
        <w:widowControl w:val="1"/>
      </w:pPr>
      <w:r>
        <w:t>Core Concepts Explained</w:t>
      </w:r>
    </w:p>
    <w:p>
      <w:pPr>
        <w:pStyle w:val="TeachingBullet"/>
        <w:widowControl w:val="1"/>
      </w:pPr>
      <w:r>
        <w:t>Traditional international law focused heavily on states, but modern law also recognizes individuals as holders of international rights and, in some areas, direct responsibilities.</w:t>
      </w:r>
    </w:p>
    <w:p>
      <w:pPr>
        <w:pStyle w:val="TeachingBullet"/>
        <w:widowControl w:val="1"/>
      </w:pPr>
      <w:r>
        <w:t>Nationality creates a legal connection between person and state and can affect diplomatic protection, travel, political rights and state responsibility. Statelessness concerns the absence of nationality under the operation of national laws.</w:t>
      </w:r>
    </w:p>
    <w:p>
      <w:pPr>
        <w:pStyle w:val="TeachingBullet"/>
        <w:widowControl w:val="1"/>
      </w:pPr>
      <w:r>
        <w:t>Diplomatic protection is a state-to-state mechanism through which a state may espouse a claim concerning injury to its national; it is conceptually different from an individual filing a direct human-rights complaint where such a mechanism exists.</w:t>
      </w:r>
    </w:p>
    <w:p>
      <w:pPr>
        <w:pStyle w:val="TeachingBullet"/>
        <w:widowControl w:val="1"/>
      </w:pPr>
      <w:r>
        <w:t>Human rights, refugee protection and international criminal responsibility show different ways in which the individual has become directly relevant to international law.</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that individuals have exactly the same international legal personality as states. Their rights and responsibilities arise in specific legal fields.</w:t>
            </w:r>
          </w:p>
        </w:tc>
      </w:tr>
    </w:tbl>
    <w:p>
      <w:pPr>
        <w:pStyle w:val="Heading3"/>
        <w:widowControl w:val="1"/>
      </w:pPr>
      <w:r>
        <w:t>Preparation and Answer Use</w:t>
      </w:r>
    </w:p>
    <w:p>
      <w:pPr>
        <w:pStyle w:val="TeachingBullet"/>
        <w:widowControl w:val="1"/>
      </w:pPr>
      <w:r>
        <w:t>Prepare diplomatic protection separately from direct human-rights remedies.</w:t>
      </w:r>
    </w:p>
    <w:p>
      <w:pPr>
        <w:pStyle w:val="TeachingBullet"/>
        <w:widowControl w:val="1"/>
      </w:pPr>
      <w:r>
        <w:t>Know basic distinction between nationality and statelessness.</w:t>
      </w:r>
    </w:p>
    <w:p>
      <w:pPr>
        <w:pStyle w:val="Heading3"/>
        <w:widowControl w:val="1"/>
      </w:pPr>
      <w:r>
        <w:t>Key Takeaways</w:t>
      </w:r>
    </w:p>
    <w:p>
      <w:pPr>
        <w:pStyle w:val="TakeawayBullet"/>
        <w:widowControl w:val="1"/>
      </w:pPr>
      <w:r>
        <w:t>Individuals are no longer treated only as objects of international law.</w:t>
      </w:r>
    </w:p>
    <w:p>
      <w:pPr>
        <w:pStyle w:val="TakeawayBullet"/>
        <w:widowControl w:val="1"/>
      </w:pPr>
      <w:r>
        <w:t>Human-rights treaties create international standards for state conduct toward persons.</w:t>
      </w:r>
    </w:p>
    <w:p>
      <w:pPr>
        <w:spacing w:after="20"/>
        <w:pBdr>
          <w:bottom w:val="single" w:sz="4" w:space="1" w:color="D9E2F3"/>
        </w:pBdr>
        <w:widowControl w:val="1"/>
      </w:pPr>
    </w:p>
    <w:p>
      <w:pPr>
        <w:pStyle w:val="Heading2"/>
        <w:widowControl w:val="1"/>
      </w:pPr>
      <w:r>
        <w:t>14. The State and Economic Interests</w:t>
      </w:r>
    </w:p>
    <w:p>
      <w:pPr>
        <w:pStyle w:val="Heading3"/>
        <w:widowControl w:val="1"/>
      </w:pPr>
      <w:r>
        <w:t>Official Syllabus Focus</w:t>
      </w:r>
    </w:p>
    <w:p>
      <w:pPr>
        <w:pStyle w:val="FocusBullet"/>
        <w:widowControl w:val="1"/>
      </w:pPr>
      <w:r>
        <w:t>State and economic interest</w:t>
      </w:r>
    </w:p>
    <w:p>
      <w:pPr>
        <w:pStyle w:val="Heading3"/>
        <w:widowControl w:val="1"/>
      </w:pPr>
      <w:r>
        <w:t>Introduction and Scope</w:t>
      </w:r>
    </w:p>
    <w:p>
      <w:pPr>
        <w:pStyle w:val="TopicIntro"/>
        <w:widowControl w:val="1"/>
      </w:pPr>
      <w:r>
        <w:t>International law also regulates economic relations involving trade, investment, state property and cross-border economic activity.</w:t>
      </w:r>
    </w:p>
    <w:p>
      <w:pPr>
        <w:pStyle w:val="TopicIntro"/>
        <w:widowControl w:val="1"/>
      </w:pPr>
      <w:r>
        <w:t>At CSS level, focus on sovereignty over resources, treatment of foreign economic interests, expropriation, investment obligations and institutional regulation rather than technical trade-law detail.</w:t>
      </w:r>
    </w:p>
    <w:p>
      <w:pPr>
        <w:pStyle w:val="Heading3"/>
        <w:widowControl w:val="1"/>
      </w:pPr>
      <w:r>
        <w:t>Sovereignty and economic regulation</w:t>
      </w:r>
    </w:p>
    <w:p>
      <w:pPr>
        <w:widowControl w:val="1"/>
      </w:pPr>
      <w:r>
        <w:t>States possess broad authority to regulate economic activity and natural resources within their jurisdiction, but that authority can be limited by treaties, contracts, customary rules and specific commitments to foreign investors or trading partners. International economic law therefore examines the interaction between regulatory sovereignty and cross-border obligations.</w:t>
      </w:r>
    </w:p>
    <w:p>
      <w:pPr>
        <w:widowControl w:val="1"/>
      </w:pPr>
      <w:r>
        <w:t>A useful distinction is between the state's general power to regulate and a specific undertaking it has accepted. The existence of foreign investment does not freeze domestic law, but particular treaties may require standards such as non-discrimination, fair treatment or compensation for expropriation.</w:t>
      </w:r>
    </w:p>
    <w:p>
      <w:pPr>
        <w:pStyle w:val="Heading3"/>
        <w:widowControl w:val="1"/>
      </w:pPr>
      <w:r>
        <w:t>Foreign investment and expropriation</w:t>
      </w:r>
    </w:p>
    <w:p>
      <w:pPr>
        <w:widowControl w:val="1"/>
      </w:pPr>
      <w:r>
        <w:t>Foreign-investment disputes often ask whether an investment is protected, whether the state measure falls within the treaty, whether treatment was discriminatory or arbitrary, whether an expropriation occurred, and what remedy is available. Direct expropriation involves formal taking; indirect expropriation concerns measures that substantially deprive an investment of value or control under the applicable legal test.</w:t>
      </w:r>
    </w:p>
    <w:p>
      <w:pPr>
        <w:widowControl w:val="1"/>
      </w:pPr>
      <w:r>
        <w:t>Compensation questions depend on the governing legal instrument. Students should avoid repeating a universal compensation formula without identifying the treaty, contract or customary rule being applied.</w:t>
      </w:r>
    </w:p>
    <w:p>
      <w:pPr>
        <w:pStyle w:val="Heading3"/>
        <w:widowControl w:val="1"/>
      </w:pPr>
      <w:r>
        <w:t>Economic institutions</w:t>
      </w:r>
    </w:p>
    <w:p>
      <w:pPr>
        <w:widowControl w:val="1"/>
      </w:pPr>
      <w:r>
        <w:t>Trade and investment regimes are institutionally distinct. WTO law concerns multilateral trade disciplines among members. Investment protection commonly arises through bilateral or multilateral investment treaties and may use investor-state arbitration where consent exists. International financial institutions operate under their own constituent agreements.</w:t>
      </w:r>
    </w:p>
    <w:p>
      <w:pPr>
        <w:pStyle w:val="Heading3"/>
        <w:widowControl w:val="1"/>
      </w:pPr>
      <w:r>
        <w:t>Core Concepts Explained</w:t>
      </w:r>
    </w:p>
    <w:p>
      <w:pPr>
        <w:pStyle w:val="TeachingBullet"/>
        <w:widowControl w:val="1"/>
      </w:pPr>
      <w:r>
        <w:t>This area connects sovereignty with cross-border economic obligations. States may regulate resources and economic activity, but they may also be bound by treaties, contracts and international standards.</w:t>
      </w:r>
    </w:p>
    <w:p>
      <w:pPr>
        <w:pStyle w:val="TeachingBullet"/>
        <w:widowControl w:val="1"/>
      </w:pPr>
      <w:r>
        <w:t>Foreign investment questions often involve admission of investment, treatment after admission, expropriation, compensation, dispute settlement and state regulatory powers.</w:t>
      </w:r>
    </w:p>
    <w:p>
      <w:pPr>
        <w:pStyle w:val="TeachingBullet"/>
        <w:widowControl w:val="1"/>
      </w:pPr>
      <w:r>
        <w:t>Expropriation means state taking or serious deprivation of property interests. The legal consequences depend on the governing treaty or rule, public purpose, non-discrimination, due process and compensation requirements where applicable.</w:t>
      </w:r>
    </w:p>
    <w:p>
      <w:pPr>
        <w:pStyle w:val="TeachingBullet"/>
        <w:widowControl w:val="1"/>
      </w:pPr>
      <w:r>
        <w:t>Keep general public international law separate from highly technical trade or investment rules unless the question specifically requires those details.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imply that economic sovereignty cancels every international commitment. Sovereignty is exercised within obligations the state has accepted or that otherwise bind it.</w:t>
            </w:r>
          </w:p>
        </w:tc>
      </w:tr>
    </w:tbl>
    <w:p>
      <w:pPr>
        <w:pStyle w:val="Heading3"/>
        <w:widowControl w:val="1"/>
      </w:pPr>
      <w:r>
        <w:t>Preparation and Answer Use</w:t>
      </w:r>
    </w:p>
    <w:p>
      <w:pPr>
        <w:pStyle w:val="TeachingBullet"/>
        <w:widowControl w:val="1"/>
      </w:pPr>
      <w:r>
        <w:t>Link the topic to state sovereignty and responsibility.</w:t>
      </w:r>
    </w:p>
    <w:p>
      <w:pPr>
        <w:pStyle w:val="TeachingBullet"/>
        <w:widowControl w:val="1"/>
      </w:pPr>
      <w:r>
        <w:t>Prepare lawful expropriation and compensation at a general level.</w:t>
      </w:r>
    </w:p>
    <w:p>
      <w:pPr>
        <w:pStyle w:val="Heading3"/>
        <w:widowControl w:val="1"/>
      </w:pPr>
      <w:r>
        <w:t>Key Takeaways</w:t>
      </w:r>
    </w:p>
    <w:p>
      <w:pPr>
        <w:pStyle w:val="TakeawayBullet"/>
        <w:widowControl w:val="1"/>
      </w:pPr>
      <w:r>
        <w:t>Economic sovereignty exists within international obligations.</w:t>
      </w:r>
    </w:p>
    <w:p>
      <w:pPr>
        <w:pStyle w:val="TakeawayBullet"/>
        <w:widowControl w:val="1"/>
      </w:pPr>
      <w:r>
        <w:t>Foreign investment disputes often combine treaty rules, domestic law and arbitration.</w:t>
      </w:r>
    </w:p>
    <w:p>
      <w:pPr>
        <w:spacing w:after="20"/>
        <w:pBdr>
          <w:bottom w:val="single" w:sz="4" w:space="1" w:color="D9E2F3"/>
        </w:pBdr>
        <w:widowControl w:val="1"/>
      </w:pPr>
    </w:p>
    <w:p>
      <w:pPr>
        <w:pStyle w:val="Heading2"/>
        <w:widowControl w:val="1"/>
      </w:pPr>
      <w:r>
        <w:t>15. Diplomatic Envoys, Consuls and Other Representatives</w:t>
      </w:r>
    </w:p>
    <w:p>
      <w:pPr>
        <w:pStyle w:val="Heading3"/>
        <w:widowControl w:val="1"/>
      </w:pPr>
      <w:r>
        <w:t>Official Syllabus Focus</w:t>
      </w:r>
    </w:p>
    <w:p>
      <w:pPr>
        <w:pStyle w:val="FocusBullet"/>
        <w:widowControl w:val="1"/>
      </w:pPr>
      <w:r>
        <w:t>Diplomatic envoys</w:t>
      </w:r>
    </w:p>
    <w:p>
      <w:pPr>
        <w:pStyle w:val="FocusBullet"/>
        <w:widowControl w:val="1"/>
      </w:pPr>
      <w:r>
        <w:t>Consuls</w:t>
      </w:r>
    </w:p>
    <w:p>
      <w:pPr>
        <w:pStyle w:val="FocusBullet"/>
        <w:widowControl w:val="1"/>
      </w:pPr>
      <w:r>
        <w:t>Other representatives</w:t>
      </w:r>
    </w:p>
    <w:p>
      <w:pPr>
        <w:pStyle w:val="Heading3"/>
        <w:widowControl w:val="1"/>
      </w:pPr>
      <w:r>
        <w:t>Introduction and Scope</w:t>
      </w:r>
    </w:p>
    <w:p>
      <w:pPr>
        <w:pStyle w:val="TopicIntro"/>
        <w:widowControl w:val="1"/>
      </w:pPr>
      <w:r>
        <w:t>Diplomatic and consular law allows states to maintain official relations while protecting the performance of official functions.</w:t>
      </w:r>
    </w:p>
    <w:p>
      <w:pPr>
        <w:pStyle w:val="TopicIntro"/>
        <w:widowControl w:val="1"/>
      </w:pPr>
      <w:r>
        <w:t>Prepare appointment, functions, inviolability, privileges and immunities, persona non grata, and the distinction between diplomatic and consular functions.</w:t>
      </w:r>
    </w:p>
    <w:p>
      <w:pPr>
        <w:pStyle w:val="Heading3"/>
        <w:widowControl w:val="1"/>
      </w:pPr>
      <w:r>
        <w:t>Diplomatic relations</w:t>
      </w:r>
    </w:p>
    <w:p>
      <w:pPr>
        <w:widowControl w:val="1"/>
      </w:pPr>
      <w:r>
        <w:t>Diplomatic law enables states to communicate and perform official functions through representatives. The Vienna Convention on Diplomatic Relations 1961 is the central treaty framework. Diplomatic privileges and immunities are functional: they exist to ensure effective performance of the mission, not to create personal superiority or a general licence to disregard law.</w:t>
      </w:r>
    </w:p>
    <w:p>
      <w:pPr>
        <w:widowControl w:val="1"/>
      </w:pPr>
      <w:r>
        <w:t>The sending state and receiving state remain distinct actors. Appointment of the head of mission involves acceptance by the receiving state, and the receiving state may declare a diplomatic agent persona non grata under the Convention.</w:t>
      </w:r>
    </w:p>
    <w:p>
      <w:pPr>
        <w:pStyle w:val="Heading3"/>
        <w:widowControl w:val="1"/>
      </w:pPr>
      <w:r>
        <w:t>Immunities and premises</w:t>
      </w:r>
    </w:p>
    <w:p>
      <w:pPr>
        <w:widowControl w:val="1"/>
      </w:pPr>
      <w:r>
        <w:t>The diplomatic agent's personal inviolability and immunity from the receiving state's criminal jurisdiction are among the strongest protections. Civil and administrative immunity is subject to specified exceptions. Mission premises, archives and official communications also receive protection.</w:t>
      </w:r>
    </w:p>
    <w:p>
      <w:pPr>
        <w:widowControl w:val="1"/>
      </w:pPr>
      <w:r>
        <w:t>Immunity is procedural protection from the receiving state's jurisdiction; it does not mean the underlying conduct becomes lawful. The sending state may waive immunity, and the diplomat remains subject to the sending state's legal order.</w:t>
      </w:r>
    </w:p>
    <w:p>
      <w:pPr>
        <w:pStyle w:val="Heading3"/>
        <w:widowControl w:val="1"/>
      </w:pPr>
      <w:r>
        <w:t>Consular relations and other representatives</w:t>
      </w:r>
    </w:p>
    <w:p>
      <w:pPr>
        <w:widowControl w:val="1"/>
      </w:pPr>
      <w:r>
        <w:t>Consular functions focus more on assistance to nationals, documentation, commercial and administrative functions. Consular immunities are generally more limited and closely tied to official acts under the Vienna Convention on Consular Relations 1963.</w:t>
      </w:r>
    </w:p>
    <w:p>
      <w:pPr>
        <w:widowControl w:val="1"/>
      </w:pPr>
      <w:r>
        <w:t>Representatives to international organizations and special missions may be governed by separate treaties, headquarters agreements or customary rules. They should not automatically be given the identical legal status of resident diplomats.</w:t>
      </w:r>
    </w:p>
    <w:p>
      <w:pPr>
        <w:pStyle w:val="Heading3"/>
        <w:widowControl w:val="1"/>
      </w:pPr>
      <w:r>
        <w:t>Core Concepts Explained</w:t>
      </w:r>
    </w:p>
    <w:p>
      <w:pPr>
        <w:pStyle w:val="TeachingBullet"/>
        <w:widowControl w:val="1"/>
      </w:pPr>
      <w:r>
        <w:t>Diplomats represent the sending state in political relations; consuls perform mainly administrative, commercial and assistance functions. Their functions overlap in places but their legal status and immunities are not identical.</w:t>
      </w:r>
    </w:p>
    <w:p>
      <w:pPr>
        <w:pStyle w:val="TeachingBullet"/>
        <w:widowControl w:val="1"/>
      </w:pPr>
      <w:r>
        <w:t>Appointment and acceptance create the formal relationship. Persona non grata allows the receiving state to require departure or termination of diplomatic functions without needing to litigate the diplomat's conduct.</w:t>
      </w:r>
    </w:p>
    <w:p>
      <w:pPr>
        <w:pStyle w:val="TeachingBullet"/>
        <w:widowControl w:val="1"/>
      </w:pPr>
      <w:r>
        <w:t>Inviolability protects diplomatic agents, premises and communications within the applicable treaty framework. Immunity protects official functioning and is not a personal reward or permanent exemption from all law.</w:t>
      </w:r>
    </w:p>
    <w:p>
      <w:pPr>
        <w:pStyle w:val="TeachingBullet"/>
        <w:widowControl w:val="1"/>
      </w:pPr>
      <w:r>
        <w:t>Consular immunities are generally more function-related than the broad protections usually associated with diplomatic agents.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that diplomats are “above the law.” Immunity limits the receiving state's jurisdiction in defined ways; it does not erase legal obligations.</w:t>
            </w:r>
          </w:p>
        </w:tc>
      </w:tr>
    </w:tbl>
    <w:p>
      <w:pPr>
        <w:pStyle w:val="Heading3"/>
        <w:widowControl w:val="1"/>
      </w:pPr>
      <w:r>
        <w:t>Preparation and Answer Use</w:t>
      </w:r>
    </w:p>
    <w:p>
      <w:pPr>
        <w:pStyle w:val="TeachingBullet"/>
        <w:widowControl w:val="1"/>
      </w:pPr>
      <w:r>
        <w:t>Use Vienna Convention frameworks as the legal map.</w:t>
      </w:r>
    </w:p>
    <w:p>
      <w:pPr>
        <w:pStyle w:val="TeachingBullet"/>
        <w:widowControl w:val="1"/>
      </w:pPr>
      <w:r>
        <w:t>Make diplomacy vs consular-function comparison.</w:t>
      </w:r>
    </w:p>
    <w:p>
      <w:pPr>
        <w:pStyle w:val="Heading3"/>
        <w:widowControl w:val="1"/>
      </w:pPr>
      <w:r>
        <w:t>Key Takeaways</w:t>
      </w:r>
    </w:p>
    <w:p>
      <w:pPr>
        <w:pStyle w:val="TakeawayBullet"/>
        <w:widowControl w:val="1"/>
      </w:pPr>
      <w:r>
        <w:t>Immunities are functional protections of international relations, not personal rewards.</w:t>
      </w:r>
    </w:p>
    <w:p>
      <w:pPr>
        <w:pStyle w:val="TakeawayBullet"/>
        <w:widowControl w:val="1"/>
      </w:pPr>
      <w:r>
        <w:t>Diplomatic premises and agents receive strong protections under treaty law.</w:t>
      </w:r>
    </w:p>
    <w:p>
      <w:pPr>
        <w:spacing w:after="20"/>
        <w:pBdr>
          <w:bottom w:val="single" w:sz="4" w:space="1" w:color="D9E2F3"/>
        </w:pBdr>
        <w:widowControl w:val="1"/>
      </w:pPr>
    </w:p>
    <w:p>
      <w:pPr>
        <w:pStyle w:val="Heading2"/>
        <w:widowControl w:val="1"/>
      </w:pPr>
      <w:r>
        <w:t>16. War, Armed Conflicts and Other Hostilities</w:t>
      </w:r>
    </w:p>
    <w:p>
      <w:pPr>
        <w:pStyle w:val="Heading3"/>
        <w:widowControl w:val="1"/>
      </w:pPr>
      <w:r>
        <w:t>Official Syllabus Focus</w:t>
      </w:r>
    </w:p>
    <w:p>
      <w:pPr>
        <w:pStyle w:val="FocusBullet"/>
        <w:widowControl w:val="1"/>
      </w:pPr>
      <w:r>
        <w:t>War</w:t>
      </w:r>
    </w:p>
    <w:p>
      <w:pPr>
        <w:pStyle w:val="FocusBullet"/>
        <w:widowControl w:val="1"/>
      </w:pPr>
      <w:r>
        <w:t>Armed conflicts</w:t>
      </w:r>
    </w:p>
    <w:p>
      <w:pPr>
        <w:pStyle w:val="FocusBullet"/>
        <w:widowControl w:val="1"/>
      </w:pPr>
      <w:r>
        <w:t>Other hostilities</w:t>
      </w:r>
    </w:p>
    <w:p>
      <w:pPr>
        <w:pStyle w:val="Heading3"/>
        <w:widowControl w:val="1"/>
      </w:pPr>
      <w:r>
        <w:t>Introduction and Scope</w:t>
      </w:r>
    </w:p>
    <w:p>
      <w:pPr>
        <w:pStyle w:val="TopicIntro"/>
        <w:widowControl w:val="1"/>
      </w:pPr>
      <w:r>
        <w:t>This topic connects the legal status of hostilities with rules on participants, conduct, occupation, detention and termination of conflict.</w:t>
      </w:r>
    </w:p>
    <w:p>
      <w:pPr>
        <w:pStyle w:val="TopicIntro"/>
        <w:widowControl w:val="1"/>
      </w:pPr>
      <w:r>
        <w:t>Use modern “armed conflict” terminology rather than assuming a formal declaration of war is necessary. Connect the topic to IHL while keeping it distinct from use-of-force law.</w:t>
      </w:r>
    </w:p>
    <w:p>
      <w:pPr>
        <w:pStyle w:val="Heading3"/>
        <w:widowControl w:val="1"/>
      </w:pPr>
      <w:r>
        <w:t>Terminology and legal consequences</w:t>
      </w:r>
    </w:p>
    <w:p>
      <w:pPr>
        <w:widowControl w:val="1"/>
      </w:pPr>
      <w:r>
        <w:t>Modern international law increasingly uses the term 'armed conflict' because IHL applies according to factual and legal thresholds rather than a formal declaration of war. A state of war may have historical and domestic-law significance, but absence of a declaration does not prevent IHL from applying once an armed conflict exists.</w:t>
      </w:r>
    </w:p>
    <w:p>
      <w:pPr>
        <w:widowControl w:val="1"/>
      </w:pPr>
      <w:r>
        <w:t>The legal consequences of armed conflict extend beyond targeting. They can affect detention, treatment of prisoners, occupation, protection of civilians, neutral relations, diplomatic and economic measures, and the operation of treaties.</w:t>
      </w:r>
    </w:p>
    <w:p>
      <w:pPr>
        <w:pStyle w:val="Heading3"/>
        <w:widowControl w:val="1"/>
      </w:pPr>
      <w:r>
        <w:t>Occupation and termination</w:t>
      </w:r>
    </w:p>
    <w:p>
      <w:pPr>
        <w:widowControl w:val="1"/>
      </w:pPr>
      <w:r>
        <w:t>Belligerent occupation exists when territory is actually placed under the authority of a hostile army and the occupying power can exercise that authority. Occupation does not transfer sovereignty. The law of occupation regulates the temporary administration of the territory and seeks to protect the population while recognizing limited security powers.</w:t>
      </w:r>
    </w:p>
    <w:p>
      <w:pPr>
        <w:widowControl w:val="1"/>
      </w:pPr>
      <w:r>
        <w:t>An armed conflict can end through cessation of hostilities, armistice, peace agreement or factual termination depending on the legal context. Some IHL obligations continue after active fighting ends, especially regarding detainees, missing persons, mines, remains and accountability.</w:t>
      </w:r>
    </w:p>
    <w:p>
      <w:pPr>
        <w:pStyle w:val="Heading3"/>
        <w:widowControl w:val="1"/>
      </w:pPr>
      <w:r>
        <w:t>Relationship with other bodies of law</w:t>
      </w:r>
    </w:p>
    <w:p>
      <w:pPr>
        <w:widowControl w:val="1"/>
      </w:pPr>
      <w:r>
        <w:t>Human-rights law does not simply disappear during armed conflict, although the relationship between human-rights obligations and IHL can raise questions of lex specialis, derogation and jurisdiction. International criminal law may impose individual responsibility for serious violations, while state responsibility addresses international wrongs attributable to states.</w:t>
      </w:r>
    </w:p>
    <w:p>
      <w:pPr>
        <w:pStyle w:val="Heading3"/>
        <w:widowControl w:val="1"/>
      </w:pPr>
      <w:r>
        <w:t>Core Concepts Explained</w:t>
      </w:r>
    </w:p>
    <w:p>
      <w:pPr>
        <w:pStyle w:val="TeachingBullet"/>
        <w:widowControl w:val="1"/>
      </w:pPr>
      <w:r>
        <w:t>Modern international law focuses on the factual existence of armed conflict rather than requiring a formal declaration of war before humanitarian rules can apply.</w:t>
      </w:r>
    </w:p>
    <w:p>
      <w:pPr>
        <w:pStyle w:val="TeachingBullet"/>
        <w:widowControl w:val="1"/>
      </w:pPr>
      <w:r>
        <w:t>Conflict classification determines which body of IHL rules governs the relationship. International armed conflicts involve states in the relevant legal sense; non-international armed conflicts involve sustained hostilities meeting the legal threshold within a state or across related situations.</w:t>
      </w:r>
    </w:p>
    <w:p>
      <w:pPr>
        <w:pStyle w:val="TeachingBullet"/>
        <w:widowControl w:val="1"/>
      </w:pPr>
      <w:r>
        <w:t>Occupation, detention, treatment of protected persons and conduct of hostilities are legal consequences that arise from the factual and legal situation, not merely from political labels used by the parties.</w:t>
      </w:r>
    </w:p>
    <w:p>
      <w:pPr>
        <w:pStyle w:val="TeachingBullet"/>
        <w:widowControl w:val="1"/>
      </w:pPr>
      <w:r>
        <w:t>Termination of active hostilities and formal peace arrangements can be different moments. Legal effects may continue after fighting stops, especially regarding detainees, occupation or unresolved obligations.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make the legal application of IHL depend on whether the parties call the situation a “war.” Classification is based on legal facts.</w:t>
            </w:r>
          </w:p>
        </w:tc>
      </w:tr>
    </w:tbl>
    <w:p>
      <w:pPr>
        <w:pStyle w:val="Heading3"/>
        <w:widowControl w:val="1"/>
      </w:pPr>
      <w:r>
        <w:t>Preparation and Answer Use</w:t>
      </w:r>
    </w:p>
    <w:p>
      <w:pPr>
        <w:pStyle w:val="TeachingBullet"/>
        <w:widowControl w:val="1"/>
      </w:pPr>
      <w:r>
        <w:t>Revise conflict classification and basic legal consequences.</w:t>
      </w:r>
    </w:p>
    <w:p>
      <w:pPr>
        <w:pStyle w:val="TeachingBullet"/>
        <w:widowControl w:val="1"/>
      </w:pPr>
      <w:r>
        <w:t>Prepare occupation and termination concepts at overview level.</w:t>
      </w:r>
    </w:p>
    <w:p>
      <w:pPr>
        <w:pStyle w:val="Heading3"/>
        <w:widowControl w:val="1"/>
      </w:pPr>
      <w:r>
        <w:t>Key Takeaways</w:t>
      </w:r>
    </w:p>
    <w:p>
      <w:pPr>
        <w:pStyle w:val="TakeawayBullet"/>
        <w:widowControl w:val="1"/>
      </w:pPr>
      <w:r>
        <w:t>Legal rules can apply even without a formal declaration of war.</w:t>
      </w:r>
    </w:p>
    <w:p>
      <w:pPr>
        <w:pStyle w:val="TakeawayBullet"/>
        <w:widowControl w:val="1"/>
      </w:pPr>
      <w:r>
        <w:t>Conflict classification determines which IHL rules apply.</w:t>
      </w:r>
    </w:p>
    <w:p>
      <w:pPr>
        <w:spacing w:after="20"/>
        <w:pBdr>
          <w:bottom w:val="single" w:sz="4" w:space="1" w:color="D9E2F3"/>
        </w:pBdr>
        <w:widowControl w:val="1"/>
      </w:pPr>
    </w:p>
    <w:p>
      <w:pPr>
        <w:pStyle w:val="Heading2"/>
        <w:widowControl w:val="1"/>
      </w:pPr>
      <w:r>
        <w:t>17. Neutrality</w:t>
      </w:r>
    </w:p>
    <w:p>
      <w:pPr>
        <w:pStyle w:val="Heading3"/>
        <w:widowControl w:val="1"/>
      </w:pPr>
      <w:r>
        <w:t>Official Syllabus Focus</w:t>
      </w:r>
    </w:p>
    <w:p>
      <w:pPr>
        <w:pStyle w:val="FocusBullet"/>
        <w:widowControl w:val="1"/>
      </w:pPr>
      <w:r>
        <w:t>Neutrality</w:t>
      </w:r>
    </w:p>
    <w:p>
      <w:pPr>
        <w:pStyle w:val="Heading3"/>
        <w:widowControl w:val="1"/>
      </w:pPr>
      <w:r>
        <w:t>Introduction and Scope</w:t>
      </w:r>
    </w:p>
    <w:p>
      <w:pPr>
        <w:pStyle w:val="TopicIntro"/>
        <w:widowControl w:val="1"/>
      </w:pPr>
      <w:r>
        <w:t>Neutrality concerns the rights and duties of a state that is not participating in an international armed conflict.</w:t>
      </w:r>
    </w:p>
    <w:p>
      <w:pPr>
        <w:pStyle w:val="TopicIntro"/>
        <w:widowControl w:val="1"/>
      </w:pPr>
      <w:r>
        <w:t>Prepare non-participation, impartiality, use of neutral territory, belligerent obligations toward neutral states and how the UN collective-security system affects traditional neutrality concepts.</w:t>
      </w:r>
    </w:p>
    <w:p>
      <w:pPr>
        <w:pStyle w:val="Heading3"/>
        <w:widowControl w:val="1"/>
      </w:pPr>
      <w:r>
        <w:t>Meaning and purpose</w:t>
      </w:r>
    </w:p>
    <w:p>
      <w:pPr>
        <w:widowControl w:val="1"/>
      </w:pPr>
      <w:r>
        <w:t>Neutrality regulates the position of a state that is not a party to an international armed conflict. Classical neutrality law balances two sets of interests: belligerents must respect neutral territory, while the neutral state must refrain from participating in hostilities and must apply its neutral duties consistently.</w:t>
      </w:r>
    </w:p>
    <w:p>
      <w:pPr>
        <w:widowControl w:val="1"/>
      </w:pPr>
      <w:r>
        <w:t>Neutrality is a legal status in a particular conflict, not simply a political preference for non-alignment. A state may have a broader foreign-policy tradition of neutrality, but the law of neutrality concerns concrete rights and duties during armed conflict.</w:t>
      </w:r>
    </w:p>
    <w:p>
      <w:pPr>
        <w:pStyle w:val="Heading3"/>
        <w:widowControl w:val="1"/>
      </w:pPr>
      <w:r>
        <w:t>Rights and duties</w:t>
      </w:r>
    </w:p>
    <w:p>
      <w:pPr>
        <w:widowControl w:val="1"/>
      </w:pPr>
      <w:r>
        <w:t>Neutral territory is inviolable and should not be used as a base for belligerent military operations. The neutral state has duties of prevention and impartiality within the applicable legal framework. Belligerents may also have rights concerning commerce and contraband under historical neutrality law, subject to modern treaty developments.</w:t>
      </w:r>
    </w:p>
    <w:p>
      <w:pPr>
        <w:widowControl w:val="1"/>
      </w:pPr>
      <w:r>
        <w:t>Membership in the United Nations complicates classical neutrality because Security Council decisions may impose binding obligations on member states. The legal answer therefore depends on the conflict, the Charter decision, treaty commitments and the measures actually required.</w:t>
      </w:r>
    </w:p>
    <w:p>
      <w:pPr>
        <w:pStyle w:val="Heading3"/>
        <w:widowControl w:val="1"/>
      </w:pPr>
      <w:r>
        <w:t>Contemporary relevance</w:t>
      </w:r>
    </w:p>
    <w:p>
      <w:pPr>
        <w:widowControl w:val="1"/>
      </w:pPr>
      <w:r>
        <w:t>Neutrality remains relevant to airspace, territorial waters, military assistance and the treatment of belligerent forces entering neutral territory. However, contemporary practice must be analyzed together with the UN Charter and modern IHL rather than through nineteenth-century doctrine alone.</w:t>
      </w:r>
    </w:p>
    <w:p>
      <w:pPr>
        <w:pStyle w:val="Heading3"/>
        <w:widowControl w:val="1"/>
      </w:pPr>
      <w:r>
        <w:t>Core Concepts Explained</w:t>
      </w:r>
    </w:p>
    <w:p>
      <w:pPr>
        <w:pStyle w:val="TeachingBullet"/>
        <w:widowControl w:val="1"/>
      </w:pPr>
      <w:r>
        <w:t>Neutrality is the legal position of a state that does not participate in an international armed conflict and seeks to preserve non-participation under applicable law.</w:t>
      </w:r>
    </w:p>
    <w:p>
      <w:pPr>
        <w:pStyle w:val="TeachingBullet"/>
        <w:widowControl w:val="1"/>
      </w:pPr>
      <w:r>
        <w:t>Neutral states have duties such as preventing certain uses of their territory for belligerent military operations, while belligerents must respect neutral territory and status.</w:t>
      </w:r>
    </w:p>
    <w:p>
      <w:pPr>
        <w:pStyle w:val="TeachingBullet"/>
        <w:widowControl w:val="1"/>
      </w:pPr>
      <w:r>
        <w:t>Impartiality means applying neutrality obligations without unlawfully favoring one belligerent. It does not necessarily require identical political opinions or diplomatic relations.</w:t>
      </w:r>
    </w:p>
    <w:p>
      <w:pPr>
        <w:pStyle w:val="TeachingBullet"/>
        <w:widowControl w:val="1"/>
      </w:pPr>
      <w:r>
        <w:t>The UN collective-security system complicates classical neutrality because member states may have obligations arising from Security Council decisions.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define neutrality as simple political silence. It is a legal status involving reciprocal rights and duties.</w:t>
            </w:r>
          </w:p>
        </w:tc>
      </w:tr>
    </w:tbl>
    <w:p>
      <w:pPr>
        <w:pStyle w:val="Heading3"/>
        <w:widowControl w:val="1"/>
      </w:pPr>
      <w:r>
        <w:t>Preparation and Answer Use</w:t>
      </w:r>
    </w:p>
    <w:p>
      <w:pPr>
        <w:pStyle w:val="TeachingBullet"/>
        <w:widowControl w:val="1"/>
      </w:pPr>
      <w:r>
        <w:t>Learn rights and duties together.</w:t>
      </w:r>
    </w:p>
    <w:p>
      <w:pPr>
        <w:pStyle w:val="TeachingBullet"/>
        <w:widowControl w:val="1"/>
      </w:pPr>
      <w:r>
        <w:t>Use simple wartime scenarios to understand violations of neutral territory.</w:t>
      </w:r>
    </w:p>
    <w:p>
      <w:pPr>
        <w:pStyle w:val="Heading3"/>
        <w:widowControl w:val="1"/>
      </w:pPr>
      <w:r>
        <w:t>Key Takeaways</w:t>
      </w:r>
    </w:p>
    <w:p>
      <w:pPr>
        <w:pStyle w:val="TakeawayBullet"/>
        <w:widowControl w:val="1"/>
      </w:pPr>
      <w:r>
        <w:t>Neutral territory must not be used contrary to neutrality rules.</w:t>
      </w:r>
    </w:p>
    <w:p>
      <w:pPr>
        <w:pStyle w:val="TakeawayBullet"/>
        <w:widowControl w:val="1"/>
      </w:pPr>
      <w:r>
        <w:t>Neutrality is a legal status with reciprocal rights and duties.</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United Nations Charter — full text — </w:t>
      </w:r>
      <w:hyperlink r:id="rId14">
        <w:r>
          <w:rPr>
            <w:color w:val="1F4E79"/>
            <w:u w:val="single"/>
          </w:rPr>
          <w:t>https://www.un.org/en/about-us/un-charter/full-text</w:t>
        </w:r>
      </w:hyperlink>
    </w:p>
    <w:p>
      <w:pPr>
        <w:pStyle w:val="Reference"/>
        <w:widowControl w:val="1"/>
      </w:pPr>
      <w:r>
        <w:t xml:space="preserve">• Statute of the International Court of Justice — </w:t>
      </w:r>
      <w:hyperlink r:id="rId15">
        <w:r>
          <w:rPr>
            <w:color w:val="1F4E79"/>
            <w:u w:val="single"/>
          </w:rPr>
          <w:t>https://www.icj-cij.org/statute</w:t>
        </w:r>
      </w:hyperlink>
    </w:p>
    <w:p>
      <w:pPr>
        <w:pStyle w:val="Reference"/>
        <w:widowControl w:val="1"/>
      </w:pPr>
      <w:r>
        <w:t xml:space="preserve">• Vienna Convention on the Law of Treaties, 1969 — UN International Law Commission — </w:t>
      </w:r>
      <w:hyperlink r:id="rId16">
        <w:r>
          <w:rPr>
            <w:color w:val="1F4E79"/>
            <w:u w:val="single"/>
          </w:rPr>
          <w:t>https://legal.un.org/ilc/texts/instruments/english/conventions/1_1_1969.pdf</w:t>
        </w:r>
      </w:hyperlink>
    </w:p>
    <w:p>
      <w:pPr>
        <w:pStyle w:val="Reference"/>
        <w:widowControl w:val="1"/>
      </w:pPr>
      <w:r>
        <w:t xml:space="preserve">• Articles on Responsibility of States for Internationally Wrongful Acts, 2001 — ILC — </w:t>
      </w:r>
      <w:hyperlink r:id="rId17">
        <w:r>
          <w:rPr>
            <w:color w:val="1F4E79"/>
            <w:u w:val="single"/>
          </w:rPr>
          <w:t>https://legal.un.org/ilc/texts/instruments/english/draft_articles/9_6_2001.pdf</w:t>
        </w:r>
      </w:hyperlink>
    </w:p>
    <w:p>
      <w:pPr>
        <w:pStyle w:val="Reference"/>
        <w:widowControl w:val="1"/>
      </w:pPr>
      <w:r>
        <w:t xml:space="preserve">• ICRC International Humanitarian Law Databases — </w:t>
      </w:r>
      <w:hyperlink r:id="rId18">
        <w:r>
          <w:rPr>
            <w:color w:val="1F4E79"/>
            <w:u w:val="single"/>
          </w:rPr>
          <w:t>https://ihl-databases.icrc.org/</w:t>
        </w:r>
      </w:hyperlink>
    </w:p>
    <w:p>
      <w:pPr>
        <w:widowControl w:val="1"/>
      </w:pPr>
      <w:r>
        <w:br w:type="page"/>
      </w:r>
    </w:p>
    <w:p>
      <w:pPr>
        <w:pStyle w:val="Heading1"/>
        <w:widowControl w:val="1"/>
      </w:pPr>
      <w:r>
        <w:t>4. MUSLIM LAW &amp; JURISPRUDENCE (Code 41)</w:t>
      </w:r>
    </w:p>
    <w:p>
      <w:pPr>
        <w:widowControl w:val="1"/>
      </w:pPr>
      <w:r>
        <w:t>This paper combines classical Islamic legal theory with applied areas such as criminal law, family law, contracts, banking, international law and human rights. The best method is to separate sources/usul from substantive rules.</w:t>
      </w:r>
    </w:p>
    <w:p>
      <w:pPr>
        <w:pStyle w:val="Heading2"/>
        <w:widowControl w:val="1"/>
      </w:pPr>
      <w:r>
        <w:t>How to Study This Subject</w:t>
      </w:r>
    </w:p>
    <w:p>
      <w:pPr>
        <w:pStyle w:val="TeachingBullet"/>
        <w:widowControl w:val="1"/>
      </w:pPr>
      <w:r>
        <w:t>Start with sources and jurisprudence because they explain the logic of later rules.</w:t>
      </w:r>
    </w:p>
    <w:p>
      <w:pPr>
        <w:pStyle w:val="TeachingBullet"/>
        <w:widowControl w:val="1"/>
      </w:pPr>
      <w:r>
        <w:t>Use Arabic legal terms with a plain-English meaning the first time they appear.</w:t>
      </w:r>
    </w:p>
    <w:p>
      <w:pPr>
        <w:pStyle w:val="TeachingBullet"/>
        <w:widowControl w:val="1"/>
      </w:pPr>
      <w:r>
        <w:t>Distinguish classical doctrine from Pakistani statutory law.</w:t>
      </w:r>
    </w:p>
    <w:p>
      <w:pPr>
        <w:pStyle w:val="TeachingBullet"/>
        <w:widowControl w:val="1"/>
      </w:pPr>
      <w:r>
        <w:t>For statutory topics, consult the current official text and leading Pakistani cases.</w:t>
      </w:r>
    </w:p>
    <w:p>
      <w:pPr>
        <w:pStyle w:val="Heading3"/>
        <w:widowControl w:val="1"/>
      </w:pPr>
      <w:r>
        <w:t>Beginner Roadmap</w:t>
      </w:r>
    </w:p>
    <w:p>
      <w:pPr>
        <w:widowControl w:val="1"/>
      </w:pPr>
      <w:r>
        <w:t>Study sources and usul first because they explain how later rules are derived. Then cover criminal, family and commercial law. For Pakistan-specific statutes, clearly separate classical doctrine from the law actually enacted and applied by courts.</w:t>
      </w:r>
    </w:p>
    <w:p>
      <w:pPr>
        <w:pStyle w:val="Heading2"/>
        <w:widowControl w:val="1"/>
      </w:pPr>
      <w:r>
        <w:t>Subject Map</w:t>
      </w:r>
    </w:p>
    <w:p>
      <w:pPr>
        <w:pStyle w:val="FocusBullet"/>
        <w:widowControl w:val="1"/>
      </w:pPr>
      <w:r>
        <w:t>1. Sources of Islamic Law</w:t>
      </w:r>
    </w:p>
    <w:p>
      <w:pPr>
        <w:pStyle w:val="FocusBullet"/>
        <w:widowControl w:val="1"/>
      </w:pPr>
      <w:r>
        <w:t>2. Principles of Islamic Jurisprudence</w:t>
      </w:r>
    </w:p>
    <w:p>
      <w:pPr>
        <w:pStyle w:val="FocusBullet"/>
        <w:widowControl w:val="1"/>
      </w:pPr>
      <w:r>
        <w:t>3. Islamic Criminal Law</w:t>
      </w:r>
    </w:p>
    <w:p>
      <w:pPr>
        <w:pStyle w:val="FocusBullet"/>
        <w:widowControl w:val="1"/>
      </w:pPr>
      <w:r>
        <w:t>4. Islamic Family Law</w:t>
      </w:r>
    </w:p>
    <w:p>
      <w:pPr>
        <w:pStyle w:val="FocusBullet"/>
        <w:widowControl w:val="1"/>
      </w:pPr>
      <w:r>
        <w:t>5. Islamic Law of Contract</w:t>
      </w:r>
    </w:p>
    <w:p>
      <w:pPr>
        <w:pStyle w:val="FocusBullet"/>
        <w:widowControl w:val="1"/>
      </w:pPr>
      <w:r>
        <w:t>6. Islamic Banking and Insurance</w:t>
      </w:r>
    </w:p>
    <w:p>
      <w:pPr>
        <w:pStyle w:val="FocusBullet"/>
        <w:widowControl w:val="1"/>
      </w:pPr>
      <w:r>
        <w:t>7. Islamic International Law</w:t>
      </w:r>
    </w:p>
    <w:p>
      <w:pPr>
        <w:pStyle w:val="FocusBullet"/>
        <w:widowControl w:val="1"/>
      </w:pPr>
      <w:r>
        <w:t>8. Islamic Law and Human Rights</w:t>
      </w:r>
    </w:p>
    <w:p>
      <w:pPr>
        <w:pStyle w:val="FocusBullet"/>
        <w:widowControl w:val="1"/>
      </w:pPr>
      <w:r>
        <w:t>9. Dissolution of Muslim Marriages Act, 1939</w:t>
      </w:r>
    </w:p>
    <w:p>
      <w:pPr>
        <w:pStyle w:val="FocusBullet"/>
        <w:widowControl w:val="1"/>
      </w:pPr>
      <w:r>
        <w:t>10. Muslim Family Laws Ordinance, 1961</w:t>
      </w:r>
    </w:p>
    <w:p>
      <w:pPr>
        <w:pStyle w:val="Heading2"/>
        <w:widowControl w:val="1"/>
      </w:pPr>
      <w:r>
        <w:t>1. Sources of Islamic Law</w:t>
      </w:r>
    </w:p>
    <w:p>
      <w:pPr>
        <w:pStyle w:val="Heading3"/>
        <w:widowControl w:val="1"/>
      </w:pPr>
      <w:r>
        <w:t>Official Syllabus Focus</w:t>
      </w:r>
    </w:p>
    <w:p>
      <w:pPr>
        <w:pStyle w:val="FocusBullet"/>
        <w:widowControl w:val="1"/>
      </w:pPr>
      <w:r>
        <w:t>Quran</w:t>
      </w:r>
    </w:p>
    <w:p>
      <w:pPr>
        <w:pStyle w:val="FocusBullet"/>
        <w:widowControl w:val="1"/>
      </w:pPr>
      <w:r>
        <w:t>Sunnah</w:t>
      </w:r>
    </w:p>
    <w:p>
      <w:pPr>
        <w:pStyle w:val="FocusBullet"/>
        <w:widowControl w:val="1"/>
      </w:pPr>
      <w:r>
        <w:t>Ijma</w:t>
      </w:r>
    </w:p>
    <w:p>
      <w:pPr>
        <w:pStyle w:val="FocusBullet"/>
        <w:widowControl w:val="1"/>
      </w:pPr>
      <w:r>
        <w:t>Qiyas</w:t>
      </w:r>
    </w:p>
    <w:p>
      <w:pPr>
        <w:pStyle w:val="FocusBullet"/>
        <w:widowControl w:val="1"/>
      </w:pPr>
      <w:r>
        <w:t>Ijtehad</w:t>
      </w:r>
    </w:p>
    <w:p>
      <w:pPr>
        <w:pStyle w:val="Heading3"/>
        <w:widowControl w:val="1"/>
      </w:pPr>
      <w:r>
        <w:t>Introduction and Scope</w:t>
      </w:r>
    </w:p>
    <w:p>
      <w:pPr>
        <w:pStyle w:val="TopicIntro"/>
        <w:widowControl w:val="1"/>
      </w:pPr>
      <w:r>
        <w:t>Sources of Islamic law explain where legal rules come from and how jurists derive guidance when a direct textual rule is not available.</w:t>
      </w:r>
    </w:p>
    <w:p>
      <w:pPr>
        <w:pStyle w:val="TopicIntro"/>
        <w:widowControl w:val="1"/>
      </w:pPr>
      <w:r>
        <w:t>The Quran and Sunnah are foundational revealed sources. Ijma refers to juristic consensus in classical legal theory. Qiyas extends a rule to a new case through an effective common cause. Ijtehad is disciplined juristic reasoning within the framework of Islamic legal sources.</w:t>
      </w:r>
    </w:p>
    <w:p>
      <w:pPr>
        <w:pStyle w:val="Heading3"/>
        <w:widowControl w:val="1"/>
      </w:pPr>
      <w:r>
        <w:t>How the sources work together</w:t>
      </w:r>
    </w:p>
    <w:p>
      <w:pPr>
        <w:widowControl w:val="1"/>
      </w:pPr>
      <w:r>
        <w:t>The sources of Islamic law are not simply a list of authorities of equal type. The Qur’an and the Sunnah provide foundational revealed guidance. Ijma (juristic consensus), qiyas (analogical reasoning) and ijtihad (qualified juristic reasoning) are methods through which jurists identify, extend and apply legal rules when a question is not resolved by an explicit text. Different schools of law agree on the centrality of the Qur’an and Sunnah but may differ over the authority, conditions or scope of subsidiary methods.</w:t>
      </w:r>
    </w:p>
    <w:p>
      <w:pPr>
        <w:widowControl w:val="1"/>
      </w:pPr>
      <w:r>
        <w:t>A beginner should therefore ask two questions whenever a rule is discussed: what is the source of the rule, and by what method was the rule derived? This prevents a common mistake in which a later juristic conclusion is presented as though it were an express Qur’anic rule.</w:t>
      </w:r>
    </w:p>
    <w:p>
      <w:pPr>
        <w:pStyle w:val="Heading3"/>
        <w:widowControl w:val="1"/>
      </w:pPr>
      <w:r>
        <w:t>Qur’an and Sunnah as foundational authorities</w:t>
      </w:r>
    </w:p>
    <w:p>
      <w:pPr>
        <w:widowControl w:val="1"/>
      </w:pPr>
      <w:r>
        <w:t>The Qur’an contains legal principles and rules alongside its broader religious and ethical teaching. Legal interpretation requires attention to language, context, general and specific wording, and the relationship between verses. The Sunnah—known through reports concerning the Prophet’s words, acts and approvals—explains, supplements and applies Qur’anic guidance. In classical legal theory, the reliability and legal significance of a report are matters of hadith and usul al-fiqh, not mere quotation.</w:t>
      </w:r>
    </w:p>
    <w:p>
      <w:pPr>
        <w:widowControl w:val="1"/>
      </w:pPr>
      <w:r>
        <w:t>For examination purposes, it is enough to understand that the Sunnah can explain a general Qur’anic command, provide detail about its implementation, and establish rules within its recognized legal authority. A sound answer avoids unverified quotations and distinguishes a text from the juristic interpretation built upon it.</w:t>
      </w:r>
    </w:p>
    <w:p>
      <w:pPr>
        <w:pStyle w:val="Heading3"/>
        <w:widowControl w:val="1"/>
      </w:pPr>
      <w:r>
        <w:t>Ijma, qiyas and ijtihad</w:t>
      </w:r>
    </w:p>
    <w:p>
      <w:pPr>
        <w:widowControl w:val="1"/>
      </w:pPr>
      <w:r>
        <w:t>Ijma refers to consensus in a technical juristic sense; its exact definition and evidentiary conditions vary in legal theory. Qiyas extends a rule from an original case to a new case because both share a legally relevant effective cause (illah). The structure is: original case → established rule → effective cause → new case possessing that cause → extended rule.</w:t>
      </w:r>
    </w:p>
    <w:p>
      <w:pPr>
        <w:widowControl w:val="1"/>
      </w:pPr>
      <w:r>
        <w:t>Ijtihad is the disciplined effort of a qualified jurist to derive or apply law where direct and unambiguous textual resolution is unavailable. It is broader than qiyas. Depending on the school and question, jurists may also discuss methods such as istihsan, maslahah, custom (urf), or presumptions. These should be introduced as juristic tools, not as replacements for the primary sources.</w:t>
      </w:r>
    </w:p>
    <w:p>
      <w:pPr>
        <w:pStyle w:val="Heading3"/>
        <w:widowControl w:val="1"/>
      </w:pPr>
      <w:r>
        <w:t>Key Comparison</w:t>
      </w:r>
    </w:p>
    <w:tbl>
      <w:tblPr>
        <w:tblStyle w:val="TableGrid"/>
        <w:tblW w:type="auto" w:w="0"/>
        <w:jc w:val="center"/>
        <w:tblLook w:firstColumn="1" w:firstRow="1" w:lastColumn="0" w:lastRow="0" w:noHBand="0" w:noVBand="1" w:val="04A0"/>
      </w:tblPr>
      <w:tblGrid>
        <w:gridCol w:w="3250"/>
        <w:gridCol w:w="3250"/>
        <w:gridCol w:w="3250"/>
      </w:tblGrid>
      <w:tr>
        <w:trPr>
          <w:tblHeader w:val="true"/>
        </w:trPr>
        <w:tc>
          <w:tcPr>
            <w:tcW w:type="dxa" w:w="3250"/>
            <w:shd w:fill="D9E5F0"/>
            <w:vAlign w:val="center"/>
            <w:tcMar>
              <w:top w:w="90" w:type="dxa"/>
              <w:start w:w="100" w:type="dxa"/>
              <w:bottom w:w="90" w:type="dxa"/>
              <w:end w:w="100" w:type="dxa"/>
            </w:tcMar>
          </w:tcPr>
          <w:p>
            <w:pPr>
              <w:jc w:val="center"/>
            </w:pPr>
            <w:r>
              <w:rPr>
                <w:b/>
                <w:sz w:val="19"/>
              </w:rPr>
              <w:t>Source/method</w:t>
            </w:r>
          </w:p>
        </w:tc>
        <w:tc>
          <w:tcPr>
            <w:tcW w:type="dxa" w:w="3250"/>
            <w:shd w:fill="D9E5F0"/>
            <w:vAlign w:val="center"/>
            <w:tcMar>
              <w:top w:w="90" w:type="dxa"/>
              <w:start w:w="100" w:type="dxa"/>
              <w:bottom w:w="90" w:type="dxa"/>
              <w:end w:w="100" w:type="dxa"/>
            </w:tcMar>
          </w:tcPr>
          <w:p>
            <w:pPr>
              <w:jc w:val="center"/>
            </w:pPr>
            <w:r>
              <w:rPr>
                <w:b/>
                <w:sz w:val="19"/>
              </w:rPr>
              <w:t>Basic function</w:t>
            </w:r>
          </w:p>
        </w:tc>
        <w:tc>
          <w:tcPr>
            <w:tcW w:type="dxa" w:w="3250"/>
            <w:shd w:fill="D9E5F0"/>
            <w:vAlign w:val="center"/>
            <w:tcMar>
              <w:top w:w="90" w:type="dxa"/>
              <w:start w:w="100" w:type="dxa"/>
              <w:bottom w:w="90" w:type="dxa"/>
              <w:end w:w="100" w:type="dxa"/>
            </w:tcMar>
          </w:tcPr>
          <w:p>
            <w:pPr>
              <w:jc w:val="center"/>
            </w:pPr>
            <w:r>
              <w:rPr>
                <w:b/>
                <w:sz w:val="19"/>
              </w:rPr>
              <w:t>Common confusion</w:t>
            </w:r>
          </w:p>
        </w:tc>
      </w:tr>
      <w:tr>
        <w:tc>
          <w:tcPr>
            <w:tcW w:type="dxa" w:w="3250"/>
            <w:vAlign w:val="top"/>
            <w:tcMar>
              <w:top w:w="90" w:type="dxa"/>
              <w:start w:w="100" w:type="dxa"/>
              <w:bottom w:w="90" w:type="dxa"/>
              <w:end w:w="100" w:type="dxa"/>
            </w:tcMar>
          </w:tcPr>
          <w:p>
            <w:pPr>
              <w:spacing w:after="0"/>
            </w:pPr>
            <w:r>
              <w:rPr>
                <w:sz w:val="18"/>
              </w:rPr>
              <w:t>Qur’an</w:t>
            </w:r>
          </w:p>
        </w:tc>
        <w:tc>
          <w:tcPr>
            <w:tcW w:type="dxa" w:w="3250"/>
            <w:vAlign w:val="top"/>
            <w:tcMar>
              <w:top w:w="90" w:type="dxa"/>
              <w:start w:w="100" w:type="dxa"/>
              <w:bottom w:w="90" w:type="dxa"/>
              <w:end w:w="100" w:type="dxa"/>
            </w:tcMar>
          </w:tcPr>
          <w:p>
            <w:pPr>
              <w:spacing w:after="0"/>
            </w:pPr>
            <w:r>
              <w:rPr>
                <w:sz w:val="18"/>
              </w:rPr>
              <w:t>Foundational revealed source</w:t>
            </w:r>
          </w:p>
        </w:tc>
        <w:tc>
          <w:tcPr>
            <w:tcW w:type="dxa" w:w="3250"/>
            <w:vAlign w:val="top"/>
            <w:tcMar>
              <w:top w:w="90" w:type="dxa"/>
              <w:start w:w="100" w:type="dxa"/>
              <w:bottom w:w="90" w:type="dxa"/>
              <w:end w:w="100" w:type="dxa"/>
            </w:tcMar>
          </w:tcPr>
          <w:p>
            <w:pPr>
              <w:spacing w:after="0"/>
            </w:pPr>
            <w:r>
              <w:rPr>
                <w:sz w:val="18"/>
              </w:rPr>
              <w:t>Not every later fiqh rule is an explicit Qur’anic rule</w:t>
            </w:r>
          </w:p>
        </w:tc>
      </w:tr>
      <w:tr>
        <w:tc>
          <w:tcPr>
            <w:tcW w:type="dxa" w:w="3250"/>
            <w:vAlign w:val="top"/>
            <w:tcMar>
              <w:top w:w="90" w:type="dxa"/>
              <w:start w:w="100" w:type="dxa"/>
              <w:bottom w:w="90" w:type="dxa"/>
              <w:end w:w="100" w:type="dxa"/>
            </w:tcMar>
          </w:tcPr>
          <w:p>
            <w:pPr>
              <w:spacing w:after="0"/>
            </w:pPr>
            <w:r>
              <w:rPr>
                <w:sz w:val="18"/>
              </w:rPr>
              <w:t>Sunnah</w:t>
            </w:r>
          </w:p>
        </w:tc>
        <w:tc>
          <w:tcPr>
            <w:tcW w:type="dxa" w:w="3250"/>
            <w:vAlign w:val="top"/>
            <w:tcMar>
              <w:top w:w="90" w:type="dxa"/>
              <w:start w:w="100" w:type="dxa"/>
              <w:bottom w:w="90" w:type="dxa"/>
              <w:end w:w="100" w:type="dxa"/>
            </w:tcMar>
          </w:tcPr>
          <w:p>
            <w:pPr>
              <w:spacing w:after="0"/>
            </w:pPr>
            <w:r>
              <w:rPr>
                <w:sz w:val="18"/>
              </w:rPr>
              <w:t>Prophetic guidance explaining/supplementing law</w:t>
            </w:r>
          </w:p>
        </w:tc>
        <w:tc>
          <w:tcPr>
            <w:tcW w:type="dxa" w:w="3250"/>
            <w:vAlign w:val="top"/>
            <w:tcMar>
              <w:top w:w="90" w:type="dxa"/>
              <w:start w:w="100" w:type="dxa"/>
              <w:bottom w:w="90" w:type="dxa"/>
              <w:end w:w="100" w:type="dxa"/>
            </w:tcMar>
          </w:tcPr>
          <w:p>
            <w:pPr>
              <w:spacing w:after="0"/>
            </w:pPr>
            <w:r>
              <w:rPr>
                <w:sz w:val="18"/>
              </w:rPr>
              <w:t>Requires attention to authenticity and legal significance</w:t>
            </w:r>
          </w:p>
        </w:tc>
      </w:tr>
      <w:tr>
        <w:tc>
          <w:tcPr>
            <w:tcW w:type="dxa" w:w="3250"/>
            <w:vAlign w:val="top"/>
            <w:tcMar>
              <w:top w:w="90" w:type="dxa"/>
              <w:start w:w="100" w:type="dxa"/>
              <w:bottom w:w="90" w:type="dxa"/>
              <w:end w:w="100" w:type="dxa"/>
            </w:tcMar>
          </w:tcPr>
          <w:p>
            <w:pPr>
              <w:spacing w:after="0"/>
            </w:pPr>
            <w:r>
              <w:rPr>
                <w:sz w:val="18"/>
              </w:rPr>
              <w:t>Ijma</w:t>
            </w:r>
          </w:p>
        </w:tc>
        <w:tc>
          <w:tcPr>
            <w:tcW w:type="dxa" w:w="3250"/>
            <w:vAlign w:val="top"/>
            <w:tcMar>
              <w:top w:w="90" w:type="dxa"/>
              <w:start w:w="100" w:type="dxa"/>
              <w:bottom w:w="90" w:type="dxa"/>
              <w:end w:w="100" w:type="dxa"/>
            </w:tcMar>
          </w:tcPr>
          <w:p>
            <w:pPr>
              <w:spacing w:after="0"/>
            </w:pPr>
            <w:r>
              <w:rPr>
                <w:sz w:val="18"/>
              </w:rPr>
              <w:t>Juristic consensus in technical sense</w:t>
            </w:r>
          </w:p>
        </w:tc>
        <w:tc>
          <w:tcPr>
            <w:tcW w:type="dxa" w:w="3250"/>
            <w:vAlign w:val="top"/>
            <w:tcMar>
              <w:top w:w="90" w:type="dxa"/>
              <w:start w:w="100" w:type="dxa"/>
              <w:bottom w:w="90" w:type="dxa"/>
              <w:end w:w="100" w:type="dxa"/>
            </w:tcMar>
          </w:tcPr>
          <w:p>
            <w:pPr>
              <w:spacing w:after="0"/>
            </w:pPr>
            <w:r>
              <w:rPr>
                <w:sz w:val="18"/>
              </w:rPr>
              <w:t>Not identical to majority opinion</w:t>
            </w:r>
          </w:p>
        </w:tc>
      </w:tr>
      <w:tr>
        <w:tc>
          <w:tcPr>
            <w:tcW w:type="dxa" w:w="3250"/>
            <w:vAlign w:val="top"/>
            <w:tcMar>
              <w:top w:w="90" w:type="dxa"/>
              <w:start w:w="100" w:type="dxa"/>
              <w:bottom w:w="90" w:type="dxa"/>
              <w:end w:w="100" w:type="dxa"/>
            </w:tcMar>
          </w:tcPr>
          <w:p>
            <w:pPr>
              <w:spacing w:after="0"/>
            </w:pPr>
            <w:r>
              <w:rPr>
                <w:sz w:val="18"/>
              </w:rPr>
              <w:t>Qiyas</w:t>
            </w:r>
          </w:p>
        </w:tc>
        <w:tc>
          <w:tcPr>
            <w:tcW w:type="dxa" w:w="3250"/>
            <w:vAlign w:val="top"/>
            <w:tcMar>
              <w:top w:w="90" w:type="dxa"/>
              <w:start w:w="100" w:type="dxa"/>
              <w:bottom w:w="90" w:type="dxa"/>
              <w:end w:w="100" w:type="dxa"/>
            </w:tcMar>
          </w:tcPr>
          <w:p>
            <w:pPr>
              <w:spacing w:after="0"/>
            </w:pPr>
            <w:r>
              <w:rPr>
                <w:sz w:val="18"/>
              </w:rPr>
              <w:t>Analogical extension through effective cause</w:t>
            </w:r>
          </w:p>
        </w:tc>
        <w:tc>
          <w:tcPr>
            <w:tcW w:type="dxa" w:w="3250"/>
            <w:vAlign w:val="top"/>
            <w:tcMar>
              <w:top w:w="90" w:type="dxa"/>
              <w:start w:w="100" w:type="dxa"/>
              <w:bottom w:w="90" w:type="dxa"/>
              <w:end w:w="100" w:type="dxa"/>
            </w:tcMar>
          </w:tcPr>
          <w:p>
            <w:pPr>
              <w:spacing w:after="0"/>
            </w:pPr>
            <w:r>
              <w:rPr>
                <w:sz w:val="18"/>
              </w:rPr>
              <w:t>Not free-form similarity</w:t>
            </w:r>
          </w:p>
        </w:tc>
      </w:tr>
      <w:tr>
        <w:tc>
          <w:tcPr>
            <w:tcW w:type="dxa" w:w="3250"/>
            <w:vAlign w:val="top"/>
            <w:tcMar>
              <w:top w:w="90" w:type="dxa"/>
              <w:start w:w="100" w:type="dxa"/>
              <w:bottom w:w="90" w:type="dxa"/>
              <w:end w:w="100" w:type="dxa"/>
            </w:tcMar>
          </w:tcPr>
          <w:p>
            <w:pPr>
              <w:spacing w:after="0"/>
            </w:pPr>
            <w:r>
              <w:rPr>
                <w:sz w:val="18"/>
              </w:rPr>
              <w:t>Ijtihad</w:t>
            </w:r>
          </w:p>
        </w:tc>
        <w:tc>
          <w:tcPr>
            <w:tcW w:type="dxa" w:w="3250"/>
            <w:vAlign w:val="top"/>
            <w:tcMar>
              <w:top w:w="90" w:type="dxa"/>
              <w:start w:w="100" w:type="dxa"/>
              <w:bottom w:w="90" w:type="dxa"/>
              <w:end w:w="100" w:type="dxa"/>
            </w:tcMar>
          </w:tcPr>
          <w:p>
            <w:pPr>
              <w:spacing w:after="0"/>
            </w:pPr>
            <w:r>
              <w:rPr>
                <w:sz w:val="18"/>
              </w:rPr>
              <w:t>Qualified juristic reasoning</w:t>
            </w:r>
          </w:p>
        </w:tc>
        <w:tc>
          <w:tcPr>
            <w:tcW w:type="dxa" w:w="3250"/>
            <w:vAlign w:val="top"/>
            <w:tcMar>
              <w:top w:w="90" w:type="dxa"/>
              <w:start w:w="100" w:type="dxa"/>
              <w:bottom w:w="90" w:type="dxa"/>
              <w:end w:w="100" w:type="dxa"/>
            </w:tcMar>
          </w:tcPr>
          <w:p>
            <w:pPr>
              <w:spacing w:after="0"/>
            </w:pPr>
            <w:r>
              <w:rPr>
                <w:sz w:val="18"/>
              </w:rPr>
              <w:t>Broader than qiyas</w:t>
            </w:r>
          </w:p>
        </w:tc>
      </w:tr>
    </w:tbl>
    <w:p>
      <w:pPr>
        <w:widowControl w:val="1"/>
      </w:pPr>
    </w:p>
    <w:p>
      <w:pPr>
        <w:pStyle w:val="Heading3"/>
        <w:widowControl w:val="1"/>
      </w:pPr>
      <w:r>
        <w:t>Core Concepts Explained</w:t>
      </w:r>
    </w:p>
    <w:p>
      <w:pPr>
        <w:pStyle w:val="TeachingBullet"/>
        <w:widowControl w:val="1"/>
      </w:pPr>
      <w:r>
        <w:t>The first task is to understand the function of each source. The Quran and Sunnah provide foundational revealed guidance; later juristic methods help derive or extend legal rules where direct textual guidance is not explicit.</w:t>
      </w:r>
    </w:p>
    <w:p>
      <w:pPr>
        <w:pStyle w:val="TeachingBullet"/>
        <w:widowControl w:val="1"/>
      </w:pPr>
      <w:r>
        <w:t>Ijma is discussed as authoritative juristic consensus in classical legal theory, but its definition, proof and scope must be presented carefully because juristic schools have detailed approaches.</w:t>
      </w:r>
    </w:p>
    <w:p>
      <w:pPr>
        <w:pStyle w:val="TeachingBullet"/>
        <w:widowControl w:val="1"/>
      </w:pPr>
      <w:r>
        <w:rPr>
          <w:b/>
        </w:rPr>
        <w:t>Qiyas is structured analogy:</w:t>
      </w:r>
      <w:r>
        <w:t xml:space="preserve"> a known ruling is extended to a new case because both share a legally effective cause. The important part is not superficial similarity but the legally relevant reason for the rule.</w:t>
      </w:r>
    </w:p>
    <w:p>
      <w:pPr>
        <w:pStyle w:val="TeachingBullet"/>
        <w:widowControl w:val="1"/>
      </w:pPr>
      <w:r>
        <w:t>Ijtehad is disciplined reasoning by a qualified jurist using recognized sources and methods. It is not unrestricted personal preference and does not allow a jurist simply to ignore clear textual rules.</w:t>
      </w:r>
    </w:p>
    <w:p>
      <w:pPr>
        <w:pStyle w:val="TeachingBullet"/>
        <w:widowControl w:val="1"/>
      </w:pPr>
      <w:r>
        <w:t>For each source prepare meaning, authority, conditions of use and a simple illustration. Then show how the sources relate rather than memorizing them as disconnected definitions.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present Ijma, Qiyas and Ijtehad as identical. Consensus, analogy and juristic reasoning perform different methodological functions.</w:t>
            </w:r>
          </w:p>
        </w:tc>
      </w:tr>
    </w:tbl>
    <w:p>
      <w:pPr>
        <w:pStyle w:val="Heading3"/>
        <w:widowControl w:val="1"/>
      </w:pPr>
      <w:r>
        <w:t>Preparation and Answer Use</w:t>
      </w:r>
    </w:p>
    <w:p>
      <w:pPr>
        <w:pStyle w:val="TeachingBullet"/>
        <w:widowControl w:val="1"/>
      </w:pPr>
      <w:r>
        <w:t>Prepare definition, authority, conditions and one simple example for each source.</w:t>
      </w:r>
    </w:p>
    <w:p>
      <w:pPr>
        <w:pStyle w:val="TeachingBullet"/>
        <w:widowControl w:val="1"/>
      </w:pPr>
      <w:r>
        <w:t>Learn the hierarchy/relationship without oversimplifying differences among schools.</w:t>
      </w:r>
    </w:p>
    <w:p>
      <w:pPr>
        <w:pStyle w:val="TeachingBullet"/>
        <w:widowControl w:val="1"/>
      </w:pPr>
      <w:r>
        <w:t>Differentiate Qiyas from general personal opinion.</w:t>
      </w:r>
    </w:p>
    <w:p>
      <w:pPr>
        <w:pStyle w:val="Heading3"/>
        <w:widowControl w:val="1"/>
      </w:pPr>
      <w:r>
        <w:t>Key Takeaways</w:t>
      </w:r>
    </w:p>
    <w:p>
      <w:pPr>
        <w:pStyle w:val="TakeawayBullet"/>
        <w:widowControl w:val="1"/>
      </w:pPr>
      <w:r>
        <w:t>Quran and Sunnah are primary foundations.</w:t>
      </w:r>
    </w:p>
    <w:p>
      <w:pPr>
        <w:pStyle w:val="TakeawayBullet"/>
        <w:widowControl w:val="1"/>
      </w:pPr>
      <w:r>
        <w:t>Ijma emphasizes consensus in jurisprudential development.</w:t>
      </w:r>
    </w:p>
    <w:p>
      <w:pPr>
        <w:pStyle w:val="TakeawayBullet"/>
        <w:widowControl w:val="1"/>
      </w:pPr>
      <w:r>
        <w:t>Qiyas uses analogy based on a legally relevant cause.</w:t>
      </w:r>
    </w:p>
    <w:p>
      <w:pPr>
        <w:pStyle w:val="TakeawayBullet"/>
        <w:widowControl w:val="1"/>
      </w:pPr>
      <w:r>
        <w:t>Ijtehad is reasoned legal effort, not unrestricted preference.</w:t>
      </w:r>
    </w:p>
    <w:p>
      <w:pPr>
        <w:spacing w:after="20"/>
        <w:pBdr>
          <w:bottom w:val="single" w:sz="4" w:space="1" w:color="D9E2F3"/>
        </w:pBdr>
        <w:widowControl w:val="1"/>
      </w:pPr>
    </w:p>
    <w:p>
      <w:pPr>
        <w:pStyle w:val="Heading2"/>
        <w:widowControl w:val="1"/>
      </w:pPr>
      <w:r>
        <w:t>2. Principles of Islamic Jurisprudence</w:t>
      </w:r>
    </w:p>
    <w:p>
      <w:pPr>
        <w:pStyle w:val="Heading3"/>
        <w:widowControl w:val="1"/>
      </w:pPr>
      <w:r>
        <w:t>Official Syllabus Focus</w:t>
      </w:r>
    </w:p>
    <w:p>
      <w:pPr>
        <w:pStyle w:val="FocusBullet"/>
        <w:widowControl w:val="1"/>
      </w:pPr>
      <w:r>
        <w:t>Principles of Islamic jurisprudence</w:t>
      </w:r>
    </w:p>
    <w:p>
      <w:pPr>
        <w:pStyle w:val="Heading3"/>
        <w:widowControl w:val="1"/>
      </w:pPr>
      <w:r>
        <w:t>Introduction and Scope</w:t>
      </w:r>
    </w:p>
    <w:p>
      <w:pPr>
        <w:pStyle w:val="TopicIntro"/>
        <w:widowControl w:val="1"/>
      </w:pPr>
      <w:r>
        <w:t>Islamic jurisprudence (fiqh/usul al-fiqh in their relevant senses) provides methods for understanding, deriving and applying legal rules from recognized sources.</w:t>
      </w:r>
    </w:p>
    <w:p>
      <w:pPr>
        <w:pStyle w:val="TopicIntro"/>
        <w:widowControl w:val="1"/>
      </w:pPr>
      <w:r>
        <w:t>Prepare command/prohibition, general/specific text, absolute/qualified expression, literal/implicit meaning, legal cause, public interest and interpretive reasoning at a conceptual level. Also understand the difference between Shariah as divine guidance and fiqh as human juristic understanding.</w:t>
      </w:r>
    </w:p>
    <w:p>
      <w:pPr>
        <w:pStyle w:val="Heading3"/>
        <w:widowControl w:val="1"/>
      </w:pPr>
      <w:r>
        <w:t>Shariah, fiqh and usul al-fiqh</w:t>
      </w:r>
    </w:p>
    <w:p>
      <w:pPr>
        <w:widowControl w:val="1"/>
      </w:pPr>
      <w:r>
        <w:t>Shariah is the broader normative path of Islam; fiqh is human juristic understanding of practical legal rules; and usul al-fiqh is the discipline that explains how jurists reason from recognized sources to legal conclusions. This distinction matters because a juristic rule may be authoritative within a school while still being a product of interpretation rather than a direct textual statement.</w:t>
      </w:r>
    </w:p>
    <w:p>
      <w:pPr>
        <w:widowControl w:val="1"/>
      </w:pPr>
      <w:r>
        <w:t>Usul al-fiqh asks methodological questions: What counts as a command or prohibition? When is wording general or specific? How are apparently conflicting texts reconciled? What is the role of consensus, analogy, public interest, custom, necessity and legal presumptions? These rules make legal reasoning more disciplined and transparent.</w:t>
      </w:r>
    </w:p>
    <w:p>
      <w:pPr>
        <w:pStyle w:val="Heading3"/>
        <w:widowControl w:val="1"/>
      </w:pPr>
      <w:r>
        <w:t>Legal rulings and the logic of obligation</w:t>
      </w:r>
    </w:p>
    <w:p>
      <w:pPr>
        <w:widowControl w:val="1"/>
      </w:pPr>
      <w:r>
        <w:t>Classical jurisprudence often classifies human acts into normative categories such as obligatory, recommended, permissible, disliked and prohibited, although terminology may vary among schools. The point of the classification is not merely to attach labels; it shows that Islamic law recognizes degrees of normative force rather than reducing every issue to lawful versus unlawful.</w:t>
      </w:r>
    </w:p>
    <w:p>
      <w:pPr>
        <w:widowControl w:val="1"/>
      </w:pPr>
      <w:r>
        <w:t>A jurist also distinguishes the rule itself from the conditions that activate it, the causes that trigger it, and impediments that prevent its operation. This helps explain why the same general rule may produce different legal results in different factual circumstances.</w:t>
      </w:r>
    </w:p>
    <w:p>
      <w:pPr>
        <w:pStyle w:val="Heading3"/>
        <w:widowControl w:val="1"/>
      </w:pPr>
      <w:r>
        <w:t>Maqasid and juristic adaptability</w:t>
      </w:r>
    </w:p>
    <w:p>
      <w:pPr>
        <w:widowControl w:val="1"/>
      </w:pPr>
      <w:r>
        <w:t>The objectives of the law (maqasid al-shariah) are used in modern and classical scholarship to explain the purposes served by legal rules, often discussed around protection of religion, life, intellect, lineage/family and property, with later scholarship developing the framework further. Maqasid reasoning is not a licence to ignore texts; its defensible use requires connection to the legal tradition, evidence and method.</w:t>
      </w:r>
    </w:p>
    <w:p>
      <w:pPr>
        <w:widowControl w:val="1"/>
      </w:pPr>
      <w:r>
        <w:t>For contemporary problems, a strong answer therefore combines textual authority, accepted juristic method, the factual context and the purpose of the rule. This is the intellectual bridge between classical jurisprudence and new questions in finance, medicine, technology and governance.</w:t>
      </w:r>
    </w:p>
    <w:p>
      <w:pPr>
        <w:pStyle w:val="Heading3"/>
        <w:widowControl w:val="1"/>
      </w:pPr>
      <w:r>
        <w:t>Core Concepts Explained</w:t>
      </w:r>
    </w:p>
    <w:p>
      <w:pPr>
        <w:pStyle w:val="TeachingBullet"/>
        <w:widowControl w:val="1"/>
      </w:pPr>
      <w:r>
        <w:t>Usul al-fiqh provides the method for deriving and interpreting legal rules; fiqh is the juristic understanding produced through that method. Keeping this distinction clear makes the rest of the paper easier.</w:t>
      </w:r>
    </w:p>
    <w:p>
      <w:pPr>
        <w:pStyle w:val="TeachingBullet"/>
        <w:widowControl w:val="1"/>
      </w:pPr>
      <w:r>
        <w:rPr>
          <w:b/>
        </w:rPr>
        <w:t>Language matters:</w:t>
      </w:r>
      <w:r>
        <w:t xml:space="preserve"> commands, prohibitions, general and specific expressions, absolute and qualified wording, explicit and implied meaning can affect the legal conclusion drawn from a text.</w:t>
      </w:r>
    </w:p>
    <w:p>
      <w:pPr>
        <w:pStyle w:val="TeachingBullet"/>
        <w:widowControl w:val="1"/>
      </w:pPr>
      <w:r>
        <w:t>Juristic reasoning also considers legal cause, objectives, public interest and other recognized principles according to the methodology of the relevant school.</w:t>
      </w:r>
    </w:p>
    <w:p>
      <w:pPr>
        <w:pStyle w:val="TeachingBullet"/>
        <w:widowControl w:val="1"/>
      </w:pPr>
      <w:r>
        <w:t>Differences among jurists often arise because they assess text, authenticity, linguistic meaning, analogy or supporting principles differently. Disagreement therefore does not mean absence of a disciplined method.</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use “Shariah” and “fiqh” as exact synonyms. A useful exam distinction is divine normative guidance versus human juristic understanding and application.</w:t>
            </w:r>
          </w:p>
        </w:tc>
      </w:tr>
    </w:tbl>
    <w:p>
      <w:pPr>
        <w:pStyle w:val="Heading3"/>
        <w:widowControl w:val="1"/>
      </w:pPr>
      <w:r>
        <w:t>Preparation and Answer Use</w:t>
      </w:r>
    </w:p>
    <w:p>
      <w:pPr>
        <w:pStyle w:val="TeachingBullet"/>
        <w:widowControl w:val="1"/>
      </w:pPr>
      <w:r>
        <w:t>First master key terminology.</w:t>
      </w:r>
    </w:p>
    <w:p>
      <w:pPr>
        <w:pStyle w:val="TeachingBullet"/>
        <w:widowControl w:val="1"/>
      </w:pPr>
      <w:r>
        <w:t>Study principles with tiny examples rather than abstract definitions only.</w:t>
      </w:r>
    </w:p>
    <w:p>
      <w:pPr>
        <w:pStyle w:val="TeachingBullet"/>
        <w:widowControl w:val="1"/>
      </w:pPr>
      <w:r>
        <w:t>Mention school differences carefully where genuinely relevant.</w:t>
      </w:r>
    </w:p>
    <w:p>
      <w:pPr>
        <w:pStyle w:val="Heading3"/>
        <w:widowControl w:val="1"/>
      </w:pPr>
      <w:r>
        <w:t>Key Takeaways</w:t>
      </w:r>
    </w:p>
    <w:p>
      <w:pPr>
        <w:pStyle w:val="TakeawayBullet"/>
        <w:widowControl w:val="1"/>
      </w:pPr>
      <w:r>
        <w:t>Usul gives method; fiqh gives juristic rules.</w:t>
      </w:r>
    </w:p>
    <w:p>
      <w:pPr>
        <w:pStyle w:val="TakeawayBullet"/>
        <w:widowControl w:val="1"/>
      </w:pPr>
      <w:r>
        <w:t>Interpretation depends on language, context and recognized legal methodology.</w:t>
      </w:r>
    </w:p>
    <w:p>
      <w:pPr>
        <w:pStyle w:val="TakeawayBullet"/>
        <w:widowControl w:val="1"/>
      </w:pPr>
      <w:r>
        <w:t>Juristic disagreement does not mean absence of method.</w:t>
      </w:r>
    </w:p>
    <w:p>
      <w:pPr>
        <w:spacing w:after="20"/>
        <w:pBdr>
          <w:bottom w:val="single" w:sz="4" w:space="1" w:color="D9E2F3"/>
        </w:pBdr>
        <w:widowControl w:val="1"/>
      </w:pPr>
    </w:p>
    <w:p>
      <w:pPr>
        <w:pStyle w:val="Heading2"/>
        <w:widowControl w:val="1"/>
      </w:pPr>
      <w:r>
        <w:t>3. Islamic Criminal Law</w:t>
      </w:r>
    </w:p>
    <w:p>
      <w:pPr>
        <w:pStyle w:val="Heading3"/>
        <w:widowControl w:val="1"/>
      </w:pPr>
      <w:r>
        <w:t>Official Syllabus Focus</w:t>
      </w:r>
    </w:p>
    <w:p>
      <w:pPr>
        <w:pStyle w:val="FocusBullet"/>
        <w:widowControl w:val="1"/>
      </w:pPr>
      <w:r>
        <w:t>Hadd</w:t>
      </w:r>
    </w:p>
    <w:p>
      <w:pPr>
        <w:pStyle w:val="FocusBullet"/>
        <w:widowControl w:val="1"/>
      </w:pPr>
      <w:r>
        <w:t>Ta’zir</w:t>
      </w:r>
    </w:p>
    <w:p>
      <w:pPr>
        <w:pStyle w:val="FocusBullet"/>
        <w:widowControl w:val="1"/>
      </w:pPr>
      <w:r>
        <w:t>Qisas</w:t>
      </w:r>
    </w:p>
    <w:p>
      <w:pPr>
        <w:pStyle w:val="FocusBullet"/>
        <w:widowControl w:val="1"/>
      </w:pPr>
      <w:r>
        <w:t>Diyat</w:t>
      </w:r>
    </w:p>
    <w:p>
      <w:pPr>
        <w:pStyle w:val="Heading3"/>
        <w:widowControl w:val="1"/>
      </w:pPr>
      <w:r>
        <w:t>Introduction and Scope</w:t>
      </w:r>
    </w:p>
    <w:p>
      <w:pPr>
        <w:pStyle w:val="TopicIntro"/>
        <w:widowControl w:val="1"/>
      </w:pPr>
      <w:r>
        <w:t>Islamic criminal law classifies offences and sanctions according to the nature of the protected right and the legal basis of punishment.</w:t>
      </w:r>
    </w:p>
    <w:p>
      <w:pPr>
        <w:pStyle w:val="TopicIntro"/>
        <w:widowControl w:val="1"/>
      </w:pPr>
      <w:r>
        <w:t>Hadd refers to specified punishments for certain offences under classical doctrine; qisas concerns retaliation/equivalence for specified bodily offences and homicide; diyat concerns financial compensation in relevant cases; ta’zir covers discretionary punishment where fixed categories do not apply or where law provides discretion.</w:t>
      </w:r>
    </w:p>
    <w:p>
      <w:pPr>
        <w:pStyle w:val="Heading3"/>
        <w:widowControl w:val="1"/>
      </w:pPr>
      <w:r>
        <w:t>Three major categories of liability</w:t>
      </w:r>
    </w:p>
    <w:p>
      <w:pPr>
        <w:widowControl w:val="1"/>
      </w:pPr>
      <w:r>
        <w:t>Classical Islamic criminal jurisprudence is commonly explained through hadd, qisas/diyat and ta’zir. Hadd offences are associated with punishments whose legal character and evidentiary requirements are treated as specially prescribed in the tradition. Qisas and diyat concern certain offences against the person, particularly homicide and bodily injury, where retaliation, compensation and the rights of affected persons are central. Ta’zir covers offences or misconduct for which lawful discretionary punishment is determined by competent authority within applicable legal limits.</w:t>
      </w:r>
    </w:p>
    <w:p>
      <w:pPr>
        <w:widowControl w:val="1"/>
      </w:pPr>
      <w:r>
        <w:t>These categories should not be collapsed into one theory of punishment. They differ in legal source, evidentiary structure, degree of discretion and the interests protected.</w:t>
      </w:r>
    </w:p>
    <w:p>
      <w:pPr>
        <w:pStyle w:val="Heading3"/>
        <w:widowControl w:val="1"/>
      </w:pPr>
      <w:r>
        <w:t>Proof, safeguards and the role of doubt</w:t>
      </w:r>
    </w:p>
    <w:p>
      <w:pPr>
        <w:widowControl w:val="1"/>
      </w:pPr>
      <w:r>
        <w:t>Criminal liability requires proof according to the applicable legal system. Classical discussions place strong emphasis on evidentiary conditions, voluntariness of admissions and caution where fixed punishments are at stake. A careful academic answer should explain that legal safeguards are part of the doctrine rather than presenting punishment in isolation.</w:t>
      </w:r>
    </w:p>
    <w:p>
      <w:pPr>
        <w:widowControl w:val="1"/>
      </w:pPr>
      <w:r>
        <w:t>Where the question concerns Pakistan, classical doctrine must be distinguished from enacted criminal statutes and judicial interpretation. The correct legal answer depends on the current statutory text and case law, not on a generalized description of classical fiqh.</w:t>
      </w:r>
    </w:p>
    <w:p>
      <w:pPr>
        <w:pStyle w:val="Heading3"/>
        <w:widowControl w:val="1"/>
      </w:pPr>
      <w:r>
        <w:t>Purposes and debates</w:t>
      </w:r>
    </w:p>
    <w:p>
      <w:pPr>
        <w:widowControl w:val="1"/>
      </w:pPr>
      <w:r>
        <w:t>Punishment can be analysed through protection of life and property, maintenance of public order, accountability, deterrence and reformation. Modern discussion also raises questions of due process, evidentiary reliability, proportionality and the relationship between classical doctrine and contemporary constitutional or human-rights commitments.</w:t>
      </w:r>
    </w:p>
    <w:p>
      <w:pPr>
        <w:widowControl w:val="1"/>
      </w:pPr>
      <w:r>
        <w:t>A balanced examination answer explains the doctrinal categories first, then addresses implementation and debate. It should neither romanticize nor caricature the tradition.</w:t>
      </w:r>
    </w:p>
    <w:p>
      <w:pPr>
        <w:pStyle w:val="Heading3"/>
        <w:widowControl w:val="1"/>
      </w:pPr>
      <w:r>
        <w:t>Core Concepts Explained</w:t>
      </w:r>
    </w:p>
    <w:p>
      <w:pPr>
        <w:pStyle w:val="TeachingBullet"/>
        <w:widowControl w:val="1"/>
      </w:pPr>
      <w:r>
        <w:t>Begin with classification. Hadd, qisas, diyat and ta'zir refer to different legal categories and should not be mixed into one general idea of “Islamic punishment.”</w:t>
      </w:r>
    </w:p>
    <w:p>
      <w:pPr>
        <w:pStyle w:val="TeachingBullet"/>
        <w:widowControl w:val="1"/>
      </w:pPr>
      <w:r>
        <w:t>Hadd concerns specified offences and sanctions in classical doctrine with particular evidentiary and legal conditions. Qisas concerns proportional retaliation for certain offences against the person, while diyat concerns financial compensation in relevant cases.</w:t>
      </w:r>
    </w:p>
    <w:p>
      <w:pPr>
        <w:pStyle w:val="TeachingBullet"/>
        <w:widowControl w:val="1"/>
      </w:pPr>
      <w:r>
        <w:t>Ta'zir covers punishments or corrective measures left to lawful discretion when fixed categories do not govern or where the legal system provides discretionary treatment.</w:t>
      </w:r>
    </w:p>
    <w:p>
      <w:pPr>
        <w:pStyle w:val="TeachingBullet"/>
        <w:widowControl w:val="1"/>
      </w:pPr>
      <w:r>
        <w:t>In Pakistan-related answers, clearly separate classical juristic doctrine from codified statutory rules and judicial application. The exact legal consequence comes from the operative law.</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that every offence in Islamic criminal law has a fixed punishment. Ta'zir is specifically associated with lawful discretion.</w:t>
            </w:r>
          </w:p>
        </w:tc>
      </w:tr>
    </w:tbl>
    <w:p>
      <w:pPr>
        <w:pStyle w:val="Heading3"/>
        <w:widowControl w:val="1"/>
      </w:pPr>
      <w:r>
        <w:t>Preparation and Answer Use</w:t>
      </w:r>
    </w:p>
    <w:p>
      <w:pPr>
        <w:pStyle w:val="TeachingBullet"/>
        <w:widowControl w:val="1"/>
      </w:pPr>
      <w:r>
        <w:t>Prepare the four categories comparatively.</w:t>
      </w:r>
    </w:p>
    <w:p>
      <w:pPr>
        <w:pStyle w:val="TeachingBullet"/>
        <w:widowControl w:val="1"/>
      </w:pPr>
      <w:r>
        <w:t>Focus on evidentiary standards, victim/state interests and judicial discretion at a general level.</w:t>
      </w:r>
    </w:p>
    <w:p>
      <w:pPr>
        <w:pStyle w:val="TeachingBullet"/>
        <w:widowControl w:val="1"/>
      </w:pPr>
      <w:r>
        <w:t>For Pakistan, distinguish classical theory from statutory implementation.</w:t>
      </w:r>
    </w:p>
    <w:p>
      <w:pPr>
        <w:pStyle w:val="Heading3"/>
        <w:widowControl w:val="1"/>
      </w:pPr>
      <w:r>
        <w:t>Key Takeaways</w:t>
      </w:r>
    </w:p>
    <w:p>
      <w:pPr>
        <w:pStyle w:val="TakeawayBullet"/>
        <w:widowControl w:val="1"/>
      </w:pPr>
      <w:r>
        <w:t>Hadd is fixed-category punishment in classical law.</w:t>
      </w:r>
    </w:p>
    <w:p>
      <w:pPr>
        <w:pStyle w:val="TakeawayBullet"/>
        <w:widowControl w:val="1"/>
      </w:pPr>
      <w:r>
        <w:t>Ta’zir gives lawful discretionary space.</w:t>
      </w:r>
    </w:p>
    <w:p>
      <w:pPr>
        <w:pStyle w:val="TakeawayBullet"/>
        <w:widowControl w:val="1"/>
      </w:pPr>
      <w:r>
        <w:t>Qisas and diyat are closely connected with offences against the person.</w:t>
      </w:r>
    </w:p>
    <w:p>
      <w:pPr>
        <w:pStyle w:val="TakeawayBullet"/>
        <w:widowControl w:val="1"/>
      </w:pPr>
      <w:r>
        <w:t>Exact Pakistani application depends on codified law.</w:t>
      </w:r>
    </w:p>
    <w:p>
      <w:pPr>
        <w:spacing w:after="20"/>
        <w:pBdr>
          <w:bottom w:val="single" w:sz="4" w:space="1" w:color="D9E2F3"/>
        </w:pBdr>
        <w:widowControl w:val="1"/>
      </w:pPr>
    </w:p>
    <w:p>
      <w:pPr>
        <w:pStyle w:val="Heading2"/>
        <w:widowControl w:val="1"/>
      </w:pPr>
      <w:r>
        <w:t>4. Islamic Family Law</w:t>
      </w:r>
    </w:p>
    <w:p>
      <w:pPr>
        <w:pStyle w:val="Heading3"/>
        <w:widowControl w:val="1"/>
      </w:pPr>
      <w:r>
        <w:t>Official Syllabus Focus</w:t>
      </w:r>
    </w:p>
    <w:p>
      <w:pPr>
        <w:pStyle w:val="FocusBullet"/>
        <w:widowControl w:val="1"/>
      </w:pPr>
      <w:r>
        <w:t>Marriage</w:t>
      </w:r>
    </w:p>
    <w:p>
      <w:pPr>
        <w:pStyle w:val="FocusBullet"/>
        <w:widowControl w:val="1"/>
      </w:pPr>
      <w:r>
        <w:t>Dower</w:t>
      </w:r>
    </w:p>
    <w:p>
      <w:pPr>
        <w:pStyle w:val="FocusBullet"/>
        <w:widowControl w:val="1"/>
      </w:pPr>
      <w:r>
        <w:t>Divorce</w:t>
      </w:r>
    </w:p>
    <w:p>
      <w:pPr>
        <w:pStyle w:val="FocusBullet"/>
        <w:widowControl w:val="1"/>
      </w:pPr>
      <w:r>
        <w:t>Talaq</w:t>
      </w:r>
    </w:p>
    <w:p>
      <w:pPr>
        <w:pStyle w:val="FocusBullet"/>
        <w:widowControl w:val="1"/>
      </w:pPr>
      <w:r>
        <w:t>Khula</w:t>
      </w:r>
    </w:p>
    <w:p>
      <w:pPr>
        <w:pStyle w:val="FocusBullet"/>
        <w:widowControl w:val="1"/>
      </w:pPr>
      <w:r>
        <w:t>Faskh</w:t>
      </w:r>
    </w:p>
    <w:p>
      <w:pPr>
        <w:pStyle w:val="FocusBullet"/>
        <w:widowControl w:val="1"/>
      </w:pPr>
      <w:r>
        <w:t>Post-divorce maintenance</w:t>
      </w:r>
    </w:p>
    <w:p>
      <w:pPr>
        <w:pStyle w:val="FocusBullet"/>
        <w:widowControl w:val="1"/>
      </w:pPr>
      <w:r>
        <w:t>Child custody</w:t>
      </w:r>
    </w:p>
    <w:p>
      <w:pPr>
        <w:pStyle w:val="FocusBullet"/>
        <w:widowControl w:val="1"/>
      </w:pPr>
      <w:r>
        <w:t>Succession</w:t>
      </w:r>
    </w:p>
    <w:p>
      <w:pPr>
        <w:pStyle w:val="Heading3"/>
        <w:widowControl w:val="1"/>
      </w:pPr>
      <w:r>
        <w:t>Introduction and Scope</w:t>
      </w:r>
    </w:p>
    <w:p>
      <w:pPr>
        <w:pStyle w:val="TopicIntro"/>
        <w:widowControl w:val="1"/>
      </w:pPr>
      <w:r>
        <w:t>Islamic family law regulates personal status: formation and dissolution of marriage, financial rights, children and inheritance.</w:t>
      </w:r>
    </w:p>
    <w:p>
      <w:pPr>
        <w:pStyle w:val="TopicIntro"/>
        <w:widowControl w:val="1"/>
      </w:pPr>
      <w:r>
        <w:t>Treat marriage as a legal relationship with capacity, consent and financial consequences. Dower is a marital financial right. Dissolution may occur through talaq, mutual or court-based mechanisms such as khula/faskh depending on legal context. Custody and guardianship are distinct concepts. Succession distributes estate according to legally defined heirs and shares.</w:t>
      </w:r>
    </w:p>
    <w:p>
      <w:pPr>
        <w:pStyle w:val="Heading3"/>
        <w:widowControl w:val="1"/>
      </w:pPr>
      <w:r>
        <w:t>Marriage as a legal relationship</w:t>
      </w:r>
    </w:p>
    <w:p>
      <w:pPr>
        <w:widowControl w:val="1"/>
      </w:pPr>
      <w:r>
        <w:t>In Islamic jurisprudence, marriage (nikah) creates a lawful family relationship with reciprocal rights and duties. The legal analysis usually covers capacity, offer and acceptance, witnesses where required by the relevant school or law, prohibited degrees of relationship, dower (mahr), maintenance and the legal effects of marriage. Mahr is the wife’s legal entitlement arising from the marriage; it is not a price paid for the person of the wife.</w:t>
      </w:r>
    </w:p>
    <w:p>
      <w:pPr>
        <w:widowControl w:val="1"/>
      </w:pPr>
      <w:r>
        <w:t>Pakistani examination answers should separate classical rules from statutory requirements such as registration and the procedures created by the Muslim Family Laws Ordinance, 1961 and related family-court legislation.</w:t>
      </w:r>
    </w:p>
    <w:p>
      <w:pPr>
        <w:pStyle w:val="Heading3"/>
        <w:widowControl w:val="1"/>
      </w:pPr>
      <w:r>
        <w:t>Dissolution: talaq, khula and judicial dissolution</w:t>
      </w:r>
    </w:p>
    <w:p>
      <w:pPr>
        <w:widowControl w:val="1"/>
      </w:pPr>
      <w:r>
        <w:t>Talaq is one route through which marriage may be dissolved, but its legal consequences depend on form, timing, revocability and applicable law. Khula is a form of dissolution sought by the wife on the basis recognized in Islamic law and developed through Pakistani judicial practice. Faskh or judicial dissolution refers to termination through judicial authority on recognized grounds.</w:t>
      </w:r>
    </w:p>
    <w:p>
      <w:pPr>
        <w:widowControl w:val="1"/>
      </w:pPr>
      <w:r>
        <w:t>The Dissolution of Muslim Marriages Act, 1939 provides statutory grounds on which a Muslim woman may obtain a decree of dissolution. The Muslim Family Laws Ordinance, 1961 adds procedural regulation concerning talaq and other family matters. These statutory layers must be read directly when answering a Pakistan-law question.</w:t>
      </w:r>
    </w:p>
    <w:p>
      <w:pPr>
        <w:pStyle w:val="Heading3"/>
        <w:widowControl w:val="1"/>
      </w:pPr>
      <w:r>
        <w:t>Children, maintenance and succession</w:t>
      </w:r>
    </w:p>
    <w:p>
      <w:pPr>
        <w:widowControl w:val="1"/>
      </w:pPr>
      <w:r>
        <w:t>Custody (hizanat), guardianship and maintenance are related but distinct concepts. Physical care of a child is not identical to legal guardianship, and the welfare of the child has a major role in modern family-court adjudication. Post-divorce financial questions also require attention to the precise legal basis and jurisdiction.</w:t>
      </w:r>
    </w:p>
    <w:p>
      <w:pPr>
        <w:widowControl w:val="1"/>
      </w:pPr>
      <w:r>
        <w:t>Islamic succession is a structured system of fixed shares, residuaries and exclusion rules. A sound answer begins by identifying the heirs, estate, debts and testamentary dispositions before calculating shares. It should not mix inheritance rules with gifts made during life.</w:t>
      </w:r>
    </w:p>
    <w:p>
      <w:pPr>
        <w:pStyle w:val="Heading3"/>
        <w:widowControl w:val="1"/>
      </w:pPr>
      <w:r>
        <w:t>Core Concepts Explained</w:t>
      </w:r>
    </w:p>
    <w:p>
      <w:pPr>
        <w:pStyle w:val="TeachingBullet"/>
        <w:widowControl w:val="1"/>
      </w:pPr>
      <w:r>
        <w:t>Marriage should be understood as a legal relationship creating rights and duties, not only as a religious ceremony. Capacity, consent, lawful conditions and dower are key legal aspects.</w:t>
      </w:r>
    </w:p>
    <w:p>
      <w:pPr>
        <w:pStyle w:val="TeachingBullet"/>
        <w:widowControl w:val="1"/>
      </w:pPr>
      <w:r>
        <w:t>Dower is a financial entitlement arising from marriage. It should be distinguished from maintenance and should never be described as the purchase price of the bride.</w:t>
      </w:r>
    </w:p>
    <w:p>
      <w:pPr>
        <w:pStyle w:val="TeachingBullet"/>
        <w:widowControl w:val="1"/>
      </w:pPr>
      <w:r>
        <w:rPr>
          <w:b/>
        </w:rPr>
        <w:t>Modes of dissolution must be separated:</w:t>
      </w:r>
      <w:r>
        <w:t xml:space="preserve"> talaq is not the same legal route as khula or judicial dissolution. Each has its own basis, procedure and legal consequences in classical doctrine and Pakistani law.</w:t>
      </w:r>
    </w:p>
    <w:p>
      <w:pPr>
        <w:pStyle w:val="TeachingBullet"/>
        <w:widowControl w:val="1"/>
      </w:pPr>
      <w:r>
        <w:t>Custody concerns day-to-day care of a child; guardianship concerns broader legal authority over the person or property of the child. The two may be held by different persons depending on law and facts.</w:t>
      </w:r>
    </w:p>
    <w:p>
      <w:pPr>
        <w:pStyle w:val="TeachingBullet"/>
        <w:widowControl w:val="1"/>
      </w:pPr>
      <w:r>
        <w:t>Succession problems require identifying heirs first, then exclusions and shares, and only then calculating distribution. Arithmetic without correct heir classification produces the wrong answer.</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merge classical rules with Pakistani statutory procedure. State clearly whether you are explaining classical jurisprudence or current statutory law.</w:t>
            </w:r>
          </w:p>
        </w:tc>
      </w:tr>
    </w:tbl>
    <w:p>
      <w:pPr>
        <w:pStyle w:val="Heading3"/>
        <w:widowControl w:val="1"/>
      </w:pPr>
      <w:r>
        <w:t>Preparation and Answer Use</w:t>
      </w:r>
    </w:p>
    <w:p>
      <w:pPr>
        <w:pStyle w:val="TeachingBullet"/>
        <w:widowControl w:val="1"/>
      </w:pPr>
      <w:r>
        <w:t>Make a marriage-to-dissolution flowchart.</w:t>
      </w:r>
    </w:p>
    <w:p>
      <w:pPr>
        <w:pStyle w:val="TeachingBullet"/>
        <w:widowControl w:val="1"/>
      </w:pPr>
      <w:r>
        <w:t>Prepare talaq, khula and judicial dissolution separately.</w:t>
      </w:r>
    </w:p>
    <w:p>
      <w:pPr>
        <w:pStyle w:val="TeachingBullet"/>
        <w:widowControl w:val="1"/>
      </w:pPr>
      <w:r>
        <w:t>Do not confuse custody with guardianship.</w:t>
      </w:r>
    </w:p>
    <w:p>
      <w:pPr>
        <w:pStyle w:val="TeachingBullet"/>
        <w:widowControl w:val="1"/>
      </w:pPr>
      <w:r>
        <w:t>For succession, learn heir categories and calculation method only after understanding exclusions and shares.</w:t>
      </w:r>
    </w:p>
    <w:p>
      <w:pPr>
        <w:pStyle w:val="Heading3"/>
        <w:widowControl w:val="1"/>
      </w:pPr>
      <w:r>
        <w:t>Key Takeaways</w:t>
      </w:r>
    </w:p>
    <w:p>
      <w:pPr>
        <w:pStyle w:val="TakeawayBullet"/>
        <w:widowControl w:val="1"/>
      </w:pPr>
      <w:r>
        <w:t>Marriage creates mutual legal rights and duties.</w:t>
      </w:r>
    </w:p>
    <w:p>
      <w:pPr>
        <w:pStyle w:val="TakeawayBullet"/>
        <w:widowControl w:val="1"/>
      </w:pPr>
      <w:r>
        <w:t>Dower is not the “price” of marriage; it is a legal financial entitlement.</w:t>
      </w:r>
    </w:p>
    <w:p>
      <w:pPr>
        <w:pStyle w:val="TakeawayBullet"/>
        <w:widowControl w:val="1"/>
      </w:pPr>
      <w:r>
        <w:t>Different modes of dissolution have different legal bases and procedures.</w:t>
      </w:r>
    </w:p>
    <w:p>
      <w:pPr>
        <w:pStyle w:val="TakeawayBullet"/>
        <w:widowControl w:val="1"/>
      </w:pPr>
      <w:r>
        <w:t>Succession is rule-based and requires careful identification of heirs.</w:t>
      </w:r>
    </w:p>
    <w:p>
      <w:pPr>
        <w:spacing w:after="20"/>
        <w:pBdr>
          <w:bottom w:val="single" w:sz="4" w:space="1" w:color="D9E2F3"/>
        </w:pBdr>
        <w:widowControl w:val="1"/>
      </w:pPr>
    </w:p>
    <w:p>
      <w:pPr>
        <w:pStyle w:val="Heading2"/>
        <w:widowControl w:val="1"/>
      </w:pPr>
      <w:r>
        <w:t>5. Islamic Law of Contract</w:t>
      </w:r>
    </w:p>
    <w:p>
      <w:pPr>
        <w:pStyle w:val="Heading3"/>
        <w:widowControl w:val="1"/>
      </w:pPr>
      <w:r>
        <w:t>Official Syllabus Focus</w:t>
      </w:r>
    </w:p>
    <w:p>
      <w:pPr>
        <w:pStyle w:val="FocusBullet"/>
        <w:widowControl w:val="1"/>
      </w:pPr>
      <w:r>
        <w:t>Islamic law of contract</w:t>
      </w:r>
    </w:p>
    <w:p>
      <w:pPr>
        <w:pStyle w:val="Heading3"/>
        <w:widowControl w:val="1"/>
      </w:pPr>
      <w:r>
        <w:t>Introduction and Scope</w:t>
      </w:r>
    </w:p>
    <w:p>
      <w:pPr>
        <w:pStyle w:val="TopicIntro"/>
        <w:widowControl w:val="1"/>
      </w:pPr>
      <w:r>
        <w:t>Islamic contract law governs voluntary transactions while requiring lawful subject matter, genuine consent and compliance with Shariah principles.</w:t>
      </w:r>
    </w:p>
    <w:p>
      <w:pPr>
        <w:pStyle w:val="TopicIntro"/>
        <w:widowControl w:val="1"/>
      </w:pPr>
      <w:r>
        <w:t>Prepare formation of contract, capacity, offer/acceptance, subject matter, ownership/possession where relevant, and restrictions such as riba, excessive uncertainty (gharar) and gambling (maysir) in financial transactions.</w:t>
      </w:r>
    </w:p>
    <w:p>
      <w:pPr>
        <w:pStyle w:val="Heading3"/>
        <w:widowControl w:val="1"/>
      </w:pPr>
      <w:r>
        <w:t>Formation and enforceability</w:t>
      </w:r>
    </w:p>
    <w:p>
      <w:pPr>
        <w:widowControl w:val="1"/>
      </w:pPr>
      <w:r>
        <w:t>Islamic contract law begins with consent and lawful exchange. Jurists analyse parties, subject matter, offer and acceptance, capacity and the legality and certainty of the transaction. The exact doctrinal vocabulary differs among schools, but the central concern is that obligations arise through a legally recognized transaction rather than through deception, coercion or an unlawful subject matter.</w:t>
      </w:r>
    </w:p>
    <w:p>
      <w:pPr>
        <w:widowControl w:val="1"/>
      </w:pPr>
      <w:r>
        <w:t>The maxim that contracts should be fulfilled does not mean every bargain is valid. The form and substance of the transaction must comply with the governing legal rules.</w:t>
      </w:r>
    </w:p>
    <w:p>
      <w:pPr>
        <w:pStyle w:val="Heading3"/>
        <w:widowControl w:val="1"/>
      </w:pPr>
      <w:r>
        <w:t>Riba, gharar and maysir</w:t>
      </w:r>
    </w:p>
    <w:p>
      <w:pPr>
        <w:widowControl w:val="1"/>
      </w:pPr>
      <w:r>
        <w:t>Riba refers to prohibited increase in transactions within the relevant legal categories and is central to the structure of Islamic finance. Gharar concerns legally significant uncertainty or ambiguity, especially where it creates serious informational imbalance or makes the subject matter, price or performance excessively uncertain. Maysir refers to gambling or games of chance involving prohibited gain.</w:t>
      </w:r>
    </w:p>
    <w:p>
      <w:pPr>
        <w:widowControl w:val="1"/>
      </w:pPr>
      <w:r>
        <w:t>Ordinary commercial risk is not automatically gharar. Business always involves uncertainty about future profit. The legal question is whether uncertainty is of the kind and degree prohibited by the law.</w:t>
      </w:r>
    </w:p>
    <w:p>
      <w:pPr>
        <w:pStyle w:val="Heading3"/>
        <w:widowControl w:val="1"/>
      </w:pPr>
      <w:r>
        <w:t>Major nominate structures</w:t>
      </w:r>
    </w:p>
    <w:p>
      <w:pPr>
        <w:widowControl w:val="1"/>
      </w:pPr>
      <w:r>
        <w:t>Sale, lease, partnership and agency provide the basic building blocks for many Islamic commercial arrangements. Murabaha is a disclosed-cost sale with an agreed profit; salam involves advance payment for specified future delivery; istisna is used for manufacture or construction; ijarah is lease; mudarabah separates capital contribution from entrepreneurial management; musharakah is partnership-based participation.</w:t>
      </w:r>
    </w:p>
    <w:p>
      <w:pPr>
        <w:widowControl w:val="1"/>
      </w:pPr>
      <w:r>
        <w:t>When explaining a modern product, trace the actual contracts used and the allocation of ownership, risk and payment. Do not assume that a different Arabic label alone changes the economic and legal substance.</w:t>
      </w:r>
    </w:p>
    <w:p>
      <w:pPr>
        <w:pStyle w:val="Heading3"/>
        <w:widowControl w:val="1"/>
      </w:pPr>
      <w:r>
        <w:t>Core Concepts Explained</w:t>
      </w:r>
    </w:p>
    <w:p>
      <w:pPr>
        <w:pStyle w:val="TeachingBullet"/>
        <w:widowControl w:val="1"/>
      </w:pPr>
      <w:r>
        <w:t>Islamic contract law begins with valid consent and lawful subject matter, but the structure of the transaction also matters. The legal form should reflect the real exchange taking place.</w:t>
      </w:r>
    </w:p>
    <w:p>
      <w:pPr>
        <w:pStyle w:val="TeachingBullet"/>
        <w:widowControl w:val="1"/>
      </w:pPr>
      <w:r>
        <w:t>Offer and acceptance create agreement; capacity concerns whether parties can legally transact; subject matter must be lawful and sufficiently identifiable; ownership or possession requirements may matter for particular contract forms.</w:t>
      </w:r>
    </w:p>
    <w:p>
      <w:pPr>
        <w:pStyle w:val="TeachingBullet"/>
        <w:widowControl w:val="1"/>
      </w:pPr>
      <w:r>
        <w:t>Riba concerns prohibited increase in relevant financial dealings; gharar concerns excessive contractual uncertainty; maysir concerns gambling or games of chance. These concepts should be explained carefully rather than used as general labels for every risk.</w:t>
      </w:r>
    </w:p>
    <w:p>
      <w:pPr>
        <w:pStyle w:val="TeachingBullet"/>
        <w:widowControl w:val="1"/>
      </w:pPr>
      <w:r>
        <w:t>Different commercial needs are served through different contracts such as sale, lease, agency and partnership. This is why Islamic finance cannot be understood through a single universal contract.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that all uncertainty invalidates a contract. The concept is prohibited or excessive gharar, not ordinary commercial uncertainty in every transaction.</w:t>
            </w:r>
          </w:p>
        </w:tc>
      </w:tr>
    </w:tbl>
    <w:p>
      <w:pPr>
        <w:pStyle w:val="Heading3"/>
        <w:widowControl w:val="1"/>
      </w:pPr>
      <w:r>
        <w:t>Preparation and Answer Use</w:t>
      </w:r>
    </w:p>
    <w:p>
      <w:pPr>
        <w:pStyle w:val="TeachingBullet"/>
        <w:widowControl w:val="1"/>
      </w:pPr>
      <w:r>
        <w:t>Learn contract essentials before studying named contracts.</w:t>
      </w:r>
    </w:p>
    <w:p>
      <w:pPr>
        <w:pStyle w:val="TeachingBullet"/>
        <w:widowControl w:val="1"/>
      </w:pPr>
      <w:r>
        <w:t>Prepare the difference between sale, lease, partnership and agency structures at a basic level.</w:t>
      </w:r>
    </w:p>
    <w:p>
      <w:pPr>
        <w:pStyle w:val="TeachingBullet"/>
        <w:widowControl w:val="1"/>
      </w:pPr>
      <w:r>
        <w:t>Use modern Islamic-finance examples only when their structure is correctly understood.</w:t>
      </w:r>
    </w:p>
    <w:p>
      <w:pPr>
        <w:pStyle w:val="Heading3"/>
        <w:widowControl w:val="1"/>
      </w:pPr>
      <w:r>
        <w:t>Key Takeaways</w:t>
      </w:r>
    </w:p>
    <w:p>
      <w:pPr>
        <w:pStyle w:val="TakeawayBullet"/>
        <w:widowControl w:val="1"/>
      </w:pPr>
      <w:r>
        <w:t>Consent and lawful subject matter are basic.</w:t>
      </w:r>
    </w:p>
    <w:p>
      <w:pPr>
        <w:pStyle w:val="TakeawayBullet"/>
        <w:widowControl w:val="1"/>
      </w:pPr>
      <w:r>
        <w:t>Riba and prohibited uncertainty affect financial validity.</w:t>
      </w:r>
    </w:p>
    <w:p>
      <w:pPr>
        <w:pStyle w:val="TakeawayBullet"/>
        <w:widowControl w:val="1"/>
      </w:pPr>
      <w:r>
        <w:t>Islamic commercial law uses multiple contract forms rather than one universal financing contract.</w:t>
      </w:r>
    </w:p>
    <w:p>
      <w:pPr>
        <w:spacing w:after="20"/>
        <w:pBdr>
          <w:bottom w:val="single" w:sz="4" w:space="1" w:color="D9E2F3"/>
        </w:pBdr>
        <w:widowControl w:val="1"/>
      </w:pPr>
    </w:p>
    <w:p>
      <w:pPr>
        <w:pStyle w:val="Heading2"/>
        <w:widowControl w:val="1"/>
      </w:pPr>
      <w:r>
        <w:t>6. Islamic Banking and Insurance</w:t>
      </w:r>
    </w:p>
    <w:p>
      <w:pPr>
        <w:pStyle w:val="Heading3"/>
        <w:widowControl w:val="1"/>
      </w:pPr>
      <w:r>
        <w:t>Official Syllabus Focus</w:t>
      </w:r>
    </w:p>
    <w:p>
      <w:pPr>
        <w:pStyle w:val="FocusBullet"/>
        <w:widowControl w:val="1"/>
      </w:pPr>
      <w:r>
        <w:t>Islamic banking</w:t>
      </w:r>
    </w:p>
    <w:p>
      <w:pPr>
        <w:pStyle w:val="FocusBullet"/>
        <w:widowControl w:val="1"/>
      </w:pPr>
      <w:r>
        <w:t>Islamic insurance</w:t>
      </w:r>
    </w:p>
    <w:p>
      <w:pPr>
        <w:pStyle w:val="Heading3"/>
        <w:widowControl w:val="1"/>
      </w:pPr>
      <w:r>
        <w:t>Introduction and Scope</w:t>
      </w:r>
    </w:p>
    <w:p>
      <w:pPr>
        <w:pStyle w:val="TopicIntro"/>
        <w:widowControl w:val="1"/>
      </w:pPr>
      <w:r>
        <w:t>Islamic finance seeks to structure financial activity through Shariah-compliant contracts rather than interest-based lending.</w:t>
      </w:r>
    </w:p>
    <w:p>
      <w:pPr>
        <w:pStyle w:val="TopicIntro"/>
        <w:widowControl w:val="1"/>
      </w:pPr>
      <w:r>
        <w:t>Study basic modes such as murabaha, mudarabah, musharakah, ijara and salam/istisna at an introductory level. Takaful is a cooperative risk-sharing model used as the Islamic alternative framework to conventional insurance structures.</w:t>
      </w:r>
    </w:p>
    <w:p>
      <w:pPr>
        <w:pStyle w:val="Heading3"/>
        <w:widowControl w:val="1"/>
      </w:pPr>
      <w:r>
        <w:t>How Islamic banking differs in structure</w:t>
      </w:r>
    </w:p>
    <w:p>
      <w:pPr>
        <w:widowControl w:val="1"/>
      </w:pPr>
      <w:r>
        <w:t>Islamic banking seeks to provide financial intermediation through transactions structured to comply with Shariah requirements. Instead of treating every financing arrangement as an interest-bearing loan, institutions may use sale, lease, partnership or agency structures. This changes the legal form and allocation of asset ownership, risk and return, although practical products still require scrutiny of their real substance.</w:t>
      </w:r>
    </w:p>
    <w:p>
      <w:pPr>
        <w:widowControl w:val="1"/>
      </w:pPr>
      <w:r>
        <w:t>The State Bank of Pakistan regulates Islamic banking institutions through a dedicated framework. Its revised Shariah Governance Framework issued in November 2024 took effect from 1 January 2025, and SBP continues to issue Shariah-related regulations and instructions. Current examination answers should therefore rely on the latest SBP material rather than older descriptions of the regulatory model.</w:t>
      </w:r>
    </w:p>
    <w:p>
      <w:pPr>
        <w:pStyle w:val="Heading3"/>
        <w:widowControl w:val="1"/>
      </w:pPr>
      <w:r>
        <w:t>Common financing modes</w:t>
      </w:r>
    </w:p>
    <w:p>
      <w:pPr>
        <w:widowControl w:val="1"/>
      </w:pPr>
      <w:r>
        <w:t>Murabaha is asset-based sale financing; ijarah is lease-based financing; diminishing musharakah combines co-ownership with gradual purchase of one party’s share; salam and istisna support certain forward or manufacturing transactions; mudarabah and musharakah are participation-based structures. Their risks and accounting consequences differ, so the phrase “profit-and-loss sharing” does not describe all Islamic banking.</w:t>
      </w:r>
    </w:p>
    <w:p>
      <w:pPr>
        <w:widowControl w:val="1"/>
      </w:pPr>
      <w:r>
        <w:t>For each mode, ask: Who owns the asset? Who bears which risk? What is being sold or leased? When does payment become due? What event creates the institution’s return? These questions reveal the legal mechanism.</w:t>
      </w:r>
    </w:p>
    <w:p>
      <w:pPr>
        <w:pStyle w:val="Heading3"/>
        <w:widowControl w:val="1"/>
      </w:pPr>
      <w:r>
        <w:t>Takaful as risk-sharing arrangement</w:t>
      </w:r>
    </w:p>
    <w:p>
      <w:pPr>
        <w:widowControl w:val="1"/>
      </w:pPr>
      <w:r>
        <w:t>Takaful is an Islamic insurance model organized around mutual contribution and risk sharing rather than the conventional transfer of risk for a premium. Participants contribute to a fund from which covered losses may be paid, while an operator manages the arrangement under a recognized contractual model.</w:t>
      </w:r>
    </w:p>
    <w:p>
      <w:pPr>
        <w:widowControl w:val="1"/>
      </w:pPr>
      <w:r>
        <w:t>The practical legal form differs among jurisdictions and products. A good answer explains the mutual-risk concept, governance of the fund, operator’s role and Shariah supervision, then compares these features with conventional insurance without claiming that every conventional insurance contract is identical.</w:t>
      </w:r>
    </w:p>
    <w:p>
      <w:pPr>
        <w:pStyle w:val="Heading3"/>
        <w:widowControl w:val="1"/>
      </w:pPr>
      <w:r>
        <w:t>Core Concepts Explained</w:t>
      </w:r>
    </w:p>
    <w:p>
      <w:pPr>
        <w:pStyle w:val="TeachingBullet"/>
        <w:widowControl w:val="1"/>
      </w:pPr>
      <w:r>
        <w:t>Islamic banking seeks to structure financing through sale, lease, partnership or other Shariah-compliant arrangements rather than treating money lending at interest as the universal financing method.</w:t>
      </w:r>
    </w:p>
    <w:p>
      <w:pPr>
        <w:pStyle w:val="TeachingBullet"/>
        <w:widowControl w:val="1"/>
      </w:pPr>
      <w:r>
        <w:t>Murabaha is a sale in which cost and profit are disclosed; ijara is lease-based; mudarabah separates capital provider and entrepreneur/manager roles; musharakah is partnership participation; salam and istisna address particular forms of future delivery or manufacture.</w:t>
      </w:r>
    </w:p>
    <w:p>
      <w:pPr>
        <w:pStyle w:val="TeachingBullet"/>
        <w:widowControl w:val="1"/>
      </w:pPr>
      <w:r>
        <w:t>Each mode should be studied through a transaction diagram: who supplies capital or asset, who owns the asset, when ownership or possession changes, how profit or rent arises, and who bears which commercial risk.</w:t>
      </w:r>
    </w:p>
    <w:p>
      <w:pPr>
        <w:pStyle w:val="TeachingBullet"/>
        <w:widowControl w:val="1"/>
      </w:pPr>
      <w:r>
        <w:t>Takaful is built around cooperative risk sharing and participant contributions under a managed structure. Its conceptual difference from conventional insurance should be explained through structure rather than slogans.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call every Islamic banking product “profit-and-loss sharing.” Some structures are sales or leases and allocate risk differently.</w:t>
            </w:r>
          </w:p>
        </w:tc>
      </w:tr>
    </w:tbl>
    <w:p>
      <w:pPr>
        <w:pStyle w:val="Heading3"/>
        <w:widowControl w:val="1"/>
      </w:pPr>
      <w:r>
        <w:t>Preparation and Answer Use</w:t>
      </w:r>
    </w:p>
    <w:p>
      <w:pPr>
        <w:pStyle w:val="TeachingBullet"/>
        <w:widowControl w:val="1"/>
      </w:pPr>
      <w:r>
        <w:t>Prepare each mode with parties, asset/capital flow, profit/rent and main risk.</w:t>
      </w:r>
    </w:p>
    <w:p>
      <w:pPr>
        <w:pStyle w:val="TeachingBullet"/>
        <w:widowControl w:val="1"/>
      </w:pPr>
      <w:r>
        <w:t>Do not describe every Islamic-finance product as profit-and-loss sharing; structures differ.</w:t>
      </w:r>
    </w:p>
    <w:p>
      <w:pPr>
        <w:pStyle w:val="TeachingBullet"/>
        <w:widowControl w:val="1"/>
      </w:pPr>
      <w:r>
        <w:t>Use current SBP/SECP material for Pakistan-specific regulation if needed.</w:t>
      </w:r>
    </w:p>
    <w:p>
      <w:pPr>
        <w:pStyle w:val="Heading3"/>
        <w:widowControl w:val="1"/>
      </w:pPr>
      <w:r>
        <w:t>Key Takeaways</w:t>
      </w:r>
    </w:p>
    <w:p>
      <w:pPr>
        <w:pStyle w:val="TakeawayBullet"/>
        <w:widowControl w:val="1"/>
      </w:pPr>
      <w:r>
        <w:t>Murabaha is cost-plus sale, not a cash loan label.</w:t>
      </w:r>
    </w:p>
    <w:p>
      <w:pPr>
        <w:pStyle w:val="TakeawayBullet"/>
        <w:widowControl w:val="1"/>
      </w:pPr>
      <w:r>
        <w:t>Mudarabah separates capital provision and management roles.</w:t>
      </w:r>
    </w:p>
    <w:p>
      <w:pPr>
        <w:pStyle w:val="TakeawayBullet"/>
        <w:widowControl w:val="1"/>
      </w:pPr>
      <w:r>
        <w:t>Musharakah involves partnership participation.</w:t>
      </w:r>
    </w:p>
    <w:p>
      <w:pPr>
        <w:pStyle w:val="TakeawayBullet"/>
        <w:widowControl w:val="1"/>
      </w:pPr>
      <w:r>
        <w:t>Ijara is lease-based.</w:t>
      </w:r>
    </w:p>
    <w:p>
      <w:pPr>
        <w:pStyle w:val="TakeawayBullet"/>
        <w:widowControl w:val="1"/>
      </w:pPr>
      <w:r>
        <w:t>Takaful is organized around mutual/cooperative risk sharing.</w:t>
      </w:r>
    </w:p>
    <w:p>
      <w:pPr>
        <w:spacing w:after="20"/>
        <w:pBdr>
          <w:bottom w:val="single" w:sz="4" w:space="1" w:color="D9E2F3"/>
        </w:pBdr>
        <w:widowControl w:val="1"/>
      </w:pPr>
    </w:p>
    <w:p>
      <w:pPr>
        <w:pStyle w:val="Heading2"/>
        <w:widowControl w:val="1"/>
      </w:pPr>
      <w:r>
        <w:t>7. Islamic International Law</w:t>
      </w:r>
    </w:p>
    <w:p>
      <w:pPr>
        <w:pStyle w:val="Heading3"/>
        <w:widowControl w:val="1"/>
      </w:pPr>
      <w:r>
        <w:t>Official Syllabus Focus</w:t>
      </w:r>
    </w:p>
    <w:p>
      <w:pPr>
        <w:pStyle w:val="FocusBullet"/>
        <w:widowControl w:val="1"/>
      </w:pPr>
      <w:r>
        <w:t>Islamic international law</w:t>
      </w:r>
    </w:p>
    <w:p>
      <w:pPr>
        <w:pStyle w:val="Heading3"/>
        <w:widowControl w:val="1"/>
      </w:pPr>
      <w:r>
        <w:t>Introduction and Scope</w:t>
      </w:r>
    </w:p>
    <w:p>
      <w:pPr>
        <w:pStyle w:val="TopicIntro"/>
        <w:widowControl w:val="1"/>
      </w:pPr>
      <w:r>
        <w:t>This topic studies classical Islamic legal thought concerning relations between political communities, treaties, peace, conflict and protection of persons.</w:t>
      </w:r>
    </w:p>
    <w:p>
      <w:pPr>
        <w:pStyle w:val="TopicIntro"/>
        <w:widowControl w:val="1"/>
      </w:pPr>
      <w:r>
        <w:t>Prepare the historical juristic categories carefully and avoid presenting medieval terminology as if it automatically maps onto the modern UN system. Strong answers compare principles such as treaty fidelity, protection, conduct of hostilities and peaceful relations with modern international law.</w:t>
      </w:r>
    </w:p>
    <w:p>
      <w:pPr>
        <w:pStyle w:val="Heading3"/>
        <w:widowControl w:val="1"/>
      </w:pPr>
      <w:r>
        <w:t>Historical field and terminology</w:t>
      </w:r>
    </w:p>
    <w:p>
      <w:pPr>
        <w:widowControl w:val="1"/>
      </w:pPr>
      <w:r>
        <w:t>Classical Muslim jurists developed rules concerning relations with other political communities, treaties, protection of envoys, the conduct of hostilities and the status of persons across territories. The literature is often discussed under siyar. Its categories emerged in a pre-modern international order and should be interpreted in that historical setting.</w:t>
      </w:r>
    </w:p>
    <w:p>
      <w:pPr>
        <w:widowControl w:val="1"/>
      </w:pPr>
      <w:r>
        <w:t>Terms such as dar al-Islam and dar al-harb appear in parts of the classical literature, but their meanings and legal consequences varied across jurists and periods. They should not be mechanically mapped onto the modern state system.</w:t>
      </w:r>
    </w:p>
    <w:p>
      <w:pPr>
        <w:pStyle w:val="Heading3"/>
        <w:widowControl w:val="1"/>
      </w:pPr>
      <w:r>
        <w:t>Treaties, peace and protection</w:t>
      </w:r>
    </w:p>
    <w:p>
      <w:pPr>
        <w:widowControl w:val="1"/>
      </w:pPr>
      <w:r>
        <w:t>The tradition contains rules on agreements, safe-conduct, truces, protection of non-combatants and treatment of envoys. The principle that undertakings must be respected provides an important connection between classical legal ethics and modern treaty practice, though the doctrinal systems are not identical.</w:t>
      </w:r>
    </w:p>
    <w:p>
      <w:pPr>
        <w:widowControl w:val="1"/>
      </w:pPr>
      <w:r>
        <w:t>Today Muslim-majority states participate in the UN Charter system, treaty law and international humanitarian law. In an exam answer, the useful comparison is between historical juristic reasoning and the modern positive-law framework, not an attempt to substitute one vocabulary for the other.</w:t>
      </w:r>
    </w:p>
    <w:p>
      <w:pPr>
        <w:pStyle w:val="Heading3"/>
        <w:widowControl w:val="1"/>
      </w:pPr>
      <w:r>
        <w:t>War and humanitarian restraints</w:t>
      </w:r>
    </w:p>
    <w:p>
      <w:pPr>
        <w:widowControl w:val="1"/>
      </w:pPr>
      <w:r>
        <w:t>Classical discussions of armed conflict address authority, causes, conduct and protected persons. Modern scholarship often compares these norms with distinction, humane treatment and treaty obligations under contemporary humanitarian law. Such comparison must be precise: similarities in moral concern do not establish identical legal rules.</w:t>
      </w:r>
    </w:p>
    <w:p>
      <w:pPr>
        <w:widowControl w:val="1"/>
      </w:pPr>
      <w:r>
        <w:t>A mature answer distinguishes historical doctrine, contemporary international law and present-day political claims. That keeps the analysis academic rather than polemical.</w:t>
      </w:r>
    </w:p>
    <w:p>
      <w:pPr>
        <w:pStyle w:val="Heading3"/>
        <w:widowControl w:val="1"/>
      </w:pPr>
      <w:r>
        <w:t>Core Concepts Explained</w:t>
      </w:r>
    </w:p>
    <w:p>
      <w:pPr>
        <w:pStyle w:val="TeachingBullet"/>
        <w:widowControl w:val="1"/>
      </w:pPr>
      <w:r>
        <w:t>This topic concerns classical Muslim juristic thought on relations between political communities, treaties, peace, conflict, safe-conduct and treatment of persons across political boundaries.</w:t>
      </w:r>
    </w:p>
    <w:p>
      <w:pPr>
        <w:pStyle w:val="TeachingBullet"/>
        <w:widowControl w:val="1"/>
      </w:pPr>
      <w:r>
        <w:t>Historical classifications must be explained in their original juristic and political context. They should not be mechanically imposed on the modern international system of sovereign states and the UN Charter.</w:t>
      </w:r>
    </w:p>
    <w:p>
      <w:pPr>
        <w:pStyle w:val="TeachingBullet"/>
        <w:widowControl w:val="1"/>
      </w:pPr>
      <w:r>
        <w:t>Treaty fidelity, protection of envoys and civilians, rules of conduct during conflict and obligations of peace can be used as thematic bridges for comparison with modern international law.</w:t>
      </w:r>
    </w:p>
    <w:p>
      <w:pPr>
        <w:pStyle w:val="TeachingBullet"/>
        <w:widowControl w:val="1"/>
      </w:pPr>
      <w:r>
        <w:rPr>
          <w:b/>
        </w:rPr>
        <w:t>A strong answer compares concepts carefully:</w:t>
      </w:r>
      <w:r>
        <w:t xml:space="preserve"> identify the classical rule, its legal rationale, and then explain similarities or differences with contemporary international law.</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present medieval juristic categories as if they were modern treaty terminology. Historical context is essential.</w:t>
            </w:r>
          </w:p>
        </w:tc>
      </w:tr>
    </w:tbl>
    <w:p>
      <w:pPr>
        <w:pStyle w:val="Heading3"/>
        <w:widowControl w:val="1"/>
      </w:pPr>
      <w:r>
        <w:t>Preparation and Answer Use</w:t>
      </w:r>
    </w:p>
    <w:p>
      <w:pPr>
        <w:pStyle w:val="TeachingBullet"/>
        <w:widowControl w:val="1"/>
      </w:pPr>
      <w:r>
        <w:t>Use recognized classical concepts but explain historical context.</w:t>
      </w:r>
    </w:p>
    <w:p>
      <w:pPr>
        <w:pStyle w:val="TeachingBullet"/>
        <w:widowControl w:val="1"/>
      </w:pPr>
      <w:r>
        <w:t>Compare, do not conflate, classical doctrine and modern international law.</w:t>
      </w:r>
    </w:p>
    <w:p>
      <w:pPr>
        <w:pStyle w:val="Heading3"/>
        <w:widowControl w:val="1"/>
      </w:pPr>
      <w:r>
        <w:t>Key Takeaways</w:t>
      </w:r>
    </w:p>
    <w:p>
      <w:pPr>
        <w:pStyle w:val="TakeawayBullet"/>
        <w:widowControl w:val="1"/>
      </w:pPr>
      <w:r>
        <w:t>Treaties and good faith are important themes.</w:t>
      </w:r>
    </w:p>
    <w:p>
      <w:pPr>
        <w:pStyle w:val="TakeawayBullet"/>
        <w:widowControl w:val="1"/>
      </w:pPr>
      <w:r>
        <w:t>Protection of non-combatants and limits in conflict are important areas of comparative discussion.</w:t>
      </w:r>
    </w:p>
    <w:p>
      <w:pPr>
        <w:spacing w:after="20"/>
        <w:pBdr>
          <w:bottom w:val="single" w:sz="4" w:space="1" w:color="D9E2F3"/>
        </w:pBdr>
        <w:widowControl w:val="1"/>
      </w:pPr>
    </w:p>
    <w:p>
      <w:pPr>
        <w:pStyle w:val="Heading2"/>
        <w:widowControl w:val="1"/>
      </w:pPr>
      <w:r>
        <w:t>8. Islamic Law and Human Rights</w:t>
      </w:r>
    </w:p>
    <w:p>
      <w:pPr>
        <w:pStyle w:val="Heading3"/>
        <w:widowControl w:val="1"/>
      </w:pPr>
      <w:r>
        <w:t>Official Syllabus Focus</w:t>
      </w:r>
    </w:p>
    <w:p>
      <w:pPr>
        <w:pStyle w:val="FocusBullet"/>
        <w:widowControl w:val="1"/>
      </w:pPr>
      <w:r>
        <w:t>Islamic law and human rights</w:t>
      </w:r>
    </w:p>
    <w:p>
      <w:pPr>
        <w:pStyle w:val="Heading3"/>
        <w:widowControl w:val="1"/>
      </w:pPr>
      <w:r>
        <w:t>Introduction and Scope</w:t>
      </w:r>
    </w:p>
    <w:p>
      <w:pPr>
        <w:pStyle w:val="TopicIntro"/>
        <w:widowControl w:val="1"/>
      </w:pPr>
      <w:r>
        <w:t>This topic asks how Islamic legal and ethical principles address human dignity, justice, life, property, family, equality, welfare and freedom, and how these relate to modern human-rights discourse.</w:t>
      </w:r>
    </w:p>
    <w:p>
      <w:pPr>
        <w:pStyle w:val="TopicIntro"/>
        <w:widowControl w:val="1"/>
      </w:pPr>
      <w:r>
        <w:t>Prepare rights together with duties and public interest. Use primary Islamic principles carefully and distinguish universal normative claims from the diverse legal systems of Muslim-majority states.</w:t>
      </w:r>
    </w:p>
    <w:p>
      <w:pPr>
        <w:pStyle w:val="Heading3"/>
        <w:widowControl w:val="1"/>
      </w:pPr>
      <w:r>
        <w:t>Rights, duties and human dignity</w:t>
      </w:r>
    </w:p>
    <w:p>
      <w:pPr>
        <w:widowControl w:val="1"/>
      </w:pPr>
      <w:r>
        <w:t>Islamic legal and ethical thought contains strong concepts of human dignity, protection of life and property, family obligations, justice, due process and responsibility toward vulnerable persons. Rights are often discussed together with duties and communal obligations rather than solely through the language of individual autonomy.</w:t>
      </w:r>
    </w:p>
    <w:p>
      <w:pPr>
        <w:widowControl w:val="1"/>
      </w:pPr>
      <w:r>
        <w:t>There is no single modern “Islamic human-rights theory” accepted by all scholars. Interpretations differ over methodology, the role of classical fiqh, constitutional law, international treaties and changing social conditions.</w:t>
      </w:r>
    </w:p>
    <w:p>
      <w:pPr>
        <w:pStyle w:val="Heading3"/>
        <w:widowControl w:val="1"/>
      </w:pPr>
      <w:r>
        <w:t>Areas of convergence and debate</w:t>
      </w:r>
    </w:p>
    <w:p>
      <w:pPr>
        <w:widowControl w:val="1"/>
      </w:pPr>
      <w:r>
        <w:t>Many protections—such as the value of life, property, fair dealing and opposition to arbitrary harm—can be discussed in ways that converge with modern rights discourse. More difficult debates concern equality, family law, freedom of religion, criminal penalties and the relationship between religious norms and state law. These require careful treatment of both the Islamic legal arguments and the international legal standards involved.</w:t>
      </w:r>
    </w:p>
    <w:p>
      <w:pPr>
        <w:widowControl w:val="1"/>
      </w:pPr>
      <w:r>
        <w:t>An academically fair answer identifies the source of each position and avoids presenting a disputed interpretation as the only possible Islamic view.</w:t>
      </w:r>
    </w:p>
    <w:p>
      <w:pPr>
        <w:pStyle w:val="Heading3"/>
        <w:widowControl w:val="1"/>
      </w:pPr>
      <w:r>
        <w:t>Method for examination answers</w:t>
      </w:r>
    </w:p>
    <w:p>
      <w:pPr>
        <w:widowControl w:val="1"/>
      </w:pPr>
      <w:r>
        <w:t>Begin with the relevant Islamic principle, then explain its classical juristic treatment, contemporary interpretation and interaction with Pakistan’s constitutional framework or international human-rights obligations where relevant. Separate descriptive law from normative argument.</w:t>
      </w:r>
    </w:p>
    <w:p>
      <w:pPr>
        <w:widowControl w:val="1"/>
      </w:pPr>
      <w:r>
        <w:t>The best answers are specific. “Islam protects all rights” is too general, while “Islamic law is incompatible with human rights” is equally overbroad. The task is to analyse particular rights, doctrines and interpretive approaches.</w:t>
      </w:r>
    </w:p>
    <w:p>
      <w:pPr>
        <w:pStyle w:val="Heading3"/>
        <w:widowControl w:val="1"/>
      </w:pPr>
      <w:r>
        <w:t>Core Concepts Explained</w:t>
      </w:r>
    </w:p>
    <w:p>
      <w:pPr>
        <w:pStyle w:val="TeachingBullet"/>
        <w:widowControl w:val="1"/>
      </w:pPr>
      <w:r>
        <w:t>Organize the topic around substantive rights and the legal-ethical principles supporting them: dignity, life, justice, property, family, welfare, minority protection and protection from arbitrary harm.</w:t>
      </w:r>
    </w:p>
    <w:p>
      <w:pPr>
        <w:pStyle w:val="TeachingBullet"/>
        <w:widowControl w:val="1"/>
      </w:pPr>
      <w:r>
        <w:t>Islamic legal thought often links rights with duties, social responsibility and public welfare. This differs in emphasis from some modern rights discourse but can be compared analytically.</w:t>
      </w:r>
    </w:p>
    <w:p>
      <w:pPr>
        <w:pStyle w:val="TeachingBullet"/>
        <w:widowControl w:val="1"/>
      </w:pPr>
      <w:r>
        <w:t>Use primary texts only where wording is verified. Otherwise explain the legal principle without inventing quotations or verse translations.</w:t>
      </w:r>
    </w:p>
    <w:p>
      <w:pPr>
        <w:pStyle w:val="TeachingBullet"/>
        <w:widowControl w:val="1"/>
      </w:pPr>
      <w:r>
        <w:t>Contemporary debates often concern interpretation, institutional enforcement and the relationship between classical jurisprudence, modern constitutions and international human-rights standards.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answer with only general praise or criticism. The paper requires legal concepts, sources, interpretive issues and practical implementation.</w:t>
            </w:r>
          </w:p>
        </w:tc>
      </w:tr>
    </w:tbl>
    <w:p>
      <w:pPr>
        <w:pStyle w:val="Heading3"/>
        <w:widowControl w:val="1"/>
      </w:pPr>
      <w:r>
        <w:t>Preparation and Answer Use</w:t>
      </w:r>
    </w:p>
    <w:p>
      <w:pPr>
        <w:pStyle w:val="TeachingBullet"/>
        <w:widowControl w:val="1"/>
      </w:pPr>
      <w:r>
        <w:rPr>
          <w:b/>
        </w:rPr>
        <w:t>Organize by right:</w:t>
      </w:r>
      <w:r>
        <w:t xml:space="preserve"> dignity, life, property, justice, family, minority protection, welfare.</w:t>
      </w:r>
    </w:p>
    <w:p>
      <w:pPr>
        <w:pStyle w:val="TeachingBullet"/>
        <w:widowControl w:val="1"/>
      </w:pPr>
      <w:r>
        <w:t>Use authentic references only if you can cite them accurately.</w:t>
      </w:r>
    </w:p>
    <w:p>
      <w:pPr>
        <w:pStyle w:val="TeachingBullet"/>
        <w:widowControl w:val="1"/>
      </w:pPr>
      <w:r>
        <w:t>Add contemporary comparison without polemics.</w:t>
      </w:r>
    </w:p>
    <w:p>
      <w:pPr>
        <w:pStyle w:val="Heading3"/>
        <w:widowControl w:val="1"/>
      </w:pPr>
      <w:r>
        <w:t>Key Takeaways</w:t>
      </w:r>
    </w:p>
    <w:p>
      <w:pPr>
        <w:pStyle w:val="TakeawayBullet"/>
        <w:widowControl w:val="1"/>
      </w:pPr>
      <w:r>
        <w:t>Human dignity and justice are central normative themes.</w:t>
      </w:r>
    </w:p>
    <w:p>
      <w:pPr>
        <w:pStyle w:val="TakeawayBullet"/>
        <w:widowControl w:val="1"/>
      </w:pPr>
      <w:r>
        <w:t>Rights analysis should include procedure and remedies, not slogans only.</w:t>
      </w:r>
    </w:p>
    <w:p>
      <w:pPr>
        <w:pStyle w:val="TakeawayBullet"/>
        <w:widowControl w:val="1"/>
      </w:pPr>
      <w:r>
        <w:t>Modern debates often concern interpretation and implementation.</w:t>
      </w:r>
    </w:p>
    <w:p>
      <w:pPr>
        <w:spacing w:after="20"/>
        <w:pBdr>
          <w:bottom w:val="single" w:sz="4" w:space="1" w:color="D9E2F3"/>
        </w:pBdr>
        <w:widowControl w:val="1"/>
      </w:pPr>
    </w:p>
    <w:p>
      <w:pPr>
        <w:pStyle w:val="Heading2"/>
        <w:widowControl w:val="1"/>
      </w:pPr>
      <w:r>
        <w:t>9. Dissolution of Muslim Marriages Act, 1939</w:t>
      </w:r>
    </w:p>
    <w:p>
      <w:pPr>
        <w:pStyle w:val="Heading3"/>
        <w:widowControl w:val="1"/>
      </w:pPr>
      <w:r>
        <w:t>Official Syllabus Focus</w:t>
      </w:r>
    </w:p>
    <w:p>
      <w:pPr>
        <w:pStyle w:val="FocusBullet"/>
        <w:widowControl w:val="1"/>
      </w:pPr>
      <w:r>
        <w:t>Dissolution of Muslim Marriages Act, 1939</w:t>
      </w:r>
    </w:p>
    <w:p>
      <w:pPr>
        <w:pStyle w:val="Heading3"/>
        <w:widowControl w:val="1"/>
      </w:pPr>
      <w:r>
        <w:t>Introduction and Scope</w:t>
      </w:r>
    </w:p>
    <w:p>
      <w:pPr>
        <w:pStyle w:val="TopicIntro"/>
        <w:widowControl w:val="1"/>
      </w:pPr>
      <w:r>
        <w:t>This statute provides legally recognized grounds on which a Muslim woman may seek judicial dissolution of marriage in the circumstances defined by law.</w:t>
      </w:r>
    </w:p>
    <w:p>
      <w:pPr>
        <w:pStyle w:val="TopicIntro"/>
        <w:widowControl w:val="1"/>
      </w:pPr>
      <w:r>
        <w:t>The exam focus should be the purpose of the Act, statutory grounds for dissolution, procedural use, and interaction with broader Muslim family law. Exact grounds must be learned from the current official text rather than paraphrased from memory.</w:t>
      </w:r>
    </w:p>
    <w:p>
      <w:pPr>
        <w:pStyle w:val="SourceNote"/>
        <w:widowControl w:val="1"/>
      </w:pPr>
      <w:r>
        <w:t>Primary authority: Dissolution of Muslim Marriages Act, 1939, current official text on Pakistan Code/Gazette.</w:t>
      </w:r>
    </w:p>
    <w:p>
      <w:pPr>
        <w:pStyle w:val="Heading3"/>
        <w:widowControl w:val="1"/>
      </w:pPr>
      <w:r>
        <w:t>Purpose and legal significance</w:t>
      </w:r>
    </w:p>
    <w:p>
      <w:pPr>
        <w:widowControl w:val="1"/>
      </w:pPr>
      <w:r>
        <w:t>The Dissolution of Muslim Marriages Act, 1939 is a statutory mechanism enabling a Muslim woman to seek judicial dissolution on specified grounds. It is therefore best studied as a list of legally defined grounds plus the conditions attached to them, not as a general essay on divorce.</w:t>
      </w:r>
    </w:p>
    <w:p>
      <w:pPr>
        <w:widowControl w:val="1"/>
      </w:pPr>
      <w:r>
        <w:t>The Act remains listed in Pakistan’s official legal database. Because the precise statutory language controls the result, students should verify the current bare Act and any applicable amendments or judicial interpretation before relying on memorized summaries.</w:t>
      </w:r>
    </w:p>
    <w:p>
      <w:pPr>
        <w:pStyle w:val="Heading3"/>
        <w:widowControl w:val="1"/>
      </w:pPr>
      <w:r>
        <w:t>How to analyse a statutory ground</w:t>
      </w:r>
    </w:p>
    <w:p>
      <w:pPr>
        <w:widowControl w:val="1"/>
      </w:pPr>
      <w:r>
        <w:t>For each ground, identify: the factual condition that must exist; any minimum period stated by the statute; whether an exception or explanation applies; and what evidence could establish the condition. This converts memorization into legal reasoning.</w:t>
      </w:r>
    </w:p>
    <w:p>
      <w:pPr>
        <w:widowControl w:val="1"/>
      </w:pPr>
      <w:r>
        <w:t>Grounds historically associated with the Act include disappearance of the husband, failure to maintain, imprisonment, failure of marital obligations, impotence, insanity or serious disease in the statutory formulation, cruelty, and other recognized grounds. The exact wording and current legal effect should be taken from the statute rather than from a loose list.</w:t>
      </w:r>
    </w:p>
    <w:p>
      <w:pPr>
        <w:pStyle w:val="Heading3"/>
        <w:widowControl w:val="1"/>
      </w:pPr>
      <w:r>
        <w:t>Relationship with other family-law routes</w:t>
      </w:r>
    </w:p>
    <w:p>
      <w:pPr>
        <w:widowControl w:val="1"/>
      </w:pPr>
      <w:r>
        <w:t>Judicial dissolution under the 1939 Act should be distinguished from talaq and from khula as developed in Pakistani law. These routes may overlap in the practical problem of ending a marriage but rest on different legal foundations and procedures.</w:t>
      </w:r>
    </w:p>
    <w:p>
      <w:pPr>
        <w:widowControl w:val="1"/>
      </w:pPr>
      <w:r>
        <w:t>In a problem question, first identify the route actually invoked, then apply its own elements. Do not answer a statutory-ground question only by describing classical divorce doctrine.</w:t>
      </w:r>
    </w:p>
    <w:p>
      <w:pPr>
        <w:pStyle w:val="Heading3"/>
        <w:widowControl w:val="1"/>
      </w:pPr>
      <w:r>
        <w:t>Core Concepts Explained</w:t>
      </w:r>
    </w:p>
    <w:p>
      <w:pPr>
        <w:pStyle w:val="TeachingBullet"/>
        <w:widowControl w:val="1"/>
      </w:pPr>
      <w:r>
        <w:t>The Act creates a statutory judicial route through which a Muslim woman may seek dissolution on grounds defined by law. It should therefore be studied as a rights-and-remedies statute.</w:t>
      </w:r>
    </w:p>
    <w:p>
      <w:pPr>
        <w:pStyle w:val="TeachingBullet"/>
        <w:widowControl w:val="1"/>
      </w:pPr>
      <w:r>
        <w:t>Each statutory ground has its own factual conditions. In preparation, write the exact ground in one column and the facts that must be proved in another.</w:t>
      </w:r>
    </w:p>
    <w:p>
      <w:pPr>
        <w:pStyle w:val="TeachingBullet"/>
        <w:widowControl w:val="1"/>
      </w:pPr>
      <w:r>
        <w:t>Judicial dissolution means the marriage is ended through a court decree on a legally recognized ground. This is conceptually different from extra-judicial modes of dissolution.</w:t>
      </w:r>
    </w:p>
    <w:p>
      <w:pPr>
        <w:pStyle w:val="TeachingBullet"/>
        <w:widowControl w:val="1"/>
      </w:pPr>
      <w:r>
        <w:t>Where a question asks for application, match the wife's facts to the particular statutory ground instead of writing a general essay on divorce in Islam.</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paraphrase statutory grounds so loosely that their legal conditions disappear. The operative wording should be checked from the current bare Act.</w:t>
            </w:r>
          </w:p>
        </w:tc>
      </w:tr>
    </w:tbl>
    <w:p>
      <w:pPr>
        <w:pStyle w:val="Heading3"/>
        <w:widowControl w:val="1"/>
      </w:pPr>
      <w:r>
        <w:t>Preparation and Answer Use</w:t>
      </w:r>
    </w:p>
    <w:p>
      <w:pPr>
        <w:pStyle w:val="TeachingBullet"/>
        <w:widowControl w:val="1"/>
      </w:pPr>
      <w:r>
        <w:t>Read the current bare act and make a table of grounds.</w:t>
      </w:r>
    </w:p>
    <w:p>
      <w:pPr>
        <w:pStyle w:val="TeachingBullet"/>
        <w:widowControl w:val="1"/>
      </w:pPr>
      <w:r>
        <w:t>Group grounds into absence/failure of maintenance/imprisonment/marital obligations/ill-treatment and other statutory categories only after checking exact wording.</w:t>
      </w:r>
    </w:p>
    <w:p>
      <w:pPr>
        <w:pStyle w:val="TeachingBullet"/>
        <w:widowControl w:val="1"/>
      </w:pPr>
      <w:r>
        <w:t>Prepare the distinction between judicial dissolution and extra-judicial modes.</w:t>
      </w:r>
    </w:p>
    <w:p>
      <w:pPr>
        <w:pStyle w:val="Heading3"/>
        <w:widowControl w:val="1"/>
      </w:pPr>
      <w:r>
        <w:t>Key Takeaways</w:t>
      </w:r>
    </w:p>
    <w:p>
      <w:pPr>
        <w:pStyle w:val="TakeawayBullet"/>
        <w:widowControl w:val="1"/>
      </w:pPr>
      <w:r>
        <w:t>It is a statutory route to judicial dissolution.</w:t>
      </w:r>
    </w:p>
    <w:p>
      <w:pPr>
        <w:pStyle w:val="TakeawayBullet"/>
        <w:widowControl w:val="1"/>
      </w:pPr>
      <w:r>
        <w:t>Each ground has legal conditions that must be proved.</w:t>
      </w:r>
    </w:p>
    <w:p>
      <w:pPr>
        <w:pStyle w:val="TakeawayBullet"/>
        <w:widowControl w:val="1"/>
      </w:pPr>
      <w:r>
        <w:t>Do not replace statutory wording with loose generalizations.</w:t>
      </w:r>
    </w:p>
    <w:p>
      <w:pPr>
        <w:spacing w:after="20"/>
        <w:pBdr>
          <w:bottom w:val="single" w:sz="4" w:space="1" w:color="D9E2F3"/>
        </w:pBdr>
        <w:widowControl w:val="1"/>
      </w:pPr>
    </w:p>
    <w:p>
      <w:pPr>
        <w:pStyle w:val="Heading2"/>
        <w:widowControl w:val="1"/>
      </w:pPr>
      <w:r>
        <w:t>10. Muslim Family Laws Ordinance, 1961</w:t>
      </w:r>
    </w:p>
    <w:p>
      <w:pPr>
        <w:pStyle w:val="Heading3"/>
        <w:widowControl w:val="1"/>
      </w:pPr>
      <w:r>
        <w:t>Official Syllabus Focus</w:t>
      </w:r>
    </w:p>
    <w:p>
      <w:pPr>
        <w:pStyle w:val="FocusBullet"/>
        <w:widowControl w:val="1"/>
      </w:pPr>
      <w:r>
        <w:t>Muslim Family Laws Ordinance, 1961</w:t>
      </w:r>
    </w:p>
    <w:p>
      <w:pPr>
        <w:pStyle w:val="Heading3"/>
        <w:widowControl w:val="1"/>
      </w:pPr>
      <w:r>
        <w:t>Introduction and Scope</w:t>
      </w:r>
    </w:p>
    <w:p>
      <w:pPr>
        <w:pStyle w:val="TopicIntro"/>
        <w:widowControl w:val="1"/>
      </w:pPr>
      <w:r>
        <w:t>The MFLO 1961 introduced statutory regulation in important areas of Muslim family law in Pakistan.</w:t>
      </w:r>
    </w:p>
    <w:p>
      <w:pPr>
        <w:pStyle w:val="TopicIntro"/>
        <w:widowControl w:val="1"/>
      </w:pPr>
      <w:r>
        <w:t>Study registration of marriage, regulation of polygamy, talaq procedure, maintenance and succession-related provisions that the Ordinance addresses. Exact statutory requirements and current judicial interpretation should come from the official text and case law.</w:t>
      </w:r>
    </w:p>
    <w:p>
      <w:pPr>
        <w:pStyle w:val="SourceNote"/>
        <w:widowControl w:val="1"/>
      </w:pPr>
      <w:r>
        <w:t>Primary authority: Muslim Family Laws Ordinance, 1961, current official text and applicable case law.</w:t>
      </w:r>
    </w:p>
    <w:p>
      <w:pPr>
        <w:pStyle w:val="Heading3"/>
        <w:widowControl w:val="1"/>
      </w:pPr>
      <w:r>
        <w:t>Why the Ordinance matters</w:t>
      </w:r>
    </w:p>
    <w:p>
      <w:pPr>
        <w:widowControl w:val="1"/>
      </w:pPr>
      <w:r>
        <w:t>The Muslim Family Laws Ordinance, 1961 is a central Pakistani statute regulating particular aspects of Muslim family law. It does not replace the whole body of Muslim personal law; rather, it introduces statutory rules and procedures in selected areas. The official Pakistan Code remains a primary starting point for its current federal text.</w:t>
      </w:r>
    </w:p>
    <w:p>
      <w:pPr>
        <w:widowControl w:val="1"/>
      </w:pPr>
      <w:r>
        <w:t>Its examination importance lies in the interaction between classical rules and statutory administration. Students must know when a matter is governed by the Ordinance and when broader Muslim law or another statute supplies the rule.</w:t>
      </w:r>
    </w:p>
    <w:p>
      <w:pPr>
        <w:pStyle w:val="Heading3"/>
        <w:widowControl w:val="1"/>
      </w:pPr>
      <w:r>
        <w:t>Core regulatory areas</w:t>
      </w:r>
    </w:p>
    <w:p>
      <w:pPr>
        <w:widowControl w:val="1"/>
      </w:pPr>
      <w:r>
        <w:t>The Ordinance is commonly studied for marriage registration, restrictions and procedure concerning a subsequent marriage, the notice-and-reconciliation procedure associated with talaq, maintenance-related mechanisms and the rule dealing with succession by children of a predeceased son or daughter. Each area should be learned through the statutory mechanism rather than through slogans.</w:t>
      </w:r>
    </w:p>
    <w:p>
      <w:pPr>
        <w:widowControl w:val="1"/>
      </w:pPr>
      <w:r>
        <w:t>For talaq, the crucial analytical point is that Pakistani law adds formal notice and a statutory process. A bare statement that “talaq takes effect immediately” therefore fails to address the statutory scheme.</w:t>
      </w:r>
    </w:p>
    <w:p>
      <w:pPr>
        <w:pStyle w:val="Heading3"/>
        <w:widowControl w:val="1"/>
      </w:pPr>
      <w:r>
        <w:t>Problem-question method</w:t>
      </w:r>
    </w:p>
    <w:p>
      <w:pPr>
        <w:widowControl w:val="1"/>
      </w:pPr>
      <w:r>
        <w:t>Identify the event—marriage, subsequent marriage, talaq, maintenance dispute or succession issue—then ask which provision of the Ordinance regulates it, what formal step is required, which authority is involved, and what consequence follows from compliance or non-compliance.</w:t>
      </w:r>
    </w:p>
    <w:p>
      <w:pPr>
        <w:widowControl w:val="1"/>
      </w:pPr>
      <w:r>
        <w:t>Because family law can also be affected by provincial procedure and case law, use the latest bare statute and authoritative judgments for exact litigation questions.</w:t>
      </w:r>
    </w:p>
    <w:p>
      <w:pPr>
        <w:pStyle w:val="Heading3"/>
        <w:widowControl w:val="1"/>
      </w:pPr>
      <w:r>
        <w:t>Core Concepts Explained</w:t>
      </w:r>
    </w:p>
    <w:p>
      <w:pPr>
        <w:pStyle w:val="TeachingBullet"/>
        <w:widowControl w:val="1"/>
      </w:pPr>
      <w:r>
        <w:t>The MFLO is a Pakistani statutory intervention in family law. The examiner therefore expects legal procedure and institutional requirements, not only classical fiqh.</w:t>
      </w:r>
    </w:p>
    <w:p>
      <w:pPr>
        <w:pStyle w:val="TeachingBullet"/>
        <w:widowControl w:val="1"/>
      </w:pPr>
      <w:r>
        <w:t>Prepare the Ordinance provision-by-provision around practical events: registration of marriage, additional marriage/polygamy regulation, talaq procedure, maintenance and the succession-related issue addressed by the statute.</w:t>
      </w:r>
    </w:p>
    <w:p>
      <w:pPr>
        <w:pStyle w:val="TeachingBullet"/>
        <w:widowControl w:val="1"/>
      </w:pPr>
      <w:r>
        <w:rPr>
          <w:b/>
        </w:rPr>
        <w:t>For every provision ask:</w:t>
      </w:r>
      <w:r>
        <w:t xml:space="preserve"> Who must do what? Before which authority? Within what procedural framework? What is the legal consequence of compliance or non-compliance?</w:t>
      </w:r>
    </w:p>
    <w:p>
      <w:pPr>
        <w:pStyle w:val="TeachingBullet"/>
        <w:widowControl w:val="1"/>
      </w:pPr>
      <w:r>
        <w:t>When writing, clearly distinguish the statutory rule from broader Muslim family-law principles that may come from other legislation or case law.</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assume that stating the classical rule answers an MFLO question. The topic is specifically about Pakistani statutory regulation.</w:t>
            </w:r>
          </w:p>
        </w:tc>
      </w:tr>
    </w:tbl>
    <w:p>
      <w:pPr>
        <w:pStyle w:val="Heading3"/>
        <w:widowControl w:val="1"/>
      </w:pPr>
      <w:r>
        <w:t>Preparation and Answer Use</w:t>
      </w:r>
    </w:p>
    <w:p>
      <w:pPr>
        <w:pStyle w:val="TeachingBullet"/>
        <w:widowControl w:val="1"/>
      </w:pPr>
      <w:r>
        <w:t>Make a provision-wise one-page chart.</w:t>
      </w:r>
    </w:p>
    <w:p>
      <w:pPr>
        <w:pStyle w:val="TeachingBullet"/>
        <w:widowControl w:val="1"/>
      </w:pPr>
      <w:r>
        <w:t>Pay special attention to statutory procedure rather than only classical doctrine.</w:t>
      </w:r>
    </w:p>
    <w:p>
      <w:pPr>
        <w:pStyle w:val="TeachingBullet"/>
        <w:widowControl w:val="1"/>
      </w:pPr>
      <w:r>
        <w:t>Revise the relationship between MFLO and family-court practice.</w:t>
      </w:r>
    </w:p>
    <w:p>
      <w:pPr>
        <w:pStyle w:val="Heading3"/>
        <w:widowControl w:val="1"/>
      </w:pPr>
      <w:r>
        <w:t>Key Takeaways</w:t>
      </w:r>
    </w:p>
    <w:p>
      <w:pPr>
        <w:pStyle w:val="TakeawayBullet"/>
        <w:widowControl w:val="1"/>
      </w:pPr>
      <w:r>
        <w:t>MFLO is Pakistani statutory law, so procedure matters.</w:t>
      </w:r>
    </w:p>
    <w:p>
      <w:pPr>
        <w:pStyle w:val="TakeawayBullet"/>
        <w:widowControl w:val="1"/>
      </w:pPr>
      <w:r>
        <w:t>Failure to follow statutory requirements can have legal consequences.</w:t>
      </w:r>
    </w:p>
    <w:p>
      <w:pPr>
        <w:pStyle w:val="TakeawayBullet"/>
        <w:widowControl w:val="1"/>
      </w:pPr>
      <w:r>
        <w:t>Separate what the Ordinance expressly provides from broader family-law rules.</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Pakistan Code — Dissolution of Muslim Marriages Act, 1939 and Muslim Family Laws Ordinance, 1961 — </w:t>
      </w:r>
      <w:hyperlink r:id="rId11">
        <w:r>
          <w:rPr>
            <w:color w:val="1F4E79"/>
            <w:u w:val="single"/>
          </w:rPr>
          <w:t>https://pakistancode.gov.pk/</w:t>
        </w:r>
      </w:hyperlink>
    </w:p>
    <w:p>
      <w:pPr>
        <w:pStyle w:val="Reference"/>
        <w:widowControl w:val="1"/>
      </w:pPr>
      <w:r>
        <w:t xml:space="preserve">• State Bank of Pakistan — Islamic Banking and Shariah Governance material — </w:t>
      </w:r>
      <w:hyperlink r:id="rId19">
        <w:r>
          <w:rPr>
            <w:color w:val="1F4E79"/>
            <w:u w:val="single"/>
          </w:rPr>
          <w:t>https://www.sbp.org.pk/ibd/</w:t>
        </w:r>
      </w:hyperlink>
    </w:p>
    <w:p>
      <w:pPr>
        <w:pStyle w:val="Reference"/>
        <w:widowControl w:val="1"/>
      </w:pPr>
      <w:r>
        <w:t xml:space="preserve">• AAOIFI — Shariah standards and Islamic finance standard-setting — </w:t>
      </w:r>
      <w:hyperlink r:id="rId20">
        <w:r>
          <w:rPr>
            <w:color w:val="1F4E79"/>
            <w:u w:val="single"/>
          </w:rPr>
          <w:t>https://aaoifi.com/</w:t>
        </w:r>
      </w:hyperlink>
    </w:p>
    <w:p>
      <w:pPr>
        <w:widowControl w:val="1"/>
      </w:pPr>
      <w:r>
        <w:br w:type="page"/>
      </w:r>
    </w:p>
    <w:p>
      <w:pPr>
        <w:pStyle w:val="Heading1"/>
        <w:widowControl w:val="1"/>
      </w:pPr>
      <w:r>
        <w:t>5. MERCANTILE LAW (Code 42)</w:t>
      </w:r>
    </w:p>
    <w:p>
      <w:pPr>
        <w:widowControl w:val="1"/>
      </w:pPr>
      <w:r>
        <w:t>Mercantile Law is a commercial-law paper built around ten statutes/areas in the FPSC syllabus. It is highly manageable when studied through definitions, essentials, distinctions, rights/duties and remedies.</w:t>
      </w:r>
    </w:p>
    <w:p>
      <w:pPr>
        <w:pStyle w:val="Heading2"/>
        <w:widowControl w:val="1"/>
      </w:pPr>
      <w:r>
        <w:t>How to Study This Subject</w:t>
      </w:r>
    </w:p>
    <w:p>
      <w:pPr>
        <w:pStyle w:val="TeachingBullet"/>
        <w:widowControl w:val="1"/>
      </w:pPr>
      <w:r>
        <w:t>For every statute, memorize definitions last; understand the transaction first.</w:t>
      </w:r>
    </w:p>
    <w:p>
      <w:pPr>
        <w:pStyle w:val="TeachingBullet"/>
        <w:widowControl w:val="1"/>
      </w:pPr>
      <w:r>
        <w:t>Practice distinctions because FPSC frequently asks them.</w:t>
      </w:r>
    </w:p>
    <w:p>
      <w:pPr>
        <w:pStyle w:val="TeachingBullet"/>
        <w:widowControl w:val="1"/>
      </w:pPr>
      <w:r>
        <w:t>Use current bare acts for section numbers and amendments.</w:t>
      </w:r>
    </w:p>
    <w:p>
      <w:pPr>
        <w:pStyle w:val="TeachingBullet"/>
        <w:widowControl w:val="1"/>
      </w:pPr>
      <w:r>
        <w:t>Where the old FPSC text names a repealed statute, preserve the syllabus concept but read the current law.</w:t>
      </w:r>
    </w:p>
    <w:p>
      <w:pPr>
        <w:pStyle w:val="Heading3"/>
        <w:widowControl w:val="1"/>
      </w:pPr>
      <w:r>
        <w:t>Beginner Roadmap</w:t>
      </w:r>
    </w:p>
    <w:p>
      <w:pPr>
        <w:widowControl w:val="1"/>
      </w:pPr>
      <w:r>
        <w:t>Think transaction-by-transaction. Contract law supplies general principles; sale, partnership, negotiable instruments and company law apply them in specialized commercial settings. Competition, electronic transactions, electronic funds, consumer protection and arbitration regulate modern market behaviour and remedies.</w:t>
      </w:r>
    </w:p>
    <w:p>
      <w:pPr>
        <w:pStyle w:val="Heading2"/>
        <w:widowControl w:val="1"/>
      </w:pPr>
      <w:r>
        <w:t>Subject Map</w:t>
      </w:r>
    </w:p>
    <w:p>
      <w:pPr>
        <w:pStyle w:val="FocusBullet"/>
        <w:widowControl w:val="1"/>
      </w:pPr>
      <w:r>
        <w:t>1. Law of Contract, 1872</w:t>
      </w:r>
    </w:p>
    <w:p>
      <w:pPr>
        <w:pStyle w:val="FocusBullet"/>
        <w:widowControl w:val="1"/>
      </w:pPr>
      <w:r>
        <w:t>2. Sale of Goods Act, 1930</w:t>
      </w:r>
    </w:p>
    <w:p>
      <w:pPr>
        <w:pStyle w:val="FocusBullet"/>
        <w:widowControl w:val="1"/>
      </w:pPr>
      <w:r>
        <w:t>3. Partnership Act, 1932</w:t>
      </w:r>
    </w:p>
    <w:p>
      <w:pPr>
        <w:pStyle w:val="FocusBullet"/>
        <w:widowControl w:val="1"/>
      </w:pPr>
      <w:r>
        <w:t>4. Negotiable Instruments Act, 1881</w:t>
      </w:r>
    </w:p>
    <w:p>
      <w:pPr>
        <w:pStyle w:val="FocusBullet"/>
        <w:widowControl w:val="1"/>
      </w:pPr>
      <w:r>
        <w:t>5. Competition Act, 2010</w:t>
      </w:r>
    </w:p>
    <w:p>
      <w:pPr>
        <w:pStyle w:val="FocusBullet"/>
        <w:widowControl w:val="1"/>
      </w:pPr>
      <w:r>
        <w:t>6. Electronic Transactions Ordinance, 2002</w:t>
      </w:r>
    </w:p>
    <w:p>
      <w:pPr>
        <w:pStyle w:val="FocusBullet"/>
        <w:widowControl w:val="1"/>
      </w:pPr>
      <w:r>
        <w:t>7. Arbitration Law in Pakistan</w:t>
      </w:r>
    </w:p>
    <w:p>
      <w:pPr>
        <w:pStyle w:val="FocusBullet"/>
        <w:widowControl w:val="1"/>
      </w:pPr>
      <w:r>
        <w:t>8. Consumer Protection</w:t>
      </w:r>
    </w:p>
    <w:p>
      <w:pPr>
        <w:pStyle w:val="FocusBullet"/>
        <w:widowControl w:val="1"/>
      </w:pPr>
      <w:r>
        <w:rPr>
          <w:b/>
        </w:rPr>
        <w:t>9. Company Law — FPSC Heading:</w:t>
      </w:r>
      <w:r>
        <w:t xml:space="preserve"> Companies Ordinance, 1984</w:t>
      </w:r>
    </w:p>
    <w:p>
      <w:pPr>
        <w:pStyle w:val="FocusBullet"/>
        <w:widowControl w:val="1"/>
      </w:pPr>
      <w:r>
        <w:t>10. Electronic Fund Transfer Act, 2007</w:t>
      </w:r>
    </w:p>
    <w:p>
      <w:pPr>
        <w:pStyle w:val="Heading2"/>
        <w:widowControl w:val="1"/>
      </w:pPr>
      <w:r>
        <w:t>1. Law of Contract, 1872</w:t>
      </w:r>
    </w:p>
    <w:p>
      <w:pPr>
        <w:pStyle w:val="Heading3"/>
        <w:widowControl w:val="1"/>
      </w:pPr>
      <w:r>
        <w:t>Official Syllabus Focus</w:t>
      </w:r>
    </w:p>
    <w:p>
      <w:pPr>
        <w:pStyle w:val="FocusBullet"/>
        <w:widowControl w:val="1"/>
      </w:pPr>
      <w:r>
        <w:t>Definitions</w:t>
      </w:r>
    </w:p>
    <w:p>
      <w:pPr>
        <w:pStyle w:val="FocusBullet"/>
        <w:widowControl w:val="1"/>
      </w:pPr>
      <w:r>
        <w:t>Essentials of valid contract</w:t>
      </w:r>
    </w:p>
    <w:p>
      <w:pPr>
        <w:pStyle w:val="FocusBullet"/>
        <w:widowControl w:val="1"/>
      </w:pPr>
      <w:r>
        <w:t>Kinds of contracts</w:t>
      </w:r>
    </w:p>
    <w:p>
      <w:pPr>
        <w:pStyle w:val="FocusBullet"/>
        <w:widowControl w:val="1"/>
      </w:pPr>
      <w:r>
        <w:t>Contingent/quasi-contract</w:t>
      </w:r>
    </w:p>
    <w:p>
      <w:pPr>
        <w:pStyle w:val="FocusBullet"/>
        <w:widowControl w:val="1"/>
      </w:pPr>
      <w:r>
        <w:t>Bailment, pledge, indemnity, agency</w:t>
      </w:r>
    </w:p>
    <w:p>
      <w:pPr>
        <w:pStyle w:val="FocusBullet"/>
        <w:widowControl w:val="1"/>
      </w:pPr>
      <w:r>
        <w:t>Performance</w:t>
      </w:r>
    </w:p>
    <w:p>
      <w:pPr>
        <w:pStyle w:val="FocusBullet"/>
        <w:widowControl w:val="1"/>
      </w:pPr>
      <w:r>
        <w:t>Breach and damages</w:t>
      </w:r>
    </w:p>
    <w:p>
      <w:pPr>
        <w:pStyle w:val="Heading3"/>
        <w:widowControl w:val="1"/>
      </w:pPr>
      <w:r>
        <w:t>Introduction and Scope</w:t>
      </w:r>
    </w:p>
    <w:p>
      <w:pPr>
        <w:pStyle w:val="TopicIntro"/>
        <w:widowControl w:val="1"/>
      </w:pPr>
      <w:r>
        <w:t>Contract law explains when promises become legally enforceable and what happens when contractual obligations are not performed.</w:t>
      </w:r>
    </w:p>
    <w:p>
      <w:pPr>
        <w:pStyle w:val="TopicIntro"/>
        <w:widowControl w:val="1"/>
      </w:pPr>
      <w:r>
        <w:t>Start with proposal, acceptance and consideration; then capacity, free consent, lawful object and agreements declared void. Special relationships such as indemnity, guarantee/related concepts, bailment, pledge and agency have their own rights and duties. Performance discharges obligations; breach may lead to damages or other remedies.</w:t>
      </w:r>
    </w:p>
    <w:p>
      <w:pPr>
        <w:pStyle w:val="SourceNote"/>
        <w:widowControl w:val="1"/>
      </w:pPr>
      <w:r>
        <w:t>Primary authority: Contract Act, 1872, current official text.</w:t>
      </w:r>
    </w:p>
    <w:p>
      <w:pPr>
        <w:pStyle w:val="Heading3"/>
        <w:widowControl w:val="1"/>
      </w:pPr>
      <w:r>
        <w:t>From agreement to enforceable contract</w:t>
      </w:r>
    </w:p>
    <w:p>
      <w:pPr>
        <w:widowControl w:val="1"/>
      </w:pPr>
      <w:r>
        <w:t>The Contract Act, 1872 supplies the basic law of voluntary obligations for many commercial transactions in Pakistan. A contract begins with agreement, but enforceability depends on legal requirements such as competent parties, free consent, lawful consideration and object, and the absence of a rule declaring the agreement void. The official Pakistan Code continues to list the Contract Act, 1872.</w:t>
      </w:r>
    </w:p>
    <w:p>
      <w:pPr>
        <w:widowControl w:val="1"/>
      </w:pPr>
      <w:r>
        <w:t>For each problem, trace the formation sequence: proposal → acceptance → consideration → capacity and consent → lawful object → certainty and possibility → enforceability. This sequence is more reliable than starting with a remedy.</w:t>
      </w:r>
    </w:p>
    <w:p>
      <w:pPr>
        <w:pStyle w:val="Heading3"/>
        <w:widowControl w:val="1"/>
      </w:pPr>
      <w:r>
        <w:t>Consent, performance and discharge</w:t>
      </w:r>
    </w:p>
    <w:p>
      <w:pPr>
        <w:widowControl w:val="1"/>
      </w:pPr>
      <w:r>
        <w:t>Free consent requires attention to coercion, undue influence, fraud, misrepresentation and mistake. These doctrines differ in elements and legal consequences. Performance asks who must perform, when and where; discharge may occur through performance, agreement, impossibility where legally recognized, lapse or breach.</w:t>
      </w:r>
    </w:p>
    <w:p>
      <w:pPr>
        <w:widowControl w:val="1"/>
      </w:pPr>
      <w:r>
        <w:t>Contingent contracts depend on an uncertain collateral event, while quasi-contractual obligations are imposed by law to prevent unjust retention of a benefit even though no ordinary agreement created the duty.</w:t>
      </w:r>
    </w:p>
    <w:p>
      <w:pPr>
        <w:pStyle w:val="Heading3"/>
        <w:widowControl w:val="1"/>
      </w:pPr>
      <w:r>
        <w:t>Special relationships and remedies</w:t>
      </w:r>
    </w:p>
    <w:p>
      <w:pPr>
        <w:widowControl w:val="1"/>
      </w:pPr>
      <w:r>
        <w:t>Indemnity allocates responsibility for specified loss; guarantee introduces principal debtor, creditor and surety; bailment concerns transfer of possession for a purpose without transfer of ownership; pledge is a bailment of goods as security; agency permits one person to affect another’s legal relations within authority.</w:t>
      </w:r>
    </w:p>
    <w:p>
      <w:pPr>
        <w:widowControl w:val="1"/>
      </w:pPr>
      <w:r>
        <w:t>On breach, the core question is the legally recoverable loss. Damages are compensatory rather than automatically punitive. A strong answer links breach, causation, remoteness, mitigation and the measure of loss instead of merely naming “damages.”</w:t>
      </w:r>
    </w:p>
    <w:p>
      <w:pPr>
        <w:pStyle w:val="Heading3"/>
        <w:widowControl w:val="1"/>
      </w:pPr>
      <w:r>
        <w:t>Key Comparison</w:t>
      </w:r>
    </w:p>
    <w:tbl>
      <w:tblPr>
        <w:tblStyle w:val="TableGrid"/>
        <w:tblW w:type="auto" w:w="0"/>
        <w:jc w:val="center"/>
        <w:tblLook w:firstColumn="1" w:firstRow="1" w:lastColumn="0" w:lastRow="0" w:noHBand="0" w:noVBand="1" w:val="04A0"/>
      </w:tblPr>
      <w:tblGrid>
        <w:gridCol w:w="4874"/>
        <w:gridCol w:w="4874"/>
      </w:tblGrid>
      <w:tr>
        <w:trPr>
          <w:tblHeader w:val="true"/>
        </w:trPr>
        <w:tc>
          <w:tcPr>
            <w:tcW w:type="dxa" w:w="4874"/>
            <w:shd w:fill="D9E5F0"/>
            <w:vAlign w:val="center"/>
            <w:tcMar>
              <w:top w:w="90" w:type="dxa"/>
              <w:start w:w="100" w:type="dxa"/>
              <w:bottom w:w="90" w:type="dxa"/>
              <w:end w:w="100" w:type="dxa"/>
            </w:tcMar>
          </w:tcPr>
          <w:p>
            <w:pPr>
              <w:jc w:val="center"/>
            </w:pPr>
            <w:r>
              <w:rPr>
                <w:b/>
                <w:sz w:val="19"/>
              </w:rPr>
              <w:t>Stage</w:t>
            </w:r>
          </w:p>
        </w:tc>
        <w:tc>
          <w:tcPr>
            <w:tcW w:type="dxa" w:w="4874"/>
            <w:shd w:fill="D9E5F0"/>
            <w:vAlign w:val="center"/>
            <w:tcMar>
              <w:top w:w="90" w:type="dxa"/>
              <w:start w:w="100" w:type="dxa"/>
              <w:bottom w:w="90" w:type="dxa"/>
              <w:end w:w="100" w:type="dxa"/>
            </w:tcMar>
          </w:tcPr>
          <w:p>
            <w:pPr>
              <w:jc w:val="center"/>
            </w:pPr>
            <w:r>
              <w:rPr>
                <w:b/>
                <w:sz w:val="19"/>
              </w:rPr>
              <w:t>Question to ask</w:t>
            </w:r>
          </w:p>
        </w:tc>
      </w:tr>
      <w:tr>
        <w:tc>
          <w:tcPr>
            <w:tcW w:type="dxa" w:w="4874"/>
            <w:vAlign w:val="top"/>
            <w:tcMar>
              <w:top w:w="90" w:type="dxa"/>
              <w:start w:w="100" w:type="dxa"/>
              <w:bottom w:w="90" w:type="dxa"/>
              <w:end w:w="100" w:type="dxa"/>
            </w:tcMar>
          </w:tcPr>
          <w:p>
            <w:pPr>
              <w:spacing w:after="0"/>
            </w:pPr>
            <w:r>
              <w:rPr>
                <w:sz w:val="18"/>
              </w:rPr>
              <w:t>Formation</w:t>
            </w:r>
          </w:p>
        </w:tc>
        <w:tc>
          <w:tcPr>
            <w:tcW w:type="dxa" w:w="4874"/>
            <w:vAlign w:val="top"/>
            <w:tcMar>
              <w:top w:w="90" w:type="dxa"/>
              <w:start w:w="100" w:type="dxa"/>
              <w:bottom w:w="90" w:type="dxa"/>
              <w:end w:w="100" w:type="dxa"/>
            </w:tcMar>
          </w:tcPr>
          <w:p>
            <w:pPr>
              <w:spacing w:after="0"/>
            </w:pPr>
            <w:r>
              <w:rPr>
                <w:sz w:val="18"/>
              </w:rPr>
              <w:t>Was there proposal and valid acceptance?</w:t>
            </w:r>
          </w:p>
        </w:tc>
      </w:tr>
      <w:tr>
        <w:tc>
          <w:tcPr>
            <w:tcW w:type="dxa" w:w="4874"/>
            <w:vAlign w:val="top"/>
            <w:tcMar>
              <w:top w:w="90" w:type="dxa"/>
              <w:start w:w="100" w:type="dxa"/>
              <w:bottom w:w="90" w:type="dxa"/>
              <w:end w:w="100" w:type="dxa"/>
            </w:tcMar>
          </w:tcPr>
          <w:p>
            <w:pPr>
              <w:spacing w:after="0"/>
            </w:pPr>
            <w:r>
              <w:rPr>
                <w:sz w:val="18"/>
              </w:rPr>
              <w:t>Enforceability</w:t>
            </w:r>
          </w:p>
        </w:tc>
        <w:tc>
          <w:tcPr>
            <w:tcW w:type="dxa" w:w="4874"/>
            <w:vAlign w:val="top"/>
            <w:tcMar>
              <w:top w:w="90" w:type="dxa"/>
              <w:start w:w="100" w:type="dxa"/>
              <w:bottom w:w="90" w:type="dxa"/>
              <w:end w:w="100" w:type="dxa"/>
            </w:tcMar>
          </w:tcPr>
          <w:p>
            <w:pPr>
              <w:spacing w:after="0"/>
            </w:pPr>
            <w:r>
              <w:rPr>
                <w:sz w:val="18"/>
              </w:rPr>
              <w:t>Capacity, free consent, lawful consideration/object, certainty?</w:t>
            </w:r>
          </w:p>
        </w:tc>
      </w:tr>
      <w:tr>
        <w:tc>
          <w:tcPr>
            <w:tcW w:type="dxa" w:w="4874"/>
            <w:vAlign w:val="top"/>
            <w:tcMar>
              <w:top w:w="90" w:type="dxa"/>
              <w:start w:w="100" w:type="dxa"/>
              <w:bottom w:w="90" w:type="dxa"/>
              <w:end w:w="100" w:type="dxa"/>
            </w:tcMar>
          </w:tcPr>
          <w:p>
            <w:pPr>
              <w:spacing w:after="0"/>
            </w:pPr>
            <w:r>
              <w:rPr>
                <w:sz w:val="18"/>
              </w:rPr>
              <w:t>Performance</w:t>
            </w:r>
          </w:p>
        </w:tc>
        <w:tc>
          <w:tcPr>
            <w:tcW w:type="dxa" w:w="4874"/>
            <w:vAlign w:val="top"/>
            <w:tcMar>
              <w:top w:w="90" w:type="dxa"/>
              <w:start w:w="100" w:type="dxa"/>
              <w:bottom w:w="90" w:type="dxa"/>
              <w:end w:w="100" w:type="dxa"/>
            </w:tcMar>
          </w:tcPr>
          <w:p>
            <w:pPr>
              <w:spacing w:after="0"/>
            </w:pPr>
            <w:r>
              <w:rPr>
                <w:sz w:val="18"/>
              </w:rPr>
              <w:t>Who must perform, when and how?</w:t>
            </w:r>
          </w:p>
        </w:tc>
      </w:tr>
      <w:tr>
        <w:tc>
          <w:tcPr>
            <w:tcW w:type="dxa" w:w="4874"/>
            <w:vAlign w:val="top"/>
            <w:tcMar>
              <w:top w:w="90" w:type="dxa"/>
              <w:start w:w="100" w:type="dxa"/>
              <w:bottom w:w="90" w:type="dxa"/>
              <w:end w:w="100" w:type="dxa"/>
            </w:tcMar>
          </w:tcPr>
          <w:p>
            <w:pPr>
              <w:spacing w:after="0"/>
            </w:pPr>
            <w:r>
              <w:rPr>
                <w:sz w:val="18"/>
              </w:rPr>
              <w:t>Discharge</w:t>
            </w:r>
          </w:p>
        </w:tc>
        <w:tc>
          <w:tcPr>
            <w:tcW w:type="dxa" w:w="4874"/>
            <w:vAlign w:val="top"/>
            <w:tcMar>
              <w:top w:w="90" w:type="dxa"/>
              <w:start w:w="100" w:type="dxa"/>
              <w:bottom w:w="90" w:type="dxa"/>
              <w:end w:w="100" w:type="dxa"/>
            </w:tcMar>
          </w:tcPr>
          <w:p>
            <w:pPr>
              <w:spacing w:after="0"/>
            </w:pPr>
            <w:r>
              <w:rPr>
                <w:sz w:val="18"/>
              </w:rPr>
              <w:t>Performance, agreement, impossibility or breach?</w:t>
            </w:r>
          </w:p>
        </w:tc>
      </w:tr>
      <w:tr>
        <w:tc>
          <w:tcPr>
            <w:tcW w:type="dxa" w:w="4874"/>
            <w:vAlign w:val="top"/>
            <w:tcMar>
              <w:top w:w="90" w:type="dxa"/>
              <w:start w:w="100" w:type="dxa"/>
              <w:bottom w:w="90" w:type="dxa"/>
              <w:end w:w="100" w:type="dxa"/>
            </w:tcMar>
          </w:tcPr>
          <w:p>
            <w:pPr>
              <w:spacing w:after="0"/>
            </w:pPr>
            <w:r>
              <w:rPr>
                <w:sz w:val="18"/>
              </w:rPr>
              <w:t>Remedy</w:t>
            </w:r>
          </w:p>
        </w:tc>
        <w:tc>
          <w:tcPr>
            <w:tcW w:type="dxa" w:w="4874"/>
            <w:vAlign w:val="top"/>
            <w:tcMar>
              <w:top w:w="90" w:type="dxa"/>
              <w:start w:w="100" w:type="dxa"/>
              <w:bottom w:w="90" w:type="dxa"/>
              <w:end w:w="100" w:type="dxa"/>
            </w:tcMar>
          </w:tcPr>
          <w:p>
            <w:pPr>
              <w:spacing w:after="0"/>
            </w:pPr>
            <w:r>
              <w:rPr>
                <w:sz w:val="18"/>
              </w:rPr>
              <w:t>What loss or relief follows under law?</w:t>
            </w:r>
          </w:p>
        </w:tc>
      </w:tr>
    </w:tbl>
    <w:p>
      <w:pPr>
        <w:widowControl w:val="1"/>
      </w:pPr>
    </w:p>
    <w:p>
      <w:pPr>
        <w:pStyle w:val="Heading3"/>
        <w:widowControl w:val="1"/>
      </w:pPr>
      <w:r>
        <w:t>Core Concepts Explained</w:t>
      </w:r>
    </w:p>
    <w:p>
      <w:pPr>
        <w:pStyle w:val="TeachingBullet"/>
        <w:widowControl w:val="1"/>
      </w:pPr>
      <w:r>
        <w:t>Contract law begins with enforceability. A social promise may be sincere but not legally enforceable; a contract requires the legal ingredients recognized by statute.</w:t>
      </w:r>
    </w:p>
    <w:p>
      <w:pPr>
        <w:pStyle w:val="TeachingBullet"/>
        <w:widowControl w:val="1"/>
      </w:pPr>
      <w:r>
        <w:rPr>
          <w:b/>
        </w:rPr>
        <w:t>Use a validity checklist:</w:t>
      </w:r>
      <w:r>
        <w:t xml:space="preserve"> proposal and acceptance; lawful consideration and object; capacity; free consent; certainty; possibility of performance; and absence of a rule declaring the agreement void.</w:t>
      </w:r>
    </w:p>
    <w:p>
      <w:pPr>
        <w:pStyle w:val="TeachingBullet"/>
        <w:widowControl w:val="1"/>
      </w:pPr>
      <w:r>
        <w:t>Free consent should be learned through the ways consent can be impaired and the legal effect of each. This is easier through comparison than isolated definitions.</w:t>
      </w:r>
    </w:p>
    <w:p>
      <w:pPr>
        <w:pStyle w:val="TeachingBullet"/>
        <w:widowControl w:val="1"/>
      </w:pPr>
      <w:r>
        <w:t>Special contracts allocate risk or authority in specific ways: indemnity protects against loss; bailment transfers possession for a purpose; pledge is bailment as security; agency allows one person to act on behalf of another; related guarantee concepts should be kept distinct.</w:t>
      </w:r>
    </w:p>
    <w:p>
      <w:pPr>
        <w:pStyle w:val="TeachingBullet"/>
        <w:widowControl w:val="1"/>
      </w:pPr>
      <w:r>
        <w:t>For breach, explain the obligation, the failure, causation of loss, remoteness or foreseeability principles, and the type of remedy available. Damages are generally compensatory rather than a windfall.</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call every agreement a contract. The legal question is whether statutory requirements for enforceability are satisfied.</w:t>
            </w:r>
          </w:p>
        </w:tc>
      </w:tr>
    </w:tbl>
    <w:p>
      <w:pPr>
        <w:pStyle w:val="Heading3"/>
        <w:widowControl w:val="1"/>
      </w:pPr>
      <w:r>
        <w:t>Preparation and Answer Use</w:t>
      </w:r>
    </w:p>
    <w:p>
      <w:pPr>
        <w:pStyle w:val="TeachingBullet"/>
        <w:widowControl w:val="1"/>
      </w:pPr>
      <w:r>
        <w:t>Create a “valid contract checklist.”</w:t>
      </w:r>
    </w:p>
    <w:p>
      <w:pPr>
        <w:pStyle w:val="TeachingBullet"/>
        <w:widowControl w:val="1"/>
      </w:pPr>
      <w:r>
        <w:t>Prepare free consent topics comparatively.</w:t>
      </w:r>
    </w:p>
    <w:p>
      <w:pPr>
        <w:pStyle w:val="TeachingBullet"/>
        <w:widowControl w:val="1"/>
      </w:pPr>
      <w:r>
        <w:t>Make separate mini-notes for contingent contract, quasi-contract, bailment, pledge, indemnity and agency.</w:t>
      </w:r>
    </w:p>
    <w:p>
      <w:pPr>
        <w:pStyle w:val="TeachingBullet"/>
        <w:widowControl w:val="1"/>
      </w:pPr>
      <w:r>
        <w:t>Practice breach scenarios and measure/remoteness of damages conceptually.</w:t>
      </w:r>
    </w:p>
    <w:p>
      <w:pPr>
        <w:pStyle w:val="Heading3"/>
        <w:widowControl w:val="1"/>
      </w:pPr>
      <w:r>
        <w:t>Key Takeaways</w:t>
      </w:r>
    </w:p>
    <w:p>
      <w:pPr>
        <w:pStyle w:val="TakeawayBullet"/>
        <w:widowControl w:val="1"/>
      </w:pPr>
      <w:r>
        <w:t>Agreement becomes a contract only when legal requirements are met.</w:t>
      </w:r>
    </w:p>
    <w:p>
      <w:pPr>
        <w:pStyle w:val="TakeawayBullet"/>
        <w:widowControl w:val="1"/>
      </w:pPr>
      <w:r>
        <w:t>Consent must be legally free.</w:t>
      </w:r>
    </w:p>
    <w:p>
      <w:pPr>
        <w:pStyle w:val="TakeawayBullet"/>
        <w:widowControl w:val="1"/>
      </w:pPr>
      <w:r>
        <w:t>Capacity and lawful object matter.</w:t>
      </w:r>
    </w:p>
    <w:p>
      <w:pPr>
        <w:pStyle w:val="TakeawayBullet"/>
        <w:widowControl w:val="1"/>
      </w:pPr>
      <w:r>
        <w:t>Special contracts create specific duties between parties.</w:t>
      </w:r>
    </w:p>
    <w:p>
      <w:pPr>
        <w:pStyle w:val="TakeawayBullet"/>
        <w:widowControl w:val="1"/>
      </w:pPr>
      <w:r>
        <w:t>Damages are compensatory in principle, subject to legal rules.</w:t>
      </w:r>
    </w:p>
    <w:p>
      <w:pPr>
        <w:spacing w:after="20"/>
        <w:pBdr>
          <w:bottom w:val="single" w:sz="4" w:space="1" w:color="D9E2F3"/>
        </w:pBdr>
        <w:widowControl w:val="1"/>
      </w:pPr>
    </w:p>
    <w:p>
      <w:pPr>
        <w:pStyle w:val="Heading2"/>
        <w:widowControl w:val="1"/>
      </w:pPr>
      <w:r>
        <w:t>2. Sale of Goods Act, 1930</w:t>
      </w:r>
    </w:p>
    <w:p>
      <w:pPr>
        <w:pStyle w:val="Heading3"/>
        <w:widowControl w:val="1"/>
      </w:pPr>
      <w:r>
        <w:t>Official Syllabus Focus</w:t>
      </w:r>
    </w:p>
    <w:p>
      <w:pPr>
        <w:pStyle w:val="FocusBullet"/>
        <w:widowControl w:val="1"/>
      </w:pPr>
      <w:r>
        <w:t>Definitions</w:t>
      </w:r>
    </w:p>
    <w:p>
      <w:pPr>
        <w:pStyle w:val="FocusBullet"/>
        <w:widowControl w:val="1"/>
      </w:pPr>
      <w:r>
        <w:t>Sale vs agreement to sell</w:t>
      </w:r>
    </w:p>
    <w:p>
      <w:pPr>
        <w:pStyle w:val="FocusBullet"/>
        <w:widowControl w:val="1"/>
      </w:pPr>
      <w:r>
        <w:t>Conditions and warranties</w:t>
      </w:r>
    </w:p>
    <w:p>
      <w:pPr>
        <w:pStyle w:val="FocusBullet"/>
        <w:widowControl w:val="1"/>
      </w:pPr>
      <w:r>
        <w:t>Express/implied conditions</w:t>
      </w:r>
    </w:p>
    <w:p>
      <w:pPr>
        <w:pStyle w:val="FocusBullet"/>
        <w:widowControl w:val="1"/>
      </w:pPr>
      <w:r>
        <w:t>Caveat emptor</w:t>
      </w:r>
    </w:p>
    <w:p>
      <w:pPr>
        <w:pStyle w:val="FocusBullet"/>
        <w:widowControl w:val="1"/>
      </w:pPr>
      <w:r>
        <w:t>Nemo dat</w:t>
      </w:r>
    </w:p>
    <w:p>
      <w:pPr>
        <w:pStyle w:val="FocusBullet"/>
        <w:widowControl w:val="1"/>
      </w:pPr>
      <w:r>
        <w:t>Rights/duties of buyer and seller</w:t>
      </w:r>
    </w:p>
    <w:p>
      <w:pPr>
        <w:pStyle w:val="FocusBullet"/>
        <w:widowControl w:val="1"/>
      </w:pPr>
      <w:r>
        <w:t>Unpaid seller</w:t>
      </w:r>
    </w:p>
    <w:p>
      <w:pPr>
        <w:pStyle w:val="Heading3"/>
        <w:widowControl w:val="1"/>
      </w:pPr>
      <w:r>
        <w:t>Introduction and Scope</w:t>
      </w:r>
    </w:p>
    <w:p>
      <w:pPr>
        <w:pStyle w:val="TopicIntro"/>
        <w:widowControl w:val="1"/>
      </w:pPr>
      <w:r>
        <w:t>The Sale of Goods Act regulates contracts in which ownership in goods is transferred or agreed to be transferred for a price.</w:t>
      </w:r>
    </w:p>
    <w:p>
      <w:pPr>
        <w:pStyle w:val="TopicIntro"/>
        <w:widowControl w:val="1"/>
      </w:pPr>
      <w:r>
        <w:t>Focus on when property and risk pass, the difference between a completed sale and an agreement to sell, quality/title obligations, buyer/seller remedies and unpaid-seller rights. Caveat emptor means buyer beware subject to recognized exceptions; nemo dat concerns transfer of title by a person who does not own it.</w:t>
      </w:r>
    </w:p>
    <w:p>
      <w:pPr>
        <w:pStyle w:val="SourceNote"/>
        <w:widowControl w:val="1"/>
      </w:pPr>
      <w:r>
        <w:t>Primary authority: Sale of Goods Act, 1930, current official text.</w:t>
      </w:r>
    </w:p>
    <w:p>
      <w:pPr>
        <w:pStyle w:val="Heading3"/>
        <w:widowControl w:val="1"/>
      </w:pPr>
      <w:r>
        <w:t>Sale and agreement to sell</w:t>
      </w:r>
    </w:p>
    <w:p>
      <w:pPr>
        <w:widowControl w:val="1"/>
      </w:pPr>
      <w:r>
        <w:t>The Sale of Goods Act, 1930 regulates contracts in which property in goods is transferred or agreed to be transferred for a price. A sale transfers ownership at the legally relevant time, while an agreement to sell contemplates a future or conditional transfer. This distinction affects risk, remedies and what happens if a party becomes insolvent.</w:t>
      </w:r>
    </w:p>
    <w:p>
      <w:pPr>
        <w:widowControl w:val="1"/>
      </w:pPr>
      <w:r>
        <w:t>Always separate ownership from possession. A buyer may possess goods before ownership passes, or ownership may pass while delivery is still pending.</w:t>
      </w:r>
    </w:p>
    <w:p>
      <w:pPr>
        <w:pStyle w:val="Heading3"/>
        <w:widowControl w:val="1"/>
      </w:pPr>
      <w:r>
        <w:t>Conditions, warranties and implied terms</w:t>
      </w:r>
    </w:p>
    <w:p>
      <w:pPr>
        <w:widowControl w:val="1"/>
      </w:pPr>
      <w:r>
        <w:t>A condition goes to the root of the contract in the statutory sense, while a warranty is a collateral stipulation whose breach normally supports damages rather than rejection. The Act also implies important terms concerning title, correspondence with description or sample and, in defined circumstances, quality or fitness.</w:t>
      </w:r>
    </w:p>
    <w:p>
      <w:pPr>
        <w:widowControl w:val="1"/>
      </w:pPr>
      <w:r>
        <w:t>Caveat emptor—let the buyer beware—is therefore not absolute. The statute allocates risk through express terms, implied terms and exceptions designed to protect legitimate reliance.</w:t>
      </w:r>
    </w:p>
    <w:p>
      <w:pPr>
        <w:pStyle w:val="Heading3"/>
        <w:widowControl w:val="1"/>
      </w:pPr>
      <w:r>
        <w:t>Transfer of title and unpaid seller</w:t>
      </w:r>
    </w:p>
    <w:p>
      <w:pPr>
        <w:widowControl w:val="1"/>
      </w:pPr>
      <w:r>
        <w:t>The nemo dat principle means a person generally cannot transfer a better title than he possesses, subject to statutory exceptions that protect particular commercial transactions. Questions on title should identify the seller’s authority, possession, representations and any relevant exception.</w:t>
      </w:r>
    </w:p>
    <w:p>
      <w:pPr>
        <w:widowControl w:val="1"/>
      </w:pPr>
      <w:r>
        <w:t>An unpaid seller may have rights against the goods and personal remedies against the buyer. Lien, stoppage in transit and resale must be kept conceptually distinct because they arise in different factual situations.</w:t>
      </w:r>
    </w:p>
    <w:p>
      <w:pPr>
        <w:pStyle w:val="Heading3"/>
        <w:widowControl w:val="1"/>
      </w:pPr>
      <w:r>
        <w:t>Core Concepts Explained</w:t>
      </w:r>
    </w:p>
    <w:p>
      <w:pPr>
        <w:pStyle w:val="TeachingBullet"/>
        <w:widowControl w:val="1"/>
      </w:pPr>
      <w:r>
        <w:t>A sale of goods is not merely a contract to deliver something; it concerns transfer or agreed transfer of property in goods for a price. The timing of transfer matters for rights and risk.</w:t>
      </w:r>
    </w:p>
    <w:p>
      <w:pPr>
        <w:pStyle w:val="TeachingBullet"/>
        <w:widowControl w:val="1"/>
      </w:pPr>
      <w:r>
        <w:t>A sale transfers ownership immediately according to the legal rules; an agreement to sell contemplates a future or conditional transfer. This distinction affects remedies and risk in important ways.</w:t>
      </w:r>
    </w:p>
    <w:p>
      <w:pPr>
        <w:pStyle w:val="TeachingBullet"/>
        <w:widowControl w:val="1"/>
      </w:pPr>
      <w:r>
        <w:t>Conditions are fundamental contractual terms; warranties are subsidiary terms. Breach produces different legal consequences, although statute may allow particular treatment in specified situations.</w:t>
      </w:r>
    </w:p>
    <w:p>
      <w:pPr>
        <w:pStyle w:val="TeachingBullet"/>
        <w:widowControl w:val="1"/>
      </w:pPr>
      <w:r>
        <w:t>Caveat emptor means the buyer ordinarily bears responsibility for choice, but statutory exceptions protect buyers where reliance, description, quality obligations or other conditions apply.</w:t>
      </w:r>
    </w:p>
    <w:p>
      <w:pPr>
        <w:pStyle w:val="TeachingBullet"/>
        <w:widowControl w:val="1"/>
      </w:pPr>
      <w:r>
        <w:t>Nemo dat protects ownership by limiting the title a non-owner can pass, subject to statutory exceptions. Unpaid-seller rights should be divided into rights against the goods and personal rights against the buyer.</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memorize “buyer beware” as an absolute rule. The Act contains important exceptions and implied obligations.</w:t>
            </w:r>
          </w:p>
        </w:tc>
      </w:tr>
    </w:tbl>
    <w:p>
      <w:pPr>
        <w:pStyle w:val="Heading3"/>
        <w:widowControl w:val="1"/>
      </w:pPr>
      <w:r>
        <w:t>Preparation and Answer Use</w:t>
      </w:r>
    </w:p>
    <w:p>
      <w:pPr>
        <w:pStyle w:val="TeachingBullet"/>
        <w:widowControl w:val="1"/>
      </w:pPr>
      <w:r>
        <w:t>Memorize distinctions in tables.</w:t>
      </w:r>
    </w:p>
    <w:p>
      <w:pPr>
        <w:pStyle w:val="TeachingBullet"/>
        <w:widowControl w:val="1"/>
      </w:pPr>
      <w:r>
        <w:t>Prepare conditions vs warranties with consequences of breach.</w:t>
      </w:r>
    </w:p>
    <w:p>
      <w:pPr>
        <w:pStyle w:val="TeachingBullet"/>
        <w:widowControl w:val="1"/>
      </w:pPr>
      <w:r>
        <w:t>Study unpaid seller rights against goods and against buyer separately.</w:t>
      </w:r>
    </w:p>
    <w:p>
      <w:pPr>
        <w:pStyle w:val="Heading3"/>
        <w:widowControl w:val="1"/>
      </w:pPr>
      <w:r>
        <w:t>Key Takeaways</w:t>
      </w:r>
    </w:p>
    <w:p>
      <w:pPr>
        <w:pStyle w:val="TakeawayBullet"/>
        <w:widowControl w:val="1"/>
      </w:pPr>
      <w:r>
        <w:t>Sale transfers property; agreement to sell contemplates future transfer.</w:t>
      </w:r>
    </w:p>
    <w:p>
      <w:pPr>
        <w:pStyle w:val="TakeawayBullet"/>
        <w:widowControl w:val="1"/>
      </w:pPr>
      <w:r>
        <w:t>Condition is more fundamental than warranty.</w:t>
      </w:r>
    </w:p>
    <w:p>
      <w:pPr>
        <w:pStyle w:val="TakeawayBullet"/>
        <w:widowControl w:val="1"/>
      </w:pPr>
      <w:r>
        <w:t>Nemo dat generally prevents a non-owner from giving better title, subject to exceptions.</w:t>
      </w:r>
    </w:p>
    <w:p>
      <w:pPr>
        <w:pStyle w:val="TakeawayBullet"/>
        <w:widowControl w:val="1"/>
      </w:pPr>
      <w:r>
        <w:t>Unpaid seller has statutory protective rights.</w:t>
      </w:r>
    </w:p>
    <w:p>
      <w:pPr>
        <w:spacing w:after="20"/>
        <w:pBdr>
          <w:bottom w:val="single" w:sz="4" w:space="1" w:color="D9E2F3"/>
        </w:pBdr>
        <w:widowControl w:val="1"/>
      </w:pPr>
    </w:p>
    <w:p>
      <w:pPr>
        <w:pStyle w:val="Heading2"/>
        <w:widowControl w:val="1"/>
      </w:pPr>
      <w:r>
        <w:t>3. Partnership Act, 1932</w:t>
      </w:r>
    </w:p>
    <w:p>
      <w:pPr>
        <w:pStyle w:val="Heading3"/>
        <w:widowControl w:val="1"/>
      </w:pPr>
      <w:r>
        <w:t>Official Syllabus Focus</w:t>
      </w:r>
    </w:p>
    <w:p>
      <w:pPr>
        <w:pStyle w:val="FocusBullet"/>
        <w:widowControl w:val="1"/>
      </w:pPr>
      <w:r>
        <w:t>Definitions</w:t>
      </w:r>
    </w:p>
    <w:p>
      <w:pPr>
        <w:pStyle w:val="FocusBullet"/>
        <w:widowControl w:val="1"/>
      </w:pPr>
      <w:r>
        <w:t>Essentials</w:t>
      </w:r>
    </w:p>
    <w:p>
      <w:pPr>
        <w:pStyle w:val="FocusBullet"/>
        <w:widowControl w:val="1"/>
      </w:pPr>
      <w:r>
        <w:t>Partnership at will</w:t>
      </w:r>
    </w:p>
    <w:p>
      <w:pPr>
        <w:pStyle w:val="FocusBullet"/>
        <w:widowControl w:val="1"/>
      </w:pPr>
      <w:r>
        <w:t>Particular partnership</w:t>
      </w:r>
    </w:p>
    <w:p>
      <w:pPr>
        <w:pStyle w:val="FocusBullet"/>
        <w:widowControl w:val="1"/>
      </w:pPr>
      <w:r>
        <w:t>Rights/duties</w:t>
      </w:r>
    </w:p>
    <w:p>
      <w:pPr>
        <w:pStyle w:val="FocusBullet"/>
        <w:widowControl w:val="1"/>
      </w:pPr>
      <w:r>
        <w:t>Implied authority</w:t>
      </w:r>
    </w:p>
    <w:p>
      <w:pPr>
        <w:pStyle w:val="FocusBullet"/>
        <w:widowControl w:val="1"/>
      </w:pPr>
      <w:r>
        <w:t>Holding out</w:t>
      </w:r>
    </w:p>
    <w:p>
      <w:pPr>
        <w:pStyle w:val="FocusBullet"/>
        <w:widowControl w:val="1"/>
      </w:pPr>
      <w:r>
        <w:t>Incoming/outgoing partners</w:t>
      </w:r>
    </w:p>
    <w:p>
      <w:pPr>
        <w:pStyle w:val="FocusBullet"/>
        <w:widowControl w:val="1"/>
      </w:pPr>
      <w:r>
        <w:t>Minor</w:t>
      </w:r>
    </w:p>
    <w:p>
      <w:pPr>
        <w:pStyle w:val="FocusBullet"/>
        <w:widowControl w:val="1"/>
      </w:pPr>
      <w:r>
        <w:t>Dissolution</w:t>
      </w:r>
    </w:p>
    <w:p>
      <w:pPr>
        <w:pStyle w:val="Heading3"/>
        <w:widowControl w:val="1"/>
      </w:pPr>
      <w:r>
        <w:t>Introduction and Scope</w:t>
      </w:r>
    </w:p>
    <w:p>
      <w:pPr>
        <w:pStyle w:val="TopicIntro"/>
        <w:widowControl w:val="1"/>
      </w:pPr>
      <w:r>
        <w:t>Partnership is a business relationship based on agreement to share profits of a business carried on by all or any of them acting for all, subject to the statutory definition.</w:t>
      </w:r>
    </w:p>
    <w:p>
      <w:pPr>
        <w:pStyle w:val="TopicIntro"/>
        <w:widowControl w:val="1"/>
      </w:pPr>
      <w:r>
        <w:t>The core concept is mutual agency: each partner may bind the firm within authority. Study internal relations, external liability, admission/retirement and dissolution. Be careful with the FPSC phrase “limited partnership”; current Pakistani business law also has a separate LLP framework outside the 1932 Act.</w:t>
      </w:r>
    </w:p>
    <w:p>
      <w:pPr>
        <w:pStyle w:val="SourceNote"/>
        <w:widowControl w:val="1"/>
      </w:pPr>
      <w:r>
        <w:t>Primary authority: Partnership Act, 1932, current official text.</w:t>
      </w:r>
    </w:p>
    <w:p>
      <w:pPr>
        <w:pStyle w:val="Heading3"/>
        <w:widowControl w:val="1"/>
      </w:pPr>
      <w:r>
        <w:t>The decisive feature: mutual agency</w:t>
      </w:r>
    </w:p>
    <w:p>
      <w:pPr>
        <w:widowControl w:val="1"/>
      </w:pPr>
      <w:r>
        <w:t>Partnership is a relation between persons who agree to share the profits of a business carried on by all or any of them acting for all. Profit sharing is important, but mutual agency is the stronger indicator: each partner can, within the law and the partnership business, act as principal and agent in relation to the firm and other partners.</w:t>
      </w:r>
    </w:p>
    <w:p>
      <w:pPr>
        <w:widowControl w:val="1"/>
      </w:pPr>
      <w:r>
        <w:t>This explains why one partner’s authorized act may bind the firm even if the other partners were not personally present.</w:t>
      </w:r>
    </w:p>
    <w:p>
      <w:pPr>
        <w:pStyle w:val="Heading3"/>
        <w:widowControl w:val="1"/>
      </w:pPr>
      <w:r>
        <w:t>Internal rights and external liability</w:t>
      </w:r>
    </w:p>
    <w:p>
      <w:pPr>
        <w:widowControl w:val="1"/>
      </w:pPr>
      <w:r>
        <w:t>Internally, partnership law governs contribution, profit and loss sharing, access to books, duties of good faith, indemnification and agreed restrictions on authority. Externally, third parties are concerned with actual or implied authority and the legal consequences of representations by the firm or partners.</w:t>
      </w:r>
    </w:p>
    <w:p>
      <w:pPr>
        <w:widowControl w:val="1"/>
      </w:pPr>
      <w:r>
        <w:t>Holding out protects a third party who reasonably acts on a representation that a person is a partner. It is therefore a doctrine of representation and reliance, not a method of secretly creating a partnership.</w:t>
      </w:r>
    </w:p>
    <w:p>
      <w:pPr>
        <w:pStyle w:val="Heading3"/>
        <w:widowControl w:val="1"/>
      </w:pPr>
      <w:r>
        <w:t>Entry, exit and dissolution</w:t>
      </w:r>
    </w:p>
    <w:p>
      <w:pPr>
        <w:widowControl w:val="1"/>
      </w:pPr>
      <w:r>
        <w:t>Incoming and outgoing partners raise questions about liability for old and new obligations, notice and settlement of accounts. A minor cannot be treated exactly like a full contractual partner; the statutory scheme permits admission to benefits subject to special rules.</w:t>
      </w:r>
    </w:p>
    <w:p>
      <w:pPr>
        <w:widowControl w:val="1"/>
      </w:pPr>
      <w:r>
        <w:t>Dissolution of partnership between some partners should be distinguished from dissolution of the firm as a whole. After dissolution, authority may continue for limited purposes such as winding up and completing unfinished transactions.</w:t>
      </w:r>
    </w:p>
    <w:p>
      <w:pPr>
        <w:pStyle w:val="Heading3"/>
        <w:widowControl w:val="1"/>
      </w:pPr>
      <w:r>
        <w:t>Core Concepts Explained</w:t>
      </w:r>
    </w:p>
    <w:p>
      <w:pPr>
        <w:pStyle w:val="TeachingBullet"/>
        <w:widowControl w:val="1"/>
      </w:pPr>
      <w:r>
        <w:t>Partnership is created by agreement to carry on a business and share profits, with the business carried on by all or any acting for all. Mutual agency is therefore the central legal test.</w:t>
      </w:r>
    </w:p>
    <w:p>
      <w:pPr>
        <w:pStyle w:val="TeachingBullet"/>
        <w:widowControl w:val="1"/>
      </w:pPr>
      <w:r>
        <w:t>Internal relations cover partners' rights and duties toward one another; external relations concern the firm's liability and the authority of partners dealing with third parties.</w:t>
      </w:r>
    </w:p>
    <w:p>
      <w:pPr>
        <w:pStyle w:val="TeachingBullet"/>
        <w:widowControl w:val="1"/>
      </w:pPr>
      <w:r>
        <w:t>Implied authority explains when an act of a partner in the usual course of business can bind the firm. Holding out concerns liability created by representing or allowing oneself to be represented as a partner.</w:t>
      </w:r>
    </w:p>
    <w:p>
      <w:pPr>
        <w:pStyle w:val="TeachingBullet"/>
        <w:widowControl w:val="1"/>
      </w:pPr>
      <w:r>
        <w:t>Incoming and outgoing partners must be studied through liability before and after change in membership. A minor's position is special and should not be treated as identical to a full partner.</w:t>
      </w:r>
    </w:p>
    <w:p>
      <w:pPr>
        <w:pStyle w:val="TeachingBullet"/>
        <w:widowControl w:val="1"/>
      </w:pPr>
      <w:r>
        <w:t>Dissolution may concern the relation among partners or the firm as a whole. Learn the statutory modes and consequences through a flowchart.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identify partnership solely by profit-sharing. Mutual agency is the more decisive legal feature.</w:t>
            </w:r>
          </w:p>
        </w:tc>
      </w:tr>
    </w:tbl>
    <w:p>
      <w:pPr>
        <w:pStyle w:val="Heading3"/>
        <w:widowControl w:val="1"/>
      </w:pPr>
      <w:r>
        <w:t>Preparation and Answer Use</w:t>
      </w:r>
    </w:p>
    <w:p>
      <w:pPr>
        <w:pStyle w:val="TeachingBullet"/>
        <w:widowControl w:val="1"/>
      </w:pPr>
      <w:r>
        <w:t>Learn the statutory essentials of partnership.</w:t>
      </w:r>
    </w:p>
    <w:p>
      <w:pPr>
        <w:pStyle w:val="TeachingBullet"/>
        <w:widowControl w:val="1"/>
      </w:pPr>
      <w:r>
        <w:t>Use mutual agency to explain third-party liability.</w:t>
      </w:r>
    </w:p>
    <w:p>
      <w:pPr>
        <w:pStyle w:val="TeachingBullet"/>
        <w:widowControl w:val="1"/>
      </w:pPr>
      <w:r>
        <w:t>Prepare dissolution modes in one chart.</w:t>
      </w:r>
    </w:p>
    <w:p>
      <w:pPr>
        <w:pStyle w:val="TeachingBullet"/>
        <w:widowControl w:val="1"/>
      </w:pPr>
      <w:r>
        <w:t>Check current law before using “limited partnership” terminology.</w:t>
      </w:r>
    </w:p>
    <w:p>
      <w:pPr>
        <w:pStyle w:val="Heading3"/>
        <w:widowControl w:val="1"/>
      </w:pPr>
      <w:r>
        <w:t>Key Takeaways</w:t>
      </w:r>
    </w:p>
    <w:p>
      <w:pPr>
        <w:pStyle w:val="TakeawayBullet"/>
        <w:widowControl w:val="1"/>
      </w:pPr>
      <w:r>
        <w:t>Partnership arises from agreement, not status alone.</w:t>
      </w:r>
    </w:p>
    <w:p>
      <w:pPr>
        <w:pStyle w:val="TakeawayBullet"/>
        <w:widowControl w:val="1"/>
      </w:pPr>
      <w:r>
        <w:t>Mutual agency distinguishes partnership from mere co-ownership.</w:t>
      </w:r>
    </w:p>
    <w:p>
      <w:pPr>
        <w:pStyle w:val="TakeawayBullet"/>
        <w:widowControl w:val="1"/>
      </w:pPr>
      <w:r>
        <w:t>Partners owe duties to one another and may bind the firm.</w:t>
      </w:r>
    </w:p>
    <w:p>
      <w:pPr>
        <w:pStyle w:val="TakeawayBullet"/>
        <w:widowControl w:val="1"/>
      </w:pPr>
      <w:r>
        <w:t>Dissolution ends or restructures the partnership relationship according to law.</w:t>
      </w:r>
    </w:p>
    <w:p>
      <w:pPr>
        <w:spacing w:after="20"/>
        <w:pBdr>
          <w:bottom w:val="single" w:sz="4" w:space="1" w:color="D9E2F3"/>
        </w:pBdr>
        <w:widowControl w:val="1"/>
      </w:pPr>
    </w:p>
    <w:p>
      <w:pPr>
        <w:pStyle w:val="Heading2"/>
        <w:widowControl w:val="1"/>
      </w:pPr>
      <w:r>
        <w:t>4. Negotiable Instruments Act, 1881</w:t>
      </w:r>
    </w:p>
    <w:p>
      <w:pPr>
        <w:pStyle w:val="Heading3"/>
        <w:widowControl w:val="1"/>
      </w:pPr>
      <w:r>
        <w:t>Official Syllabus Focus</w:t>
      </w:r>
    </w:p>
    <w:p>
      <w:pPr>
        <w:pStyle w:val="FocusBullet"/>
        <w:widowControl w:val="1"/>
      </w:pPr>
      <w:r>
        <w:t>Cheque</w:t>
      </w:r>
    </w:p>
    <w:p>
      <w:pPr>
        <w:pStyle w:val="FocusBullet"/>
        <w:widowControl w:val="1"/>
      </w:pPr>
      <w:r>
        <w:t>Bill of exchange</w:t>
      </w:r>
    </w:p>
    <w:p>
      <w:pPr>
        <w:pStyle w:val="FocusBullet"/>
        <w:widowControl w:val="1"/>
      </w:pPr>
      <w:r>
        <w:t>Promissory note</w:t>
      </w:r>
    </w:p>
    <w:p>
      <w:pPr>
        <w:pStyle w:val="FocusBullet"/>
        <w:widowControl w:val="1"/>
      </w:pPr>
      <w:r>
        <w:t>Parties</w:t>
      </w:r>
    </w:p>
    <w:p>
      <w:pPr>
        <w:pStyle w:val="FocusBullet"/>
        <w:widowControl w:val="1"/>
      </w:pPr>
      <w:r>
        <w:t>Holder/holder in due course</w:t>
      </w:r>
    </w:p>
    <w:p>
      <w:pPr>
        <w:pStyle w:val="FocusBullet"/>
        <w:widowControl w:val="1"/>
      </w:pPr>
      <w:r>
        <w:t>Negotiation/presentment/payment/discharge</w:t>
      </w:r>
    </w:p>
    <w:p>
      <w:pPr>
        <w:pStyle w:val="FocusBullet"/>
        <w:widowControl w:val="1"/>
      </w:pPr>
      <w:r>
        <w:t>Noting/protest</w:t>
      </w:r>
    </w:p>
    <w:p>
      <w:pPr>
        <w:pStyle w:val="FocusBullet"/>
        <w:widowControl w:val="1"/>
      </w:pPr>
      <w:r>
        <w:t>Cheques and dishonour</w:t>
      </w:r>
    </w:p>
    <w:p>
      <w:pPr>
        <w:pStyle w:val="FocusBullet"/>
        <w:widowControl w:val="1"/>
      </w:pPr>
      <w:r>
        <w:t>Foreign instruments</w:t>
      </w:r>
    </w:p>
    <w:p>
      <w:pPr>
        <w:pStyle w:val="Heading3"/>
        <w:widowControl w:val="1"/>
      </w:pPr>
      <w:r>
        <w:t>Introduction and Scope</w:t>
      </w:r>
    </w:p>
    <w:p>
      <w:pPr>
        <w:pStyle w:val="TopicIntro"/>
        <w:widowControl w:val="1"/>
      </w:pPr>
      <w:r>
        <w:t>Negotiable instruments are written commercial instruments designed to facilitate payment and credit through transferable rights.</w:t>
      </w:r>
    </w:p>
    <w:p>
      <w:pPr>
        <w:pStyle w:val="TopicIntro"/>
        <w:widowControl w:val="1"/>
      </w:pPr>
      <w:r>
        <w:t>Prepare the three main instruments and parties to each, endorsement/negotiation, holder in due course, presentment, dishonour, discharge and special cheque rules. The subject is easiest through diagrams showing drawer, drawee, payee, maker and holder.</w:t>
      </w:r>
    </w:p>
    <w:p>
      <w:pPr>
        <w:pStyle w:val="SourceNote"/>
        <w:widowControl w:val="1"/>
      </w:pPr>
      <w:r>
        <w:t>Primary authority: Negotiable Instruments Act, 1881, current official text.</w:t>
      </w:r>
    </w:p>
    <w:p>
      <w:pPr>
        <w:pStyle w:val="Heading3"/>
        <w:widowControl w:val="1"/>
      </w:pPr>
      <w:r>
        <w:t>Three core instruments</w:t>
      </w:r>
    </w:p>
    <w:p>
      <w:pPr>
        <w:widowControl w:val="1"/>
      </w:pPr>
      <w:r>
        <w:t>A promissory note contains an unconditional undertaking by the maker to pay; a bill of exchange contains an unconditional order by the drawer directing the drawee to pay; a cheque is a bill drawn on a banker and payable according to the statutory definition. The official text of the Negotiable Instruments Act, 1881 continues to define these instruments and related parties.</w:t>
      </w:r>
    </w:p>
    <w:p>
      <w:pPr>
        <w:widowControl w:val="1"/>
      </w:pPr>
      <w:r>
        <w:t>Learn the actors visually: maker/payee for a note; drawer/drawee/acceptor/payee for a bill; drawer/bank/payee for a cheque.</w:t>
      </w:r>
    </w:p>
    <w:p>
      <w:pPr>
        <w:pStyle w:val="Heading3"/>
        <w:widowControl w:val="1"/>
      </w:pPr>
      <w:r>
        <w:t>Negotiation and holder in due course</w:t>
      </w:r>
    </w:p>
    <w:p>
      <w:pPr>
        <w:widowControl w:val="1"/>
      </w:pPr>
      <w:r>
        <w:t>Negotiation transfers an instrument in the legally recognized manner so that the transferee becomes holder. Endorsement and delivery are therefore not mere physical acts; their legal effect depends on the type of instrument and form of endorsement.</w:t>
      </w:r>
    </w:p>
    <w:p>
      <w:pPr>
        <w:widowControl w:val="1"/>
      </w:pPr>
      <w:r>
        <w:t>A holder in due course receives special protection when statutory conditions are satisfied. Do not assume every possessor or every transferee has that status.</w:t>
      </w:r>
    </w:p>
    <w:p>
      <w:pPr>
        <w:pStyle w:val="Heading3"/>
        <w:widowControl w:val="1"/>
      </w:pPr>
      <w:r>
        <w:t>Presentment, dishonour and discharge</w:t>
      </w:r>
    </w:p>
    <w:p>
      <w:pPr>
        <w:widowControl w:val="1"/>
      </w:pPr>
      <w:r>
        <w:t>Commercial certainty requires timely presentment and formal consequences when payment or acceptance is refused. Noting and protest record dishonour in the circumstances recognized by the Act, while notice of dishonour can preserve recourse against relevant parties.</w:t>
      </w:r>
    </w:p>
    <w:p>
      <w:pPr>
        <w:widowControl w:val="1"/>
      </w:pPr>
      <w:r>
        <w:t>Discharge may occur through payment or other legally recognized events. Exam questions should trace the instrument through creation → negotiation → presentment → honour/dishonour → recourse/discharge.</w:t>
      </w:r>
    </w:p>
    <w:p>
      <w:pPr>
        <w:pStyle w:val="Heading3"/>
        <w:widowControl w:val="1"/>
      </w:pPr>
      <w:r>
        <w:t>Core Concepts Explained</w:t>
      </w:r>
    </w:p>
    <w:p>
      <w:pPr>
        <w:pStyle w:val="TeachingBullet"/>
        <w:widowControl w:val="1"/>
      </w:pPr>
      <w:r>
        <w:t>Learn the three main instruments through their parties and wording. A promissory note contains an undertaking to pay; a bill of exchange and cheque contain an order to pay, with a cheque drawn on a banker.</w:t>
      </w:r>
    </w:p>
    <w:p>
      <w:pPr>
        <w:pStyle w:val="TeachingBullet"/>
        <w:widowControl w:val="1"/>
      </w:pPr>
      <w:r>
        <w:t>Negotiability allows rights embodied in the instrument to be transferred by the legally prescribed method. Endorsement and delivery rules matter because physical possession alone may not always be enough.</w:t>
      </w:r>
    </w:p>
    <w:p>
      <w:pPr>
        <w:pStyle w:val="TeachingBullet"/>
        <w:widowControl w:val="1"/>
      </w:pPr>
      <w:r>
        <w:t>A holder in due course receives special statutory protection if the legal requirements are satisfied. This concept should be compared with an ordinary holder.</w:t>
      </w:r>
    </w:p>
    <w:p>
      <w:pPr>
        <w:pStyle w:val="TeachingBullet"/>
        <w:widowControl w:val="1"/>
      </w:pPr>
      <w:r>
        <w:t>Presentment, dishonour, notice, noting and protest are sequential commercial-law concepts. Discharge concerns the ending of liability on the instrument in recognized circumstances.</w:t>
      </w:r>
    </w:p>
    <w:p>
      <w:pPr>
        <w:pStyle w:val="TeachingBullet"/>
        <w:widowControl w:val="1"/>
      </w:pPr>
      <w:r>
        <w:t>Draw diagrams showing maker, drawer, drawee, payee, endorser and holder. Visualizing the parties prevents most conceptual confusion.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a cheque is the same as a promissory note. One contains an order on a bank; the other contains a promise by the maker.</w:t>
            </w:r>
          </w:p>
        </w:tc>
      </w:tr>
    </w:tbl>
    <w:p>
      <w:pPr>
        <w:pStyle w:val="Heading3"/>
        <w:widowControl w:val="1"/>
      </w:pPr>
      <w:r>
        <w:t>Preparation and Answer Use</w:t>
      </w:r>
    </w:p>
    <w:p>
      <w:pPr>
        <w:pStyle w:val="TeachingBullet"/>
        <w:widowControl w:val="1"/>
      </w:pPr>
      <w:r>
        <w:t>Draw party diagrams for cheque, bill and promissory note.</w:t>
      </w:r>
    </w:p>
    <w:p>
      <w:pPr>
        <w:pStyle w:val="TeachingBullet"/>
        <w:widowControl w:val="1"/>
      </w:pPr>
      <w:r>
        <w:t>Prepare holder vs holder in due course.</w:t>
      </w:r>
    </w:p>
    <w:p>
      <w:pPr>
        <w:pStyle w:val="TeachingBullet"/>
        <w:widowControl w:val="1"/>
      </w:pPr>
      <w:r>
        <w:t>Study dishonour and discharge as separate stages.</w:t>
      </w:r>
    </w:p>
    <w:p>
      <w:pPr>
        <w:pStyle w:val="Heading3"/>
        <w:widowControl w:val="1"/>
      </w:pPr>
      <w:r>
        <w:t>Key Takeaways</w:t>
      </w:r>
    </w:p>
    <w:p>
      <w:pPr>
        <w:pStyle w:val="TakeawayBullet"/>
        <w:widowControl w:val="1"/>
      </w:pPr>
      <w:r>
        <w:t>A promissory note contains a promise; a bill/cheque contains an order to pay.</w:t>
      </w:r>
    </w:p>
    <w:p>
      <w:pPr>
        <w:pStyle w:val="TakeawayBullet"/>
        <w:widowControl w:val="1"/>
      </w:pPr>
      <w:r>
        <w:t>Negotiation transfers the instrument in the legally prescribed way.</w:t>
      </w:r>
    </w:p>
    <w:p>
      <w:pPr>
        <w:pStyle w:val="TakeawayBullet"/>
        <w:widowControl w:val="1"/>
      </w:pPr>
      <w:r>
        <w:t>Holder in due course receives special protection subject to statutory conditions.</w:t>
      </w:r>
    </w:p>
    <w:p>
      <w:pPr>
        <w:spacing w:after="20"/>
        <w:pBdr>
          <w:bottom w:val="single" w:sz="4" w:space="1" w:color="D9E2F3"/>
        </w:pBdr>
        <w:widowControl w:val="1"/>
      </w:pPr>
    </w:p>
    <w:p>
      <w:pPr>
        <w:pStyle w:val="Heading2"/>
        <w:widowControl w:val="1"/>
      </w:pPr>
      <w:r>
        <w:t>5. Competition Act, 2010</w:t>
      </w:r>
    </w:p>
    <w:p>
      <w:pPr>
        <w:pStyle w:val="Heading3"/>
        <w:widowControl w:val="1"/>
      </w:pPr>
      <w:r>
        <w:t>Official Syllabus Focus</w:t>
      </w:r>
    </w:p>
    <w:p>
      <w:pPr>
        <w:pStyle w:val="FocusBullet"/>
        <w:widowControl w:val="1"/>
      </w:pPr>
      <w:r>
        <w:t>Definitions</w:t>
      </w:r>
    </w:p>
    <w:p>
      <w:pPr>
        <w:pStyle w:val="FocusBullet"/>
        <w:widowControl w:val="1"/>
      </w:pPr>
      <w:r>
        <w:t>Abuse of dominant position</w:t>
      </w:r>
    </w:p>
    <w:p>
      <w:pPr>
        <w:pStyle w:val="FocusBullet"/>
        <w:widowControl w:val="1"/>
      </w:pPr>
      <w:r>
        <w:t>Certain agreements</w:t>
      </w:r>
    </w:p>
    <w:p>
      <w:pPr>
        <w:pStyle w:val="FocusBullet"/>
        <w:widowControl w:val="1"/>
      </w:pPr>
      <w:r>
        <w:t>Deceptive marketing practices</w:t>
      </w:r>
    </w:p>
    <w:p>
      <w:pPr>
        <w:pStyle w:val="FocusBullet"/>
        <w:widowControl w:val="1"/>
      </w:pPr>
      <w:r>
        <w:t>Merger approval</w:t>
      </w:r>
    </w:p>
    <w:p>
      <w:pPr>
        <w:pStyle w:val="FocusBullet"/>
        <w:widowControl w:val="1"/>
      </w:pPr>
      <w:r>
        <w:t>Competition Commission of Pakistan</w:t>
      </w:r>
    </w:p>
    <w:p>
      <w:pPr>
        <w:pStyle w:val="FocusBullet"/>
        <w:widowControl w:val="1"/>
      </w:pPr>
      <w:r>
        <w:t>Penalties and appeals</w:t>
      </w:r>
    </w:p>
    <w:p>
      <w:pPr>
        <w:pStyle w:val="Heading3"/>
        <w:widowControl w:val="1"/>
      </w:pPr>
      <w:r>
        <w:t>Introduction and Scope</w:t>
      </w:r>
    </w:p>
    <w:p>
      <w:pPr>
        <w:pStyle w:val="TopicIntro"/>
        <w:widowControl w:val="1"/>
      </w:pPr>
      <w:r>
        <w:t>Competition law protects competitive markets by controlling abusive market power, anti-competitive coordination and misleading market conduct.</w:t>
      </w:r>
    </w:p>
    <w:p>
      <w:pPr>
        <w:pStyle w:val="TopicIntro"/>
        <w:widowControl w:val="1"/>
      </w:pPr>
      <w:r>
        <w:t>Study dominance versus abuse: being large is not automatically unlawful; abuse is the legal issue. Also prepare prohibited agreements/cartels, deceptive marketing, merger review, powers of the Competition Commission and appellate structure.</w:t>
      </w:r>
    </w:p>
    <w:p>
      <w:pPr>
        <w:pStyle w:val="SourceNote"/>
        <w:widowControl w:val="1"/>
      </w:pPr>
      <w:r>
        <w:t>Primary authority: Competition Act, 2010 and current Competition Commission of Pakistan materials.</w:t>
      </w:r>
    </w:p>
    <w:p>
      <w:pPr>
        <w:pStyle w:val="Heading3"/>
        <w:widowControl w:val="1"/>
      </w:pPr>
      <w:r>
        <w:t>Purpose of competition law</w:t>
      </w:r>
    </w:p>
    <w:p>
      <w:pPr>
        <w:widowControl w:val="1"/>
      </w:pPr>
      <w:r>
        <w:t>Competition law protects the competitive process rather than guaranteeing success for every individual competitor. The Competition Act, 2010 addresses conduct that can reduce rivalry, distort consumer choice or allow market power to be used in prohibited ways. Its institutional centre is the Competition Commission of Pakistan (CCP).</w:t>
      </w:r>
    </w:p>
    <w:p>
      <w:pPr>
        <w:widowControl w:val="1"/>
      </w:pPr>
      <w:r>
        <w:t>A competition answer should begin with the market conduct or transaction and then identify the legal category: abuse of dominance, prohibited agreement, deceptive marketing or merger control.</w:t>
      </w:r>
    </w:p>
    <w:p>
      <w:pPr>
        <w:pStyle w:val="Heading3"/>
        <w:widowControl w:val="1"/>
      </w:pPr>
      <w:r>
        <w:t>Dominance, agreements and deceptive marketing</w:t>
      </w:r>
    </w:p>
    <w:p>
      <w:pPr>
        <w:widowControl w:val="1"/>
      </w:pPr>
      <w:r>
        <w:t>Dominance is not automatically unlawful. The legal concern is abuse of a dominant position through conduct prohibited by law. Similarly, agreements between firms are assessed for their effect or object under the statutory framework; classic competition concerns include price coordination, market allocation and restrictions that suppress rivalry.</w:t>
      </w:r>
    </w:p>
    <w:p>
      <w:pPr>
        <w:widowControl w:val="1"/>
      </w:pPr>
      <w:r>
        <w:t>Deceptive marketing rules address misleading commercial representations and practices that can distort consumer decision-making. The exact statutory tests and exemptions should be taken from the current Act and CCP materials.</w:t>
      </w:r>
    </w:p>
    <w:p>
      <w:pPr>
        <w:pStyle w:val="Heading3"/>
        <w:widowControl w:val="1"/>
      </w:pPr>
      <w:r>
        <w:t>Merger control and enforcement</w:t>
      </w:r>
    </w:p>
    <w:p>
      <w:pPr>
        <w:widowControl w:val="1"/>
      </w:pPr>
      <w:r>
        <w:t>Merger control is preventive: certain combinations require notification or review because structural change can substantially alter competition before harm becomes difficult to reverse. Analysis considers market definition, concentration, competitive constraints and possible efficiencies under the legal framework.</w:t>
      </w:r>
    </w:p>
    <w:p>
      <w:pPr>
        <w:widowControl w:val="1"/>
      </w:pPr>
      <w:r>
        <w:t>The CCP investigates and adjudicates within its statutory powers, while penalties and appeals are governed by the Act. A problem answer should never assume that “large firm = illegal monopoly”; size, market power and abusive conduct are distinct questions.</w:t>
      </w:r>
    </w:p>
    <w:p>
      <w:pPr>
        <w:pStyle w:val="Heading3"/>
        <w:widowControl w:val="1"/>
      </w:pPr>
      <w:r>
        <w:t>Core Concepts Explained</w:t>
      </w:r>
    </w:p>
    <w:p>
      <w:pPr>
        <w:pStyle w:val="TeachingBullet"/>
        <w:widowControl w:val="1"/>
      </w:pPr>
      <w:r>
        <w:t>Competition law protects the competitive process rather than guaranteeing success to particular competitors. The key question is whether conduct harms competition in a legally relevant way.</w:t>
      </w:r>
    </w:p>
    <w:p>
      <w:pPr>
        <w:pStyle w:val="TeachingBullet"/>
        <w:widowControl w:val="1"/>
      </w:pPr>
      <w:r>
        <w:t>Dominance is a position of significant market power; abuse is the unlawful use of that position. A large market share or successful business is not automatically illegal.</w:t>
      </w:r>
    </w:p>
    <w:p>
      <w:pPr>
        <w:pStyle w:val="TeachingBullet"/>
        <w:widowControl w:val="1"/>
      </w:pPr>
      <w:r>
        <w:t>Anti-competitive agreements include coordination that restricts competition, with cartel conduct being a serious example. The legal analysis concerns the nature and effect of the coordination.</w:t>
      </w:r>
    </w:p>
    <w:p>
      <w:pPr>
        <w:pStyle w:val="TeachingBullet"/>
        <w:widowControl w:val="1"/>
      </w:pPr>
      <w:r>
        <w:t>Deceptive marketing addresses misleading commercial conduct. Merger control is preventive because authorities examine whether a transaction is likely to harm competition before or as it takes effect.</w:t>
      </w:r>
    </w:p>
    <w:p>
      <w:pPr>
        <w:pStyle w:val="TeachingBullet"/>
        <w:widowControl w:val="1"/>
      </w:pPr>
      <w:r>
        <w:t>The Competition Commission should be studied through its investigative, enforcement, merger-review and adjudicative functions together with the appellate framework.</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equate “dominant firm” with “illegal firm.” The legal focus is abuse of dominance and other prohibited conduct.</w:t>
            </w:r>
          </w:p>
        </w:tc>
      </w:tr>
    </w:tbl>
    <w:p>
      <w:pPr>
        <w:pStyle w:val="Heading3"/>
        <w:widowControl w:val="1"/>
      </w:pPr>
      <w:r>
        <w:t>Preparation and Answer Use</w:t>
      </w:r>
    </w:p>
    <w:p>
      <w:pPr>
        <w:pStyle w:val="TeachingBullet"/>
        <w:widowControl w:val="1"/>
      </w:pPr>
      <w:r>
        <w:rPr>
          <w:b/>
        </w:rPr>
        <w:t>Make a three-part chart:</w:t>
      </w:r>
      <w:r>
        <w:t xml:space="preserve"> dominance | agreements | deceptive marketing.</w:t>
      </w:r>
    </w:p>
    <w:p>
      <w:pPr>
        <w:pStyle w:val="TeachingBullet"/>
        <w:widowControl w:val="1"/>
      </w:pPr>
      <w:r>
        <w:t>Understand why merger review is preventive.</w:t>
      </w:r>
    </w:p>
    <w:p>
      <w:pPr>
        <w:pStyle w:val="TeachingBullet"/>
        <w:widowControl w:val="1"/>
      </w:pPr>
      <w:r>
        <w:t>Use CCP official material for current procedure and penalties.</w:t>
      </w:r>
    </w:p>
    <w:p>
      <w:pPr>
        <w:pStyle w:val="Heading3"/>
        <w:widowControl w:val="1"/>
      </w:pPr>
      <w:r>
        <w:t>Key Takeaways</w:t>
      </w:r>
    </w:p>
    <w:p>
      <w:pPr>
        <w:pStyle w:val="TakeawayBullet"/>
        <w:widowControl w:val="1"/>
      </w:pPr>
      <w:r>
        <w:t>Competition law targets harmful conduct, not business success itself.</w:t>
      </w:r>
    </w:p>
    <w:p>
      <w:pPr>
        <w:pStyle w:val="TakeawayBullet"/>
        <w:widowControl w:val="1"/>
      </w:pPr>
      <w:r>
        <w:t>Cartel-type coordination can restrict competition.</w:t>
      </w:r>
    </w:p>
    <w:p>
      <w:pPr>
        <w:pStyle w:val="TakeawayBullet"/>
        <w:widowControl w:val="1"/>
      </w:pPr>
      <w:r>
        <w:t>Merger control examines likely competitive effects.</w:t>
      </w:r>
    </w:p>
    <w:p>
      <w:pPr>
        <w:pStyle w:val="TakeawayBullet"/>
        <w:widowControl w:val="1"/>
      </w:pPr>
      <w:r>
        <w:t>CCP is the specialized enforcement institution.</w:t>
      </w:r>
    </w:p>
    <w:p>
      <w:pPr>
        <w:spacing w:after="20"/>
        <w:pBdr>
          <w:bottom w:val="single" w:sz="4" w:space="1" w:color="D9E2F3"/>
        </w:pBdr>
        <w:widowControl w:val="1"/>
      </w:pPr>
    </w:p>
    <w:p>
      <w:pPr>
        <w:pStyle w:val="Heading2"/>
        <w:widowControl w:val="1"/>
      </w:pPr>
      <w:r>
        <w:t>6. Electronic Transactions Ordinance, 2002</w:t>
      </w:r>
    </w:p>
    <w:p>
      <w:pPr>
        <w:pStyle w:val="Heading3"/>
        <w:widowControl w:val="1"/>
      </w:pPr>
      <w:r>
        <w:t>Official Syllabus Focus</w:t>
      </w:r>
    </w:p>
    <w:p>
      <w:pPr>
        <w:pStyle w:val="FocusBullet"/>
        <w:widowControl w:val="1"/>
      </w:pPr>
      <w:r>
        <w:t>Definitions</w:t>
      </w:r>
    </w:p>
    <w:p>
      <w:pPr>
        <w:pStyle w:val="FocusBullet"/>
        <w:widowControl w:val="1"/>
      </w:pPr>
      <w:r>
        <w:t>Recognition of electronic transactions</w:t>
      </w:r>
    </w:p>
    <w:p>
      <w:pPr>
        <w:pStyle w:val="FocusBullet"/>
        <w:widowControl w:val="1"/>
      </w:pPr>
      <w:r>
        <w:t>Writing/signature/attestation concepts</w:t>
      </w:r>
    </w:p>
    <w:p>
      <w:pPr>
        <w:pStyle w:val="FocusBullet"/>
        <w:widowControl w:val="1"/>
      </w:pPr>
      <w:r>
        <w:t>Electronic documents</w:t>
      </w:r>
    </w:p>
    <w:p>
      <w:pPr>
        <w:pStyle w:val="FocusBullet"/>
        <w:widowControl w:val="1"/>
      </w:pPr>
      <w:r>
        <w:t>Certification service providers</w:t>
      </w:r>
    </w:p>
    <w:p>
      <w:pPr>
        <w:pStyle w:val="FocusBullet"/>
        <w:widowControl w:val="1"/>
      </w:pPr>
      <w:r>
        <w:t>Extra-territorial application</w:t>
      </w:r>
    </w:p>
    <w:p>
      <w:pPr>
        <w:pStyle w:val="FocusBullet"/>
        <w:widowControl w:val="1"/>
      </w:pPr>
      <w:r>
        <w:t>Offences</w:t>
      </w:r>
    </w:p>
    <w:p>
      <w:pPr>
        <w:pStyle w:val="Heading3"/>
        <w:widowControl w:val="1"/>
      </w:pPr>
      <w:r>
        <w:t>Introduction and Scope</w:t>
      </w:r>
    </w:p>
    <w:p>
      <w:pPr>
        <w:pStyle w:val="TopicIntro"/>
        <w:widowControl w:val="1"/>
      </w:pPr>
      <w:r>
        <w:t>The ETO gives legal recognition to electronic records and transactions so that a transaction is not rejected merely because it is in electronic form.</w:t>
      </w:r>
    </w:p>
    <w:p>
      <w:pPr>
        <w:pStyle w:val="TopicIntro"/>
        <w:widowControl w:val="1"/>
      </w:pPr>
      <w:r>
        <w:t>Prepare how electronic writing/signatures can satisfy legal-form requirements, attribution and acknowledgement of electronic records, dispatch/receipt, certification-service providers and offences affecting digital trust.</w:t>
      </w:r>
    </w:p>
    <w:p>
      <w:pPr>
        <w:pStyle w:val="SourceNote"/>
        <w:widowControl w:val="1"/>
      </w:pPr>
      <w:r>
        <w:t>Primary authority: Electronic Transactions Ordinance, 2002, read with current evidence/cybercrime law where relevant.</w:t>
      </w:r>
    </w:p>
    <w:p>
      <w:pPr>
        <w:pStyle w:val="Heading3"/>
        <w:widowControl w:val="1"/>
      </w:pPr>
      <w:r>
        <w:t>Functional equivalence in electronic commerce</w:t>
      </w:r>
    </w:p>
    <w:p>
      <w:pPr>
        <w:widowControl w:val="1"/>
      </w:pPr>
      <w:r>
        <w:t>The Electronic Transactions Ordinance, 2002 gives legal recognition to electronic records and transactions so that a transaction is not denied effect merely because information is in electronic form. Its logic is functional equivalence: electronic methods can satisfy legal requirements of writing, signature, original form or retention when the statutory conditions are met.</w:t>
      </w:r>
    </w:p>
    <w:p>
      <w:pPr>
        <w:widowControl w:val="1"/>
      </w:pPr>
      <w:r>
        <w:t>This does not mean every digital message automatically proves a contract. Formation, attribution, authenticity and evidentiary reliability still have to be established under the relevant law.</w:t>
      </w:r>
    </w:p>
    <w:p>
      <w:pPr>
        <w:pStyle w:val="Heading3"/>
        <w:widowControl w:val="1"/>
      </w:pPr>
      <w:r>
        <w:t>Electronic signatures and records</w:t>
      </w:r>
    </w:p>
    <w:p>
      <w:pPr>
        <w:widowControl w:val="1"/>
      </w:pPr>
      <w:r>
        <w:t>Electronic signatures connect a person with an electronic document or transaction through a recognized method. The legal strength of a signature depends on the statutory scheme, reliability of the method and the surrounding evidence. Certification service providers can support trust in digital authentication.</w:t>
      </w:r>
    </w:p>
    <w:p>
      <w:pPr>
        <w:widowControl w:val="1"/>
      </w:pPr>
      <w:r>
        <w:t>Electronic records also raise questions of time and place of dispatch and receipt, retention, integrity and attribution. These rules matter because online transactions often cross physical and jurisdictional boundaries.</w:t>
      </w:r>
    </w:p>
    <w:p>
      <w:pPr>
        <w:pStyle w:val="Heading3"/>
        <w:widowControl w:val="1"/>
      </w:pPr>
      <w:r>
        <w:t>Jurisdiction, offences and evidence</w:t>
      </w:r>
    </w:p>
    <w:p>
      <w:pPr>
        <w:widowControl w:val="1"/>
      </w:pPr>
      <w:r>
        <w:t>The Ordinance contains rules with extra-territorial significance and provisions addressing misuse connected with electronic transactions. Students should read these together with later cybercrime legislation where a contemporary offence question goes beyond the Ordinance itself.</w:t>
      </w:r>
    </w:p>
    <w:p>
      <w:pPr>
        <w:widowControl w:val="1"/>
      </w:pPr>
      <w:r>
        <w:t>In litigation, electronic material must also satisfy evidence law. Legal recognition of an electronic document and proof that a particular electronic record is authentic are related but separate issues.</w:t>
      </w:r>
    </w:p>
    <w:p>
      <w:pPr>
        <w:pStyle w:val="Heading3"/>
        <w:widowControl w:val="1"/>
      </w:pPr>
      <w:r>
        <w:t>Core Concepts Explained</w:t>
      </w:r>
    </w:p>
    <w:p>
      <w:pPr>
        <w:pStyle w:val="TeachingBullet"/>
        <w:widowControl w:val="1"/>
      </w:pPr>
      <w:r>
        <w:rPr>
          <w:b/>
        </w:rPr>
        <w:t>The basic policy is technology neutrality:</w:t>
      </w:r>
      <w:r>
        <w:t xml:space="preserve"> a legally relevant transaction should not fail merely because information or a signature exists in electronic rather than paper form, provided statutory requirements are met.</w:t>
      </w:r>
    </w:p>
    <w:p>
      <w:pPr>
        <w:pStyle w:val="TeachingBullet"/>
        <w:widowControl w:val="1"/>
      </w:pPr>
      <w:r>
        <w:t>Legal recognition of electronic writing and signature comes first. Then study attribution: how an electronic record is linked to a particular person or system.</w:t>
      </w:r>
    </w:p>
    <w:p>
      <w:pPr>
        <w:pStyle w:val="TeachingBullet"/>
        <w:widowControl w:val="1"/>
      </w:pPr>
      <w:r>
        <w:t>Acknowledgement confirms receipt or processing; dispatch and receipt rules help determine when and where an electronic communication is legally treated as sent or received.</w:t>
      </w:r>
    </w:p>
    <w:p>
      <w:pPr>
        <w:pStyle w:val="TeachingBullet"/>
        <w:widowControl w:val="1"/>
      </w:pPr>
      <w:r>
        <w:t>Certification-service concepts support trust in electronic authentication, while offence provisions protect the integrity of electronic transactions and certification processes.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describe an electronic signature as simply typing a name. The statute defines legally recognized methods and conditions for authentication.</w:t>
            </w:r>
          </w:p>
        </w:tc>
      </w:tr>
    </w:tbl>
    <w:p>
      <w:pPr>
        <w:pStyle w:val="Heading3"/>
        <w:widowControl w:val="1"/>
      </w:pPr>
      <w:r>
        <w:t>Preparation and Answer Use</w:t>
      </w:r>
    </w:p>
    <w:p>
      <w:pPr>
        <w:pStyle w:val="TeachingBullet"/>
        <w:widowControl w:val="1"/>
      </w:pPr>
      <w:r>
        <w:t>Study legal recognition before technical details.</w:t>
      </w:r>
    </w:p>
    <w:p>
      <w:pPr>
        <w:pStyle w:val="TeachingBullet"/>
        <w:widowControl w:val="1"/>
      </w:pPr>
      <w:r>
        <w:t>Prepare attribution, acknowledgement, dispatch and receipt as a sequence.</w:t>
      </w:r>
    </w:p>
    <w:p>
      <w:pPr>
        <w:pStyle w:val="TeachingBullet"/>
        <w:widowControl w:val="1"/>
      </w:pPr>
      <w:r>
        <w:t>Use exact statutory language for digital/electronic signature concepts.</w:t>
      </w:r>
    </w:p>
    <w:p>
      <w:pPr>
        <w:pStyle w:val="Heading3"/>
        <w:widowControl w:val="1"/>
      </w:pPr>
      <w:r>
        <w:t>Key Takeaways</w:t>
      </w:r>
    </w:p>
    <w:p>
      <w:pPr>
        <w:pStyle w:val="TakeawayBullet"/>
        <w:widowControl w:val="1"/>
      </w:pPr>
      <w:r>
        <w:t>Electronic form can have legal effect when statutory requirements are met.</w:t>
      </w:r>
    </w:p>
    <w:p>
      <w:pPr>
        <w:pStyle w:val="TakeawayBullet"/>
        <w:widowControl w:val="1"/>
      </w:pPr>
      <w:r>
        <w:t>Authentication links an electronic act to a person or system.</w:t>
      </w:r>
    </w:p>
    <w:p>
      <w:pPr>
        <w:pStyle w:val="TakeawayBullet"/>
        <w:widowControl w:val="1"/>
      </w:pPr>
      <w:r>
        <w:t>The Ordinance also creates offences relating to misuse and false certification.</w:t>
      </w:r>
    </w:p>
    <w:p>
      <w:pPr>
        <w:spacing w:after="20"/>
        <w:pBdr>
          <w:bottom w:val="single" w:sz="4" w:space="1" w:color="D9E2F3"/>
        </w:pBdr>
        <w:widowControl w:val="1"/>
      </w:pPr>
    </w:p>
    <w:p>
      <w:pPr>
        <w:pStyle w:val="Heading2"/>
        <w:widowControl w:val="1"/>
      </w:pPr>
      <w:r>
        <w:t>7. Arbitration Law in Pakistan</w:t>
      </w:r>
    </w:p>
    <w:p>
      <w:pPr>
        <w:pStyle w:val="Heading3"/>
        <w:widowControl w:val="1"/>
      </w:pPr>
      <w:r>
        <w:t>Official Syllabus Focus</w:t>
      </w:r>
    </w:p>
    <w:p>
      <w:pPr>
        <w:pStyle w:val="FocusBullet"/>
        <w:widowControl w:val="1"/>
      </w:pPr>
      <w:r>
        <w:t>Definitions</w:t>
      </w:r>
    </w:p>
    <w:p>
      <w:pPr>
        <w:pStyle w:val="FocusBullet"/>
        <w:widowControl w:val="1"/>
      </w:pPr>
      <w:r>
        <w:t>Appointment/number/removal of arbitrator</w:t>
      </w:r>
    </w:p>
    <w:p>
      <w:pPr>
        <w:pStyle w:val="FocusBullet"/>
        <w:widowControl w:val="1"/>
      </w:pPr>
      <w:r>
        <w:t>Award</w:t>
      </w:r>
    </w:p>
    <w:p>
      <w:pPr>
        <w:pStyle w:val="FocusBullet"/>
        <w:widowControl w:val="1"/>
      </w:pPr>
      <w:r>
        <w:t>Court powers</w:t>
      </w:r>
    </w:p>
    <w:p>
      <w:pPr>
        <w:pStyle w:val="FocusBullet"/>
        <w:widowControl w:val="1"/>
      </w:pPr>
      <w:r>
        <w:t>Types with/without court intervention</w:t>
      </w:r>
    </w:p>
    <w:p>
      <w:pPr>
        <w:pStyle w:val="FocusBullet"/>
        <w:widowControl w:val="1"/>
      </w:pPr>
      <w:r>
        <w:t>Stay of proceedings</w:t>
      </w:r>
    </w:p>
    <w:p>
      <w:pPr>
        <w:pStyle w:val="Heading3"/>
        <w:widowControl w:val="1"/>
      </w:pPr>
      <w:r>
        <w:t>Introduction and Scope</w:t>
      </w:r>
    </w:p>
    <w:p>
      <w:pPr>
        <w:pStyle w:val="TopicIntro"/>
        <w:widowControl w:val="1"/>
      </w:pPr>
      <w:r>
        <w:t>Commercial arbitration allows parties to resolve disputes through an agreed tribunal rather than ordinary litigation.</w:t>
      </w:r>
    </w:p>
    <w:p>
      <w:pPr>
        <w:pStyle w:val="TopicIntro"/>
        <w:widowControl w:val="1"/>
      </w:pPr>
      <w:r>
        <w:t>For Mercantile Law, focus on the statutory mechanics: arbitration agreement, tribunal formation, proceedings, award, court supervision, challenge and enforcement. Domestic arbitration under the syllabus is historically tied to the Arbitration Act 1940 framework.</w:t>
      </w:r>
    </w:p>
    <w:p>
      <w:pPr>
        <w:pStyle w:val="SourceNote"/>
        <w:widowControl w:val="1"/>
      </w:pPr>
      <w:r>
        <w:t>Primary authority: Arbitration Act, 1940 for domestic arbitration, plus the applicable foreign-award/international regime where relevant.</w:t>
      </w:r>
    </w:p>
    <w:p>
      <w:pPr>
        <w:pStyle w:val="Heading3"/>
        <w:widowControl w:val="1"/>
      </w:pPr>
      <w:r>
        <w:t>Agreement, reference and award</w:t>
      </w:r>
    </w:p>
    <w:p>
      <w:pPr>
        <w:widowControl w:val="1"/>
      </w:pPr>
      <w:r>
        <w:t>Arbitration is consensual adjudication: the parties’ agreement is the source of the arbitrator’s jurisdiction. The usual path is arbitration agreement → dispute → constitution of tribunal/arbitrator → proceedings → award → recognition or challenge through the court where the governing law requires.</w:t>
      </w:r>
    </w:p>
    <w:p>
      <w:pPr>
        <w:widowControl w:val="1"/>
      </w:pPr>
      <w:r>
        <w:t>Pakistan’s domestic arbitration framework continues to rely substantially on the Arbitration Act, 1940, while foreign awards and international commercial arbitration questions may engage additional legislation and treaty obligations. Always identify which legal regime governs the particular arbitration.</w:t>
      </w:r>
    </w:p>
    <w:p>
      <w:pPr>
        <w:pStyle w:val="Heading3"/>
        <w:widowControl w:val="1"/>
      </w:pPr>
      <w:r>
        <w:t>Court support versus court control</w:t>
      </w:r>
    </w:p>
    <w:p>
      <w:pPr>
        <w:widowControl w:val="1"/>
      </w:pPr>
      <w:r>
        <w:t>Courts may stay ordinary proceedings, assist with appointment in defined situations, compel or support procedural steps, and deal with an award through the powers given by statute. This judicial role does not erase party autonomy; it provides legal supervision and enforceability.</w:t>
      </w:r>
    </w:p>
    <w:p>
      <w:pPr>
        <w:widowControl w:val="1"/>
      </w:pPr>
      <w:r>
        <w:t>The central exam distinction is between the merits of the underlying dispute and the narrower grounds on which a court may intervene in arbitral process or award.</w:t>
      </w:r>
    </w:p>
    <w:p>
      <w:pPr>
        <w:pStyle w:val="Heading3"/>
        <w:widowControl w:val="1"/>
      </w:pPr>
      <w:r>
        <w:t>Drafting an arbitration answer</w:t>
      </w:r>
    </w:p>
    <w:p>
      <w:pPr>
        <w:widowControl w:val="1"/>
      </w:pPr>
      <w:r>
        <w:t>State the arbitration agreement, identify the issue of jurisdiction, explain appointment and procedure, then deal with the award and any statutory ground for court action. If the question concerns enforcement of a foreign award, do not answer solely from the domestic 1940 Act.</w:t>
      </w:r>
    </w:p>
    <w:p>
      <w:pPr>
        <w:widowControl w:val="1"/>
      </w:pPr>
      <w:r>
        <w:t>Use exact statutory language for setting aside, remission or enforcement questions because the powers of the court are defined, not general equitable discretion.</w:t>
      </w:r>
    </w:p>
    <w:p>
      <w:pPr>
        <w:pStyle w:val="Heading3"/>
        <w:widowControl w:val="1"/>
      </w:pPr>
      <w:r>
        <w:t>Core Concepts Explained</w:t>
      </w:r>
    </w:p>
    <w:p>
      <w:pPr>
        <w:pStyle w:val="TeachingBullet"/>
        <w:widowControl w:val="1"/>
      </w:pPr>
      <w:r>
        <w:t>This topic is the commercial-law version of arbitration and should be approached as a statutory process from agreement to award and court supervision.</w:t>
      </w:r>
    </w:p>
    <w:p>
      <w:pPr>
        <w:pStyle w:val="TeachingBullet"/>
        <w:widowControl w:val="1"/>
      </w:pPr>
      <w:r>
        <w:t>The arbitration agreement creates the tribunal's authority. Appointment, number and removal of arbitrators are procedural questions that affect whether the tribunal is properly constituted.</w:t>
      </w:r>
    </w:p>
    <w:p>
      <w:pPr>
        <w:pStyle w:val="TeachingBullet"/>
        <w:widowControl w:val="1"/>
      </w:pPr>
      <w:r>
        <w:t>The award is the tribunal's formal decision. Court powers concerning stay, filing, modification, remission, setting aside or enforcement must be learned as distinct legal functions.</w:t>
      </w:r>
    </w:p>
    <w:p>
      <w:pPr>
        <w:pStyle w:val="TeachingBullet"/>
        <w:widowControl w:val="1"/>
      </w:pPr>
      <w:r>
        <w:t>When explaining court intervention, state the exact purpose: supporting arbitration, preventing parallel litigation, correcting a legally recognized defect, or enforcing the result.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courts can re-hear the entire merits whenever a party dislikes an award. Court intervention is limited by the governing arbitration law.</w:t>
            </w:r>
          </w:p>
        </w:tc>
      </w:tr>
    </w:tbl>
    <w:p>
      <w:pPr>
        <w:pStyle w:val="Heading3"/>
        <w:widowControl w:val="1"/>
      </w:pPr>
      <w:r>
        <w:t>Preparation and Answer Use</w:t>
      </w:r>
    </w:p>
    <w:p>
      <w:pPr>
        <w:pStyle w:val="TeachingBullet"/>
        <w:widowControl w:val="1"/>
      </w:pPr>
      <w:r>
        <w:t>Prepare an arbitration flowchart.</w:t>
      </w:r>
    </w:p>
    <w:p>
      <w:pPr>
        <w:pStyle w:val="TeachingBullet"/>
        <w:widowControl w:val="1"/>
      </w:pPr>
      <w:r>
        <w:t>Separate grounds/process for remitting, modifying and setting aside an award.</w:t>
      </w:r>
    </w:p>
    <w:p>
      <w:pPr>
        <w:pStyle w:val="TeachingBullet"/>
        <w:widowControl w:val="1"/>
      </w:pPr>
      <w:r>
        <w:t>Understand stay of court proceedings where a valid arbitration agreement exists.</w:t>
      </w:r>
    </w:p>
    <w:p>
      <w:pPr>
        <w:pStyle w:val="Heading3"/>
        <w:widowControl w:val="1"/>
      </w:pPr>
      <w:r>
        <w:t>Key Takeaways</w:t>
      </w:r>
    </w:p>
    <w:p>
      <w:pPr>
        <w:pStyle w:val="TakeawayBullet"/>
        <w:widowControl w:val="1"/>
      </w:pPr>
      <w:r>
        <w:t>Arbitration starts from agreement.</w:t>
      </w:r>
    </w:p>
    <w:p>
      <w:pPr>
        <w:pStyle w:val="TakeawayBullet"/>
        <w:widowControl w:val="1"/>
      </w:pPr>
      <w:r>
        <w:t>Award is the tribunal’s decision.</w:t>
      </w:r>
    </w:p>
    <w:p>
      <w:pPr>
        <w:pStyle w:val="TakeawayBullet"/>
        <w:widowControl w:val="1"/>
      </w:pPr>
      <w:r>
        <w:t>Court intervention is limited to powers granted by law.</w:t>
      </w:r>
    </w:p>
    <w:p>
      <w:pPr>
        <w:spacing w:after="20"/>
        <w:pBdr>
          <w:bottom w:val="single" w:sz="4" w:space="1" w:color="D9E2F3"/>
        </w:pBdr>
        <w:widowControl w:val="1"/>
      </w:pPr>
    </w:p>
    <w:p>
      <w:pPr>
        <w:pStyle w:val="Heading2"/>
        <w:widowControl w:val="1"/>
      </w:pPr>
      <w:r>
        <w:t>8. Consumer Protection</w:t>
      </w:r>
    </w:p>
    <w:p>
      <w:pPr>
        <w:pStyle w:val="Heading3"/>
        <w:widowControl w:val="1"/>
      </w:pPr>
      <w:r>
        <w:t>Official Syllabus Focus</w:t>
      </w:r>
    </w:p>
    <w:p>
      <w:pPr>
        <w:pStyle w:val="FocusBullet"/>
        <w:widowControl w:val="1"/>
      </w:pPr>
      <w:r>
        <w:t>Definitions</w:t>
      </w:r>
    </w:p>
    <w:p>
      <w:pPr>
        <w:pStyle w:val="FocusBullet"/>
        <w:widowControl w:val="1"/>
      </w:pPr>
      <w:r>
        <w:t>Consumer Commission</w:t>
      </w:r>
    </w:p>
    <w:p>
      <w:pPr>
        <w:pStyle w:val="FocusBullet"/>
        <w:widowControl w:val="1"/>
      </w:pPr>
      <w:r>
        <w:t>Complaints/disposal</w:t>
      </w:r>
    </w:p>
    <w:p>
      <w:pPr>
        <w:pStyle w:val="FocusBullet"/>
        <w:widowControl w:val="1"/>
      </w:pPr>
      <w:r>
        <w:t>Recall of goods</w:t>
      </w:r>
    </w:p>
    <w:p>
      <w:pPr>
        <w:pStyle w:val="FocusBullet"/>
        <w:widowControl w:val="1"/>
      </w:pPr>
      <w:r>
        <w:t>Provider duties/liabilities</w:t>
      </w:r>
    </w:p>
    <w:p>
      <w:pPr>
        <w:pStyle w:val="FocusBullet"/>
        <w:widowControl w:val="1"/>
      </w:pPr>
      <w:r>
        <w:t>Return/refund</w:t>
      </w:r>
    </w:p>
    <w:p>
      <w:pPr>
        <w:pStyle w:val="FocusBullet"/>
        <w:widowControl w:val="1"/>
      </w:pPr>
      <w:r>
        <w:t>Offences/penalties</w:t>
      </w:r>
    </w:p>
    <w:p>
      <w:pPr>
        <w:pStyle w:val="FocusBullet"/>
        <w:widowControl w:val="1"/>
      </w:pPr>
      <w:r>
        <w:t>Consumer-provider contract</w:t>
      </w:r>
    </w:p>
    <w:p>
      <w:pPr>
        <w:pStyle w:val="Heading3"/>
        <w:widowControl w:val="1"/>
      </w:pPr>
      <w:r>
        <w:t>Introduction and Scope</w:t>
      </w:r>
    </w:p>
    <w:p>
      <w:pPr>
        <w:pStyle w:val="TopicIntro"/>
        <w:widowControl w:val="1"/>
      </w:pPr>
      <w:r>
        <w:t>Consumer protection law seeks to protect purchasers/users of goods and services from defective goods, unfair practices and failures of legally required standards.</w:t>
      </w:r>
    </w:p>
    <w:p>
      <w:pPr>
        <w:pStyle w:val="TopicIntro"/>
        <w:widowControl w:val="1"/>
      </w:pPr>
      <w:r>
        <w:t>The FPSC outline uses the label “Consumer’s Protection Act, 2006.” Because consumer legislation in Pakistan may be jurisdiction-specific, prepare the exact statute applicable to the syllabus/exam and verify current provincial/federal law. Conceptually, learn consumer status, provider duties, complaint forum, remedies, recall, refund and penalties.</w:t>
      </w:r>
    </w:p>
    <w:p>
      <w:pPr>
        <w:pStyle w:val="SourceNote"/>
        <w:widowControl w:val="1"/>
      </w:pPr>
      <w:r>
        <w:t>Primary authority: the consumer-protection statute of the relevant province/territory; forum and remedy rules are jurisdiction-specific.</w:t>
      </w:r>
    </w:p>
    <w:p>
      <w:pPr>
        <w:pStyle w:val="Heading3"/>
        <w:widowControl w:val="1"/>
      </w:pPr>
      <w:r>
        <w:t>Consumer protection is jurisdiction-specific in Pakistan</w:t>
      </w:r>
    </w:p>
    <w:p>
      <w:pPr>
        <w:widowControl w:val="1"/>
      </w:pPr>
      <w:r>
        <w:t>Consumer protection in Pakistan is not governed by one simple nationwide consumer statute. Provincial and territorial laws create consumer rights, complaint mechanisms and forums. For example, Sindh has the Sindh Consumer Protection Act, 2014, enacted as Sindh Act XVII of 2015, and other provinces/territories have their own legislation. A current legal answer must therefore identify the relevant jurisdiction.</w:t>
      </w:r>
    </w:p>
    <w:p>
      <w:pPr>
        <w:widowControl w:val="1"/>
      </w:pPr>
      <w:r>
        <w:t>This point matters because forum names, limitation periods, procedures, remedies and penalties can differ even where the underlying policy is similar.</w:t>
      </w:r>
    </w:p>
    <w:p>
      <w:pPr>
        <w:pStyle w:val="Heading3"/>
        <w:widowControl w:val="1"/>
      </w:pPr>
      <w:r>
        <w:t>Core consumer-law problems</w:t>
      </w:r>
    </w:p>
    <w:p>
      <w:pPr>
        <w:widowControl w:val="1"/>
      </w:pPr>
      <w:r>
        <w:t>Consumer statutes typically address defective goods, deficient services, misleading information, unsafe products, unfair contractual practices and failures to provide required disclosures. Liability may fall on manufacturers, sellers or service providers depending on the statutory definition and facts.</w:t>
      </w:r>
    </w:p>
    <w:p>
      <w:pPr>
        <w:widowControl w:val="1"/>
      </w:pPr>
      <w:r>
        <w:t>A complaint should be analysed through: claimant’s status as consumer → respondent’s legal status → defect or deficient service → causation and loss → notice or procedural requirement → available remedy.</w:t>
      </w:r>
    </w:p>
    <w:p>
      <w:pPr>
        <w:pStyle w:val="Heading3"/>
        <w:widowControl w:val="1"/>
      </w:pPr>
      <w:r>
        <w:t>Remedies and market responsibility</w:t>
      </w:r>
    </w:p>
    <w:p>
      <w:pPr>
        <w:widowControl w:val="1"/>
      </w:pPr>
      <w:r>
        <w:t>Remedies may include replacement, repair, refund, compensation, discontinuance of unfair practice, recall or other orders authorized by the relevant Act. Consumer protection therefore combines private redress with broader market discipline.</w:t>
      </w:r>
    </w:p>
    <w:p>
      <w:pPr>
        <w:widowControl w:val="1"/>
      </w:pPr>
      <w:r>
        <w:t>Do not invent a uniform “Consumer Commission” structure for the whole country. Use the forum and terminology of the applicable provincial or territorial statute.</w:t>
      </w:r>
    </w:p>
    <w:p>
      <w:pPr>
        <w:pStyle w:val="Heading3"/>
        <w:widowControl w:val="1"/>
      </w:pPr>
      <w:r>
        <w:t>Core Concepts Explained</w:t>
      </w:r>
    </w:p>
    <w:p>
      <w:pPr>
        <w:pStyle w:val="TeachingBullet"/>
        <w:widowControl w:val="1"/>
      </w:pPr>
      <w:r>
        <w:t>Consumer protection law corrects the imbalance that can arise when buyers or users face defective goods, unsafe services, misleading information or unfair commercial practices.</w:t>
      </w:r>
    </w:p>
    <w:p>
      <w:pPr>
        <w:pStyle w:val="TeachingBullet"/>
        <w:widowControl w:val="1"/>
      </w:pPr>
      <w:r>
        <w:t>Study the legal definition of consumer first because standing to complain depends on it. Then identify provider duties, prohibited conduct, complaint forum and available remedies.</w:t>
      </w:r>
    </w:p>
    <w:p>
      <w:pPr>
        <w:pStyle w:val="TeachingBullet"/>
        <w:widowControl w:val="1"/>
      </w:pPr>
      <w:r>
        <w:t>Remedies may include repair, replacement, refund, compensation, corrective directions, recall or penalties where the applicable statute authorizes them.</w:t>
      </w:r>
    </w:p>
    <w:p>
      <w:pPr>
        <w:pStyle w:val="TeachingBullet"/>
        <w:widowControl w:val="1"/>
      </w:pPr>
      <w:r>
        <w:t>Because consumer law in Pakistan can be jurisdiction-specific, the exam answer should follow the exact statute indicated by the syllabus or applicable provincial/federal law rather than importing rules from another jurisdiction.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memorize a generic “consumer bill of rights” and assume it matches the statute. Definitions, forum and remedies must come from the applicable law.</w:t>
            </w:r>
          </w:p>
        </w:tc>
      </w:tr>
    </w:tbl>
    <w:p>
      <w:pPr>
        <w:pStyle w:val="Heading3"/>
        <w:widowControl w:val="1"/>
      </w:pPr>
      <w:r>
        <w:t>Preparation and Answer Use</w:t>
      </w:r>
    </w:p>
    <w:p>
      <w:pPr>
        <w:pStyle w:val="TeachingBullet"/>
        <w:widowControl w:val="1"/>
      </w:pPr>
      <w:r>
        <w:t>Preserve the FPSC heading in notes.</w:t>
      </w:r>
    </w:p>
    <w:p>
      <w:pPr>
        <w:pStyle w:val="TeachingBullet"/>
        <w:widowControl w:val="1"/>
      </w:pPr>
      <w:r>
        <w:t>Check the current applicable consumer statute before memorizing sections.</w:t>
      </w:r>
    </w:p>
    <w:p>
      <w:pPr>
        <w:pStyle w:val="TeachingBullet"/>
        <w:widowControl w:val="1"/>
      </w:pPr>
      <w:r>
        <w:t>Prepare complaint procedure and remedies in a flowchart.</w:t>
      </w:r>
    </w:p>
    <w:p>
      <w:pPr>
        <w:pStyle w:val="Heading3"/>
        <w:widowControl w:val="1"/>
      </w:pPr>
      <w:r>
        <w:t>Key Takeaways</w:t>
      </w:r>
    </w:p>
    <w:p>
      <w:pPr>
        <w:pStyle w:val="TakeawayBullet"/>
        <w:widowControl w:val="1"/>
      </w:pPr>
      <w:r>
        <w:t>Consumer law creates rights plus enforcement forums.</w:t>
      </w:r>
    </w:p>
    <w:p>
      <w:pPr>
        <w:pStyle w:val="TakeawayBullet"/>
        <w:widowControl w:val="1"/>
      </w:pPr>
      <w:r>
        <w:t>Provider liability depends on statutory duties and facts.</w:t>
      </w:r>
    </w:p>
    <w:p>
      <w:pPr>
        <w:pStyle w:val="TakeawayBullet"/>
        <w:widowControl w:val="1"/>
      </w:pPr>
      <w:r>
        <w:t>Remedies can include replacement, refund, compensation or other orders where law permits.</w:t>
      </w:r>
    </w:p>
    <w:p>
      <w:pPr>
        <w:pStyle w:val="TakeawayBullet"/>
        <w:widowControl w:val="1"/>
      </w:pPr>
      <w:r>
        <w:rPr>
          <w:b/>
        </w:rPr>
        <w:t>Accuracy note:</w:t>
      </w:r>
      <w:r>
        <w:t xml:space="preserve"> The FPSC syllabus wording should be followed for topic coverage, but exact consumer statute/jurisdiction should be verified from current official legislation before the exam.</w:t>
      </w:r>
    </w:p>
    <w:p>
      <w:pPr>
        <w:spacing w:after="20"/>
        <w:pBdr>
          <w:bottom w:val="single" w:sz="4" w:space="1" w:color="D9E2F3"/>
        </w:pBdr>
        <w:widowControl w:val="1"/>
      </w:pPr>
    </w:p>
    <w:p>
      <w:pPr>
        <w:pStyle w:val="Heading2"/>
        <w:widowControl w:val="1"/>
      </w:pPr>
      <w:r>
        <w:t>9. Company Law — FPSC Heading: Companies Ordinance, 1984</w:t>
      </w:r>
    </w:p>
    <w:p>
      <w:pPr>
        <w:pStyle w:val="Heading3"/>
        <w:widowControl w:val="1"/>
      </w:pPr>
      <w:r>
        <w:t>Official Syllabus Focus</w:t>
      </w:r>
    </w:p>
    <w:p>
      <w:pPr>
        <w:pStyle w:val="FocusBullet"/>
        <w:widowControl w:val="1"/>
      </w:pPr>
      <w:r>
        <w:t>Definitions</w:t>
      </w:r>
    </w:p>
    <w:p>
      <w:pPr>
        <w:pStyle w:val="FocusBullet"/>
        <w:widowControl w:val="1"/>
      </w:pPr>
      <w:r>
        <w:t>Types of companies</w:t>
      </w:r>
    </w:p>
    <w:p>
      <w:pPr>
        <w:pStyle w:val="FocusBullet"/>
        <w:widowControl w:val="1"/>
      </w:pPr>
      <w:r>
        <w:t>Memorandum/articles/prospectus</w:t>
      </w:r>
    </w:p>
    <w:p>
      <w:pPr>
        <w:pStyle w:val="FocusBullet"/>
        <w:widowControl w:val="1"/>
      </w:pPr>
      <w:r>
        <w:t>Shares/debentures</w:t>
      </w:r>
    </w:p>
    <w:p>
      <w:pPr>
        <w:pStyle w:val="FocusBullet"/>
        <w:widowControl w:val="1"/>
      </w:pPr>
      <w:r>
        <w:t>Promoters/shareholders/directors/CEO/auditors</w:t>
      </w:r>
    </w:p>
    <w:p>
      <w:pPr>
        <w:pStyle w:val="FocusBullet"/>
        <w:widowControl w:val="1"/>
      </w:pPr>
      <w:r>
        <w:t>Meetings</w:t>
      </w:r>
    </w:p>
    <w:p>
      <w:pPr>
        <w:pStyle w:val="FocusBullet"/>
        <w:widowControl w:val="1"/>
      </w:pPr>
      <w:r>
        <w:t>Winding up</w:t>
      </w:r>
    </w:p>
    <w:p>
      <w:pPr>
        <w:pStyle w:val="Heading3"/>
        <w:widowControl w:val="1"/>
      </w:pPr>
      <w:r>
        <w:t>Introduction and Scope</w:t>
      </w:r>
    </w:p>
    <w:p>
      <w:pPr>
        <w:pStyle w:val="TopicIntro"/>
        <w:widowControl w:val="1"/>
      </w:pPr>
      <w:r>
        <w:t>Company law governs incorporated business entities, their formation, constitutional documents, capital, management, meetings, accountability and winding up.</w:t>
      </w:r>
    </w:p>
    <w:p>
      <w:pPr>
        <w:pStyle w:val="TopicIntro"/>
        <w:widowControl w:val="1"/>
      </w:pPr>
      <w:r>
        <w:t>Use the FPSC conceptual headings but study them under the current Companies Act 2017. Understand separate legal personality, limited liability, company types, memorandum and articles, share capital, management organs, meetings, audit and winding-up/exit mechanisms.</w:t>
      </w:r>
    </w:p>
    <w:p>
      <w:pPr>
        <w:pStyle w:val="SourceNote"/>
        <w:widowControl w:val="1"/>
      </w:pPr>
      <w:r>
        <w:t>Current principal company-law authority: Companies Act, 2017 and current SECP rules, regulations, amendments and schedules.</w:t>
      </w:r>
    </w:p>
    <w:p>
      <w:pPr>
        <w:pStyle w:val="Heading3"/>
        <w:widowControl w:val="1"/>
      </w:pPr>
      <w:r>
        <w:t>Current-law correction: Companies Act, 2017</w:t>
      </w:r>
    </w:p>
    <w:p>
      <w:pPr>
        <w:widowControl w:val="1"/>
      </w:pPr>
      <w:r>
        <w:t>The FPSC syllabus heading historically refers to the Companies Ordinance, 1984, but Pakistan’s principal contemporary company-law framework is the Companies Act, 2017. SECP publishes the Act and later amendments and updated schedules, including schedule updates published in 2025–26. The syllabus heading should therefore be preserved for orientation while the current legal position is taught through the 2017 Act and current SECP instruments.</w:t>
      </w:r>
    </w:p>
    <w:p>
      <w:pPr>
        <w:widowControl w:val="1"/>
      </w:pPr>
      <w:r>
        <w:t>This is an important example of why the examination syllabus and current governing law must be read together rather than assuming that an older title remains controlling.</w:t>
      </w:r>
    </w:p>
    <w:p>
      <w:pPr>
        <w:pStyle w:val="Heading3"/>
        <w:widowControl w:val="1"/>
      </w:pPr>
      <w:r>
        <w:t>Company formation and separate personality</w:t>
      </w:r>
    </w:p>
    <w:p>
      <w:pPr>
        <w:widowControl w:val="1"/>
      </w:pPr>
      <w:r>
        <w:t>A company is an incorporated legal person distinct from its members. Formation requires compliance with the statutory incorporation process and constitutional documents. The memorandum sets fundamental corporate parameters, while articles regulate internal governance subject to the Act. Separate personality explains why company property is not simply shareholder property and why liability can be limited in recognized company forms.</w:t>
      </w:r>
    </w:p>
    <w:p>
      <w:pPr>
        <w:widowControl w:val="1"/>
      </w:pPr>
      <w:r>
        <w:t>Promoters arrange formation; directors manage or supervise corporate affairs within their duties; shareholders exercise member rights; the chief executive performs the management role defined by law and corporate governance; auditors provide independent assurance under applicable requirements.</w:t>
      </w:r>
    </w:p>
    <w:p>
      <w:pPr>
        <w:pStyle w:val="Heading3"/>
        <w:widowControl w:val="1"/>
      </w:pPr>
      <w:r>
        <w:t>Capital, disclosure, governance and winding up</w:t>
      </w:r>
    </w:p>
    <w:p>
      <w:pPr>
        <w:widowControl w:val="1"/>
      </w:pPr>
      <w:r>
        <w:t>Shares represent membership/equity interests, while debentures generally represent debt obligations. Prospectus and disclosure rules protect investors by requiring legally specified information when securities are offered in relevant circumstances. Meetings and voting translate membership rights into corporate decisions.</w:t>
      </w:r>
    </w:p>
    <w:p>
      <w:pPr>
        <w:widowControl w:val="1"/>
      </w:pPr>
      <w:r>
        <w:t>Winding up is the legal process of bringing the company’s affairs to an end, realizing assets, settling liabilities and distributing any surplus according to law. It must be distinguished from ordinary insolvency distress, striking off, restructuring and voluntary business closure mechanisms.</w:t>
      </w:r>
    </w:p>
    <w:p>
      <w:pPr>
        <w:pStyle w:val="Heading3"/>
        <w:widowControl w:val="1"/>
      </w:pPr>
      <w:r>
        <w:t>Core Concepts Explained</w:t>
      </w:r>
    </w:p>
    <w:p>
      <w:pPr>
        <w:pStyle w:val="TeachingBullet"/>
        <w:widowControl w:val="1"/>
      </w:pPr>
      <w:r>
        <w:rPr>
          <w:b/>
        </w:rPr>
        <w:t>Company law starts with separate legal personality:</w:t>
      </w:r>
      <w:r>
        <w:t xml:space="preserve"> incorporation creates an entity distinct from its members, with its own rights, liabilities and continuity subject to law.</w:t>
      </w:r>
    </w:p>
    <w:p>
      <w:pPr>
        <w:pStyle w:val="TeachingBullet"/>
        <w:widowControl w:val="1"/>
      </w:pPr>
      <w:r>
        <w:t>Limited liability means members' financial exposure is limited according to the company's legal form and the law; it does not mean directors or members can never incur personal liability for their own unlawful conduct.</w:t>
      </w:r>
    </w:p>
    <w:p>
      <w:pPr>
        <w:pStyle w:val="TeachingBullet"/>
        <w:widowControl w:val="1"/>
      </w:pPr>
      <w:r>
        <w:t>The memorandum contains foundational constitutional matters; articles regulate internal management and governance subject to statute. A prospectus concerns invitation and disclosure in relation to securities where legally applicable.</w:t>
      </w:r>
    </w:p>
    <w:p>
      <w:pPr>
        <w:pStyle w:val="TeachingBullet"/>
        <w:widowControl w:val="1"/>
      </w:pPr>
      <w:r>
        <w:t>Governance can be mapped as members/shareholders, board of directors, chief executive and other officers, with auditors performing independent assurance functions under law.</w:t>
      </w:r>
    </w:p>
    <w:p>
      <w:pPr>
        <w:pStyle w:val="TeachingBullet"/>
        <w:widowControl w:val="1"/>
      </w:pPr>
      <w:r>
        <w:t>Shares represent ownership interests; debentures are debt instruments. Meetings, resolutions, accounts, audit and winding up should be studied as parts of the company life-cycle under the current Companies Act framework.</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prepare the repealed Companies Ordinance as if it were the current general company statute. Preserve the FPSC heading, but study the concepts under current law as the source document correctly notes.</w:t>
            </w:r>
          </w:p>
        </w:tc>
      </w:tr>
    </w:tbl>
    <w:p>
      <w:pPr>
        <w:pStyle w:val="Heading3"/>
        <w:widowControl w:val="1"/>
      </w:pPr>
      <w:r>
        <w:t>Preparation and Answer Use</w:t>
      </w:r>
    </w:p>
    <w:p>
      <w:pPr>
        <w:pStyle w:val="TeachingBullet"/>
        <w:widowControl w:val="1"/>
      </w:pPr>
      <w:r>
        <w:t>Keep an FPSC-to-current-law map in your notes.</w:t>
      </w:r>
    </w:p>
    <w:p>
      <w:pPr>
        <w:pStyle w:val="TeachingBullet"/>
        <w:widowControl w:val="1"/>
      </w:pPr>
      <w:r>
        <w:t>Prepare memorandum vs articles vs prospectus.</w:t>
      </w:r>
    </w:p>
    <w:p>
      <w:pPr>
        <w:pStyle w:val="TeachingBullet"/>
        <w:widowControl w:val="1"/>
      </w:pPr>
      <w:r>
        <w:rPr>
          <w:b/>
        </w:rPr>
        <w:t>Draw company governance structure:</w:t>
      </w:r>
      <w:r>
        <w:t xml:space="preserve"> members → board → chief executive → officers/auditors.</w:t>
      </w:r>
    </w:p>
    <w:p>
      <w:pPr>
        <w:pStyle w:val="TeachingBullet"/>
        <w:widowControl w:val="1"/>
      </w:pPr>
      <w:r>
        <w:t>Use SECP’s current Act and rules for exact statutory detail.</w:t>
      </w:r>
    </w:p>
    <w:p>
      <w:pPr>
        <w:pStyle w:val="Heading3"/>
        <w:widowControl w:val="1"/>
      </w:pPr>
      <w:r>
        <w:t>Key Takeaways</w:t>
      </w:r>
    </w:p>
    <w:p>
      <w:pPr>
        <w:pStyle w:val="TakeawayBullet"/>
        <w:widowControl w:val="1"/>
      </w:pPr>
      <w:r>
        <w:t>Company is a legal person distinct from members.</w:t>
      </w:r>
    </w:p>
    <w:p>
      <w:pPr>
        <w:pStyle w:val="TakeawayBullet"/>
        <w:widowControl w:val="1"/>
      </w:pPr>
      <w:r>
        <w:t>Memorandum defines foundational company matters; articles regulate internal governance subject to law.</w:t>
      </w:r>
    </w:p>
    <w:p>
      <w:pPr>
        <w:pStyle w:val="TakeawayBullet"/>
        <w:widowControl w:val="1"/>
      </w:pPr>
      <w:r>
        <w:t>Directors manage through board structures and owe statutory duties.</w:t>
      </w:r>
    </w:p>
    <w:p>
      <w:pPr>
        <w:pStyle w:val="TakeawayBullet"/>
        <w:widowControl w:val="1"/>
      </w:pPr>
      <w:r>
        <w:t>Winding up is a formal process for ending corporate existence/affairs.</w:t>
      </w:r>
    </w:p>
    <w:p>
      <w:pPr>
        <w:pStyle w:val="TakeawayBullet"/>
        <w:widowControl w:val="1"/>
      </w:pPr>
      <w:r>
        <w:rPr>
          <w:b/>
        </w:rPr>
        <w:t>Accuracy note:</w:t>
      </w:r>
      <w:r>
        <w:t xml:space="preserve"> Pakistan Code records Companies Ordinance 1984 as repealed by Act XIX of 2017. SECP currently publishes the Companies Act 2017 and its updated schedules. FPSC’s old syllabus heading is therefore retained only for alignment.</w:t>
      </w:r>
    </w:p>
    <w:p>
      <w:pPr>
        <w:spacing w:after="20"/>
        <w:pBdr>
          <w:bottom w:val="single" w:sz="4" w:space="1" w:color="D9E2F3"/>
        </w:pBdr>
        <w:widowControl w:val="1"/>
      </w:pPr>
    </w:p>
    <w:p>
      <w:pPr>
        <w:pStyle w:val="Heading2"/>
        <w:widowControl w:val="1"/>
      </w:pPr>
      <w:r>
        <w:t>10. Electronic Fund Transfer Act, 2007</w:t>
      </w:r>
    </w:p>
    <w:p>
      <w:pPr>
        <w:pStyle w:val="Heading3"/>
        <w:widowControl w:val="1"/>
      </w:pPr>
      <w:r>
        <w:t>Official Syllabus Focus</w:t>
      </w:r>
    </w:p>
    <w:p>
      <w:pPr>
        <w:pStyle w:val="FocusBullet"/>
        <w:widowControl w:val="1"/>
      </w:pPr>
      <w:r>
        <w:t>Definitions</w:t>
      </w:r>
    </w:p>
    <w:p>
      <w:pPr>
        <w:pStyle w:val="FocusBullet"/>
        <w:widowControl w:val="1"/>
      </w:pPr>
      <w:r>
        <w:t>Payment systems</w:t>
      </w:r>
    </w:p>
    <w:p>
      <w:pPr>
        <w:pStyle w:val="FocusBullet"/>
        <w:widowControl w:val="1"/>
      </w:pPr>
      <w:r>
        <w:t>Designation/revocation</w:t>
      </w:r>
    </w:p>
    <w:p>
      <w:pPr>
        <w:pStyle w:val="FocusBullet"/>
        <w:widowControl w:val="1"/>
      </w:pPr>
      <w:r>
        <w:t>RTGS</w:t>
      </w:r>
    </w:p>
    <w:p>
      <w:pPr>
        <w:pStyle w:val="FocusBullet"/>
        <w:widowControl w:val="1"/>
      </w:pPr>
      <w:r>
        <w:t>Payment instruments</w:t>
      </w:r>
    </w:p>
    <w:p>
      <w:pPr>
        <w:pStyle w:val="FocusBullet"/>
        <w:widowControl w:val="1"/>
      </w:pPr>
      <w:r>
        <w:t>Clearing obligations</w:t>
      </w:r>
    </w:p>
    <w:p>
      <w:pPr>
        <w:pStyle w:val="FocusBullet"/>
        <w:widowControl w:val="1"/>
      </w:pPr>
      <w:r>
        <w:t>SBP supervision</w:t>
      </w:r>
    </w:p>
    <w:p>
      <w:pPr>
        <w:pStyle w:val="FocusBullet"/>
        <w:widowControl w:val="1"/>
      </w:pPr>
      <w:r>
        <w:t>Documentation</w:t>
      </w:r>
    </w:p>
    <w:p>
      <w:pPr>
        <w:pStyle w:val="FocusBullet"/>
        <w:widowControl w:val="1"/>
      </w:pPr>
      <w:r>
        <w:t>Errors/liability</w:t>
      </w:r>
    </w:p>
    <w:p>
      <w:pPr>
        <w:pStyle w:val="FocusBullet"/>
        <w:widowControl w:val="1"/>
      </w:pPr>
      <w:r>
        <w:t>Court action</w:t>
      </w:r>
    </w:p>
    <w:p>
      <w:pPr>
        <w:pStyle w:val="Heading3"/>
        <w:widowControl w:val="1"/>
      </w:pPr>
      <w:r>
        <w:t>Introduction and Scope</w:t>
      </w:r>
    </w:p>
    <w:p>
      <w:pPr>
        <w:pStyle w:val="TopicIntro"/>
        <w:widowControl w:val="1"/>
      </w:pPr>
      <w:r>
        <w:t>The Electronic Fund Transfer framework regulates electronic movement of money and the rights, duties and documentation associated with electronic payment systems.</w:t>
      </w:r>
    </w:p>
    <w:p>
      <w:pPr>
        <w:pStyle w:val="TopicIntro"/>
        <w:widowControl w:val="1"/>
      </w:pPr>
      <w:r>
        <w:t>Prepare the institutional side (payment systems and State Bank supervision) and transaction side (payment instruments, authorization, records, errors, liability and legal remedies).</w:t>
      </w:r>
    </w:p>
    <w:p>
      <w:pPr>
        <w:pStyle w:val="SourceNote"/>
        <w:widowControl w:val="1"/>
      </w:pPr>
      <w:r>
        <w:t>Correct primary authority: Payment Systems and Electronic Fund Transfers Act, 2007 and current State Bank of Pakistan regulations.</w:t>
      </w:r>
    </w:p>
    <w:p>
      <w:pPr>
        <w:pStyle w:val="Heading3"/>
        <w:widowControl w:val="1"/>
      </w:pPr>
      <w:r>
        <w:t>Correct statutory title and scope</w:t>
      </w:r>
    </w:p>
    <w:p>
      <w:pPr>
        <w:widowControl w:val="1"/>
      </w:pPr>
      <w:r>
        <w:t>The official federal statute is titled the Payment Systems and Electronic Fund Transfers Act, 2007. The shorter syllabus wording “Electronic Fund Transfer Act, 2007” should therefore be corrected in the teaching text while cross-referenced so the student recognizes the FPSC heading. Pakistan Code lists the 2007 Act under its full title.</w:t>
      </w:r>
    </w:p>
    <w:p>
      <w:pPr>
        <w:widowControl w:val="1"/>
      </w:pPr>
      <w:r>
        <w:t>The statute provides a legal framework for payment systems, electronic fund transfers, payment instruments, system operators and regulatory oversight. It is not merely a law about internet banking between two private parties.</w:t>
      </w:r>
    </w:p>
    <w:p>
      <w:pPr>
        <w:pStyle w:val="Heading3"/>
        <w:widowControl w:val="1"/>
      </w:pPr>
      <w:r>
        <w:t>Payment-system regulation and SBP oversight</w:t>
      </w:r>
    </w:p>
    <w:p>
      <w:pPr>
        <w:widowControl w:val="1"/>
      </w:pPr>
      <w:r>
        <w:t>Payment systems move funds through organized technical and institutional arrangements. A modern system may involve clearing, settlement, real-time gross settlement and designated operators. The State Bank of Pakistan’s supervisory role is therefore central to systemic reliability and financial stability.</w:t>
      </w:r>
    </w:p>
    <w:p>
      <w:pPr>
        <w:widowControl w:val="1"/>
      </w:pPr>
      <w:r>
        <w:t>Designation and revocation powers, operational standards and settlement rules should be understood as controls over infrastructure whose failure could affect many participants, not only one customer transaction.</w:t>
      </w:r>
    </w:p>
    <w:p>
      <w:pPr>
        <w:pStyle w:val="Heading3"/>
        <w:widowControl w:val="1"/>
      </w:pPr>
      <w:r>
        <w:t>Customer transactions, errors and liability</w:t>
      </w:r>
    </w:p>
    <w:p>
      <w:pPr>
        <w:widowControl w:val="1"/>
      </w:pPr>
      <w:r>
        <w:t>Electronic transfers create evidentiary and consumer-protection questions: Was the transfer authorized? Was the instruction correctly executed? What records exist? Was an error reported within the required process? Which participant bears responsibility under the statute and applicable regulations?</w:t>
      </w:r>
    </w:p>
    <w:p>
      <w:pPr>
        <w:widowControl w:val="1"/>
      </w:pPr>
      <w:r>
        <w:t>A strong problem answer separates system-level regulation from customer-level liability and documents the chain: instruction → authentication → processing → clearing/settlement → account entry → notice/error resolution.</w:t>
      </w:r>
    </w:p>
    <w:p>
      <w:pPr>
        <w:pStyle w:val="Heading3"/>
        <w:widowControl w:val="1"/>
      </w:pPr>
      <w:r>
        <w:t>Concept Flow</w:t>
      </w:r>
    </w:p>
    <w:p>
      <w:pPr>
        <w:pStyle w:val="Flow"/>
        <w:widowControl w:val="1"/>
      </w:pPr>
      <w:r>
        <w:rPr>
          <w:b/>
        </w:rPr>
        <w:t>Payment instruction</w:t>
      </w:r>
      <w:r>
        <w:t xml:space="preserve">  →  </w:t>
      </w:r>
      <w:r>
        <w:rPr>
          <w:b w:val="0"/>
        </w:rPr>
        <w:t>Authentication</w:t>
      </w:r>
      <w:r>
        <w:t xml:space="preserve">  →  </w:t>
      </w:r>
      <w:r>
        <w:rPr>
          <w:b/>
        </w:rPr>
        <w:t>Processing</w:t>
      </w:r>
      <w:r>
        <w:t xml:space="preserve">  →  </w:t>
      </w:r>
      <w:r>
        <w:rPr>
          <w:b w:val="0"/>
        </w:rPr>
        <w:t>Clearing/settlement</w:t>
      </w:r>
      <w:r>
        <w:t xml:space="preserve">  →  </w:t>
      </w:r>
      <w:r>
        <w:rPr>
          <w:b/>
        </w:rPr>
        <w:t>Account entry</w:t>
      </w:r>
      <w:r>
        <w:t xml:space="preserve">  →  </w:t>
      </w:r>
      <w:r>
        <w:rPr>
          <w:b w:val="0"/>
        </w:rPr>
        <w:t>Error/notice process</w:t>
      </w:r>
    </w:p>
    <w:p>
      <w:pPr>
        <w:pStyle w:val="Heading3"/>
        <w:widowControl w:val="1"/>
      </w:pPr>
      <w:r>
        <w:t>Core Concepts Explained</w:t>
      </w:r>
    </w:p>
    <w:p>
      <w:pPr>
        <w:pStyle w:val="TeachingBullet"/>
        <w:widowControl w:val="1"/>
      </w:pPr>
      <w:r>
        <w:t>The Act deals with electronic movement of money through organized payment systems and defines rights and responsibilities of system operators, financial institutions and users.</w:t>
      </w:r>
    </w:p>
    <w:p>
      <w:pPr>
        <w:pStyle w:val="TeachingBullet"/>
        <w:widowControl w:val="1"/>
      </w:pPr>
      <w:r>
        <w:t>At the system level, study designation, supervision, clearing and settlement arrangements. At the transaction level, study payment instruments, authorization, documentation and error handling.</w:t>
      </w:r>
    </w:p>
    <w:p>
      <w:pPr>
        <w:pStyle w:val="TeachingBullet"/>
        <w:widowControl w:val="1"/>
      </w:pPr>
      <w:r>
        <w:t>Electronic records are essential because disputes may concern whether a transaction was authorized, when it occurred, what instructions were given and which institution bears responsibility.</w:t>
      </w:r>
    </w:p>
    <w:p>
      <w:pPr>
        <w:pStyle w:val="TeachingBullet"/>
        <w:widowControl w:val="1"/>
      </w:pPr>
      <w:r>
        <w:t>Error notification and liability rules protect both system reliability and users. A good answer identifies the actor, duty, breach and remedy rather than describing electronic banking generally.</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turn this topic into a general essay on digital banking. The syllabus asks for the legal framework of payment systems and fund transfers.</w:t>
            </w:r>
          </w:p>
        </w:tc>
      </w:tr>
    </w:tbl>
    <w:p>
      <w:pPr>
        <w:pStyle w:val="Heading3"/>
        <w:widowControl w:val="1"/>
      </w:pPr>
      <w:r>
        <w:t>Preparation and Answer Use</w:t>
      </w:r>
    </w:p>
    <w:p>
      <w:pPr>
        <w:pStyle w:val="TeachingBullet"/>
        <w:widowControl w:val="1"/>
      </w:pPr>
      <w:r>
        <w:t>Draw system-level and customer-level flowcharts.</w:t>
      </w:r>
    </w:p>
    <w:p>
      <w:pPr>
        <w:pStyle w:val="TeachingBullet"/>
        <w:widowControl w:val="1"/>
      </w:pPr>
      <w:r>
        <w:t>Learn who bears what duty at each stage of an electronic transfer.</w:t>
      </w:r>
    </w:p>
    <w:p>
      <w:pPr>
        <w:pStyle w:val="TeachingBullet"/>
        <w:widowControl w:val="1"/>
      </w:pPr>
      <w:r>
        <w:t>Check current SBP law/regulations for contemporary detail.</w:t>
      </w:r>
    </w:p>
    <w:p>
      <w:pPr>
        <w:pStyle w:val="Heading3"/>
        <w:widowControl w:val="1"/>
      </w:pPr>
      <w:r>
        <w:t>Key Takeaways</w:t>
      </w:r>
    </w:p>
    <w:p>
      <w:pPr>
        <w:pStyle w:val="TakeawayBullet"/>
        <w:widowControl w:val="1"/>
      </w:pPr>
      <w:r>
        <w:t>Electronic transfer requires reliable authorization and records.</w:t>
      </w:r>
    </w:p>
    <w:p>
      <w:pPr>
        <w:pStyle w:val="TakeawayBullet"/>
        <w:widowControl w:val="1"/>
      </w:pPr>
      <w:r>
        <w:t>Payment systems need operational and supervisory rules.</w:t>
      </w:r>
    </w:p>
    <w:p>
      <w:pPr>
        <w:pStyle w:val="TakeawayBullet"/>
        <w:widowControl w:val="1"/>
      </w:pPr>
      <w:r>
        <w:t>Error notification and allocation of liability protect system integrity and users.</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Pakistan Code — federal commercial statutes — </w:t>
      </w:r>
      <w:hyperlink r:id="rId11">
        <w:r>
          <w:rPr>
            <w:color w:val="1F4E79"/>
            <w:u w:val="single"/>
          </w:rPr>
          <w:t>https://pakistancode.gov.pk/</w:t>
        </w:r>
      </w:hyperlink>
    </w:p>
    <w:p>
      <w:pPr>
        <w:pStyle w:val="Reference"/>
        <w:widowControl w:val="1"/>
      </w:pPr>
      <w:r>
        <w:t xml:space="preserve">• Securities and Exchange Commission of Pakistan — Companies Act, 2017 and current corporate laws — </w:t>
      </w:r>
      <w:hyperlink r:id="rId21">
        <w:r>
          <w:rPr>
            <w:color w:val="1F4E79"/>
            <w:u w:val="single"/>
          </w:rPr>
          <w:t>https://www.secp.gov.pk/laws/acts/</w:t>
        </w:r>
      </w:hyperlink>
    </w:p>
    <w:p>
      <w:pPr>
        <w:pStyle w:val="Reference"/>
        <w:widowControl w:val="1"/>
      </w:pPr>
      <w:r>
        <w:t xml:space="preserve">• Competition Commission of Pakistan — Competition Act and enforcement resources — </w:t>
      </w:r>
      <w:hyperlink r:id="rId22">
        <w:r>
          <w:rPr>
            <w:color w:val="1F4E79"/>
            <w:u w:val="single"/>
          </w:rPr>
          <w:t>https://cc.gov.pk/</w:t>
        </w:r>
      </w:hyperlink>
    </w:p>
    <w:p>
      <w:pPr>
        <w:pStyle w:val="Reference"/>
        <w:widowControl w:val="1"/>
      </w:pPr>
      <w:r>
        <w:t xml:space="preserve">• State Bank of Pakistan — payment systems and electronic fund-transfer regulation — </w:t>
      </w:r>
      <w:hyperlink r:id="rId23">
        <w:r>
          <w:rPr>
            <w:color w:val="1F4E79"/>
            <w:u w:val="single"/>
          </w:rPr>
          <w:t>https://www.sbp.org.pk/</w:t>
        </w:r>
      </w:hyperlink>
    </w:p>
    <w:p>
      <w:pPr>
        <w:pStyle w:val="Reference"/>
        <w:widowControl w:val="1"/>
      </w:pPr>
      <w:r>
        <w:t xml:space="preserve">• Sindh Consumer Protection Act, 2014 — Sindh Laws — </w:t>
      </w:r>
      <w:hyperlink r:id="rId24">
        <w:r>
          <w:rPr>
            <w:color w:val="1F4E79"/>
            <w:u w:val="single"/>
          </w:rPr>
          <w:t>https://www.sindhlaws.gov.pk/</w:t>
        </w:r>
      </w:hyperlink>
    </w:p>
    <w:p>
      <w:pPr>
        <w:widowControl w:val="1"/>
      </w:pPr>
      <w:r>
        <w:br w:type="page"/>
      </w:r>
    </w:p>
    <w:p>
      <w:pPr>
        <w:pStyle w:val="Heading1"/>
        <w:widowControl w:val="1"/>
      </w:pPr>
      <w:r>
        <w:t>6. CRIMINOLOGY (Code 43)</w:t>
      </w:r>
    </w:p>
    <w:p>
      <w:pPr>
        <w:widowControl w:val="1"/>
      </w:pPr>
      <w:r>
        <w:t>Criminology studies crime, criminal behaviour, causes of offending, criminal justice, investigation, punishment, prevention and modern forms of crime. FPSC divides the paper into four 25-mark sections.</w:t>
      </w:r>
    </w:p>
    <w:p>
      <w:pPr>
        <w:pStyle w:val="Heading2"/>
        <w:widowControl w:val="1"/>
      </w:pPr>
      <w:r>
        <w:t>How to Study This Subject</w:t>
      </w:r>
    </w:p>
    <w:p>
      <w:pPr>
        <w:pStyle w:val="TeachingBullet"/>
        <w:widowControl w:val="1"/>
      </w:pPr>
      <w:r>
        <w:t>Prepare one question from every section because FPSC papers commonly require sectional choice.</w:t>
      </w:r>
    </w:p>
    <w:p>
      <w:pPr>
        <w:pStyle w:val="TeachingBullet"/>
        <w:widowControl w:val="1"/>
      </w:pPr>
      <w:r>
        <w:rPr>
          <w:b/>
        </w:rPr>
        <w:t>For theories use:</w:t>
      </w:r>
      <w:r>
        <w:t xml:space="preserve"> thinker/idea → assumptions → explanation of crime → criticism → Pakistan application.</w:t>
      </w:r>
    </w:p>
    <w:p>
      <w:pPr>
        <w:pStyle w:val="TeachingBullet"/>
        <w:widowControl w:val="1"/>
      </w:pPr>
      <w:r>
        <w:t>For contemporary topics add current examples only from verified sources.</w:t>
      </w:r>
    </w:p>
    <w:p>
      <w:pPr>
        <w:pStyle w:val="TeachingBullet"/>
        <w:widowControl w:val="1"/>
      </w:pPr>
      <w:r>
        <w:t>Use Pakistan’s legal/institutional context without turning answers into newspaper summaries.</w:t>
      </w:r>
    </w:p>
    <w:p>
      <w:pPr>
        <w:pStyle w:val="Heading3"/>
        <w:widowControl w:val="1"/>
      </w:pPr>
      <w:r>
        <w:t>Beginner Roadmap</w:t>
      </w:r>
    </w:p>
    <w:p>
      <w:pPr>
        <w:widowControl w:val="1"/>
      </w:pPr>
      <w:r>
        <w:t>Build the subject in four layers: basic concepts; theories of why crime occurs; institutions that investigate, judge and correct offending; and modern crime problems. Every analytical answer should combine definition, explanation, evidence or theory, criticism and a realistic prevention or reform dimension.</w:t>
      </w:r>
    </w:p>
    <w:p>
      <w:pPr>
        <w:pStyle w:val="Heading2"/>
        <w:widowControl w:val="1"/>
      </w:pPr>
      <w:r>
        <w:t>Subject Map</w:t>
      </w:r>
    </w:p>
    <w:p>
      <w:pPr>
        <w:pStyle w:val="FocusBullet"/>
        <w:widowControl w:val="1"/>
      </w:pPr>
      <w:r>
        <w:t>1. Basic Concepts of Crime, Criminality and Criminal Behaviour</w:t>
      </w:r>
    </w:p>
    <w:p>
      <w:pPr>
        <w:pStyle w:val="FocusBullet"/>
        <w:widowControl w:val="1"/>
      </w:pPr>
      <w:r>
        <w:t>2. Understanding Criminology</w:t>
      </w:r>
    </w:p>
    <w:p>
      <w:pPr>
        <w:pStyle w:val="FocusBullet"/>
        <w:widowControl w:val="1"/>
      </w:pPr>
      <w:r>
        <w:t>3. Crime and Criminals</w:t>
      </w:r>
    </w:p>
    <w:p>
      <w:pPr>
        <w:pStyle w:val="FocusBullet"/>
        <w:widowControl w:val="1"/>
      </w:pPr>
      <w:r>
        <w:t>4. Theoretical Perspectives on Crime</w:t>
      </w:r>
    </w:p>
    <w:p>
      <w:pPr>
        <w:pStyle w:val="FocusBullet"/>
        <w:widowControl w:val="1"/>
      </w:pPr>
      <w:r>
        <w:t>5. Juvenile Delinquency</w:t>
      </w:r>
    </w:p>
    <w:p>
      <w:pPr>
        <w:pStyle w:val="FocusBullet"/>
        <w:widowControl w:val="1"/>
      </w:pPr>
      <w:r>
        <w:t>6. Juvenile Justice System</w:t>
      </w:r>
    </w:p>
    <w:p>
      <w:pPr>
        <w:pStyle w:val="FocusBullet"/>
        <w:widowControl w:val="1"/>
      </w:pPr>
      <w:r>
        <w:t>7. The Criminal Justice System</w:t>
      </w:r>
    </w:p>
    <w:p>
      <w:pPr>
        <w:pStyle w:val="FocusBullet"/>
        <w:widowControl w:val="1"/>
      </w:pPr>
      <w:r>
        <w:t>8. Punitive and Reformative Treatment of Criminals</w:t>
      </w:r>
    </w:p>
    <w:p>
      <w:pPr>
        <w:pStyle w:val="FocusBullet"/>
        <w:widowControl w:val="1"/>
      </w:pPr>
      <w:r>
        <w:t>9. Criminal Investigation</w:t>
      </w:r>
    </w:p>
    <w:p>
      <w:pPr>
        <w:pStyle w:val="FocusBullet"/>
        <w:widowControl w:val="1"/>
      </w:pPr>
      <w:r>
        <w:t>10. Techniques of Investigation</w:t>
      </w:r>
    </w:p>
    <w:p>
      <w:pPr>
        <w:pStyle w:val="FocusBullet"/>
        <w:widowControl w:val="1"/>
      </w:pPr>
      <w:r>
        <w:t>11. Legal and Ethical Guidelines for Investigators</w:t>
      </w:r>
    </w:p>
    <w:p>
      <w:pPr>
        <w:pStyle w:val="FocusBullet"/>
        <w:widowControl w:val="1"/>
      </w:pPr>
      <w:r>
        <w:t>12. International Policing and Monitoring Organizations</w:t>
      </w:r>
    </w:p>
    <w:p>
      <w:pPr>
        <w:pStyle w:val="FocusBullet"/>
        <w:widowControl w:val="1"/>
      </w:pPr>
      <w:r>
        <w:t>13. Modern Concepts in Contemporary Criminology</w:t>
      </w:r>
    </w:p>
    <w:p>
      <w:pPr>
        <w:pStyle w:val="Heading2"/>
        <w:widowControl w:val="1"/>
      </w:pPr>
      <w:r>
        <w:t>1. Basic Concepts of Crime, Criminality and Criminal Behaviour</w:t>
      </w:r>
    </w:p>
    <w:p>
      <w:pPr>
        <w:pStyle w:val="Heading3"/>
        <w:widowControl w:val="1"/>
      </w:pPr>
      <w:r>
        <w:t>Official Syllabus Focus</w:t>
      </w:r>
    </w:p>
    <w:p>
      <w:pPr>
        <w:pStyle w:val="FocusBullet"/>
        <w:widowControl w:val="1"/>
      </w:pPr>
      <w:r>
        <w:t>Crime</w:t>
      </w:r>
    </w:p>
    <w:p>
      <w:pPr>
        <w:pStyle w:val="FocusBullet"/>
        <w:widowControl w:val="1"/>
      </w:pPr>
      <w:r>
        <w:t>Criminality</w:t>
      </w:r>
    </w:p>
    <w:p>
      <w:pPr>
        <w:pStyle w:val="FocusBullet"/>
        <w:widowControl w:val="1"/>
      </w:pPr>
      <w:r>
        <w:t>Criminal behaviour</w:t>
      </w:r>
    </w:p>
    <w:p>
      <w:pPr>
        <w:pStyle w:val="Heading3"/>
        <w:widowControl w:val="1"/>
      </w:pPr>
      <w:r>
        <w:t>Introduction and Scope</w:t>
      </w:r>
    </w:p>
    <w:p>
      <w:pPr>
        <w:pStyle w:val="TopicIntro"/>
        <w:widowControl w:val="1"/>
      </w:pPr>
      <w:r>
        <w:t>This is the vocabulary foundation of criminology.</w:t>
      </w:r>
    </w:p>
    <w:p>
      <w:pPr>
        <w:pStyle w:val="TopicIntro"/>
        <w:widowControl w:val="1"/>
      </w:pPr>
      <w:r>
        <w:t>Crime is legally prohibited conduct; criminality concerns propensity/patterns associated with offending; criminal behaviour studies acts and processes connected with law violation. Criminology asks not only “what happened?” but also “why, to whom, in what social setting, and how should society respond?”</w:t>
      </w:r>
    </w:p>
    <w:p>
      <w:pPr>
        <w:pStyle w:val="Heading3"/>
        <w:widowControl w:val="1"/>
      </w:pPr>
      <w:r>
        <w:t>Three related but different ideas</w:t>
      </w:r>
    </w:p>
    <w:p>
      <w:pPr>
        <w:widowControl w:val="1"/>
      </w:pPr>
      <w:r>
        <w:t>Crime is a legal category: conduct becomes a crime when the applicable criminal law prohibits it and attaches criminal consequences. Criminality is broader and refers to a tendency, pattern or propensity associated with offending at the level of an individual, group or social setting. Criminal behaviour is the observable conduct that violates criminal law. Keeping these ideas separate prevents circular explanations such as “he offended because he is criminal.”</w:t>
      </w:r>
    </w:p>
    <w:p>
      <w:pPr>
        <w:widowControl w:val="1"/>
      </w:pPr>
      <w:r>
        <w:t>Criminology studies why offences occur, how crime is distributed, how institutions respond and how prevention can work. Legal guilt, by contrast, is decided through criminal procedure and evidence. A criminological explanation can help us understand risk without deciding whether a particular person is legally guilty.</w:t>
      </w:r>
    </w:p>
    <w:p>
      <w:pPr>
        <w:pStyle w:val="Heading3"/>
        <w:widowControl w:val="1"/>
      </w:pPr>
      <w:r>
        <w:t>Crime as a changing social and legal category</w:t>
      </w:r>
    </w:p>
    <w:p>
      <w:pPr>
        <w:widowControl w:val="1"/>
      </w:pPr>
      <w:r>
        <w:t>What counts as crime changes across time and jurisdictions because legislatures amend prohibitions, social harms become newly recognized and enforcement priorities shift. Some acts may be socially condemned without being criminal, while technical offences may carry legal punishment even where public moral condemnation is weak.</w:t>
      </w:r>
    </w:p>
    <w:p>
      <w:pPr>
        <w:widowControl w:val="1"/>
      </w:pPr>
      <w:r>
        <w:t>This makes definition important. Researchers must specify whether they are measuring police-recorded offences, victimization, self-reported offending, convictions or another indicator. Each measure captures a different part of the phenomenon.</w:t>
      </w:r>
    </w:p>
    <w:p>
      <w:pPr>
        <w:pStyle w:val="Heading3"/>
        <w:widowControl w:val="1"/>
      </w:pPr>
      <w:r>
        <w:t>From risk factors to behaviour</w:t>
      </w:r>
    </w:p>
    <w:p>
      <w:pPr>
        <w:widowControl w:val="1"/>
      </w:pPr>
      <w:r>
        <w:t>Criminal behaviour rarely has one universal cause. Research examines interacting factors at individual, family, peer, neighbourhood, economic and institutional levels. A risk factor increases the likelihood of an outcome in a population; it does not prove that every exposed person will offend.</w:t>
      </w:r>
    </w:p>
    <w:p>
      <w:pPr>
        <w:widowControl w:val="1"/>
      </w:pPr>
      <w:r>
        <w:t>A useful causal map is: background conditions → opportunities and pressures → individual interpretation and social learning → decision or behaviour → institutional response → possible reinforcement or desistance. Different theories emphasize different links in this chain.</w:t>
      </w:r>
    </w:p>
    <w:p>
      <w:pPr>
        <w:pStyle w:val="Heading3"/>
        <w:widowControl w:val="1"/>
      </w:pPr>
      <w:r>
        <w:t>Core Concepts Explained</w:t>
      </w:r>
    </w:p>
    <w:p>
      <w:pPr>
        <w:pStyle w:val="TeachingBullet"/>
        <w:widowControl w:val="1"/>
      </w:pPr>
      <w:r>
        <w:rPr>
          <w:b/>
        </w:rPr>
        <w:t>Crime is the legal category:</w:t>
      </w:r>
      <w:r>
        <w:t xml:space="preserve"> conduct prohibited by criminal law. Criminality refers more broadly to patterns, tendencies or social processes associated with offending. Criminal behaviour is the observable conduct and decision-making connected with law violation.</w:t>
      </w:r>
    </w:p>
    <w:p>
      <w:pPr>
        <w:pStyle w:val="TeachingBullet"/>
        <w:widowControl w:val="1"/>
      </w:pPr>
      <w:r>
        <w:t>Criminology goes beyond asking whether a legal offence occurred. It also asks who offends, who is victimized, what social and individual factors are associated with offending, how institutions respond and which prevention strategies work.</w:t>
      </w:r>
    </w:p>
    <w:p>
      <w:pPr>
        <w:pStyle w:val="TeachingBullet"/>
        <w:widowControl w:val="1"/>
      </w:pPr>
      <w:r>
        <w:rPr>
          <w:b/>
        </w:rPr>
        <w:t>Use three levels of explanation:</w:t>
      </w:r>
      <w:r>
        <w:t xml:space="preserve"> individual factors such as personality or development; group or community factors such as peers and neighbourhood; and structural factors such as inequality, institutions or social change.</w:t>
      </w:r>
    </w:p>
    <w:p>
      <w:pPr>
        <w:pStyle w:val="TeachingBullet"/>
        <w:widowControl w:val="1"/>
      </w:pPr>
      <w:r>
        <w:t>A strong introductory answer shows how law defines crime while criminology explains patterns and responses without assuming that one theory explains every offender.</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use “crime,” “criminality” and “criminal behaviour” as interchangeable terms. Each describes a different level of analysis.</w:t>
            </w:r>
          </w:p>
        </w:tc>
      </w:tr>
    </w:tbl>
    <w:p>
      <w:pPr>
        <w:pStyle w:val="Heading3"/>
        <w:widowControl w:val="1"/>
      </w:pPr>
      <w:r>
        <w:t>Preparation and Answer Use</w:t>
      </w:r>
    </w:p>
    <w:p>
      <w:pPr>
        <w:pStyle w:val="TeachingBullet"/>
        <w:widowControl w:val="1"/>
      </w:pPr>
      <w:r>
        <w:t>Prepare clean definitions.</w:t>
      </w:r>
    </w:p>
    <w:p>
      <w:pPr>
        <w:pStyle w:val="TeachingBullet"/>
        <w:widowControl w:val="1"/>
      </w:pPr>
      <w:r>
        <w:t>Differentiate legal definition from sociological explanation.</w:t>
      </w:r>
    </w:p>
    <w:p>
      <w:pPr>
        <w:pStyle w:val="Heading3"/>
        <w:widowControl w:val="1"/>
      </w:pPr>
      <w:r>
        <w:t>Key Takeaways</w:t>
      </w:r>
    </w:p>
    <w:p>
      <w:pPr>
        <w:pStyle w:val="TakeawayBullet"/>
        <w:widowControl w:val="1"/>
      </w:pPr>
      <w:r>
        <w:t>Crime is a legal category.</w:t>
      </w:r>
    </w:p>
    <w:p>
      <w:pPr>
        <w:pStyle w:val="TakeawayBullet"/>
        <w:widowControl w:val="1"/>
      </w:pPr>
      <w:r>
        <w:t>Criminology is broader than criminal law.</w:t>
      </w:r>
    </w:p>
    <w:p>
      <w:pPr>
        <w:pStyle w:val="TakeawayBullet"/>
        <w:widowControl w:val="1"/>
      </w:pPr>
      <w:r>
        <w:t>Behaviour can be studied at individual, group and societal levels.</w:t>
      </w:r>
    </w:p>
    <w:p>
      <w:pPr>
        <w:spacing w:after="20"/>
        <w:pBdr>
          <w:bottom w:val="single" w:sz="4" w:space="1" w:color="D9E2F3"/>
        </w:pBdr>
        <w:widowControl w:val="1"/>
      </w:pPr>
    </w:p>
    <w:p>
      <w:pPr>
        <w:pStyle w:val="Heading2"/>
        <w:widowControl w:val="1"/>
      </w:pPr>
      <w:r>
        <w:t>2. Understanding Criminology</w:t>
      </w:r>
    </w:p>
    <w:p>
      <w:pPr>
        <w:pStyle w:val="Heading3"/>
        <w:widowControl w:val="1"/>
      </w:pPr>
      <w:r>
        <w:t>Official Syllabus Focus</w:t>
      </w:r>
    </w:p>
    <w:p>
      <w:pPr>
        <w:pStyle w:val="FocusBullet"/>
        <w:widowControl w:val="1"/>
      </w:pPr>
      <w:r>
        <w:t>Definition/meaning/scope</w:t>
      </w:r>
    </w:p>
    <w:p>
      <w:pPr>
        <w:pStyle w:val="FocusBullet"/>
        <w:widowControl w:val="1"/>
      </w:pPr>
      <w:r>
        <w:t>Criminology and criminal law</w:t>
      </w:r>
    </w:p>
    <w:p>
      <w:pPr>
        <w:pStyle w:val="FocusBullet"/>
        <w:widowControl w:val="1"/>
      </w:pPr>
      <w:r>
        <w:t>Crime as social problem</w:t>
      </w:r>
    </w:p>
    <w:p>
      <w:pPr>
        <w:pStyle w:val="FocusBullet"/>
        <w:widowControl w:val="1"/>
      </w:pPr>
      <w:r>
        <w:t>Deviance, sin, vice, evil, norms, values</w:t>
      </w:r>
    </w:p>
    <w:p>
      <w:pPr>
        <w:pStyle w:val="FocusBullet"/>
        <w:widowControl w:val="1"/>
      </w:pPr>
      <w:r>
        <w:rPr>
          <w:b/>
        </w:rPr>
        <w:t>Security:</w:t>
      </w:r>
      <w:r>
        <w:t xml:space="preserve"> physical/social/economic</w:t>
      </w:r>
    </w:p>
    <w:p>
      <w:pPr>
        <w:pStyle w:val="Heading3"/>
        <w:widowControl w:val="1"/>
      </w:pPr>
      <w:r>
        <w:t>Introduction and Scope</w:t>
      </w:r>
    </w:p>
    <w:p>
      <w:pPr>
        <w:pStyle w:val="TopicIntro"/>
        <w:widowControl w:val="1"/>
      </w:pPr>
      <w:r>
        <w:t>Criminology is the systematic study of crime, offenders, victimization, criminal justice and social responses to crime.</w:t>
      </w:r>
    </w:p>
    <w:p>
      <w:pPr>
        <w:pStyle w:val="TopicIntro"/>
        <w:widowControl w:val="1"/>
      </w:pPr>
      <w:r>
        <w:t>This topic establishes boundaries between law and sociology. Deviance is violation of social norms and may not be criminal. Sin and vice belong to moral/religious discourse, while crime depends on law. Security broadens the discussion to conditions affecting safety and social order.</w:t>
      </w:r>
    </w:p>
    <w:p>
      <w:pPr>
        <w:pStyle w:val="Heading3"/>
        <w:widowControl w:val="1"/>
      </w:pPr>
      <w:r>
        <w:t>Scope of the discipline</w:t>
      </w:r>
    </w:p>
    <w:p>
      <w:pPr>
        <w:widowControl w:val="1"/>
      </w:pPr>
      <w:r>
        <w:t>Criminology is the systematic study of crime, offending, victimization, social control and criminal-justice responses. It draws on sociology, psychology, law, economics, public policy and forensic sciences. Its questions range from “Why are some neighbourhoods more exposed to crime?” to “Which interventions reduce reoffending?”</w:t>
      </w:r>
    </w:p>
    <w:p>
      <w:pPr>
        <w:widowControl w:val="1"/>
      </w:pPr>
      <w:r>
        <w:t>Criminal law tells us what conduct is prohibited and how liability is established. Criminology asks explanatory and empirical questions about the production, distribution and control of crime. The two fields overlap but use different methods and standards of proof.</w:t>
      </w:r>
    </w:p>
    <w:p>
      <w:pPr>
        <w:pStyle w:val="Heading3"/>
        <w:widowControl w:val="1"/>
      </w:pPr>
      <w:r>
        <w:t>Crime, deviance, sin and vice</w:t>
      </w:r>
    </w:p>
    <w:p>
      <w:pPr>
        <w:widowControl w:val="1"/>
      </w:pPr>
      <w:r>
        <w:t>Deviance means departure from social norms and may be positive, negative or neutral depending on context. Sin is a religious category; vice is a moral characterization; evil is an evaluative concept; crime is a legal category. One act may fall into more than one category, but the categories should not be treated as synonyms.</w:t>
      </w:r>
    </w:p>
    <w:p>
      <w:pPr>
        <w:widowControl w:val="1"/>
      </w:pPr>
      <w:r>
        <w:t>Norms are expectations about behaviour, while values are broader ideas about what a society considers desirable or important. Criminologists study how norms become formal law and why enforcement may vary among groups and institutions.</w:t>
      </w:r>
    </w:p>
    <w:p>
      <w:pPr>
        <w:pStyle w:val="Heading3"/>
        <w:widowControl w:val="1"/>
      </w:pPr>
      <w:r>
        <w:t>Security as a criminological concern</w:t>
      </w:r>
    </w:p>
    <w:p>
      <w:pPr>
        <w:widowControl w:val="1"/>
      </w:pPr>
      <w:r>
        <w:t>Physical security concerns protection from violence and direct harm. Social security in criminological discussion may include stable social relations, access to institutions and freedom from exclusion that creates vulnerability. Economic insecurity can affect crime opportunities, stress and exposure, but poverty does not mechanically cause offending.</w:t>
      </w:r>
    </w:p>
    <w:p>
      <w:pPr>
        <w:widowControl w:val="1"/>
      </w:pPr>
      <w:r>
        <w:t>A strong answer shows mechanisms and avoids stereotypes. Economic strain, weak guardianship, social exclusion, illicit markets and institutional distrust may interact differently in different settings.</w:t>
      </w:r>
    </w:p>
    <w:p>
      <w:pPr>
        <w:pStyle w:val="Heading3"/>
        <w:widowControl w:val="1"/>
      </w:pPr>
      <w:r>
        <w:t>Core Concepts Explained</w:t>
      </w:r>
    </w:p>
    <w:p>
      <w:pPr>
        <w:pStyle w:val="TeachingBullet"/>
        <w:widowControl w:val="1"/>
      </w:pPr>
      <w:r>
        <w:t>Criminology is interdisciplinary. It draws on sociology, psychology, law, economics, political science and other fields to study crime, victimization and social control.</w:t>
      </w:r>
    </w:p>
    <w:p>
      <w:pPr>
        <w:pStyle w:val="TeachingBullet"/>
        <w:widowControl w:val="1"/>
      </w:pPr>
      <w:r>
        <w:t>Crime and deviance overlap but are not identical. Deviance means violation of social norms; conduct can be deviant without being illegal and illegal conduct may not be considered equally deviant by every social group.</w:t>
      </w:r>
    </w:p>
    <w:p>
      <w:pPr>
        <w:pStyle w:val="TeachingBullet"/>
        <w:widowControl w:val="1"/>
      </w:pPr>
      <w:r>
        <w:t>Sin, vice and evil are moral or religious categories. Criminal law is a legal category created through valid law, while criminology studies both legal definitions and social reactions.</w:t>
      </w:r>
    </w:p>
    <w:p>
      <w:pPr>
        <w:pStyle w:val="TeachingBullet"/>
        <w:widowControl w:val="1"/>
      </w:pPr>
      <w:r>
        <w:t>Security broadens the subject from individual physical safety to social and economic conditions that affect vulnerability, order and opportunities for crime.</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define criminology as merely “study of criminals.” Its scope includes crime, victims, justice institutions, punishment, prevention and social reaction.</w:t>
            </w:r>
          </w:p>
        </w:tc>
      </w:tr>
    </w:tbl>
    <w:p>
      <w:pPr>
        <w:pStyle w:val="Heading3"/>
        <w:widowControl w:val="1"/>
      </w:pPr>
      <w:r>
        <w:t>Preparation and Answer Use</w:t>
      </w:r>
    </w:p>
    <w:p>
      <w:pPr>
        <w:pStyle w:val="TeachingBullet"/>
        <w:widowControl w:val="1"/>
      </w:pPr>
      <w:r>
        <w:rPr>
          <w:b/>
        </w:rPr>
        <w:t>Make a comparison table:</w:t>
      </w:r>
      <w:r>
        <w:t xml:space="preserve"> crime vs deviance vs sin vs vice.</w:t>
      </w:r>
    </w:p>
    <w:p>
      <w:pPr>
        <w:pStyle w:val="TeachingBullet"/>
        <w:widowControl w:val="1"/>
      </w:pPr>
      <w:r>
        <w:rPr>
          <w:b/>
        </w:rPr>
        <w:t>Prepare scope:</w:t>
      </w:r>
      <w:r>
        <w:t xml:space="preserve"> causes, patterns, victims, institutions, control and prevention.</w:t>
      </w:r>
    </w:p>
    <w:p>
      <w:pPr>
        <w:pStyle w:val="Heading3"/>
        <w:widowControl w:val="1"/>
      </w:pPr>
      <w:r>
        <w:t>Key Takeaways</w:t>
      </w:r>
    </w:p>
    <w:p>
      <w:pPr>
        <w:pStyle w:val="TakeawayBullet"/>
        <w:widowControl w:val="1"/>
      </w:pPr>
      <w:r>
        <w:t>All crimes may be deviant in some sense, but not all deviance is crime.</w:t>
      </w:r>
    </w:p>
    <w:p>
      <w:pPr>
        <w:pStyle w:val="TakeawayBullet"/>
        <w:widowControl w:val="1"/>
      </w:pPr>
      <w:r>
        <w:t>Criminal law defines offences; criminology studies causes and responses.</w:t>
      </w:r>
    </w:p>
    <w:p>
      <w:pPr>
        <w:spacing w:after="20"/>
        <w:pBdr>
          <w:bottom w:val="single" w:sz="4" w:space="1" w:color="D9E2F3"/>
        </w:pBdr>
        <w:widowControl w:val="1"/>
      </w:pPr>
    </w:p>
    <w:p>
      <w:pPr>
        <w:pStyle w:val="Heading2"/>
        <w:widowControl w:val="1"/>
      </w:pPr>
      <w:r>
        <w:t>3. Crime and Criminals</w:t>
      </w:r>
    </w:p>
    <w:p>
      <w:pPr>
        <w:pStyle w:val="Heading3"/>
        <w:widowControl w:val="1"/>
      </w:pPr>
      <w:r>
        <w:t>Official Syllabus Focus</w:t>
      </w:r>
    </w:p>
    <w:p>
      <w:pPr>
        <w:pStyle w:val="FocusBullet"/>
        <w:widowControl w:val="1"/>
      </w:pPr>
      <w:r>
        <w:t>Occasional</w:t>
      </w:r>
    </w:p>
    <w:p>
      <w:pPr>
        <w:pStyle w:val="FocusBullet"/>
        <w:widowControl w:val="1"/>
      </w:pPr>
      <w:r>
        <w:t>Habitual</w:t>
      </w:r>
    </w:p>
    <w:p>
      <w:pPr>
        <w:pStyle w:val="FocusBullet"/>
        <w:widowControl w:val="1"/>
      </w:pPr>
      <w:r>
        <w:t>Professional</w:t>
      </w:r>
    </w:p>
    <w:p>
      <w:pPr>
        <w:pStyle w:val="FocusBullet"/>
        <w:widowControl w:val="1"/>
      </w:pPr>
      <w:r>
        <w:t>White-collar</w:t>
      </w:r>
    </w:p>
    <w:p>
      <w:pPr>
        <w:pStyle w:val="FocusBullet"/>
        <w:widowControl w:val="1"/>
      </w:pPr>
      <w:r>
        <w:t>Organized</w:t>
      </w:r>
    </w:p>
    <w:p>
      <w:pPr>
        <w:pStyle w:val="FocusBullet"/>
        <w:widowControl w:val="1"/>
      </w:pPr>
      <w:r>
        <w:t>Corporate crime</w:t>
      </w:r>
    </w:p>
    <w:p>
      <w:pPr>
        <w:pStyle w:val="Heading3"/>
        <w:widowControl w:val="1"/>
      </w:pPr>
      <w:r>
        <w:t>Introduction and Scope</w:t>
      </w:r>
    </w:p>
    <w:p>
      <w:pPr>
        <w:pStyle w:val="TopicIntro"/>
        <w:widowControl w:val="1"/>
      </w:pPr>
      <w:r>
        <w:t>Criminologists classify offending patterns to understand motivation, opportunity and social harm.</w:t>
      </w:r>
    </w:p>
    <w:p>
      <w:pPr>
        <w:pStyle w:val="TopicIntro"/>
        <w:widowControl w:val="1"/>
      </w:pPr>
      <w:r>
        <w:t>Occasional offending is situational; habitual offending is repeated; professional offending is organized as a skilled occupation; white-collar crime concerns occupational/status-based nonviolent illegality; corporate crime is linked to organizational conduct; organized crime involves structured criminal enterprise.</w:t>
      </w:r>
    </w:p>
    <w:p>
      <w:pPr>
        <w:pStyle w:val="Heading3"/>
        <w:widowControl w:val="1"/>
      </w:pPr>
      <w:r>
        <w:t>Why classifications are used</w:t>
      </w:r>
    </w:p>
    <w:p>
      <w:pPr>
        <w:widowControl w:val="1"/>
      </w:pPr>
      <w:r>
        <w:t>Classifying offenders can help research, investigation and correctional planning, but categories are analytical tools rather than fixed human identities. The same person may move between patterns over time, and labels can obscure variation within a group. Classification should therefore be based on behaviour, organization, motivation and opportunity rather than moral judgment.</w:t>
      </w:r>
    </w:p>
    <w:p>
      <w:pPr>
        <w:widowControl w:val="1"/>
      </w:pPr>
      <w:r>
        <w:t>Occasional offending is episodic; habitual offending describes repeated patterns; professional offending is organized around skill and sustained criminal activity. These labels should not be treated as precise medical diagnoses.</w:t>
      </w:r>
    </w:p>
    <w:p>
      <w:pPr>
        <w:pStyle w:val="Heading3"/>
        <w:widowControl w:val="1"/>
      </w:pPr>
      <w:r>
        <w:t>White-collar and corporate crime</w:t>
      </w:r>
    </w:p>
    <w:p>
      <w:pPr>
        <w:widowControl w:val="1"/>
      </w:pPr>
      <w:r>
        <w:t>White-collar crime is commonly associated with financially motivated or occupational offending committed through positions of trust, business or professional opportunity. Corporate crime concerns unlawful conduct attributable to or carried out for a corporation. The key analytical shift is from street settings to organizational power, records, regulation and complex victims.</w:t>
      </w:r>
    </w:p>
    <w:p>
      <w:pPr>
        <w:widowControl w:val="1"/>
      </w:pPr>
      <w:r>
        <w:t>Such offences may produce large social or economic harm even when they involve little visible violence. Detection often depends on audits, whistleblowing, financial intelligence and regulatory cooperation rather than patrol policing.</w:t>
      </w:r>
    </w:p>
    <w:p>
      <w:pPr>
        <w:pStyle w:val="Heading3"/>
        <w:widowControl w:val="1"/>
      </w:pPr>
      <w:r>
        <w:t>Organized crime</w:t>
      </w:r>
    </w:p>
    <w:p>
      <w:pPr>
        <w:widowControl w:val="1"/>
      </w:pPr>
      <w:r>
        <w:t>Organized crime involves structured or coordinated criminal activity carried out for continuing benefit, often across illicit markets such as trafficking, extortion, fraud or smuggling. Networks may be hierarchical, flexible or cell-based; there is no single universal “mafia model.”</w:t>
      </w:r>
    </w:p>
    <w:p>
      <w:pPr>
        <w:widowControl w:val="1"/>
      </w:pPr>
      <w:r>
        <w:t>Transnational organized crime takes advantage of borders, financial systems and digital communications. Effective control therefore depends on intelligence, asset tracing, inter-agency coordination and international legal cooperation.</w:t>
      </w:r>
    </w:p>
    <w:p>
      <w:pPr>
        <w:pStyle w:val="Heading3"/>
        <w:widowControl w:val="1"/>
      </w:pPr>
      <w:r>
        <w:t>Core Concepts Explained</w:t>
      </w:r>
    </w:p>
    <w:p>
      <w:pPr>
        <w:pStyle w:val="TeachingBullet"/>
        <w:widowControl w:val="1"/>
      </w:pPr>
      <w:r>
        <w:t>Occasional offenders commit offences in limited or situational circumstances; habitual offenders show repeated patterns; professional offenders may treat offending as a skilled or organized occupation.</w:t>
      </w:r>
    </w:p>
    <w:p>
      <w:pPr>
        <w:pStyle w:val="TeachingBullet"/>
        <w:widowControl w:val="1"/>
      </w:pPr>
      <w:r>
        <w:t>White-collar crime focuses on offences committed through occupational or professional position and often involves deception, abuse of trust or regulatory violation rather than street violence.</w:t>
      </w:r>
    </w:p>
    <w:p>
      <w:pPr>
        <w:pStyle w:val="TeachingBullet"/>
        <w:widowControl w:val="1"/>
      </w:pPr>
      <w:r>
        <w:t>Corporate crime concerns wrongdoing attributable to or committed through corporate organizations. The organizational decision structure and benefit to the corporation can be central to analysis.</w:t>
      </w:r>
    </w:p>
    <w:p>
      <w:pPr>
        <w:pStyle w:val="TeachingBullet"/>
        <w:widowControl w:val="1"/>
      </w:pPr>
      <w:r>
        <w:t>Organized crime involves continuing criminal enterprise, coordination, markets and networks. It may use violence, corruption, finance or legitimate business structures to protect illegal activity.</w:t>
      </w:r>
    </w:p>
    <w:p>
      <w:pPr>
        <w:pStyle w:val="TeachingBullet"/>
        <w:widowControl w:val="1"/>
      </w:pPr>
      <w:r>
        <w:t>Classifications are analytical tools, not fixed identities. One offender or organization may fit more than one category.</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describe white-collar crime as “any crime by a rich person.” The concept concerns occupational or organizational context and abuse of position or trust.</w:t>
            </w:r>
          </w:p>
        </w:tc>
      </w:tr>
    </w:tbl>
    <w:p>
      <w:pPr>
        <w:pStyle w:val="Heading3"/>
        <w:widowControl w:val="1"/>
      </w:pPr>
      <w:r>
        <w:t>Preparation and Answer Use</w:t>
      </w:r>
    </w:p>
    <w:p>
      <w:pPr>
        <w:pStyle w:val="TeachingBullet"/>
        <w:widowControl w:val="1"/>
      </w:pPr>
      <w:r>
        <w:t>Prepare definitions plus distinguishing features.</w:t>
      </w:r>
    </w:p>
    <w:p>
      <w:pPr>
        <w:pStyle w:val="TeachingBullet"/>
        <w:widowControl w:val="1"/>
      </w:pPr>
      <w:r>
        <w:t>Use real verified examples only if needed.</w:t>
      </w:r>
    </w:p>
    <w:p>
      <w:pPr>
        <w:pStyle w:val="Heading3"/>
        <w:widowControl w:val="1"/>
      </w:pPr>
      <w:r>
        <w:t>Key Takeaways</w:t>
      </w:r>
    </w:p>
    <w:p>
      <w:pPr>
        <w:pStyle w:val="TakeawayBullet"/>
        <w:widowControl w:val="1"/>
      </w:pPr>
      <w:r>
        <w:t>Classification helps analysis but real offenders may not fit one box.</w:t>
      </w:r>
    </w:p>
    <w:p>
      <w:pPr>
        <w:pStyle w:val="TakeawayBullet"/>
        <w:widowControl w:val="1"/>
      </w:pPr>
      <w:r>
        <w:t>White-collar and corporate crime can produce large social/economic harm without conventional street violence.</w:t>
      </w:r>
    </w:p>
    <w:p>
      <w:pPr>
        <w:spacing w:after="20"/>
        <w:pBdr>
          <w:bottom w:val="single" w:sz="4" w:space="1" w:color="D9E2F3"/>
        </w:pBdr>
        <w:widowControl w:val="1"/>
      </w:pPr>
    </w:p>
    <w:p>
      <w:pPr>
        <w:pStyle w:val="Heading2"/>
        <w:widowControl w:val="1"/>
      </w:pPr>
      <w:r>
        <w:t>4. Theoretical Perspectives on Crime</w:t>
      </w:r>
    </w:p>
    <w:p>
      <w:pPr>
        <w:pStyle w:val="Heading3"/>
        <w:widowControl w:val="1"/>
      </w:pPr>
      <w:r>
        <w:t>Official Syllabus Focus</w:t>
      </w:r>
    </w:p>
    <w:p>
      <w:pPr>
        <w:pStyle w:val="FocusBullet"/>
        <w:widowControl w:val="1"/>
      </w:pPr>
      <w:r>
        <w:t>Biological</w:t>
      </w:r>
    </w:p>
    <w:p>
      <w:pPr>
        <w:pStyle w:val="FocusBullet"/>
        <w:widowControl w:val="1"/>
      </w:pPr>
      <w:r>
        <w:t>Psychological</w:t>
      </w:r>
    </w:p>
    <w:p>
      <w:pPr>
        <w:pStyle w:val="FocusBullet"/>
        <w:widowControl w:val="1"/>
      </w:pPr>
      <w:r>
        <w:t>Sociological</w:t>
      </w:r>
    </w:p>
    <w:p>
      <w:pPr>
        <w:pStyle w:val="FocusBullet"/>
        <w:widowControl w:val="1"/>
      </w:pPr>
      <w:r>
        <w:t>Social disorganization</w:t>
      </w:r>
    </w:p>
    <w:p>
      <w:pPr>
        <w:pStyle w:val="FocusBullet"/>
        <w:widowControl w:val="1"/>
      </w:pPr>
      <w:r>
        <w:t>Strain</w:t>
      </w:r>
    </w:p>
    <w:p>
      <w:pPr>
        <w:pStyle w:val="FocusBullet"/>
        <w:widowControl w:val="1"/>
      </w:pPr>
      <w:r>
        <w:t>Social control</w:t>
      </w:r>
    </w:p>
    <w:p>
      <w:pPr>
        <w:pStyle w:val="FocusBullet"/>
        <w:widowControl w:val="1"/>
      </w:pPr>
      <w:r>
        <w:t>Learning</w:t>
      </w:r>
    </w:p>
    <w:p>
      <w:pPr>
        <w:pStyle w:val="FocusBullet"/>
        <w:widowControl w:val="1"/>
      </w:pPr>
      <w:r>
        <w:t>Labeling</w:t>
      </w:r>
    </w:p>
    <w:p>
      <w:pPr>
        <w:pStyle w:val="FocusBullet"/>
        <w:widowControl w:val="1"/>
      </w:pPr>
      <w:r>
        <w:t>Islamic perspective</w:t>
      </w:r>
    </w:p>
    <w:p>
      <w:pPr>
        <w:pStyle w:val="Heading3"/>
        <w:widowControl w:val="1"/>
      </w:pPr>
      <w:r>
        <w:t>Introduction and Scope</w:t>
      </w:r>
    </w:p>
    <w:p>
      <w:pPr>
        <w:pStyle w:val="TopicIntro"/>
        <w:widowControl w:val="1"/>
      </w:pPr>
      <w:r>
        <w:t>Crime theories explain why offending occurs by focusing on different causes or mechanisms.</w:t>
      </w:r>
    </w:p>
    <w:p>
      <w:pPr>
        <w:pStyle w:val="TopicIntro"/>
        <w:widowControl w:val="1"/>
      </w:pPr>
      <w:r>
        <w:t>Biological and psychological approaches focus on individual factors; sociological theories emphasize environment, structure and interaction. Social disorganization links crime with weakened community controls; strain with blocked goals/pressures; social control with weakened bonds; learning with learned definitions/behaviours; labeling with social reaction and identity processes.</w:t>
      </w:r>
    </w:p>
    <w:p>
      <w:pPr>
        <w:pStyle w:val="Heading3"/>
        <w:widowControl w:val="1"/>
      </w:pPr>
      <w:r>
        <w:t>Biological and psychological perspectives</w:t>
      </w:r>
    </w:p>
    <w:p>
      <w:pPr>
        <w:widowControl w:val="1"/>
      </w:pPr>
      <w:r>
        <w:t>Modern biological criminology investigates whether genetic, neurological, developmental and physiological factors contribute to differences in behaviour. These factors are probabilistic and interact with environment; they do not create a deterministic “criminal type.” Historical biological theories that linked criminality to physical appearance are now important mainly as examples of flawed scientific reasoning and harmful stereotyping.</w:t>
      </w:r>
    </w:p>
    <w:p>
      <w:pPr>
        <w:widowControl w:val="1"/>
      </w:pPr>
      <w:r>
        <w:t>Psychological theories examine cognition, personality, self-control, learning, trauma, moral development and decision-making. Evidence may identify group-level associations, but psychological assessment cannot replace legal proof of an offence.</w:t>
      </w:r>
    </w:p>
    <w:p>
      <w:pPr>
        <w:pStyle w:val="Heading3"/>
        <w:widowControl w:val="1"/>
      </w:pPr>
      <w:r>
        <w:t>Sociological perspectives</w:t>
      </w:r>
    </w:p>
    <w:p>
      <w:pPr>
        <w:widowControl w:val="1"/>
      </w:pPr>
      <w:r>
        <w:t>Social disorganization theory links neighbourhood crime patterns to weakened local social control under conditions such as concentrated disadvantage, population turnover and disrupted community networks. Strain theories examine pressure created when valued goals or needs cannot be achieved through legitimate means or when individuals experience adverse conditions. Social control theories ask why people conform and emphasize bonds, supervision and commitment.</w:t>
      </w:r>
    </w:p>
    <w:p>
      <w:pPr>
        <w:widowControl w:val="1"/>
      </w:pPr>
      <w:r>
        <w:t>Social learning theories focus on how definitions, techniques and rewards for offending are learned through interaction. Labeling theory studies how social reaction and stigmatizing identities can influence later behaviour and opportunities. Each theory explains part of the crime problem; none is a universal law.</w:t>
      </w:r>
    </w:p>
    <w:p>
      <w:pPr>
        <w:pStyle w:val="Heading3"/>
        <w:widowControl w:val="1"/>
      </w:pPr>
      <w:r>
        <w:t>Integrating theory and an Islamic perspective</w:t>
      </w:r>
    </w:p>
    <w:p>
      <w:pPr>
        <w:widowControl w:val="1"/>
      </w:pPr>
      <w:r>
        <w:t>An Islamic perspective can discuss moral agency, accountability, justice, protection of life and property, social responsibility, prevention and reformation. It can also examine how family, community, economic fairness and ethical education relate to crime prevention. It should be presented as a normative and socio-legal perspective, not as a substitute for empirical testing of causal claims.</w:t>
      </w:r>
    </w:p>
    <w:p>
      <w:pPr>
        <w:widowControl w:val="1"/>
      </w:pPr>
      <w:r>
        <w:t>In an analytical answer, compare theories by unit of analysis, mechanism and policy implication. For example: social disorganization points toward neighbourhood capacity; learning theory toward peer networks and reinforcement; control theory toward bonds and supervision; strain theory toward pressures and legitimate opportunities.</w:t>
      </w:r>
    </w:p>
    <w:p>
      <w:pPr>
        <w:pStyle w:val="Heading3"/>
        <w:widowControl w:val="1"/>
      </w:pPr>
      <w:r>
        <w:t>Key Comparison</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437"/>
            <w:shd w:fill="D9E5F0"/>
            <w:vAlign w:val="center"/>
            <w:tcMar>
              <w:top w:w="90" w:type="dxa"/>
              <w:start w:w="100" w:type="dxa"/>
              <w:bottom w:w="90" w:type="dxa"/>
              <w:end w:w="100" w:type="dxa"/>
            </w:tcMar>
          </w:tcPr>
          <w:p>
            <w:pPr>
              <w:jc w:val="center"/>
            </w:pPr>
            <w:r>
              <w:rPr>
                <w:b/>
                <w:sz w:val="19"/>
              </w:rPr>
              <w:t>Theory</w:t>
            </w:r>
          </w:p>
        </w:tc>
        <w:tc>
          <w:tcPr>
            <w:tcW w:type="dxa" w:w="2437"/>
            <w:shd w:fill="D9E5F0"/>
            <w:vAlign w:val="center"/>
            <w:tcMar>
              <w:top w:w="90" w:type="dxa"/>
              <w:start w:w="100" w:type="dxa"/>
              <w:bottom w:w="90" w:type="dxa"/>
              <w:end w:w="100" w:type="dxa"/>
            </w:tcMar>
          </w:tcPr>
          <w:p>
            <w:pPr>
              <w:jc w:val="center"/>
            </w:pPr>
            <w:r>
              <w:rPr>
                <w:b/>
                <w:sz w:val="19"/>
              </w:rPr>
              <w:t>Primary level</w:t>
            </w:r>
          </w:p>
        </w:tc>
        <w:tc>
          <w:tcPr>
            <w:tcW w:type="dxa" w:w="2437"/>
            <w:shd w:fill="D9E5F0"/>
            <w:vAlign w:val="center"/>
            <w:tcMar>
              <w:top w:w="90" w:type="dxa"/>
              <w:start w:w="100" w:type="dxa"/>
              <w:bottom w:w="90" w:type="dxa"/>
              <w:end w:w="100" w:type="dxa"/>
            </w:tcMar>
          </w:tcPr>
          <w:p>
            <w:pPr>
              <w:jc w:val="center"/>
            </w:pPr>
            <w:r>
              <w:rPr>
                <w:b/>
                <w:sz w:val="19"/>
              </w:rPr>
              <w:t>Core mechanism</w:t>
            </w:r>
          </w:p>
        </w:tc>
        <w:tc>
          <w:tcPr>
            <w:tcW w:type="dxa" w:w="2437"/>
            <w:shd w:fill="D9E5F0"/>
            <w:vAlign w:val="center"/>
            <w:tcMar>
              <w:top w:w="90" w:type="dxa"/>
              <w:start w:w="100" w:type="dxa"/>
              <w:bottom w:w="90" w:type="dxa"/>
              <w:end w:w="100" w:type="dxa"/>
            </w:tcMar>
          </w:tcPr>
          <w:p>
            <w:pPr>
              <w:jc w:val="center"/>
            </w:pPr>
            <w:r>
              <w:rPr>
                <w:b/>
                <w:sz w:val="19"/>
              </w:rPr>
              <w:t>Typical policy direction</w:t>
            </w:r>
          </w:p>
        </w:tc>
      </w:tr>
      <w:tr>
        <w:tc>
          <w:tcPr>
            <w:tcW w:type="dxa" w:w="2437"/>
            <w:vAlign w:val="top"/>
            <w:tcMar>
              <w:top w:w="90" w:type="dxa"/>
              <w:start w:w="100" w:type="dxa"/>
              <w:bottom w:w="90" w:type="dxa"/>
              <w:end w:w="100" w:type="dxa"/>
            </w:tcMar>
          </w:tcPr>
          <w:p>
            <w:pPr>
              <w:spacing w:after="0"/>
            </w:pPr>
            <w:r>
              <w:rPr>
                <w:sz w:val="18"/>
              </w:rPr>
              <w:t>Social disorganization</w:t>
            </w:r>
          </w:p>
        </w:tc>
        <w:tc>
          <w:tcPr>
            <w:tcW w:type="dxa" w:w="2437"/>
            <w:vAlign w:val="top"/>
            <w:tcMar>
              <w:top w:w="90" w:type="dxa"/>
              <w:start w:w="100" w:type="dxa"/>
              <w:bottom w:w="90" w:type="dxa"/>
              <w:end w:w="100" w:type="dxa"/>
            </w:tcMar>
          </w:tcPr>
          <w:p>
            <w:pPr>
              <w:spacing w:after="0"/>
            </w:pPr>
            <w:r>
              <w:rPr>
                <w:sz w:val="18"/>
              </w:rPr>
              <w:t>Neighbourhood/community</w:t>
            </w:r>
          </w:p>
        </w:tc>
        <w:tc>
          <w:tcPr>
            <w:tcW w:type="dxa" w:w="2437"/>
            <w:vAlign w:val="top"/>
            <w:tcMar>
              <w:top w:w="90" w:type="dxa"/>
              <w:start w:w="100" w:type="dxa"/>
              <w:bottom w:w="90" w:type="dxa"/>
              <w:end w:w="100" w:type="dxa"/>
            </w:tcMar>
          </w:tcPr>
          <w:p>
            <w:pPr>
              <w:spacing w:after="0"/>
            </w:pPr>
            <w:r>
              <w:rPr>
                <w:sz w:val="18"/>
              </w:rPr>
              <w:t>Weak collective control and disrupted networks</w:t>
            </w:r>
          </w:p>
        </w:tc>
        <w:tc>
          <w:tcPr>
            <w:tcW w:type="dxa" w:w="2437"/>
            <w:vAlign w:val="top"/>
            <w:tcMar>
              <w:top w:w="90" w:type="dxa"/>
              <w:start w:w="100" w:type="dxa"/>
              <w:bottom w:w="90" w:type="dxa"/>
              <w:end w:w="100" w:type="dxa"/>
            </w:tcMar>
          </w:tcPr>
          <w:p>
            <w:pPr>
              <w:spacing w:after="0"/>
            </w:pPr>
            <w:r>
              <w:rPr>
                <w:sz w:val="18"/>
              </w:rPr>
              <w:t>Community capacity and place-based prevention</w:t>
            </w:r>
          </w:p>
        </w:tc>
      </w:tr>
      <w:tr>
        <w:tc>
          <w:tcPr>
            <w:tcW w:type="dxa" w:w="2437"/>
            <w:vAlign w:val="top"/>
            <w:tcMar>
              <w:top w:w="90" w:type="dxa"/>
              <w:start w:w="100" w:type="dxa"/>
              <w:bottom w:w="90" w:type="dxa"/>
              <w:end w:w="100" w:type="dxa"/>
            </w:tcMar>
          </w:tcPr>
          <w:p>
            <w:pPr>
              <w:spacing w:after="0"/>
            </w:pPr>
            <w:r>
              <w:rPr>
                <w:sz w:val="18"/>
              </w:rPr>
              <w:t>Strain</w:t>
            </w:r>
          </w:p>
        </w:tc>
        <w:tc>
          <w:tcPr>
            <w:tcW w:type="dxa" w:w="2437"/>
            <w:vAlign w:val="top"/>
            <w:tcMar>
              <w:top w:w="90" w:type="dxa"/>
              <w:start w:w="100" w:type="dxa"/>
              <w:bottom w:w="90" w:type="dxa"/>
              <w:end w:w="100" w:type="dxa"/>
            </w:tcMar>
          </w:tcPr>
          <w:p>
            <w:pPr>
              <w:spacing w:after="0"/>
            </w:pPr>
            <w:r>
              <w:rPr>
                <w:sz w:val="18"/>
              </w:rPr>
              <w:t>Individual/social structure</w:t>
            </w:r>
          </w:p>
        </w:tc>
        <w:tc>
          <w:tcPr>
            <w:tcW w:type="dxa" w:w="2437"/>
            <w:vAlign w:val="top"/>
            <w:tcMar>
              <w:top w:w="90" w:type="dxa"/>
              <w:start w:w="100" w:type="dxa"/>
              <w:bottom w:w="90" w:type="dxa"/>
              <w:end w:w="100" w:type="dxa"/>
            </w:tcMar>
          </w:tcPr>
          <w:p>
            <w:pPr>
              <w:spacing w:after="0"/>
            </w:pPr>
            <w:r>
              <w:rPr>
                <w:sz w:val="18"/>
              </w:rPr>
              <w:t>Pressure, blocked goals or adverse conditions</w:t>
            </w:r>
          </w:p>
        </w:tc>
        <w:tc>
          <w:tcPr>
            <w:tcW w:type="dxa" w:w="2437"/>
            <w:vAlign w:val="top"/>
            <w:tcMar>
              <w:top w:w="90" w:type="dxa"/>
              <w:start w:w="100" w:type="dxa"/>
              <w:bottom w:w="90" w:type="dxa"/>
              <w:end w:w="100" w:type="dxa"/>
            </w:tcMar>
          </w:tcPr>
          <w:p>
            <w:pPr>
              <w:spacing w:after="0"/>
            </w:pPr>
            <w:r>
              <w:rPr>
                <w:sz w:val="18"/>
              </w:rPr>
              <w:t>Reduce strains; expand legitimate opportunities</w:t>
            </w:r>
          </w:p>
        </w:tc>
      </w:tr>
      <w:tr>
        <w:tc>
          <w:tcPr>
            <w:tcW w:type="dxa" w:w="2437"/>
            <w:vAlign w:val="top"/>
            <w:tcMar>
              <w:top w:w="90" w:type="dxa"/>
              <w:start w:w="100" w:type="dxa"/>
              <w:bottom w:w="90" w:type="dxa"/>
              <w:end w:w="100" w:type="dxa"/>
            </w:tcMar>
          </w:tcPr>
          <w:p>
            <w:pPr>
              <w:spacing w:after="0"/>
            </w:pPr>
            <w:r>
              <w:rPr>
                <w:sz w:val="18"/>
              </w:rPr>
              <w:t>Social learning</w:t>
            </w:r>
          </w:p>
        </w:tc>
        <w:tc>
          <w:tcPr>
            <w:tcW w:type="dxa" w:w="2437"/>
            <w:vAlign w:val="top"/>
            <w:tcMar>
              <w:top w:w="90" w:type="dxa"/>
              <w:start w:w="100" w:type="dxa"/>
              <w:bottom w:w="90" w:type="dxa"/>
              <w:end w:w="100" w:type="dxa"/>
            </w:tcMar>
          </w:tcPr>
          <w:p>
            <w:pPr>
              <w:spacing w:after="0"/>
            </w:pPr>
            <w:r>
              <w:rPr>
                <w:sz w:val="18"/>
              </w:rPr>
              <w:t>Peer/group interaction</w:t>
            </w:r>
          </w:p>
        </w:tc>
        <w:tc>
          <w:tcPr>
            <w:tcW w:type="dxa" w:w="2437"/>
            <w:vAlign w:val="top"/>
            <w:tcMar>
              <w:top w:w="90" w:type="dxa"/>
              <w:start w:w="100" w:type="dxa"/>
              <w:bottom w:w="90" w:type="dxa"/>
              <w:end w:w="100" w:type="dxa"/>
            </w:tcMar>
          </w:tcPr>
          <w:p>
            <w:pPr>
              <w:spacing w:after="0"/>
            </w:pPr>
            <w:r>
              <w:rPr>
                <w:sz w:val="18"/>
              </w:rPr>
              <w:t>Learned definitions, reinforcement and techniques</w:t>
            </w:r>
          </w:p>
        </w:tc>
        <w:tc>
          <w:tcPr>
            <w:tcW w:type="dxa" w:w="2437"/>
            <w:vAlign w:val="top"/>
            <w:tcMar>
              <w:top w:w="90" w:type="dxa"/>
              <w:start w:w="100" w:type="dxa"/>
              <w:bottom w:w="90" w:type="dxa"/>
              <w:end w:w="100" w:type="dxa"/>
            </w:tcMar>
          </w:tcPr>
          <w:p>
            <w:pPr>
              <w:spacing w:after="0"/>
            </w:pPr>
            <w:r>
              <w:rPr>
                <w:sz w:val="18"/>
              </w:rPr>
              <w:t>Change peer/reward environments</w:t>
            </w:r>
          </w:p>
        </w:tc>
      </w:tr>
      <w:tr>
        <w:tc>
          <w:tcPr>
            <w:tcW w:type="dxa" w:w="2437"/>
            <w:vAlign w:val="top"/>
            <w:tcMar>
              <w:top w:w="90" w:type="dxa"/>
              <w:start w:w="100" w:type="dxa"/>
              <w:bottom w:w="90" w:type="dxa"/>
              <w:end w:w="100" w:type="dxa"/>
            </w:tcMar>
          </w:tcPr>
          <w:p>
            <w:pPr>
              <w:spacing w:after="0"/>
            </w:pPr>
            <w:r>
              <w:rPr>
                <w:sz w:val="18"/>
              </w:rPr>
              <w:t>Social control</w:t>
            </w:r>
          </w:p>
        </w:tc>
        <w:tc>
          <w:tcPr>
            <w:tcW w:type="dxa" w:w="2437"/>
            <w:vAlign w:val="top"/>
            <w:tcMar>
              <w:top w:w="90" w:type="dxa"/>
              <w:start w:w="100" w:type="dxa"/>
              <w:bottom w:w="90" w:type="dxa"/>
              <w:end w:w="100" w:type="dxa"/>
            </w:tcMar>
          </w:tcPr>
          <w:p>
            <w:pPr>
              <w:spacing w:after="0"/>
            </w:pPr>
            <w:r>
              <w:rPr>
                <w:sz w:val="18"/>
              </w:rPr>
              <w:t>Individual/social bonds</w:t>
            </w:r>
          </w:p>
        </w:tc>
        <w:tc>
          <w:tcPr>
            <w:tcW w:type="dxa" w:w="2437"/>
            <w:vAlign w:val="top"/>
            <w:tcMar>
              <w:top w:w="90" w:type="dxa"/>
              <w:start w:w="100" w:type="dxa"/>
              <w:bottom w:w="90" w:type="dxa"/>
              <w:end w:w="100" w:type="dxa"/>
            </w:tcMar>
          </w:tcPr>
          <w:p>
            <w:pPr>
              <w:spacing w:after="0"/>
            </w:pPr>
            <w:r>
              <w:rPr>
                <w:sz w:val="18"/>
              </w:rPr>
              <w:t>Weakening of attachment, commitment and supervision</w:t>
            </w:r>
          </w:p>
        </w:tc>
        <w:tc>
          <w:tcPr>
            <w:tcW w:type="dxa" w:w="2437"/>
            <w:vAlign w:val="top"/>
            <w:tcMar>
              <w:top w:w="90" w:type="dxa"/>
              <w:start w:w="100" w:type="dxa"/>
              <w:bottom w:w="90" w:type="dxa"/>
              <w:end w:w="100" w:type="dxa"/>
            </w:tcMar>
          </w:tcPr>
          <w:p>
            <w:pPr>
              <w:spacing w:after="0"/>
            </w:pPr>
            <w:r>
              <w:rPr>
                <w:sz w:val="18"/>
              </w:rPr>
              <w:t>Strengthen bonds and supervision</w:t>
            </w:r>
          </w:p>
        </w:tc>
      </w:tr>
      <w:tr>
        <w:tc>
          <w:tcPr>
            <w:tcW w:type="dxa" w:w="2437"/>
            <w:vAlign w:val="top"/>
            <w:tcMar>
              <w:top w:w="90" w:type="dxa"/>
              <w:start w:w="100" w:type="dxa"/>
              <w:bottom w:w="90" w:type="dxa"/>
              <w:end w:w="100" w:type="dxa"/>
            </w:tcMar>
          </w:tcPr>
          <w:p>
            <w:pPr>
              <w:spacing w:after="0"/>
            </w:pPr>
            <w:r>
              <w:rPr>
                <w:sz w:val="18"/>
              </w:rPr>
              <w:t>Labeling</w:t>
            </w:r>
          </w:p>
        </w:tc>
        <w:tc>
          <w:tcPr>
            <w:tcW w:type="dxa" w:w="2437"/>
            <w:vAlign w:val="top"/>
            <w:tcMar>
              <w:top w:w="90" w:type="dxa"/>
              <w:start w:w="100" w:type="dxa"/>
              <w:bottom w:w="90" w:type="dxa"/>
              <w:end w:w="100" w:type="dxa"/>
            </w:tcMar>
          </w:tcPr>
          <w:p>
            <w:pPr>
              <w:spacing w:after="0"/>
            </w:pPr>
            <w:r>
              <w:rPr>
                <w:sz w:val="18"/>
              </w:rPr>
              <w:t>Social reaction</w:t>
            </w:r>
          </w:p>
        </w:tc>
        <w:tc>
          <w:tcPr>
            <w:tcW w:type="dxa" w:w="2437"/>
            <w:vAlign w:val="top"/>
            <w:tcMar>
              <w:top w:w="90" w:type="dxa"/>
              <w:start w:w="100" w:type="dxa"/>
              <w:bottom w:w="90" w:type="dxa"/>
              <w:end w:w="100" w:type="dxa"/>
            </w:tcMar>
          </w:tcPr>
          <w:p>
            <w:pPr>
              <w:spacing w:after="0"/>
            </w:pPr>
            <w:r>
              <w:rPr>
                <w:sz w:val="18"/>
              </w:rPr>
              <w:t>Stigma and secondary deviance</w:t>
            </w:r>
          </w:p>
        </w:tc>
        <w:tc>
          <w:tcPr>
            <w:tcW w:type="dxa" w:w="2437"/>
            <w:vAlign w:val="top"/>
            <w:tcMar>
              <w:top w:w="90" w:type="dxa"/>
              <w:start w:w="100" w:type="dxa"/>
              <w:bottom w:w="90" w:type="dxa"/>
              <w:end w:w="100" w:type="dxa"/>
            </w:tcMar>
          </w:tcPr>
          <w:p>
            <w:pPr>
              <w:spacing w:after="0"/>
            </w:pPr>
            <w:r>
              <w:rPr>
                <w:sz w:val="18"/>
              </w:rPr>
              <w:t>Reduce unnecessary stigmatization</w:t>
            </w:r>
          </w:p>
        </w:tc>
      </w:tr>
    </w:tbl>
    <w:p>
      <w:pPr>
        <w:widowControl w:val="1"/>
      </w:pPr>
    </w:p>
    <w:p>
      <w:pPr>
        <w:pStyle w:val="Heading3"/>
        <w:widowControl w:val="1"/>
      </w:pPr>
      <w:r>
        <w:t>Core Concepts Explained</w:t>
      </w:r>
    </w:p>
    <w:p>
      <w:pPr>
        <w:pStyle w:val="TeachingBullet"/>
        <w:widowControl w:val="1"/>
      </w:pPr>
      <w:r>
        <w:rPr>
          <w:b/>
        </w:rPr>
        <w:t>Every theory should answer the same question:</w:t>
      </w:r>
      <w:r>
        <w:t xml:space="preserve"> what mechanism does it propose between conditions and offending? Memorizing the theorist's name without that mechanism produces weak answers.</w:t>
      </w:r>
    </w:p>
    <w:p>
      <w:pPr>
        <w:pStyle w:val="TeachingBullet"/>
        <w:widowControl w:val="1"/>
      </w:pPr>
      <w:r>
        <w:t>Biological approaches examine inherited, neurological or physiological factors; psychological approaches examine cognition, personality, development or mental processes; sociological approaches focus on groups, institutions and social structure.</w:t>
      </w:r>
    </w:p>
    <w:p>
      <w:pPr>
        <w:pStyle w:val="TeachingBullet"/>
        <w:widowControl w:val="1"/>
      </w:pPr>
      <w:r>
        <w:t>Social disorganization emphasizes weakened community institutions and informal control. Strain theories focus on pressures created by blocked goals or stressful conditions. Social-control theories ask why people conform and point to weakened bonds or restraints.</w:t>
      </w:r>
    </w:p>
    <w:p>
      <w:pPr>
        <w:pStyle w:val="TeachingBullet"/>
        <w:widowControl w:val="1"/>
      </w:pPr>
      <w:r>
        <w:t>Learning theories explain crime as behaviour, definitions and techniques learned through interaction. Labeling theory shifts attention to social reaction and how official labels can shape identity and future behaviour.</w:t>
      </w:r>
    </w:p>
    <w:p>
      <w:pPr>
        <w:pStyle w:val="TeachingBullet"/>
        <w:widowControl w:val="1"/>
      </w:pPr>
      <w:r>
        <w:rPr>
          <w:b/>
        </w:rPr>
        <w:t>For each theory add one criticism:</w:t>
      </w:r>
      <w:r>
        <w:t xml:space="preserve"> reductionism, measurement limits, inability to explain all offence types, neglect of agency or structure, or limited generalizability. Then show where the theory may still be useful.</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present any theory as a proven universal cause of crime. Criminological theories are explanatory models with strengths and limitations.</w:t>
            </w:r>
          </w:p>
        </w:tc>
      </w:tr>
    </w:tbl>
    <w:p>
      <w:pPr>
        <w:pStyle w:val="Heading3"/>
        <w:widowControl w:val="1"/>
      </w:pPr>
      <w:r>
        <w:t>Preparation and Answer Use</w:t>
      </w:r>
    </w:p>
    <w:p>
      <w:pPr>
        <w:pStyle w:val="TeachingBullet"/>
        <w:widowControl w:val="1"/>
      </w:pPr>
      <w:r>
        <w:t>For every theory learn originator(s), main proposition, causal mechanism, criticism and application.</w:t>
      </w:r>
    </w:p>
    <w:p>
      <w:pPr>
        <w:pStyle w:val="TeachingBullet"/>
        <w:widowControl w:val="1"/>
      </w:pPr>
      <w:r>
        <w:t>Do not present theories as proven universal laws.</w:t>
      </w:r>
    </w:p>
    <w:p>
      <w:pPr>
        <w:pStyle w:val="Heading3"/>
        <w:widowControl w:val="1"/>
      </w:pPr>
      <w:r>
        <w:t>Key Takeaways</w:t>
      </w:r>
    </w:p>
    <w:p>
      <w:pPr>
        <w:pStyle w:val="TakeawayBullet"/>
        <w:widowControl w:val="1"/>
      </w:pPr>
      <w:r>
        <w:t>Different theories explain different dimensions of offending.</w:t>
      </w:r>
    </w:p>
    <w:p>
      <w:pPr>
        <w:pStyle w:val="TakeawayBullet"/>
        <w:widowControl w:val="1"/>
      </w:pPr>
      <w:r>
        <w:t>A strong answer compares theories rather than merely listing them.</w:t>
      </w:r>
    </w:p>
    <w:p>
      <w:pPr>
        <w:pStyle w:val="TakeawayBullet"/>
        <w:widowControl w:val="1"/>
      </w:pPr>
      <w:r>
        <w:t>Islamic perspective should be presented through verified normative/legal concepts, not invented quotations.</w:t>
      </w:r>
    </w:p>
    <w:p>
      <w:pPr>
        <w:spacing w:after="20"/>
        <w:pBdr>
          <w:bottom w:val="single" w:sz="4" w:space="1" w:color="D9E2F3"/>
        </w:pBdr>
        <w:widowControl w:val="1"/>
      </w:pPr>
    </w:p>
    <w:p>
      <w:pPr>
        <w:pStyle w:val="Heading2"/>
        <w:widowControl w:val="1"/>
      </w:pPr>
      <w:r>
        <w:t>5. Juvenile Delinquency</w:t>
      </w:r>
    </w:p>
    <w:p>
      <w:pPr>
        <w:pStyle w:val="Heading3"/>
        <w:widowControl w:val="1"/>
      </w:pPr>
      <w:r>
        <w:t>Official Syllabus Focus</w:t>
      </w:r>
    </w:p>
    <w:p>
      <w:pPr>
        <w:pStyle w:val="FocusBullet"/>
        <w:widowControl w:val="1"/>
      </w:pPr>
      <w:r>
        <w:t>Meaning</w:t>
      </w:r>
    </w:p>
    <w:p>
      <w:pPr>
        <w:pStyle w:val="FocusBullet"/>
        <w:widowControl w:val="1"/>
      </w:pPr>
      <w:r>
        <w:t>Behavioural vs legal definitions</w:t>
      </w:r>
    </w:p>
    <w:p>
      <w:pPr>
        <w:pStyle w:val="FocusBullet"/>
        <w:widowControl w:val="1"/>
      </w:pPr>
      <w:r>
        <w:t>Juvenile delinquent vs status offender</w:t>
      </w:r>
    </w:p>
    <w:p>
      <w:pPr>
        <w:pStyle w:val="FocusBullet"/>
        <w:widowControl w:val="1"/>
      </w:pPr>
      <w:r>
        <w:t>Official statistics</w:t>
      </w:r>
    </w:p>
    <w:p>
      <w:pPr>
        <w:pStyle w:val="Heading3"/>
        <w:widowControl w:val="1"/>
      </w:pPr>
      <w:r>
        <w:t>Introduction and Scope</w:t>
      </w:r>
    </w:p>
    <w:p>
      <w:pPr>
        <w:pStyle w:val="TopicIntro"/>
        <w:widowControl w:val="1"/>
      </w:pPr>
      <w:r>
        <w:t>Juvenile delinquency concerns unlawful or problematic conduct by persons legally treated as juveniles.</w:t>
      </w:r>
    </w:p>
    <w:p>
      <w:pPr>
        <w:pStyle w:val="TopicIntro"/>
        <w:widowControl w:val="1"/>
      </w:pPr>
      <w:r>
        <w:t>Legal definitions depend on age and statute; behavioural definitions may be broader. A status offence is conduct prohibited because of the person’s juvenile status, whereas delinquent acts may correspond to offences more generally.</w:t>
      </w:r>
    </w:p>
    <w:p>
      <w:pPr>
        <w:pStyle w:val="Heading3"/>
        <w:widowControl w:val="1"/>
      </w:pPr>
      <w:r>
        <w:t>Legal and behavioural meanings</w:t>
      </w:r>
    </w:p>
    <w:p>
      <w:pPr>
        <w:widowControl w:val="1"/>
      </w:pPr>
      <w:r>
        <w:t>Juvenile delinquency can mean legally prohibited conduct committed by a person below the age threshold defined by juvenile law. Behavioural research may use the term more broadly for persistent antisocial or rule-breaking conduct. A legal definition must always follow the jurisdiction’s statute because age thresholds and procedures vary.</w:t>
      </w:r>
    </w:p>
    <w:p>
      <w:pPr>
        <w:widowControl w:val="1"/>
      </w:pPr>
      <w:r>
        <w:t>A status offence is conduct prohibited because of the young person’s age but not criminal for an adult, such as certain truancy or curfew violations in jurisdictions that recognize such categories. It should not be confused with an ordinary criminal offence committed by a child.</w:t>
      </w:r>
    </w:p>
    <w:p>
      <w:pPr>
        <w:pStyle w:val="Heading3"/>
        <w:widowControl w:val="1"/>
      </w:pPr>
      <w:r>
        <w:t>Why young people offend</w:t>
      </w:r>
    </w:p>
    <w:p>
      <w:pPr>
        <w:widowControl w:val="1"/>
      </w:pPr>
      <w:r>
        <w:t>Research commonly examines family conflict, weak supervision, school exclusion, peer influence, neighbourhood disadvantage, substance use, trauma, impulsivity and opportunity. These are risk factors, not destiny. Protective factors—including supportive adults, education, stable routines and prosocial peers—can reduce risk and support desistance.</w:t>
      </w:r>
    </w:p>
    <w:p>
      <w:pPr>
        <w:widowControl w:val="1"/>
      </w:pPr>
      <w:r>
        <w:t>Development matters because adolescence involves changing impulse control, sensitivity to peers and identity formation. This helps explain why juvenile systems emphasize proportionality, diversion and rehabilitation more strongly than purely punitive models.</w:t>
      </w:r>
    </w:p>
    <w:p>
      <w:pPr>
        <w:pStyle w:val="Heading3"/>
        <w:widowControl w:val="1"/>
      </w:pPr>
      <w:r>
        <w:t>Measuring juvenile delinquency</w:t>
      </w:r>
    </w:p>
    <w:p>
      <w:pPr>
        <w:widowControl w:val="1"/>
      </w:pPr>
      <w:r>
        <w:t>Official statistics reflect offences detected and recorded by institutions; victimization data reflect experiences reported by victims; self-report studies capture some behaviour never detected by police. None is a complete measure. Arrest or case figures may change because of policing practice even if underlying behaviour remains stable.</w:t>
      </w:r>
    </w:p>
    <w:p>
      <w:pPr>
        <w:widowControl w:val="1"/>
      </w:pPr>
      <w:r>
        <w:t>Whenever using a statistic, state the jurisdiction, age group, reference year and whether the figure concerns arrests, accused persons, convictions or self-reported conduct.</w:t>
      </w:r>
    </w:p>
    <w:p>
      <w:pPr>
        <w:pStyle w:val="Heading3"/>
        <w:widowControl w:val="1"/>
      </w:pPr>
      <w:r>
        <w:t>Core Concepts Explained</w:t>
      </w:r>
    </w:p>
    <w:p>
      <w:pPr>
        <w:pStyle w:val="TeachingBullet"/>
        <w:widowControl w:val="1"/>
      </w:pPr>
      <w:r>
        <w:t>Juvenile delinquency is defined partly by law because the legal age and special juvenile status determine who enters the juvenile justice system.</w:t>
      </w:r>
    </w:p>
    <w:p>
      <w:pPr>
        <w:pStyle w:val="TeachingBullet"/>
        <w:widowControl w:val="1"/>
      </w:pPr>
      <w:r>
        <w:t>Behavioural definitions may include troublesome or risky conduct wider than criminal offences, while legal definitions focus on conduct and age categories recognized by law.</w:t>
      </w:r>
    </w:p>
    <w:p>
      <w:pPr>
        <w:pStyle w:val="TeachingBullet"/>
        <w:widowControl w:val="1"/>
      </w:pPr>
      <w:r>
        <w:t>Status offences are important conceptually because the behaviour is prohibited or specially regulated because the actor is a child or young person; the same conduct may not be an offence for an adult.</w:t>
      </w:r>
    </w:p>
    <w:p>
      <w:pPr>
        <w:pStyle w:val="TeachingBullet"/>
        <w:widowControl w:val="1"/>
      </w:pPr>
      <w:r>
        <w:t>Official statistics record cases known to or processed by authorities. They can reveal patterns but may understate actual offending because many incidents are not reported, detected or formally recorded.</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quote an age limit or juvenile-crime statistic without checking the current Pakistani law and the year/source of the data.</w:t>
            </w:r>
          </w:p>
        </w:tc>
      </w:tr>
    </w:tbl>
    <w:p>
      <w:pPr>
        <w:pStyle w:val="Heading3"/>
        <w:widowControl w:val="1"/>
      </w:pPr>
      <w:r>
        <w:t>Preparation and Answer Use</w:t>
      </w:r>
    </w:p>
    <w:p>
      <w:pPr>
        <w:pStyle w:val="TeachingBullet"/>
        <w:widowControl w:val="1"/>
      </w:pPr>
      <w:r>
        <w:t>Use current juvenile-justice law for age and legal procedure.</w:t>
      </w:r>
    </w:p>
    <w:p>
      <w:pPr>
        <w:pStyle w:val="TeachingBullet"/>
        <w:widowControl w:val="1"/>
      </w:pPr>
      <w:r>
        <w:rPr>
          <w:b/>
        </w:rPr>
        <w:t>Treat statistics carefully:</w:t>
      </w:r>
      <w:r>
        <w:t xml:space="preserve"> cite year and source.</w:t>
      </w:r>
    </w:p>
    <w:p>
      <w:pPr>
        <w:pStyle w:val="Heading3"/>
        <w:widowControl w:val="1"/>
      </w:pPr>
      <w:r>
        <w:t>Key Takeaways</w:t>
      </w:r>
    </w:p>
    <w:p>
      <w:pPr>
        <w:pStyle w:val="TakeawayBullet"/>
        <w:widowControl w:val="1"/>
      </w:pPr>
      <w:r>
        <w:t>Juvenile justice emphasizes age and developmental status.</w:t>
      </w:r>
    </w:p>
    <w:p>
      <w:pPr>
        <w:pStyle w:val="TakeawayBullet"/>
        <w:widowControl w:val="1"/>
      </w:pPr>
      <w:r>
        <w:t>Official statistics show recorded cases, not necessarily the full amount of offending.</w:t>
      </w:r>
    </w:p>
    <w:p>
      <w:pPr>
        <w:spacing w:after="20"/>
        <w:pBdr>
          <w:bottom w:val="single" w:sz="4" w:space="1" w:color="D9E2F3"/>
        </w:pBdr>
        <w:widowControl w:val="1"/>
      </w:pPr>
    </w:p>
    <w:p>
      <w:pPr>
        <w:pStyle w:val="Heading2"/>
        <w:widowControl w:val="1"/>
      </w:pPr>
      <w:r>
        <w:t>6. Juvenile Justice System</w:t>
      </w:r>
    </w:p>
    <w:p>
      <w:pPr>
        <w:pStyle w:val="Heading3"/>
        <w:widowControl w:val="1"/>
      </w:pPr>
      <w:r>
        <w:t>Official Syllabus Focus</w:t>
      </w:r>
    </w:p>
    <w:p>
      <w:pPr>
        <w:pStyle w:val="FocusBullet"/>
        <w:widowControl w:val="1"/>
      </w:pPr>
      <w:r>
        <w:t>Police role</w:t>
      </w:r>
    </w:p>
    <w:p>
      <w:pPr>
        <w:pStyle w:val="FocusBullet"/>
        <w:widowControl w:val="1"/>
      </w:pPr>
      <w:r>
        <w:t>Pretrial/trial/sentencing</w:t>
      </w:r>
    </w:p>
    <w:p>
      <w:pPr>
        <w:pStyle w:val="FocusBullet"/>
        <w:widowControl w:val="1"/>
      </w:pPr>
      <w:r>
        <w:t>Prosecutor</w:t>
      </w:r>
    </w:p>
    <w:p>
      <w:pPr>
        <w:pStyle w:val="FocusBullet"/>
        <w:widowControl w:val="1"/>
      </w:pPr>
      <w:r>
        <w:t>Defence counsel</w:t>
      </w:r>
    </w:p>
    <w:p>
      <w:pPr>
        <w:pStyle w:val="FocusBullet"/>
        <w:widowControl w:val="1"/>
      </w:pPr>
      <w:r>
        <w:t>Juvenile judge</w:t>
      </w:r>
    </w:p>
    <w:p>
      <w:pPr>
        <w:pStyle w:val="FocusBullet"/>
        <w:widowControl w:val="1"/>
      </w:pPr>
      <w:r>
        <w:t>Probation officer</w:t>
      </w:r>
    </w:p>
    <w:p>
      <w:pPr>
        <w:pStyle w:val="FocusBullet"/>
        <w:widowControl w:val="1"/>
      </w:pPr>
      <w:r>
        <w:t>Correctional institutions</w:t>
      </w:r>
    </w:p>
    <w:p>
      <w:pPr>
        <w:pStyle w:val="FocusBullet"/>
        <w:widowControl w:val="1"/>
      </w:pPr>
      <w:r>
        <w:t>Probation/non-punitive alternatives</w:t>
      </w:r>
    </w:p>
    <w:p>
      <w:pPr>
        <w:pStyle w:val="Heading3"/>
        <w:widowControl w:val="1"/>
      </w:pPr>
      <w:r>
        <w:t>Introduction and Scope</w:t>
      </w:r>
    </w:p>
    <w:p>
      <w:pPr>
        <w:pStyle w:val="TopicIntro"/>
        <w:widowControl w:val="1"/>
      </w:pPr>
      <w:r>
        <w:t>The juvenile justice system processes young offenders with special safeguards and an increased emphasis on rehabilitation and reintegration.</w:t>
      </w:r>
    </w:p>
    <w:p>
      <w:pPr>
        <w:pStyle w:val="TopicIntro"/>
        <w:widowControl w:val="1"/>
      </w:pPr>
      <w:r>
        <w:t>Study each institutional actor and the sequence from apprehension/diversion to trial and disposition. Non-custodial measures are important because juvenile systems generally seek to reduce unnecessary detention while protecting public safety.</w:t>
      </w:r>
    </w:p>
    <w:p>
      <w:pPr>
        <w:pStyle w:val="SourceNote"/>
        <w:widowControl w:val="1"/>
      </w:pPr>
      <w:r>
        <w:t>Primary Pakistan authority: Juvenile Justice System Act, 2018, together with applicable procedural law and rules.</w:t>
      </w:r>
    </w:p>
    <w:p>
      <w:pPr>
        <w:pStyle w:val="Heading3"/>
        <w:widowControl w:val="1"/>
      </w:pPr>
      <w:r>
        <w:t>Current Pakistan framework</w:t>
      </w:r>
    </w:p>
    <w:p>
      <w:pPr>
        <w:widowControl w:val="1"/>
      </w:pPr>
      <w:r>
        <w:t>Pakistan’s federal Juvenile Justice System Act, 2018 provides the principal statutory framework for children in conflict with criminal law at the federal level. It should be read directly for definitions, age-related rules, legal assistance, juvenile courts, diversion, detention and other protections. The Act’s legal text—not a generic international summary—controls a Pakistan-specific question.</w:t>
      </w:r>
    </w:p>
    <w:p>
      <w:pPr>
        <w:widowControl w:val="1"/>
      </w:pPr>
      <w:r>
        <w:t>Juvenile justice is built around the idea that children require procedural safeguards and responses appropriate to age and development. International standards also emphasize dignity, legal assistance, minimum use of detention and reintegration.</w:t>
      </w:r>
    </w:p>
    <w:p>
      <w:pPr>
        <w:pStyle w:val="Heading3"/>
        <w:widowControl w:val="1"/>
      </w:pPr>
      <w:r>
        <w:t>Institutional roles</w:t>
      </w:r>
    </w:p>
    <w:p>
      <w:pPr>
        <w:widowControl w:val="1"/>
      </w:pPr>
      <w:r>
        <w:t>Police are often the first formal contact and therefore influence diversion, protection from abuse and the quality of early evidence. Prosecutors decide or guide prosecution within law; defence counsel protects legal rights; juvenile judges control adjudication and disposition; probation or social-welfare personnel assess circumstances and supervise community-based measures.</w:t>
      </w:r>
    </w:p>
    <w:p>
      <w:pPr>
        <w:widowControl w:val="1"/>
      </w:pPr>
      <w:r>
        <w:t>Correctional or rehabilitation institutions should not be treated as mere places of confinement. Education, mental-health support, family contact, vocational preparation and reintegration planning are central if the aim is to reduce reoffending.</w:t>
      </w:r>
    </w:p>
    <w:p>
      <w:pPr>
        <w:pStyle w:val="Heading3"/>
        <w:widowControl w:val="1"/>
      </w:pPr>
      <w:r>
        <w:t>Diversion and non-custodial responses</w:t>
      </w:r>
    </w:p>
    <w:p>
      <w:pPr>
        <w:widowControl w:val="1"/>
      </w:pPr>
      <w:r>
        <w:t>Diversion redirects suitable cases away from full formal adjudication toward a lawful alternative, often subject to conditions and safeguards. Probation permits supervised community living rather than incarceration. Restorative approaches may involve accountability, repair and victim participation where appropriate and lawful.</w:t>
      </w:r>
    </w:p>
    <w:p>
      <w:pPr>
        <w:widowControl w:val="1"/>
      </w:pPr>
      <w:r>
        <w:t>The policy logic is that unnecessary formalization and detention can disrupt education, family ties and future opportunities. However, alternatives must still protect due process, public safety and the voluntariness of participation where required.</w:t>
      </w:r>
    </w:p>
    <w:p>
      <w:pPr>
        <w:pStyle w:val="Heading3"/>
        <w:widowControl w:val="1"/>
      </w:pPr>
      <w:r>
        <w:t>Core Concepts Explained</w:t>
      </w:r>
    </w:p>
    <w:p>
      <w:pPr>
        <w:pStyle w:val="TeachingBullet"/>
        <w:widowControl w:val="1"/>
      </w:pPr>
      <w:r>
        <w:t>The system should be studied as a child-sensitive process from first contact with police to diversion, trial, disposition, rehabilitation and reintegration.</w:t>
      </w:r>
    </w:p>
    <w:p>
      <w:pPr>
        <w:pStyle w:val="TeachingBullet"/>
        <w:widowControl w:val="1"/>
      </w:pPr>
      <w:r>
        <w:t>Police decisions at first contact can affect whether a child is detained, diverted or formally processed. Prosecutors, defence counsel and judges then protect legality, fair process and the child's procedural rights.</w:t>
      </w:r>
    </w:p>
    <w:p>
      <w:pPr>
        <w:pStyle w:val="TeachingBullet"/>
        <w:widowControl w:val="1"/>
      </w:pPr>
      <w:r>
        <w:t>Probation officers and social-welfare professionals help the court understand the child's background, risks and needs. Correctional institutions should be a last or carefully justified resort within the applicable legal framework.</w:t>
      </w:r>
    </w:p>
    <w:p>
      <w:pPr>
        <w:pStyle w:val="TeachingBullet"/>
        <w:widowControl w:val="1"/>
      </w:pPr>
      <w:r>
        <w:t>Non-custodial measures such as probation, diversion or community-based supervision seek accountability while reducing the harmful effects of unnecessary institutionalization.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treat juvenile justice as simply a lighter version of adult punishment. Development, rehabilitation and special procedural safeguards are central.</w:t>
            </w:r>
          </w:p>
        </w:tc>
      </w:tr>
    </w:tbl>
    <w:p>
      <w:pPr>
        <w:pStyle w:val="Heading3"/>
        <w:widowControl w:val="1"/>
      </w:pPr>
      <w:r>
        <w:t>Preparation and Answer Use</w:t>
      </w:r>
    </w:p>
    <w:p>
      <w:pPr>
        <w:pStyle w:val="TeachingBullet"/>
        <w:widowControl w:val="1"/>
      </w:pPr>
      <w:r>
        <w:t>Draw the full juvenile-case flow.</w:t>
      </w:r>
    </w:p>
    <w:p>
      <w:pPr>
        <w:pStyle w:val="TeachingBullet"/>
        <w:widowControl w:val="1"/>
      </w:pPr>
      <w:r>
        <w:t>Read Pakistan’s current juvenile justice law for exact safeguards.</w:t>
      </w:r>
    </w:p>
    <w:p>
      <w:pPr>
        <w:pStyle w:val="Heading3"/>
        <w:widowControl w:val="1"/>
      </w:pPr>
      <w:r>
        <w:t>Key Takeaways</w:t>
      </w:r>
    </w:p>
    <w:p>
      <w:pPr>
        <w:pStyle w:val="TakeawayBullet"/>
        <w:widowControl w:val="1"/>
      </w:pPr>
      <w:r>
        <w:t>Children require age-appropriate process.</w:t>
      </w:r>
    </w:p>
    <w:p>
      <w:pPr>
        <w:pStyle w:val="TakeawayBullet"/>
        <w:widowControl w:val="1"/>
      </w:pPr>
      <w:r>
        <w:t>Diversion/probation can reduce reliance on confinement where lawful and suitable.</w:t>
      </w:r>
    </w:p>
    <w:p>
      <w:pPr>
        <w:spacing w:after="20"/>
        <w:pBdr>
          <w:bottom w:val="single" w:sz="4" w:space="1" w:color="D9E2F3"/>
        </w:pBdr>
        <w:widowControl w:val="1"/>
      </w:pPr>
    </w:p>
    <w:p>
      <w:pPr>
        <w:pStyle w:val="Heading2"/>
        <w:widowControl w:val="1"/>
      </w:pPr>
      <w:r>
        <w:t>7. The Criminal Justice System</w:t>
      </w:r>
    </w:p>
    <w:p>
      <w:pPr>
        <w:pStyle w:val="Heading3"/>
        <w:widowControl w:val="1"/>
      </w:pPr>
      <w:r>
        <w:t>Official Syllabus Focus</w:t>
      </w:r>
    </w:p>
    <w:p>
      <w:pPr>
        <w:pStyle w:val="FocusBullet"/>
        <w:widowControl w:val="1"/>
      </w:pPr>
      <w:r>
        <w:t>Police</w:t>
      </w:r>
    </w:p>
    <w:p>
      <w:pPr>
        <w:pStyle w:val="FocusBullet"/>
        <w:widowControl w:val="1"/>
      </w:pPr>
      <w:r>
        <w:t>Trial and conviction</w:t>
      </w:r>
    </w:p>
    <w:p>
      <w:pPr>
        <w:pStyle w:val="FocusBullet"/>
        <w:widowControl w:val="1"/>
      </w:pPr>
      <w:r>
        <w:t>Formal/informal agencies</w:t>
      </w:r>
    </w:p>
    <w:p>
      <w:pPr>
        <w:pStyle w:val="FocusBullet"/>
        <w:widowControl w:val="1"/>
      </w:pPr>
      <w:r>
        <w:t>Criminal courts</w:t>
      </w:r>
    </w:p>
    <w:p>
      <w:pPr>
        <w:pStyle w:val="FocusBullet"/>
        <w:widowControl w:val="1"/>
      </w:pPr>
      <w:r>
        <w:t>Prosecutors</w:t>
      </w:r>
    </w:p>
    <w:p>
      <w:pPr>
        <w:pStyle w:val="FocusBullet"/>
        <w:widowControl w:val="1"/>
      </w:pPr>
      <w:r>
        <w:t>Prisons</w:t>
      </w:r>
    </w:p>
    <w:p>
      <w:pPr>
        <w:pStyle w:val="FocusBullet"/>
        <w:widowControl w:val="1"/>
      </w:pPr>
      <w:r>
        <w:t>Probation</w:t>
      </w:r>
    </w:p>
    <w:p>
      <w:pPr>
        <w:pStyle w:val="FocusBullet"/>
        <w:widowControl w:val="1"/>
      </w:pPr>
      <w:r>
        <w:t>Parole</w:t>
      </w:r>
    </w:p>
    <w:p>
      <w:pPr>
        <w:pStyle w:val="Heading3"/>
        <w:widowControl w:val="1"/>
      </w:pPr>
      <w:r>
        <w:t>Introduction and Scope</w:t>
      </w:r>
    </w:p>
    <w:p>
      <w:pPr>
        <w:pStyle w:val="TopicIntro"/>
        <w:widowControl w:val="1"/>
      </w:pPr>
      <w:r>
        <w:t>Criminal justice is the institutional system through which crime is investigated, prosecuted, adjudicated and sanctioned.</w:t>
      </w:r>
    </w:p>
    <w:p>
      <w:pPr>
        <w:pStyle w:val="TopicIntro"/>
        <w:widowControl w:val="1"/>
      </w:pPr>
      <w:r>
        <w:t>The system is a chain: police investigation → prosecution → courts → corrections, with probation/parole and informal/community mechanisms at different points. Weakness at one stage can affect the entire process.</w:t>
      </w:r>
    </w:p>
    <w:p>
      <w:pPr>
        <w:pStyle w:val="Heading3"/>
        <w:widowControl w:val="1"/>
      </w:pPr>
      <w:r>
        <w:t>A system rather than isolated institutions</w:t>
      </w:r>
    </w:p>
    <w:p>
      <w:pPr>
        <w:widowControl w:val="1"/>
      </w:pPr>
      <w:r>
        <w:t>The criminal justice system is a chain of institutions and decisions: reporting and detection → investigation → prosecutorial screening → charge → trial or lawful disposition → sentence → corrections → release and reintegration. A failure at one stage can affect every later stage, so coordination and accountability are systemic issues.</w:t>
      </w:r>
    </w:p>
    <w:p>
      <w:pPr>
        <w:widowControl w:val="1"/>
      </w:pPr>
      <w:r>
        <w:t>Formal agencies include police, prosecution, courts, prisons, probation and parole structures. Informal mechanisms—family, community leadership, civil society and social services—may influence prevention and reintegration but do not automatically possess legal coercive powers.</w:t>
      </w:r>
    </w:p>
    <w:p>
      <w:pPr>
        <w:pStyle w:val="Heading3"/>
        <w:widowControl w:val="1"/>
      </w:pPr>
      <w:r>
        <w:t>Police, prosecution and courts</w:t>
      </w:r>
    </w:p>
    <w:p>
      <w:pPr>
        <w:widowControl w:val="1"/>
      </w:pPr>
      <w:r>
        <w:t>Police prevent, detect and investigate crime within statutory powers. Prosecutors assess evidence, conduct the state’s case and are expected to act within duties of fairness and law. Courts determine legal questions, protect due process and decide guilt and sentence on the basis of admissible evidence and applicable standards.</w:t>
      </w:r>
    </w:p>
    <w:p>
      <w:pPr>
        <w:widowControl w:val="1"/>
      </w:pPr>
      <w:r>
        <w:t>These roles should remain institutionally distinct. Investigation is not conviction, accusation is not proof, and prosecution does not make the court’s final determination.</w:t>
      </w:r>
    </w:p>
    <w:p>
      <w:pPr>
        <w:pStyle w:val="Heading3"/>
        <w:widowControl w:val="1"/>
      </w:pPr>
      <w:r>
        <w:t>Corrections, probation and parole</w:t>
      </w:r>
    </w:p>
    <w:p>
      <w:pPr>
        <w:widowControl w:val="1"/>
      </w:pPr>
      <w:r>
        <w:t>Prisons carry out custodial sentences and detention under law; modern correctional policy also addresses safety, health, rehabilitation and release planning. The UN Standard Minimum Rules for the Treatment of Prisoners, revised in 2015 and known as the Nelson Mandela Rules, provide internationally recognized minimum standards for prison treatment.</w:t>
      </w:r>
    </w:p>
    <w:p>
      <w:pPr>
        <w:widowControl w:val="1"/>
      </w:pPr>
      <w:r>
        <w:t>Probation supervises eligible offenders in the community under conditions. Parole is conditional release after part of a custodial sentence where the legal system provides it. Both require risk management, support and clear consequences for violations.</w:t>
      </w:r>
    </w:p>
    <w:p>
      <w:pPr>
        <w:pStyle w:val="Heading3"/>
        <w:widowControl w:val="1"/>
      </w:pPr>
      <w:r>
        <w:t>Core Concepts Explained</w:t>
      </w:r>
    </w:p>
    <w:p>
      <w:pPr>
        <w:pStyle w:val="TeachingBullet"/>
        <w:widowControl w:val="1"/>
      </w:pPr>
      <w:r>
        <w:t>Criminal justice is a chain of institutions. Police investigate, prosecutors assess and present cases, courts determine guilt and sentence, and correctional agencies execute lawful sanctions.</w:t>
      </w:r>
    </w:p>
    <w:p>
      <w:pPr>
        <w:pStyle w:val="TeachingBullet"/>
        <w:widowControl w:val="1"/>
      </w:pPr>
      <w:r>
        <w:t>Probation and parole are community-based mechanisms but operate at different stages and under different legal conditions. They should not be treated as synonyms.</w:t>
      </w:r>
    </w:p>
    <w:p>
      <w:pPr>
        <w:pStyle w:val="TeachingBullet"/>
        <w:widowControl w:val="1"/>
      </w:pPr>
      <w:r>
        <w:t>Formal agencies exercise powers created by law; informal institutions such as families, communities and civil society also influence prevention, reporting and reintegration.</w:t>
      </w:r>
    </w:p>
    <w:p>
      <w:pPr>
        <w:pStyle w:val="TeachingBullet"/>
        <w:widowControl w:val="1"/>
      </w:pPr>
      <w:r>
        <w:t>System performance depends on coordination. Delay, poor investigation, weak prosecution, prison overcrowding or inadequate rehabilitation at one stage can undermine outcomes elsewhere.</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analyze each institution in isolation. Explain how a failure at one point can affect fairness and effectiveness across the entire justice chain.</w:t>
            </w:r>
          </w:p>
        </w:tc>
      </w:tr>
    </w:tbl>
    <w:p>
      <w:pPr>
        <w:pStyle w:val="Heading3"/>
        <w:widowControl w:val="1"/>
      </w:pPr>
      <w:r>
        <w:t>Preparation and Answer Use</w:t>
      </w:r>
    </w:p>
    <w:p>
      <w:pPr>
        <w:pStyle w:val="TeachingBullet"/>
        <w:widowControl w:val="1"/>
      </w:pPr>
      <w:r>
        <w:t>Prepare functions and common institutional problems separately.</w:t>
      </w:r>
    </w:p>
    <w:p>
      <w:pPr>
        <w:pStyle w:val="TeachingBullet"/>
        <w:widowControl w:val="1"/>
      </w:pPr>
      <w:r>
        <w:t>Use process diagrams and reform-oriented analysis.</w:t>
      </w:r>
    </w:p>
    <w:p>
      <w:pPr>
        <w:pStyle w:val="Heading3"/>
        <w:widowControl w:val="1"/>
      </w:pPr>
      <w:r>
        <w:t>Key Takeaways</w:t>
      </w:r>
    </w:p>
    <w:p>
      <w:pPr>
        <w:pStyle w:val="TakeawayBullet"/>
        <w:widowControl w:val="1"/>
      </w:pPr>
      <w:r>
        <w:t>Police investigate; prosecutors present the case; courts adjudicate; corrections execute lawful sanctions.</w:t>
      </w:r>
    </w:p>
    <w:p>
      <w:pPr>
        <w:pStyle w:val="TakeawayBullet"/>
        <w:widowControl w:val="1"/>
      </w:pPr>
      <w:r>
        <w:t>Coordination and due process are both essential.</w:t>
      </w:r>
    </w:p>
    <w:p>
      <w:pPr>
        <w:spacing w:after="20"/>
        <w:pBdr>
          <w:bottom w:val="single" w:sz="4" w:space="1" w:color="D9E2F3"/>
        </w:pBdr>
        <w:widowControl w:val="1"/>
      </w:pPr>
    </w:p>
    <w:p>
      <w:pPr>
        <w:pStyle w:val="Heading2"/>
        <w:widowControl w:val="1"/>
      </w:pPr>
      <w:r>
        <w:t>8. Punitive and Reformative Treatment of Criminals</w:t>
      </w:r>
    </w:p>
    <w:p>
      <w:pPr>
        <w:pStyle w:val="Heading3"/>
        <w:widowControl w:val="1"/>
      </w:pPr>
      <w:r>
        <w:t>Official Syllabus Focus</w:t>
      </w:r>
    </w:p>
    <w:p>
      <w:pPr>
        <w:pStyle w:val="FocusBullet"/>
        <w:widowControl w:val="1"/>
      </w:pPr>
      <w:r>
        <w:t>Corporal punishment</w:t>
      </w:r>
    </w:p>
    <w:p>
      <w:pPr>
        <w:pStyle w:val="FocusBullet"/>
        <w:widowControl w:val="1"/>
      </w:pPr>
      <w:r>
        <w:t>Imprisonment</w:t>
      </w:r>
    </w:p>
    <w:p>
      <w:pPr>
        <w:pStyle w:val="FocusBullet"/>
        <w:widowControl w:val="1"/>
      </w:pPr>
      <w:r>
        <w:t>Rehabilitation</w:t>
      </w:r>
    </w:p>
    <w:p>
      <w:pPr>
        <w:pStyle w:val="Heading3"/>
        <w:widowControl w:val="1"/>
      </w:pPr>
      <w:r>
        <w:t>Introduction and Scope</w:t>
      </w:r>
    </w:p>
    <w:p>
      <w:pPr>
        <w:pStyle w:val="TopicIntro"/>
        <w:widowControl w:val="1"/>
      </w:pPr>
      <w:r>
        <w:t>Penology studies punishment and correction, including why society punishes and how offenders may be rehabilitated.</w:t>
      </w:r>
    </w:p>
    <w:p>
      <w:pPr>
        <w:pStyle w:val="TopicIntro"/>
        <w:widowControl w:val="1"/>
      </w:pPr>
      <w:r>
        <w:t>Compare retribution, deterrence, incapacitation and rehabilitation. Imprisonment can incapacitate but may also create overcrowding and reintegration challenges. Rehabilitation focuses on changing behaviour, skills, addiction, education or social conditions.</w:t>
      </w:r>
    </w:p>
    <w:p>
      <w:pPr>
        <w:pStyle w:val="Heading3"/>
        <w:widowControl w:val="1"/>
      </w:pPr>
      <w:r>
        <w:t>Purposes of punishment</w:t>
      </w:r>
    </w:p>
    <w:p>
      <w:pPr>
        <w:widowControl w:val="1"/>
      </w:pPr>
      <w:r>
        <w:t>Punishment theories usually distinguish retribution, deterrence, incapacitation and rehabilitation. Retribution focuses on deserved response; deterrence seeks to discourage future offending; incapacitation limits opportunity by restricting liberty; rehabilitation aims to reduce future offending by changing skills, needs, behaviour or circumstances.</w:t>
      </w:r>
    </w:p>
    <w:p>
      <w:pPr>
        <w:widowControl w:val="1"/>
      </w:pPr>
      <w:r>
        <w:t>Real criminal-justice systems often combine these aims. The debate is therefore not simply “punishment versus reform” but how to balance proportionality, public safety, humane treatment and evidence about reoffending.</w:t>
      </w:r>
    </w:p>
    <w:p>
      <w:pPr>
        <w:pStyle w:val="Heading3"/>
        <w:widowControl w:val="1"/>
      </w:pPr>
      <w:r>
        <w:t>Imprisonment and its limits</w:t>
      </w:r>
    </w:p>
    <w:p>
      <w:pPr>
        <w:widowControl w:val="1"/>
      </w:pPr>
      <w:r>
        <w:t>Imprisonment can incapacitate and express legal condemnation, but it also carries financial and social costs and may expose people to criminogenic prison environments. Longer imprisonment does not automatically produce greater deterrence or rehabilitation. Effects depend on offence type, certainty of punishment, prison conditions and post-release support.</w:t>
      </w:r>
    </w:p>
    <w:p>
      <w:pPr>
        <w:widowControl w:val="1"/>
      </w:pPr>
      <w:r>
        <w:t>International standards require humane treatment and recognize that loss of liberty is itself the core punishment; additional degrading treatment is not a legitimate correctional goal.</w:t>
      </w:r>
    </w:p>
    <w:p>
      <w:pPr>
        <w:pStyle w:val="Heading3"/>
        <w:widowControl w:val="1"/>
      </w:pPr>
      <w:r>
        <w:t>Rehabilitation and reintegration</w:t>
      </w:r>
    </w:p>
    <w:p>
      <w:pPr>
        <w:widowControl w:val="1"/>
      </w:pPr>
      <w:r>
        <w:t>Rehabilitation may include literacy and education, vocational skills, cognitive-behavioural programmes, substance-use treatment, mental-health care, family support and structured re-entry. The relevant question is whether an intervention matches assessed needs and has evidence of effectiveness.</w:t>
      </w:r>
    </w:p>
    <w:p>
      <w:pPr>
        <w:widowControl w:val="1"/>
      </w:pPr>
      <w:r>
        <w:t>Reintegration continues after release. Housing, employment, documentation, social support and supervision can influence desistance. A reformative system therefore connects institutional treatment with community transition.</w:t>
      </w:r>
    </w:p>
    <w:p>
      <w:pPr>
        <w:pStyle w:val="Heading3"/>
        <w:widowControl w:val="1"/>
      </w:pPr>
      <w:r>
        <w:t>Core Concepts Explained</w:t>
      </w:r>
    </w:p>
    <w:p>
      <w:pPr>
        <w:pStyle w:val="TeachingBullet"/>
        <w:widowControl w:val="1"/>
      </w:pPr>
      <w:r>
        <w:t>Retribution justifies punishment because wrongdoing deserves a proportionate response. Deterrence seeks to discourage future offending. Incapacitation prevents offending by restricting liberty. Rehabilitation aims to change behaviour and support reintegration.</w:t>
      </w:r>
    </w:p>
    <w:p>
      <w:pPr>
        <w:pStyle w:val="TeachingBullet"/>
        <w:widowControl w:val="1"/>
      </w:pPr>
      <w:r>
        <w:t>Imprisonment can protect society temporarily and express condemnation, but it also creates risks such as overcrowding, criminal socialization, family disruption and difficulty returning to lawful life.</w:t>
      </w:r>
    </w:p>
    <w:p>
      <w:pPr>
        <w:pStyle w:val="TeachingBullet"/>
        <w:widowControl w:val="1"/>
      </w:pPr>
      <w:r>
        <w:t>Rehabilitative programs may address education, vocational skills, substance dependence, mental health, cognitive behaviour, family relations and employment, depending on assessed needs.</w:t>
      </w:r>
    </w:p>
    <w:p>
      <w:pPr>
        <w:pStyle w:val="TeachingBullet"/>
        <w:widowControl w:val="1"/>
      </w:pPr>
      <w:r>
        <w:t>A balanced answer evaluates punishment through legality, proportionality, public safety, human rights and evidence on reoffending rather than assuming one purpose always dominates.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“rehabilitation means no punishment.” Rehabilitation can operate within a lawful sentence and can coexist with deterrence or public-safety goals.</w:t>
            </w:r>
          </w:p>
        </w:tc>
      </w:tr>
    </w:tbl>
    <w:p>
      <w:pPr>
        <w:pStyle w:val="Heading3"/>
        <w:widowControl w:val="1"/>
      </w:pPr>
      <w:r>
        <w:t>Preparation and Answer Use</w:t>
      </w:r>
    </w:p>
    <w:p>
      <w:pPr>
        <w:pStyle w:val="TeachingBullet"/>
        <w:widowControl w:val="1"/>
      </w:pPr>
      <w:r>
        <w:t>Prepare theories/purposes of punishment before methods.</w:t>
      </w:r>
    </w:p>
    <w:p>
      <w:pPr>
        <w:pStyle w:val="TeachingBullet"/>
        <w:widowControl w:val="1"/>
      </w:pPr>
      <w:r>
        <w:t>Discuss effectiveness and human-rights limits.</w:t>
      </w:r>
    </w:p>
    <w:p>
      <w:pPr>
        <w:pStyle w:val="Heading3"/>
        <w:widowControl w:val="1"/>
      </w:pPr>
      <w:r>
        <w:t>Key Takeaways</w:t>
      </w:r>
    </w:p>
    <w:p>
      <w:pPr>
        <w:pStyle w:val="TakeawayBullet"/>
        <w:widowControl w:val="1"/>
      </w:pPr>
      <w:r>
        <w:t>Punishment serves multiple purposes.</w:t>
      </w:r>
    </w:p>
    <w:p>
      <w:pPr>
        <w:pStyle w:val="TakeawayBullet"/>
        <w:widowControl w:val="1"/>
      </w:pPr>
      <w:r>
        <w:t>Rehabilitation aims to reduce reoffending through change and reintegration.</w:t>
      </w:r>
    </w:p>
    <w:p>
      <w:pPr>
        <w:spacing w:after="20"/>
        <w:pBdr>
          <w:bottom w:val="single" w:sz="4" w:space="1" w:color="D9E2F3"/>
        </w:pBdr>
        <w:widowControl w:val="1"/>
      </w:pPr>
    </w:p>
    <w:p>
      <w:pPr>
        <w:pStyle w:val="Heading2"/>
        <w:widowControl w:val="1"/>
      </w:pPr>
      <w:r>
        <w:t>9. Criminal Investigation</w:t>
      </w:r>
    </w:p>
    <w:p>
      <w:pPr>
        <w:pStyle w:val="Heading3"/>
        <w:widowControl w:val="1"/>
      </w:pPr>
      <w:r>
        <w:t>Official Syllabus Focus</w:t>
      </w:r>
    </w:p>
    <w:p>
      <w:pPr>
        <w:pStyle w:val="FocusBullet"/>
        <w:widowControl w:val="1"/>
      </w:pPr>
      <w:r>
        <w:t>Principles</w:t>
      </w:r>
    </w:p>
    <w:p>
      <w:pPr>
        <w:pStyle w:val="FocusBullet"/>
        <w:widowControl w:val="1"/>
      </w:pPr>
      <w:r>
        <w:t>Preliminary investigation</w:t>
      </w:r>
    </w:p>
    <w:p>
      <w:pPr>
        <w:pStyle w:val="FocusBullet"/>
        <w:widowControl w:val="1"/>
      </w:pPr>
      <w:r>
        <w:t>Intelligence operations</w:t>
      </w:r>
    </w:p>
    <w:p>
      <w:pPr>
        <w:pStyle w:val="FocusBullet"/>
        <w:widowControl w:val="1"/>
      </w:pPr>
      <w:r>
        <w:t>Database investigation</w:t>
      </w:r>
    </w:p>
    <w:p>
      <w:pPr>
        <w:pStyle w:val="FocusBullet"/>
        <w:widowControl w:val="1"/>
      </w:pPr>
      <w:r>
        <w:t>Electronic investigation</w:t>
      </w:r>
    </w:p>
    <w:p>
      <w:pPr>
        <w:pStyle w:val="FocusBullet"/>
        <w:widowControl w:val="1"/>
      </w:pPr>
      <w:r>
        <w:t>Forensic investigation</w:t>
      </w:r>
    </w:p>
    <w:p>
      <w:pPr>
        <w:pStyle w:val="Heading3"/>
        <w:widowControl w:val="1"/>
      </w:pPr>
      <w:r>
        <w:t>Introduction and Scope</w:t>
      </w:r>
    </w:p>
    <w:p>
      <w:pPr>
        <w:pStyle w:val="TopicIntro"/>
        <w:widowControl w:val="1"/>
      </w:pPr>
      <w:r>
        <w:t>Criminal investigation is the lawful, systematic process of discovering facts, identifying suspects and collecting admissible evidence.</w:t>
      </w:r>
    </w:p>
    <w:p>
      <w:pPr>
        <w:pStyle w:val="TopicIntro"/>
        <w:widowControl w:val="1"/>
      </w:pPr>
      <w:r>
        <w:t>A good investigation preserves the scene, develops leads, records actions, maintains chain of custody and tests hypotheses against evidence. Modern investigation uses databases, digital evidence and forensic science alongside interviews and field work.</w:t>
      </w:r>
    </w:p>
    <w:p>
      <w:pPr>
        <w:pStyle w:val="Heading3"/>
        <w:widowControl w:val="1"/>
      </w:pPr>
      <w:r>
        <w:t>The logic of investigation</w:t>
      </w:r>
    </w:p>
    <w:p>
      <w:pPr>
        <w:widowControl w:val="1"/>
      </w:pPr>
      <w:r>
        <w:t>Criminal investigation is a structured process for identifying what happened, who was involved and what reliable evidence can establish. It begins with scene protection and initial information, develops hypotheses, gathers and tests evidence, documents decisions and prepares material for lawful prosecution or closure.</w:t>
      </w:r>
    </w:p>
    <w:p>
      <w:pPr>
        <w:widowControl w:val="1"/>
      </w:pPr>
      <w:r>
        <w:t>Good investigation is hypothesis-testing rather than suspect-confirmation. Investigators should actively look for material that supports or contradicts an early theory because confirmation bias can cause serious error.</w:t>
      </w:r>
    </w:p>
    <w:p>
      <w:pPr>
        <w:pStyle w:val="Heading3"/>
        <w:widowControl w:val="1"/>
      </w:pPr>
      <w:r>
        <w:t>Intelligence, databases and digital inquiry</w:t>
      </w:r>
    </w:p>
    <w:p>
      <w:pPr>
        <w:widowControl w:val="1"/>
      </w:pPr>
      <w:r>
        <w:t>Intelligence analysis combines information from lawful sources to identify patterns, associations and risks. Databases can link fingerprints, vehicles, communications, financial records or prior incidents, but a database match is a lead whose reliability and legal admissibility must still be established.</w:t>
      </w:r>
    </w:p>
    <w:p>
      <w:pPr>
        <w:widowControl w:val="1"/>
      </w:pPr>
      <w:r>
        <w:t>Electronic investigation involves preservation, acquisition and analysis of digital evidence while maintaining integrity and chain of custody. Volatile data, metadata and cloud-based records require timely legal process and technically sound handling.</w:t>
      </w:r>
    </w:p>
    <w:p>
      <w:pPr>
        <w:pStyle w:val="Heading3"/>
        <w:widowControl w:val="1"/>
      </w:pPr>
      <w:r>
        <w:t>Forensic investigation and chain of custody</w:t>
      </w:r>
    </w:p>
    <w:p>
      <w:pPr>
        <w:widowControl w:val="1"/>
      </w:pPr>
      <w:r>
        <w:t>Forensic science applies specialized methods to physical or digital material. The value of a laboratory result depends not only on the test but also on lawful collection, contamination control, documentation, validated methods and interpretation.</w:t>
      </w:r>
    </w:p>
    <w:p>
      <w:pPr>
        <w:widowControl w:val="1"/>
      </w:pPr>
      <w:r>
        <w:t>Chain of custody records who collected, transferred, stored, examined and produced an item. Its purpose is to support the claim that the evidence presented is the same material obtained during investigation and has not been materially altered.</w:t>
      </w:r>
    </w:p>
    <w:p>
      <w:pPr>
        <w:pStyle w:val="Heading3"/>
        <w:widowControl w:val="1"/>
      </w:pPr>
      <w:r>
        <w:t>Concept Flow</w:t>
      </w:r>
    </w:p>
    <w:p>
      <w:pPr>
        <w:pStyle w:val="Flow"/>
        <w:widowControl w:val="1"/>
      </w:pPr>
      <w:r>
        <w:rPr>
          <w:b/>
        </w:rPr>
        <w:t>Scene &amp; initial information</w:t>
      </w:r>
      <w:r>
        <w:t xml:space="preserve">  →  </w:t>
      </w:r>
      <w:r>
        <w:rPr>
          <w:b w:val="0"/>
        </w:rPr>
        <w:t>Hypotheses</w:t>
      </w:r>
      <w:r>
        <w:t xml:space="preserve">  →  </w:t>
      </w:r>
      <w:r>
        <w:rPr>
          <w:b/>
        </w:rPr>
        <w:t>Evidence collection</w:t>
      </w:r>
      <w:r>
        <w:t xml:space="preserve">  →  </w:t>
      </w:r>
      <w:r>
        <w:rPr>
          <w:b w:val="0"/>
        </w:rPr>
        <w:t>Testing/corroboration</w:t>
      </w:r>
      <w:r>
        <w:t xml:space="preserve">  →  </w:t>
      </w:r>
      <w:r>
        <w:rPr>
          <w:b/>
        </w:rPr>
        <w:t>Documentation</w:t>
      </w:r>
      <w:r>
        <w:t xml:space="preserve">  →  </w:t>
      </w:r>
      <w:r>
        <w:rPr>
          <w:b w:val="0"/>
        </w:rPr>
        <w:t>Case review/prosecution</w:t>
      </w:r>
    </w:p>
    <w:p>
      <w:pPr>
        <w:pStyle w:val="Heading3"/>
        <w:widowControl w:val="1"/>
      </w:pPr>
      <w:r>
        <w:t>Core Concepts Explained</w:t>
      </w:r>
    </w:p>
    <w:p>
      <w:pPr>
        <w:pStyle w:val="TeachingBullet"/>
        <w:widowControl w:val="1"/>
      </w:pPr>
      <w:r>
        <w:t>Investigation should begin with preservation of the scene and objective documentation before investigators become committed to a single theory of the case.</w:t>
      </w:r>
    </w:p>
    <w:p>
      <w:pPr>
        <w:pStyle w:val="TeachingBullet"/>
        <w:widowControl w:val="1"/>
      </w:pPr>
      <w:r>
        <w:t>Physical, testimonial, digital and documentary evidence must be collected, labelled, preserved and linked through a reliable chain of custody. Poor handling can make strong evidence unreliable or inadmissible.</w:t>
      </w:r>
    </w:p>
    <w:p>
      <w:pPr>
        <w:pStyle w:val="TeachingBullet"/>
        <w:widowControl w:val="1"/>
      </w:pPr>
      <w:r>
        <w:t>Intelligence and database searches generate leads; electronic and forensic methods test or connect those leads; interviews supply human accounts that must be corroborated.</w:t>
      </w:r>
    </w:p>
    <w:p>
      <w:pPr>
        <w:pStyle w:val="TeachingBullet"/>
        <w:widowControl w:val="1"/>
      </w:pPr>
      <w:r>
        <w:rPr>
          <w:b/>
        </w:rPr>
        <w:t>Good investigation is hypothesis-testing:</w:t>
      </w:r>
      <w:r>
        <w:t xml:space="preserve"> investigators should look for evidence that supports and evidence that challenges their working explanation, reducing tunnel vision and wrongful accusation.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treat confession as the goal of investigation. The goal is a lawful, reliable and corroborated evidentiary case.</w:t>
            </w:r>
          </w:p>
        </w:tc>
      </w:tr>
    </w:tbl>
    <w:p>
      <w:pPr>
        <w:pStyle w:val="Heading3"/>
        <w:widowControl w:val="1"/>
      </w:pPr>
      <w:r>
        <w:t>Preparation and Answer Use</w:t>
      </w:r>
    </w:p>
    <w:p>
      <w:pPr>
        <w:pStyle w:val="TeachingBullet"/>
        <w:widowControl w:val="1"/>
      </w:pPr>
      <w:r>
        <w:rPr>
          <w:b/>
        </w:rPr>
        <w:t>Learn sequence:</w:t>
      </w:r>
      <w:r>
        <w:t xml:space="preserve"> scene security → documentation → collection → analysis → leads → case file.</w:t>
      </w:r>
    </w:p>
    <w:p>
      <w:pPr>
        <w:pStyle w:val="TeachingBullet"/>
        <w:widowControl w:val="1"/>
      </w:pPr>
      <w:r>
        <w:t>Always connect technique with legality and evidence integrity.</w:t>
      </w:r>
    </w:p>
    <w:p>
      <w:pPr>
        <w:pStyle w:val="Heading3"/>
        <w:widowControl w:val="1"/>
      </w:pPr>
      <w:r>
        <w:t>Key Takeaways</w:t>
      </w:r>
    </w:p>
    <w:p>
      <w:pPr>
        <w:pStyle w:val="TakeawayBullet"/>
        <w:widowControl w:val="1"/>
      </w:pPr>
      <w:r>
        <w:t>Investigation should be evidence-led, documented and lawful.</w:t>
      </w:r>
    </w:p>
    <w:p>
      <w:pPr>
        <w:pStyle w:val="TakeawayBullet"/>
        <w:widowControl w:val="1"/>
      </w:pPr>
      <w:r>
        <w:t>Chain of custody protects evidentiary reliability.</w:t>
      </w:r>
    </w:p>
    <w:p>
      <w:pPr>
        <w:pStyle w:val="TakeawayBullet"/>
        <w:widowControl w:val="1"/>
      </w:pPr>
      <w:r>
        <w:t>Forensics supports but does not replace investigative reasoning.</w:t>
      </w:r>
    </w:p>
    <w:p>
      <w:pPr>
        <w:spacing w:after="20"/>
        <w:pBdr>
          <w:bottom w:val="single" w:sz="4" w:space="1" w:color="D9E2F3"/>
        </w:pBdr>
        <w:widowControl w:val="1"/>
      </w:pPr>
    </w:p>
    <w:p>
      <w:pPr>
        <w:pStyle w:val="Heading2"/>
        <w:widowControl w:val="1"/>
      </w:pPr>
      <w:r>
        <w:t>10. Techniques of Investigation</w:t>
      </w:r>
    </w:p>
    <w:p>
      <w:pPr>
        <w:pStyle w:val="Heading3"/>
        <w:widowControl w:val="1"/>
      </w:pPr>
      <w:r>
        <w:t>Official Syllabus Focus</w:t>
      </w:r>
    </w:p>
    <w:p>
      <w:pPr>
        <w:pStyle w:val="FocusBullet"/>
        <w:widowControl w:val="1"/>
      </w:pPr>
      <w:r>
        <w:t>Gathering information</w:t>
      </w:r>
    </w:p>
    <w:p>
      <w:pPr>
        <w:pStyle w:val="FocusBullet"/>
        <w:widowControl w:val="1"/>
      </w:pPr>
      <w:r>
        <w:t>Interviewing</w:t>
      </w:r>
    </w:p>
    <w:p>
      <w:pPr>
        <w:pStyle w:val="FocusBullet"/>
        <w:widowControl w:val="1"/>
      </w:pPr>
      <w:r>
        <w:t>Interrogation</w:t>
      </w:r>
    </w:p>
    <w:p>
      <w:pPr>
        <w:pStyle w:val="FocusBullet"/>
        <w:widowControl w:val="1"/>
      </w:pPr>
      <w:r>
        <w:t>Criminal investigation analysis</w:t>
      </w:r>
    </w:p>
    <w:p>
      <w:pPr>
        <w:pStyle w:val="Heading3"/>
        <w:widowControl w:val="1"/>
      </w:pPr>
      <w:r>
        <w:t>Introduction and Scope</w:t>
      </w:r>
    </w:p>
    <w:p>
      <w:pPr>
        <w:pStyle w:val="TopicIntro"/>
        <w:widowControl w:val="1"/>
      </w:pPr>
      <w:r>
        <w:t>Investigative techniques are methods used to obtain, test and organize information.</w:t>
      </w:r>
    </w:p>
    <w:p>
      <w:pPr>
        <w:pStyle w:val="TopicIntro"/>
        <w:widowControl w:val="1"/>
      </w:pPr>
      <w:r>
        <w:t>Interviewing usually seeks an account from a person; interrogation is more accusatory or suspect-focused in common usage and must remain within law and rights safeguards. Analysis connects facts, timelines, links and behavioural patterns.</w:t>
      </w:r>
    </w:p>
    <w:p>
      <w:pPr>
        <w:pStyle w:val="Heading3"/>
        <w:widowControl w:val="1"/>
      </w:pPr>
      <w:r>
        <w:t>Information gathering</w:t>
      </w:r>
    </w:p>
    <w:p>
      <w:pPr>
        <w:widowControl w:val="1"/>
      </w:pPr>
      <w:r>
        <w:t>Information may come from complainants, witnesses, records, surveillance authorized by law, forensic examination, public sources and cooperating agencies. Investigators should distinguish raw information from verified evidence and record the source, time and circumstances in which it was obtained.</w:t>
      </w:r>
    </w:p>
    <w:p>
      <w:pPr>
        <w:widowControl w:val="1"/>
      </w:pPr>
      <w:r>
        <w:t>Triangulation improves reliability: a claim becomes stronger when independent records, physical evidence or other testimony support it.</w:t>
      </w:r>
    </w:p>
    <w:p>
      <w:pPr>
        <w:pStyle w:val="Heading3"/>
        <w:widowControl w:val="1"/>
      </w:pPr>
      <w:r>
        <w:t>Interviewing and interrogation</w:t>
      </w:r>
    </w:p>
    <w:p>
      <w:pPr>
        <w:widowControl w:val="1"/>
      </w:pPr>
      <w:r>
        <w:t>An investigative interview seeks an accurate account and should use open questions, careful listening, clarification and appropriate challenge. Leading or coercive practices can contaminate memory and increase the risk of unreliable statements. The objective is information quality, not simply a confession.</w:t>
      </w:r>
    </w:p>
    <w:p>
      <w:pPr>
        <w:widowControl w:val="1"/>
      </w:pPr>
      <w:r>
        <w:t>Interrogation of a suspect is governed by legal and ethical safeguards. Voluntariness, access to counsel where required, protection from torture or coercion and accurate recording are essential to reliability and admissibility.</w:t>
      </w:r>
    </w:p>
    <w:p>
      <w:pPr>
        <w:pStyle w:val="Heading3"/>
        <w:widowControl w:val="1"/>
      </w:pPr>
      <w:r>
        <w:t>Crime and linkage analysis</w:t>
      </w:r>
    </w:p>
    <w:p>
      <w:pPr>
        <w:widowControl w:val="1"/>
      </w:pPr>
      <w:r>
        <w:t>Criminal investigative analysis may compare offence behaviour, locations, timing, victim selection and modus operandi to generate hypotheses about possible links or offender characteristics. Such analysis is an investigative aid, not proof of identity.</w:t>
      </w:r>
    </w:p>
    <w:p>
      <w:pPr>
        <w:widowControl w:val="1"/>
      </w:pPr>
      <w:r>
        <w:t>Its conclusions should be expressed probabilistically and tested against independent evidence. Overconfident profiling can narrow an investigation too early and produce tunnel vision.</w:t>
      </w:r>
    </w:p>
    <w:p>
      <w:pPr>
        <w:pStyle w:val="Heading3"/>
        <w:widowControl w:val="1"/>
      </w:pPr>
      <w:r>
        <w:t>Core Concepts Explained</w:t>
      </w:r>
    </w:p>
    <w:p>
      <w:pPr>
        <w:pStyle w:val="TeachingBullet"/>
        <w:widowControl w:val="1"/>
      </w:pPr>
      <w:r>
        <w:t>Information gathering includes witnesses, records, surveillance where lawful, databases, digital sources and physical evidence. Each source has reliability and legal limits.</w:t>
      </w:r>
    </w:p>
    <w:p>
      <w:pPr>
        <w:pStyle w:val="TeachingBullet"/>
        <w:widowControl w:val="1"/>
      </w:pPr>
      <w:r>
        <w:t>An interview is generally information-seeking and should encourage a complete account. An interrogation is more suspect-focused or accusatory in common usage and therefore carries greater risk of coercion or false confession if poorly conducted.</w:t>
      </w:r>
    </w:p>
    <w:p>
      <w:pPr>
        <w:pStyle w:val="TeachingBullet"/>
        <w:widowControl w:val="1"/>
      </w:pPr>
      <w:r>
        <w:t>Open questions encourage narrative detail; focused questions clarify facts; leading or coercive questioning can contaminate memory or reduce reliability.</w:t>
      </w:r>
    </w:p>
    <w:p>
      <w:pPr>
        <w:pStyle w:val="TeachingBullet"/>
        <w:widowControl w:val="1"/>
      </w:pPr>
      <w:r>
        <w:t>Criminal investigative analysis organizes timelines, links, locations, communications, finances and behaviour to identify patterns and test competing explanations.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present aggressive pressure as a sign of effective interrogation. Lawful, ethical and evidence-based questioning is more defensible and often more reliable.</w:t>
            </w:r>
          </w:p>
        </w:tc>
      </w:tr>
    </w:tbl>
    <w:p>
      <w:pPr>
        <w:pStyle w:val="Heading3"/>
        <w:widowControl w:val="1"/>
      </w:pPr>
      <w:r>
        <w:t>Preparation and Answer Use</w:t>
      </w:r>
    </w:p>
    <w:p>
      <w:pPr>
        <w:pStyle w:val="TeachingBullet"/>
        <w:widowControl w:val="1"/>
      </w:pPr>
      <w:r>
        <w:t>Prepare interview vs interrogation.</w:t>
      </w:r>
    </w:p>
    <w:p>
      <w:pPr>
        <w:pStyle w:val="TeachingBullet"/>
        <w:widowControl w:val="1"/>
      </w:pPr>
      <w:r>
        <w:t>Study open/closed questioning, corroboration and documentation.</w:t>
      </w:r>
    </w:p>
    <w:p>
      <w:pPr>
        <w:pStyle w:val="TeachingBullet"/>
        <w:widowControl w:val="1"/>
      </w:pPr>
      <w:r>
        <w:t>Avoid endorsing coercive or unlawful practices.</w:t>
      </w:r>
    </w:p>
    <w:p>
      <w:pPr>
        <w:pStyle w:val="Heading3"/>
        <w:widowControl w:val="1"/>
      </w:pPr>
      <w:r>
        <w:t>Key Takeaways</w:t>
      </w:r>
    </w:p>
    <w:p>
      <w:pPr>
        <w:pStyle w:val="TakeawayBullet"/>
        <w:widowControl w:val="1"/>
      </w:pPr>
      <w:r>
        <w:t>Reliable information needs verification.</w:t>
      </w:r>
    </w:p>
    <w:p>
      <w:pPr>
        <w:pStyle w:val="TakeawayBullet"/>
        <w:widowControl w:val="1"/>
      </w:pPr>
      <w:r>
        <w:t>Confession is not a substitute for corroborated evidence.</w:t>
      </w:r>
    </w:p>
    <w:p>
      <w:pPr>
        <w:pStyle w:val="TakeawayBullet"/>
        <w:widowControl w:val="1"/>
      </w:pPr>
      <w:r>
        <w:t>Ethical interviewing improves legitimacy and reliability.</w:t>
      </w:r>
    </w:p>
    <w:p>
      <w:pPr>
        <w:spacing w:after="20"/>
        <w:pBdr>
          <w:bottom w:val="single" w:sz="4" w:space="1" w:color="D9E2F3"/>
        </w:pBdr>
        <w:widowControl w:val="1"/>
      </w:pPr>
    </w:p>
    <w:p>
      <w:pPr>
        <w:pStyle w:val="Heading2"/>
        <w:widowControl w:val="1"/>
      </w:pPr>
      <w:r>
        <w:t>11. Legal and Ethical Guidelines for Investigators</w:t>
      </w:r>
    </w:p>
    <w:p>
      <w:pPr>
        <w:pStyle w:val="Heading3"/>
        <w:widowControl w:val="1"/>
      </w:pPr>
      <w:r>
        <w:t>Official Syllabus Focus</w:t>
      </w:r>
    </w:p>
    <w:p>
      <w:pPr>
        <w:pStyle w:val="FocusBullet"/>
        <w:widowControl w:val="1"/>
      </w:pPr>
      <w:r>
        <w:t>Stop and frisk</w:t>
      </w:r>
    </w:p>
    <w:p>
      <w:pPr>
        <w:pStyle w:val="FocusBullet"/>
        <w:widowControl w:val="1"/>
      </w:pPr>
      <w:r>
        <w:t>Arrest</w:t>
      </w:r>
    </w:p>
    <w:p>
      <w:pPr>
        <w:pStyle w:val="FocusBullet"/>
        <w:widowControl w:val="1"/>
      </w:pPr>
      <w:r>
        <w:t>Search and seizure</w:t>
      </w:r>
    </w:p>
    <w:p>
      <w:pPr>
        <w:pStyle w:val="Heading3"/>
        <w:widowControl w:val="1"/>
      </w:pPr>
      <w:r>
        <w:t>Introduction and Scope</w:t>
      </w:r>
    </w:p>
    <w:p>
      <w:pPr>
        <w:pStyle w:val="TopicIntro"/>
        <w:widowControl w:val="1"/>
      </w:pPr>
      <w:r>
        <w:t>Investigators exercise coercive powers that affect liberty and privacy, so those powers require clear legal authority and safeguards.</w:t>
      </w:r>
    </w:p>
    <w:p>
      <w:pPr>
        <w:pStyle w:val="TopicIntro"/>
        <w:widowControl w:val="1"/>
      </w:pPr>
      <w:r>
        <w:t>Prepare legal grounds, authorization, proportionality, documentation and remedies for unlawful action. The exact standards vary by jurisdiction, so Pakistan-specific answers must use current law rather than foreign rules copied from textbooks.</w:t>
      </w:r>
    </w:p>
    <w:p>
      <w:pPr>
        <w:pStyle w:val="Heading3"/>
        <w:widowControl w:val="1"/>
      </w:pPr>
      <w:r>
        <w:t>Lawful power and proportionality</w:t>
      </w:r>
    </w:p>
    <w:p>
      <w:pPr>
        <w:widowControl w:val="1"/>
      </w:pPr>
      <w:r>
        <w:t>Investigators exercise coercive powers only because law authorizes them. Stop, arrest, search and seizure therefore require the legal basis and procedural safeguards of the relevant jurisdiction. Foreign doctrines such as the United States’ specific “stop and frisk” case law cannot simply be transplanted into Pakistan.</w:t>
      </w:r>
    </w:p>
    <w:p>
      <w:pPr>
        <w:widowControl w:val="1"/>
      </w:pPr>
      <w:r>
        <w:t>A Pakistan answer should begin with the Constitution, Code of Criminal Procedure, Qanun-e-Shahadat and any special statute governing the offence or investigative technique.</w:t>
      </w:r>
    </w:p>
    <w:p>
      <w:pPr>
        <w:pStyle w:val="Heading3"/>
        <w:widowControl w:val="1"/>
      </w:pPr>
      <w:r>
        <w:t>Search, seizure and evidence integrity</w:t>
      </w:r>
    </w:p>
    <w:p>
      <w:pPr>
        <w:widowControl w:val="1"/>
      </w:pPr>
      <w:r>
        <w:t>A lawful search protects both investigative effectiveness and individual rights. Investigators should understand authorization, scope, documentation, witnesses where legally required, inventory and secure handling. Exceeding lawful scope can create constitutional, evidentiary and disciplinary problems.</w:t>
      </w:r>
    </w:p>
    <w:p>
      <w:pPr>
        <w:widowControl w:val="1"/>
      </w:pPr>
      <w:r>
        <w:t>For digital searches, proportionality and specificity become especially important because one device may contain large quantities of private information unrelated to the offence.</w:t>
      </w:r>
    </w:p>
    <w:p>
      <w:pPr>
        <w:pStyle w:val="Heading3"/>
        <w:widowControl w:val="1"/>
      </w:pPr>
      <w:r>
        <w:t>Ethics: reliability, dignity and accountability</w:t>
      </w:r>
    </w:p>
    <w:p>
      <w:pPr>
        <w:widowControl w:val="1"/>
      </w:pPr>
      <w:r>
        <w:t>Ethical investigation requires honesty, impartiality, non-discrimination, protection from torture or degrading treatment, respect for privacy and accurate disclosure of evidence. Fabrication, coercion and concealment may secure a short-term appearance of success while destroying the legitimacy and reliability of the case.</w:t>
      </w:r>
    </w:p>
    <w:p>
      <w:pPr>
        <w:widowControl w:val="1"/>
      </w:pPr>
      <w:r>
        <w:t>Accountability mechanisms—judicial review, departmental discipline, prosecutorial scrutiny and evidentiary rules—help ensure that investigative power remains connected to law.</w:t>
      </w:r>
    </w:p>
    <w:p>
      <w:pPr>
        <w:pStyle w:val="Heading3"/>
        <w:widowControl w:val="1"/>
      </w:pPr>
      <w:r>
        <w:t>Core Concepts Explained</w:t>
      </w:r>
    </w:p>
    <w:p>
      <w:pPr>
        <w:pStyle w:val="TeachingBullet"/>
        <w:widowControl w:val="1"/>
      </w:pPr>
      <w:r>
        <w:t>Police powers affect liberty, privacy and bodily integrity, so every coercive action needs a lawful basis. The examiner expects both crime-control purpose and rights protection.</w:t>
      </w:r>
    </w:p>
    <w:p>
      <w:pPr>
        <w:pStyle w:val="TeachingBullet"/>
        <w:widowControl w:val="1"/>
      </w:pPr>
      <w:r>
        <w:t>Stop, search, arrest and seizure should be analyzed through legal authority, factual grounds, proportionality, documentation and oversight. The exact Pakistani standards must come from the Constitution, CrPC and applicable law.</w:t>
      </w:r>
    </w:p>
    <w:p>
      <w:pPr>
        <w:pStyle w:val="TeachingBullet"/>
        <w:widowControl w:val="1"/>
      </w:pPr>
      <w:r>
        <w:t>Ethics adds duties even where conduct might be technically possible: avoid fabrication, coercion, discrimination, evidence tampering, conflicts of interest and unnecessary intrusion.</w:t>
      </w:r>
    </w:p>
    <w:p>
      <w:pPr>
        <w:pStyle w:val="TeachingBullet"/>
        <w:widowControl w:val="1"/>
      </w:pPr>
      <w:r>
        <w:t>Rights protection also improves investigation quality because lawfully obtained evidence is more likely to survive judicial scrutiny and maintain public trust.</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copy foreign “stop and frisk” rules as if they automatically apply in Pakistan. Use Pakistan-specific law for exact powers and safeguards.</w:t>
            </w:r>
          </w:p>
        </w:tc>
      </w:tr>
    </w:tbl>
    <w:p>
      <w:pPr>
        <w:pStyle w:val="Heading3"/>
        <w:widowControl w:val="1"/>
      </w:pPr>
      <w:r>
        <w:t>Preparation and Answer Use</w:t>
      </w:r>
    </w:p>
    <w:p>
      <w:pPr>
        <w:pStyle w:val="TeachingBullet"/>
        <w:widowControl w:val="1"/>
      </w:pPr>
      <w:r>
        <w:t>Use the Constitution, CrPC and relevant Pakistani law for local rules.</w:t>
      </w:r>
    </w:p>
    <w:p>
      <w:pPr>
        <w:pStyle w:val="TeachingBullet"/>
        <w:widowControl w:val="1"/>
      </w:pPr>
      <w:r>
        <w:t>Explain why legality protects both citizens and the integrity of prosecutions.</w:t>
      </w:r>
    </w:p>
    <w:p>
      <w:pPr>
        <w:pStyle w:val="Heading3"/>
        <w:widowControl w:val="1"/>
      </w:pPr>
      <w:r>
        <w:t>Key Takeaways</w:t>
      </w:r>
    </w:p>
    <w:p>
      <w:pPr>
        <w:pStyle w:val="TakeawayBullet"/>
        <w:widowControl w:val="1"/>
      </w:pPr>
      <w:r>
        <w:t>Police power is not unlimited.</w:t>
      </w:r>
    </w:p>
    <w:p>
      <w:pPr>
        <w:pStyle w:val="TakeawayBullet"/>
        <w:widowControl w:val="1"/>
      </w:pPr>
      <w:r>
        <w:t>Unlawful search/arrest can damage rights and the case itself.</w:t>
      </w:r>
    </w:p>
    <w:p>
      <w:pPr>
        <w:spacing w:after="20"/>
        <w:pBdr>
          <w:bottom w:val="single" w:sz="4" w:space="1" w:color="D9E2F3"/>
        </w:pBdr>
        <w:widowControl w:val="1"/>
      </w:pPr>
    </w:p>
    <w:p>
      <w:pPr>
        <w:pStyle w:val="Heading2"/>
        <w:widowControl w:val="1"/>
      </w:pPr>
      <w:r>
        <w:t>12. International Policing and Monitoring Organizations</w:t>
      </w:r>
    </w:p>
    <w:p>
      <w:pPr>
        <w:pStyle w:val="Heading3"/>
        <w:widowControl w:val="1"/>
      </w:pPr>
      <w:r>
        <w:t>Official Syllabus Focus</w:t>
      </w:r>
    </w:p>
    <w:p>
      <w:pPr>
        <w:pStyle w:val="FocusBullet"/>
        <w:widowControl w:val="1"/>
      </w:pPr>
      <w:r>
        <w:t>UNAFEI</w:t>
      </w:r>
    </w:p>
    <w:p>
      <w:pPr>
        <w:pStyle w:val="FocusBullet"/>
        <w:widowControl w:val="1"/>
      </w:pPr>
      <w:r>
        <w:t>INTERPOL</w:t>
      </w:r>
    </w:p>
    <w:p>
      <w:pPr>
        <w:pStyle w:val="FocusBullet"/>
        <w:widowControl w:val="1"/>
      </w:pPr>
      <w:r>
        <w:t>EUROPOL</w:t>
      </w:r>
    </w:p>
    <w:p>
      <w:pPr>
        <w:pStyle w:val="FocusBullet"/>
        <w:widowControl w:val="1"/>
      </w:pPr>
      <w:r>
        <w:t>UNODC</w:t>
      </w:r>
    </w:p>
    <w:p>
      <w:pPr>
        <w:pStyle w:val="FocusBullet"/>
        <w:widowControl w:val="1"/>
      </w:pPr>
      <w:r>
        <w:t>UNICEF</w:t>
      </w:r>
    </w:p>
    <w:p>
      <w:pPr>
        <w:pStyle w:val="FocusBullet"/>
        <w:widowControl w:val="1"/>
      </w:pPr>
      <w:r>
        <w:t>IPA etc.</w:t>
      </w:r>
    </w:p>
    <w:p>
      <w:pPr>
        <w:pStyle w:val="Heading3"/>
        <w:widowControl w:val="1"/>
      </w:pPr>
      <w:r>
        <w:t>Introduction and Scope</w:t>
      </w:r>
    </w:p>
    <w:p>
      <w:pPr>
        <w:pStyle w:val="TopicIntro"/>
        <w:widowControl w:val="1"/>
      </w:pPr>
      <w:r>
        <w:t>Transnational crime requires information-sharing, training, standards and cross-border cooperation.</w:t>
      </w:r>
    </w:p>
    <w:p>
      <w:pPr>
        <w:pStyle w:val="TopicIntro"/>
        <w:widowControl w:val="1"/>
      </w:pPr>
      <w:r>
        <w:t>INTERPOL supports police cooperation and notices; EUROPOL supports EU law-enforcement cooperation; UNODC works on drugs, crime, corruption, terrorism and justice; UNICEF is relevant especially to child protection; UNAFEI focuses on crime prevention and criminal justice training/research.</w:t>
      </w:r>
    </w:p>
    <w:p>
      <w:pPr>
        <w:pStyle w:val="Heading3"/>
        <w:widowControl w:val="1"/>
      </w:pPr>
      <w:r>
        <w:t>INTERPOL and cross-border police cooperation</w:t>
      </w:r>
    </w:p>
    <w:p>
      <w:pPr>
        <w:widowControl w:val="1"/>
      </w:pPr>
      <w:r>
        <w:t>INTERPOL is an intergovernmental police-cooperation organization with 196 member countries. It enables national police to exchange information, use global databases and coordinate through National Central Bureaus. It is not a supranational police force with a general power to enter a country and make arrests.</w:t>
      </w:r>
    </w:p>
    <w:p>
      <w:pPr>
        <w:widowControl w:val="1"/>
      </w:pPr>
      <w:r>
        <w:t>Operational coercive authority remains with national agencies under domestic law. INTERPOL notices and data-sharing tools support cooperation; they do not by themselves replace extradition, arrest warrants or national legal process.</w:t>
      </w:r>
    </w:p>
    <w:p>
      <w:pPr>
        <w:pStyle w:val="Heading3"/>
        <w:widowControl w:val="1"/>
      </w:pPr>
      <w:r>
        <w:t>UNODC, UNICEF, UNAFEI and regional bodies</w:t>
      </w:r>
    </w:p>
    <w:p>
      <w:pPr>
        <w:widowControl w:val="1"/>
      </w:pPr>
      <w:r>
        <w:t>The United Nations Office on Drugs and Crime supports states on transnational organized crime, drugs, corruption, terrorism prevention and criminal justice. UNICEF’s role is especially relevant where justice systems affect children, including protection, diversion and child-sensitive procedures. UNAFEI provides training and research in crime prevention and criminal justice.</w:t>
      </w:r>
    </w:p>
    <w:p>
      <w:pPr>
        <w:widowControl w:val="1"/>
      </w:pPr>
      <w:r>
        <w:t>Europol supports law-enforcement cooperation among EU member states; its mandate is regional rather than global. Professional associations such as the International Police Association serve different networking or professional purposes and should not be confused with treaty-based law-enforcement bodies.</w:t>
      </w:r>
    </w:p>
    <w:p>
      <w:pPr>
        <w:pStyle w:val="Heading3"/>
        <w:widowControl w:val="1"/>
      </w:pPr>
      <w:r>
        <w:t>How to compare organizations</w:t>
      </w:r>
    </w:p>
    <w:p>
      <w:pPr>
        <w:widowControl w:val="1"/>
      </w:pPr>
      <w:r>
        <w:t>Use four questions: What is the organization’s legal basis? Which countries or institutions participate? Does it collect intelligence, coordinate operations, train personnel, set standards or investigate? Does it itself possess coercive power?</w:t>
      </w:r>
    </w:p>
    <w:p>
      <w:pPr>
        <w:widowControl w:val="1"/>
      </w:pPr>
      <w:r>
        <w:t>This comparison prevents the common mistake of calling every international security body a “world police.”</w:t>
      </w:r>
    </w:p>
    <w:p>
      <w:pPr>
        <w:pStyle w:val="Heading3"/>
        <w:widowControl w:val="1"/>
      </w:pPr>
      <w:r>
        <w:t>Core Concepts Explained</w:t>
      </w:r>
    </w:p>
    <w:p>
      <w:pPr>
        <w:pStyle w:val="TeachingBullet"/>
        <w:widowControl w:val="1"/>
      </w:pPr>
      <w:r>
        <w:t>International policing cooperation exists because criminals, money, data, drugs and victims can cross borders while police powers remain primarily national.</w:t>
      </w:r>
    </w:p>
    <w:p>
      <w:pPr>
        <w:pStyle w:val="TeachingBullet"/>
        <w:widowControl w:val="1"/>
      </w:pPr>
      <w:r>
        <w:t>INTERPOL provides channels, databases and notice systems that help member-country police cooperate; it does not operate as an independent global arrest force.</w:t>
      </w:r>
    </w:p>
    <w:p>
      <w:pPr>
        <w:pStyle w:val="TeachingBullet"/>
        <w:widowControl w:val="1"/>
      </w:pPr>
      <w:r>
        <w:t>EUROPOL supports law-enforcement cooperation within the European Union; UNODC supports international work on drugs, organized crime, corruption, terrorism and criminal justice; UNAFEI focuses on training and research; UNICEF contributes especially to child protection and justice for children.</w:t>
      </w:r>
    </w:p>
    <w:p>
      <w:pPr>
        <w:pStyle w:val="TeachingBullet"/>
        <w:widowControl w:val="1"/>
      </w:pPr>
      <w:r>
        <w:t>For each organization prepare mandate, geographic scope, core tools and one limitation. This prevents a vague list of abbreviations.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say an international organization can automatically arrest a suspect inside Pakistan. Operational authority remains governed by domestic law and international cooperation procedures.</w:t>
            </w:r>
          </w:p>
        </w:tc>
      </w:tr>
    </w:tbl>
    <w:p>
      <w:pPr>
        <w:pStyle w:val="Heading3"/>
        <w:widowControl w:val="1"/>
      </w:pPr>
      <w:r>
        <w:t>Preparation and Answer Use</w:t>
      </w:r>
    </w:p>
    <w:p>
      <w:pPr>
        <w:pStyle w:val="TeachingBullet"/>
        <w:widowControl w:val="1"/>
      </w:pPr>
      <w:r>
        <w:t>Prepare mandate, membership/scope and one function for each.</w:t>
      </w:r>
    </w:p>
    <w:p>
      <w:pPr>
        <w:pStyle w:val="TeachingBullet"/>
        <w:widowControl w:val="1"/>
      </w:pPr>
      <w:r>
        <w:t>Do not say INTERPOL is a global police force with independent arrest powers.</w:t>
      </w:r>
    </w:p>
    <w:p>
      <w:pPr>
        <w:pStyle w:val="Heading3"/>
        <w:widowControl w:val="1"/>
      </w:pPr>
      <w:r>
        <w:t>Key Takeaways</w:t>
      </w:r>
    </w:p>
    <w:p>
      <w:pPr>
        <w:pStyle w:val="TakeawayBullet"/>
        <w:widowControl w:val="1"/>
      </w:pPr>
      <w:r>
        <w:t>International bodies support national authorities.</w:t>
      </w:r>
    </w:p>
    <w:p>
      <w:pPr>
        <w:pStyle w:val="TakeawayBullet"/>
        <w:widowControl w:val="1"/>
      </w:pPr>
      <w:r>
        <w:t>Cross-border cooperation remains subject to domestic and international law.</w:t>
      </w:r>
    </w:p>
    <w:p>
      <w:pPr>
        <w:spacing w:after="20"/>
        <w:pBdr>
          <w:bottom w:val="single" w:sz="4" w:space="1" w:color="D9E2F3"/>
        </w:pBdr>
        <w:widowControl w:val="1"/>
      </w:pPr>
    </w:p>
    <w:p>
      <w:pPr>
        <w:pStyle w:val="Heading2"/>
        <w:widowControl w:val="1"/>
      </w:pPr>
      <w:r>
        <w:t>13. Modern Concepts in Contemporary Criminology</w:t>
      </w:r>
    </w:p>
    <w:p>
      <w:pPr>
        <w:pStyle w:val="Heading3"/>
        <w:widowControl w:val="1"/>
      </w:pPr>
      <w:r>
        <w:t>Official Syllabus Focus</w:t>
      </w:r>
    </w:p>
    <w:p>
      <w:pPr>
        <w:pStyle w:val="FocusBullet"/>
        <w:widowControl w:val="1"/>
      </w:pPr>
      <w:r>
        <w:t>Terrorism/radicalism</w:t>
      </w:r>
    </w:p>
    <w:p>
      <w:pPr>
        <w:pStyle w:val="FocusBullet"/>
        <w:widowControl w:val="1"/>
      </w:pPr>
      <w:r>
        <w:t>Media and crime</w:t>
      </w:r>
    </w:p>
    <w:p>
      <w:pPr>
        <w:pStyle w:val="FocusBullet"/>
        <w:widowControl w:val="1"/>
      </w:pPr>
      <w:r>
        <w:t>Intelligence-led policing</w:t>
      </w:r>
    </w:p>
    <w:p>
      <w:pPr>
        <w:pStyle w:val="FocusBullet"/>
        <w:widowControl w:val="1"/>
      </w:pPr>
      <w:r>
        <w:t>Community policing</w:t>
      </w:r>
    </w:p>
    <w:p>
      <w:pPr>
        <w:pStyle w:val="FocusBullet"/>
        <w:widowControl w:val="1"/>
      </w:pPr>
      <w:r>
        <w:t>Public-private partnership</w:t>
      </w:r>
    </w:p>
    <w:p>
      <w:pPr>
        <w:pStyle w:val="FocusBullet"/>
        <w:widowControl w:val="1"/>
      </w:pPr>
      <w:r>
        <w:t>Gender and crime</w:t>
      </w:r>
    </w:p>
    <w:p>
      <w:pPr>
        <w:pStyle w:val="FocusBullet"/>
        <w:widowControl w:val="1"/>
      </w:pPr>
      <w:r>
        <w:t>Urbanization</w:t>
      </w:r>
    </w:p>
    <w:p>
      <w:pPr>
        <w:pStyle w:val="FocusBullet"/>
        <w:widowControl w:val="1"/>
      </w:pPr>
      <w:r>
        <w:t>Organized/white-collar crime</w:t>
      </w:r>
    </w:p>
    <w:p>
      <w:pPr>
        <w:pStyle w:val="FocusBullet"/>
        <w:widowControl w:val="1"/>
      </w:pPr>
      <w:r>
        <w:t>Human rights</w:t>
      </w:r>
    </w:p>
    <w:p>
      <w:pPr>
        <w:pStyle w:val="FocusBullet"/>
        <w:widowControl w:val="1"/>
      </w:pPr>
      <w:r>
        <w:t>Money laundering</w:t>
      </w:r>
    </w:p>
    <w:p>
      <w:pPr>
        <w:pStyle w:val="FocusBullet"/>
        <w:widowControl w:val="1"/>
      </w:pPr>
      <w:r>
        <w:t>Cybercrime</w:t>
      </w:r>
    </w:p>
    <w:p>
      <w:pPr>
        <w:pStyle w:val="FocusBullet"/>
        <w:widowControl w:val="1"/>
      </w:pPr>
      <w:r>
        <w:t>NAB/FIA/ANF</w:t>
      </w:r>
    </w:p>
    <w:p>
      <w:pPr>
        <w:pStyle w:val="Heading3"/>
        <w:widowControl w:val="1"/>
      </w:pPr>
      <w:r>
        <w:t>Introduction and Scope</w:t>
      </w:r>
    </w:p>
    <w:p>
      <w:pPr>
        <w:pStyle w:val="TopicIntro"/>
        <w:widowControl w:val="1"/>
      </w:pPr>
      <w:r>
        <w:t>This section applies criminological thinking to contemporary security, technology, institutions and changing patterns of crime.</w:t>
      </w:r>
    </w:p>
    <w:p>
      <w:pPr>
        <w:pStyle w:val="TopicIntro"/>
        <w:widowControl w:val="1"/>
      </w:pPr>
      <w:r>
        <w:t>Prepare each issue through definition → causes/drivers → modus operandi/pattern → harms → legal/institutional response → prevention → rights concerns. For Pakistan agencies, know lawful mandate at a high level and verify current statutes/organizational changes before the exam.</w:t>
      </w:r>
    </w:p>
    <w:p>
      <w:pPr>
        <w:pStyle w:val="Heading3"/>
        <w:widowControl w:val="1"/>
      </w:pPr>
      <w:r>
        <w:t>Crime in networked societies</w:t>
      </w:r>
    </w:p>
    <w:p>
      <w:pPr>
        <w:widowControl w:val="1"/>
      </w:pPr>
      <w:r>
        <w:t>Contemporary crime increasingly crosses organizational and technological boundaries. Cybercrime can scale across borders; money laundering disguises criminal proceeds through financial systems; organized networks exploit legitimate logistics and online platforms; terrorism and violent extremism may combine ideology, networks, propaganda and financing.</w:t>
      </w:r>
    </w:p>
    <w:p>
      <w:pPr>
        <w:widowControl w:val="1"/>
      </w:pPr>
      <w:r>
        <w:t>Criminology studies both offender adaptation and institutional adaptation. A new technology can create opportunity for crime while also producing new forms of detection, data and prevention.</w:t>
      </w:r>
    </w:p>
    <w:p>
      <w:pPr>
        <w:pStyle w:val="Heading3"/>
        <w:widowControl w:val="1"/>
      </w:pPr>
      <w:r>
        <w:t>Modern policing models</w:t>
      </w:r>
    </w:p>
    <w:p>
      <w:pPr>
        <w:widowControl w:val="1"/>
      </w:pPr>
      <w:r>
        <w:t>Intelligence-led policing uses systematic information and analysis to prioritize threats, offenders and resources. Community policing emphasizes sustained relationships, local problem-solving and public trust. Problem-oriented policing starts with a specific recurring problem, analyses its causes and designs a targeted response rather than relying only on generalized patrol.</w:t>
      </w:r>
    </w:p>
    <w:p>
      <w:pPr>
        <w:widowControl w:val="1"/>
      </w:pPr>
      <w:r>
        <w:t>Public-private partnership is increasingly important because banks, telecom firms, platforms, transport companies and cybersecurity providers control information or infrastructure relevant to prevention. Cooperation must still respect privacy, evidence law and accountability.</w:t>
      </w:r>
    </w:p>
    <w:p>
      <w:pPr>
        <w:pStyle w:val="Heading3"/>
        <w:widowControl w:val="1"/>
      </w:pPr>
      <w:r>
        <w:t>Gender, urbanization, media and rights</w:t>
      </w:r>
    </w:p>
    <w:p>
      <w:pPr>
        <w:widowControl w:val="1"/>
      </w:pPr>
      <w:r>
        <w:t>Gender influences patterns of victimization, offending, reporting and justice-system experience. Urbanization can alter anonymity, routine activities, inequality and opportunity structures without automatically causing crime. Media can shape fear of crime and public perceptions; sensational coverage may produce a picture different from measured crime patterns.</w:t>
      </w:r>
    </w:p>
    <w:p>
      <w:pPr>
        <w:widowControl w:val="1"/>
      </w:pPr>
      <w:r>
        <w:t>Human rights are not external to crime control. Lawful policing, fair trial, humane detention and privacy safeguards affect legitimacy and cooperation, which can in turn influence effectiveness.</w:t>
      </w:r>
    </w:p>
    <w:p>
      <w:pPr>
        <w:pStyle w:val="Heading3"/>
        <w:widowControl w:val="1"/>
      </w:pPr>
      <w:r>
        <w:t>Pakistan agencies and institutional roles</w:t>
      </w:r>
    </w:p>
    <w:p>
      <w:pPr>
        <w:widowControl w:val="1"/>
      </w:pPr>
      <w:r>
        <w:t>Pakistan’s response to complex crime is distributed among agencies with different statutory mandates, including police, the Federal Investigation Agency, the National Accountability Bureau and the Anti-Narcotics Force. Their exact powers must be taken from current enabling laws and amendments.</w:t>
      </w:r>
    </w:p>
    <w:p>
      <w:pPr>
        <w:widowControl w:val="1"/>
      </w:pPr>
      <w:r>
        <w:t>An exam answer should explain the crime problem first, then match it to the competent institution and legal mechanism. Merely listing agencies does not show criminological understanding.</w:t>
      </w:r>
    </w:p>
    <w:p>
      <w:pPr>
        <w:pStyle w:val="Heading3"/>
        <w:widowControl w:val="1"/>
      </w:pPr>
      <w:r>
        <w:t>Core Concepts Explained</w:t>
      </w:r>
    </w:p>
    <w:p>
      <w:pPr>
        <w:pStyle w:val="TeachingBullet"/>
        <w:widowControl w:val="1"/>
      </w:pPr>
      <w:r>
        <w:rPr>
          <w:b/>
        </w:rPr>
        <w:t>Use one analytical template for every modern issue:</w:t>
      </w:r>
      <w:r>
        <w:t xml:space="preserve"> definition; major drivers; common methods; harms; affected victims; legal/institutional response; prevention; and human-rights concerns.</w:t>
      </w:r>
    </w:p>
    <w:p>
      <w:pPr>
        <w:pStyle w:val="TeachingBullet"/>
        <w:widowControl w:val="1"/>
      </w:pPr>
      <w:r>
        <w:rPr>
          <w:b/>
        </w:rPr>
        <w:t>Terrorism and radicalization should be distinguished:</w:t>
      </w:r>
      <w:r>
        <w:t xml:space="preserve"> terrorism concerns criminal violence or threats for political or ideological purposes under applicable law, while radicalization refers to a process of adopting increasingly extreme ideas and does not automatically mean a person will commit violence.</w:t>
      </w:r>
    </w:p>
    <w:p>
      <w:pPr>
        <w:pStyle w:val="TeachingBullet"/>
        <w:widowControl w:val="1"/>
      </w:pPr>
      <w:r>
        <w:t>Intelligence-led policing uses data and analysis to prioritize threats and resources; community policing emphasizes partnership, trust and local problem-solving. They can complement each other rather than being opposites.</w:t>
      </w:r>
    </w:p>
    <w:p>
      <w:pPr>
        <w:pStyle w:val="TeachingBullet"/>
        <w:widowControl w:val="1"/>
      </w:pPr>
      <w:r>
        <w:t>Money laundering conceals or disguises criminal proceeds through financial activity; cybercrime uses or targets digital systems; organized and white-collar crime often exploit legitimate institutions, technology and finance.</w:t>
      </w:r>
    </w:p>
    <w:p>
      <w:pPr>
        <w:pStyle w:val="TeachingBullet"/>
        <w:widowControl w:val="1"/>
      </w:pPr>
      <w:r>
        <w:t>For Pakistan agencies such as NAB, FIA and ANF, verify the current statutory mandate before the exam because organizational jurisdiction and laws can change.</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turn contemporary criminology into a list of newspaper incidents. Use verified examples only after explaining the criminological concept and institutional response.</w:t>
            </w:r>
          </w:p>
        </w:tc>
      </w:tr>
    </w:tbl>
    <w:p>
      <w:pPr>
        <w:pStyle w:val="Heading3"/>
        <w:widowControl w:val="1"/>
      </w:pPr>
      <w:r>
        <w:t>Preparation and Answer Use</w:t>
      </w:r>
    </w:p>
    <w:p>
      <w:pPr>
        <w:pStyle w:val="TeachingBullet"/>
        <w:widowControl w:val="1"/>
      </w:pPr>
      <w:r>
        <w:t>Maintain a current-affairs file with verified reports only.</w:t>
      </w:r>
    </w:p>
    <w:p>
      <w:pPr>
        <w:pStyle w:val="TeachingBullet"/>
        <w:widowControl w:val="1"/>
      </w:pPr>
      <w:r>
        <w:t>For cybercrime and money laundering, combine criminology with legal/institutional response.</w:t>
      </w:r>
    </w:p>
    <w:p>
      <w:pPr>
        <w:pStyle w:val="TeachingBullet"/>
        <w:widowControl w:val="1"/>
      </w:pPr>
      <w:r>
        <w:t>For terrorism/radicalization, distinguish concept, process and countermeasures.</w:t>
      </w:r>
    </w:p>
    <w:p>
      <w:pPr>
        <w:pStyle w:val="Heading3"/>
        <w:widowControl w:val="1"/>
      </w:pPr>
      <w:r>
        <w:t>Key Takeaways</w:t>
      </w:r>
    </w:p>
    <w:p>
      <w:pPr>
        <w:pStyle w:val="TakeawayBullet"/>
        <w:widowControl w:val="1"/>
      </w:pPr>
      <w:r>
        <w:t>Modern crime often crosses borders and uses technology/finance.</w:t>
      </w:r>
    </w:p>
    <w:p>
      <w:pPr>
        <w:pStyle w:val="TakeawayBullet"/>
        <w:widowControl w:val="1"/>
      </w:pPr>
      <w:r>
        <w:t>Community policing relies on police-community partnership.</w:t>
      </w:r>
    </w:p>
    <w:p>
      <w:pPr>
        <w:pStyle w:val="TakeawayBullet"/>
        <w:widowControl w:val="1"/>
      </w:pPr>
      <w:r>
        <w:t>Intelligence-led policing uses analysis to prioritize threats.</w:t>
      </w:r>
    </w:p>
    <w:p>
      <w:pPr>
        <w:pStyle w:val="TakeawayBullet"/>
        <w:widowControl w:val="1"/>
      </w:pPr>
      <w:r>
        <w:t>Crime prevention should not disregard due process and human rights.</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Juvenile Justice System Act, 2018 — Pakistan Code — </w:t>
      </w:r>
      <w:hyperlink r:id="rId11">
        <w:r>
          <w:rPr>
            <w:color w:val="1F4E79"/>
            <w:u w:val="single"/>
          </w:rPr>
          <w:t>https://pakistancode.gov.pk/</w:t>
        </w:r>
      </w:hyperlink>
    </w:p>
    <w:p>
      <w:pPr>
        <w:pStyle w:val="Reference"/>
        <w:widowControl w:val="1"/>
      </w:pPr>
      <w:r>
        <w:t xml:space="preserve">• United Nations Office on Drugs and Crime — crime prevention and criminal justice resources — </w:t>
      </w:r>
      <w:hyperlink r:id="rId25">
        <w:r>
          <w:rPr>
            <w:color w:val="1F4E79"/>
            <w:u w:val="single"/>
          </w:rPr>
          <w:t>https://www.unodc.org/</w:t>
        </w:r>
      </w:hyperlink>
    </w:p>
    <w:p>
      <w:pPr>
        <w:pStyle w:val="Reference"/>
        <w:widowControl w:val="1"/>
      </w:pPr>
      <w:r>
        <w:t xml:space="preserve">• United Nations Standard Minimum Rules for the Treatment of Prisoners (Nelson Mandela Rules) — </w:t>
      </w:r>
      <w:hyperlink r:id="rId26">
        <w:r>
          <w:rPr>
            <w:color w:val="1F4E79"/>
            <w:u w:val="single"/>
          </w:rPr>
          <w:t>https://www.unodc.org/justice-and-prison-reform/nelsonmandelarules.html</w:t>
        </w:r>
      </w:hyperlink>
    </w:p>
    <w:p>
      <w:pPr>
        <w:pStyle w:val="Reference"/>
        <w:widowControl w:val="1"/>
      </w:pPr>
      <w:r>
        <w:t xml:space="preserve">• INTERPOL — organization, member countries and National Central Bureaus — </w:t>
      </w:r>
      <w:hyperlink r:id="rId27">
        <w:r>
          <w:rPr>
            <w:color w:val="1F4E79"/>
            <w:u w:val="single"/>
          </w:rPr>
          <w:t>https://www.interpol.int/</w:t>
        </w:r>
      </w:hyperlink>
    </w:p>
    <w:p>
      <w:pPr>
        <w:pStyle w:val="Reference"/>
        <w:widowControl w:val="1"/>
      </w:pPr>
      <w:r>
        <w:t xml:space="preserve">• National Institute of Justice — criminological research and justice evidence — </w:t>
      </w:r>
      <w:hyperlink r:id="rId28">
        <w:r>
          <w:rPr>
            <w:color w:val="1F4E79"/>
            <w:u w:val="single"/>
          </w:rPr>
          <w:t>https://nij.ojp.gov/</w:t>
        </w:r>
      </w:hyperlink>
    </w:p>
    <w:p>
      <w:pPr>
        <w:widowControl w:val="1"/>
      </w:pPr>
      <w:r>
        <w:br w:type="page"/>
      </w:r>
    </w:p>
    <w:p>
      <w:pPr>
        <w:pStyle w:val="Heading1"/>
        <w:widowControl w:val="1"/>
      </w:pPr>
      <w:r>
        <w:t>7. PHILOSOPHY (Code 44)</w:t>
      </w:r>
    </w:p>
    <w:p>
      <w:pPr>
        <w:widowControl w:val="1"/>
      </w:pPr>
      <w:r>
        <w:t>Philosophy is the study of fundamental questions about knowledge, reality, morality, reasoning and human existence. FPSC’s syllabus is structured and thinker-based, so it can be prepared through comparison rather than memorizing biographies.</w:t>
      </w:r>
    </w:p>
    <w:p>
      <w:pPr>
        <w:pStyle w:val="Heading2"/>
        <w:widowControl w:val="1"/>
      </w:pPr>
      <w:r>
        <w:t>How to Study This Subject</w:t>
      </w:r>
    </w:p>
    <w:p>
      <w:pPr>
        <w:pStyle w:val="TeachingBullet"/>
        <w:widowControl w:val="1"/>
      </w:pPr>
      <w:r>
        <w:rPr>
          <w:b/>
        </w:rPr>
        <w:t>For every philosopher prepare:</w:t>
      </w:r>
      <w:r>
        <w:t xml:space="preserve"> central problem → main claim → reasoning → key concept → criticism → comparison.</w:t>
      </w:r>
    </w:p>
    <w:p>
      <w:pPr>
        <w:pStyle w:val="TeachingBullet"/>
        <w:widowControl w:val="1"/>
      </w:pPr>
      <w:r>
        <w:t>Avoid biography unless it explains the argument.</w:t>
      </w:r>
    </w:p>
    <w:p>
      <w:pPr>
        <w:pStyle w:val="TeachingBullet"/>
        <w:widowControl w:val="1"/>
      </w:pPr>
      <w:r>
        <w:t>Use examples from ordinary life to explain abstract ideas.</w:t>
      </w:r>
    </w:p>
    <w:p>
      <w:pPr>
        <w:pStyle w:val="TeachingBullet"/>
        <w:widowControl w:val="1"/>
      </w:pPr>
      <w:r>
        <w:t>Practice “compare and critically evaluate” answers.</w:t>
      </w:r>
    </w:p>
    <w:p>
      <w:pPr>
        <w:pStyle w:val="Heading3"/>
        <w:widowControl w:val="1"/>
      </w:pPr>
      <w:r>
        <w:t>Beginner Roadmap</w:t>
      </w:r>
    </w:p>
    <w:p>
      <w:pPr>
        <w:widowControl w:val="1"/>
      </w:pPr>
      <w:r>
        <w:t>Prepare philosophy as arguments, not biographies. For every thinker or theory write the problem, main claim, reasoning, one example, one criticism and one comparison. This common template makes abstract topics much easier to retain and reproduce in examination answers.</w:t>
      </w:r>
    </w:p>
    <w:p>
      <w:pPr>
        <w:pStyle w:val="Heading2"/>
        <w:widowControl w:val="1"/>
      </w:pPr>
      <w:r>
        <w:t>Subject Map</w:t>
      </w:r>
    </w:p>
    <w:p>
      <w:pPr>
        <w:pStyle w:val="FocusBullet"/>
        <w:widowControl w:val="1"/>
      </w:pPr>
      <w:r>
        <w:t>1. Definition, Nature and Scope of Philosophy</w:t>
      </w:r>
    </w:p>
    <w:p>
      <w:pPr>
        <w:pStyle w:val="FocusBullet"/>
        <w:widowControl w:val="1"/>
      </w:pPr>
      <w:r>
        <w:t>2. Philosophical Methods</w:t>
      </w:r>
    </w:p>
    <w:p>
      <w:pPr>
        <w:pStyle w:val="FocusBullet"/>
        <w:widowControl w:val="1"/>
      </w:pPr>
      <w:r>
        <w:t>3. Epistemology</w:t>
      </w:r>
    </w:p>
    <w:p>
      <w:pPr>
        <w:pStyle w:val="FocusBullet"/>
        <w:widowControl w:val="1"/>
      </w:pPr>
      <w:r>
        <w:t>4. Ontology</w:t>
      </w:r>
    </w:p>
    <w:p>
      <w:pPr>
        <w:pStyle w:val="FocusBullet"/>
        <w:widowControl w:val="1"/>
      </w:pPr>
      <w:r>
        <w:t>5. Ethics</w:t>
      </w:r>
    </w:p>
    <w:p>
      <w:pPr>
        <w:pStyle w:val="FocusBullet"/>
        <w:widowControl w:val="1"/>
      </w:pPr>
      <w:r>
        <w:t>6. Muslim Thinkers</w:t>
      </w:r>
    </w:p>
    <w:p>
      <w:pPr>
        <w:pStyle w:val="FocusBullet"/>
        <w:widowControl w:val="1"/>
      </w:pPr>
      <w:r>
        <w:t>7. Contemporary Philosophical Movements</w:t>
      </w:r>
    </w:p>
    <w:p>
      <w:pPr>
        <w:pStyle w:val="Heading2"/>
        <w:widowControl w:val="1"/>
      </w:pPr>
      <w:r>
        <w:t>1. Definition, Nature and Scope of Philosophy</w:t>
      </w:r>
    </w:p>
    <w:p>
      <w:pPr>
        <w:pStyle w:val="Heading3"/>
        <w:widowControl w:val="1"/>
      </w:pPr>
      <w:r>
        <w:t>Official Syllabus Focus</w:t>
      </w:r>
    </w:p>
    <w:p>
      <w:pPr>
        <w:pStyle w:val="FocusBullet"/>
        <w:widowControl w:val="1"/>
      </w:pPr>
      <w:r>
        <w:t>Definition</w:t>
      </w:r>
    </w:p>
    <w:p>
      <w:pPr>
        <w:pStyle w:val="FocusBullet"/>
        <w:widowControl w:val="1"/>
      </w:pPr>
      <w:r>
        <w:t>Nature</w:t>
      </w:r>
    </w:p>
    <w:p>
      <w:pPr>
        <w:pStyle w:val="FocusBullet"/>
        <w:widowControl w:val="1"/>
      </w:pPr>
      <w:r>
        <w:t>Scope</w:t>
      </w:r>
    </w:p>
    <w:p>
      <w:pPr>
        <w:pStyle w:val="Heading3"/>
        <w:widowControl w:val="1"/>
      </w:pPr>
      <w:r>
        <w:t>Introduction and Scope</w:t>
      </w:r>
    </w:p>
    <w:p>
      <w:pPr>
        <w:pStyle w:val="TopicIntro"/>
        <w:widowControl w:val="1"/>
      </w:pPr>
      <w:r>
        <w:t>Philosophy is disciplined critical inquiry into basic questions about reality, knowledge, value, reasoning and human life.</w:t>
      </w:r>
    </w:p>
    <w:p>
      <w:pPr>
        <w:pStyle w:val="TopicIntro"/>
        <w:widowControl w:val="1"/>
      </w:pPr>
      <w:r>
        <w:t>Its branches commonly include metaphysics/ontology, epistemology, ethics, logic, political philosophy and philosophy of mind/language. Philosophy differs from mere opinion because it asks for reasons, coherence and examination of assumptions.</w:t>
      </w:r>
    </w:p>
    <w:p>
      <w:pPr>
        <w:pStyle w:val="Heading3"/>
        <w:widowControl w:val="1"/>
      </w:pPr>
      <w:r>
        <w:t>What philosophy actually does</w:t>
      </w:r>
    </w:p>
    <w:p>
      <w:pPr>
        <w:widowControl w:val="1"/>
      </w:pPr>
      <w:r>
        <w:t>Philosophy is disciplined inquiry into fundamental questions about reality, knowledge, value, reasoning, mind, language and political life. The traditional phrase “love of wisdom” explains the word’s origin but not the method. Philosophers build arguments, examine concepts, test assumptions, distinguish meanings and ask what reasons support a conclusion.</w:t>
      </w:r>
    </w:p>
    <w:p>
      <w:pPr>
        <w:widowControl w:val="1"/>
      </w:pPr>
      <w:r>
        <w:t>Philosophy differs from mere opinion because a philosophical claim must be defended by reasons open to criticism. It differs from empirical science in method, although many philosophical questions interact closely with scientific findings.</w:t>
      </w:r>
    </w:p>
    <w:p>
      <w:pPr>
        <w:pStyle w:val="Heading3"/>
        <w:widowControl w:val="1"/>
      </w:pPr>
      <w:r>
        <w:t>Major branches</w:t>
      </w:r>
    </w:p>
    <w:p>
      <w:pPr>
        <w:widowControl w:val="1"/>
      </w:pPr>
      <w:r>
        <w:t>Metaphysics or ontology asks what exists and what kinds of things are real. Epistemology asks what knowledge is and how belief can be justified. Ethics asks what makes actions, character or institutions right or good. Logic studies valid reasoning. Political philosophy studies authority, justice, liberty and obligation. Philosophy of mind, language, science and religion apply philosophical analysis to specific domains.</w:t>
      </w:r>
    </w:p>
    <w:p>
      <w:pPr>
        <w:widowControl w:val="1"/>
      </w:pPr>
      <w:r>
        <w:t>These branches overlap. A debate about free will, for example, involves metaphysics, philosophy of mind, moral responsibility and sometimes law.</w:t>
      </w:r>
    </w:p>
    <w:p>
      <w:pPr>
        <w:pStyle w:val="Heading3"/>
        <w:widowControl w:val="1"/>
      </w:pPr>
      <w:r>
        <w:t>How to read a philosophical text</w:t>
      </w:r>
    </w:p>
    <w:p>
      <w:pPr>
        <w:widowControl w:val="1"/>
      </w:pPr>
      <w:r>
        <w:t>Identify the question, the conclusion, the reasons offered for it, hidden assumptions, objections and possible replies. A thinker’s famous sentence is less important than the argument that gives it meaning.</w:t>
      </w:r>
    </w:p>
    <w:p>
      <w:pPr>
        <w:widowControl w:val="1"/>
      </w:pPr>
      <w:r>
        <w:t>In examination writing, reconstruct the position fairly before criticizing it. The strongest criticism targets a specific premise, inference or implication rather than calling a philosophy “unrealistic.”</w:t>
      </w:r>
    </w:p>
    <w:p>
      <w:pPr>
        <w:pStyle w:val="Heading3"/>
        <w:widowControl w:val="1"/>
      </w:pPr>
      <w:r>
        <w:t>Core Concepts Explained</w:t>
      </w:r>
    </w:p>
    <w:p>
      <w:pPr>
        <w:pStyle w:val="TeachingBullet"/>
        <w:widowControl w:val="1"/>
      </w:pPr>
      <w:r>
        <w:t>Philosophy is not simply personal opinion. It asks foundational questions and requires concepts, reasons, arguments and critical examination of assumptions.</w:t>
      </w:r>
    </w:p>
    <w:p>
      <w:pPr>
        <w:pStyle w:val="TeachingBullet"/>
        <w:widowControl w:val="1"/>
      </w:pPr>
      <w:r>
        <w:t>Metaphysics or ontology asks what reality is; epistemology asks what knowledge is and how it is justified; ethics asks how we should live; logic studies good reasoning; political philosophy examines authority and justice; philosophy of mind and language study consciousness, meaning and representation.</w:t>
      </w:r>
    </w:p>
    <w:p>
      <w:pPr>
        <w:pStyle w:val="TeachingBullet"/>
        <w:widowControl w:val="1"/>
      </w:pPr>
      <w:r>
        <w:t>Philosophy and science overlap in rational inquiry but differ in method and level: science normally tests empirical hypotheses, while philosophy often examines concepts, presuppositions and normative questions that cannot be settled by experiment alone.</w:t>
      </w:r>
    </w:p>
    <w:p>
      <w:pPr>
        <w:pStyle w:val="TeachingBullet"/>
        <w:widowControl w:val="1"/>
      </w:pPr>
      <w:r>
        <w:t>Philosophy and religion can overlap in questions of meaning, morality and ultimate reality, but philosophy typically evaluates claims through argument rather than accepting them solely on authority or revelation.</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define philosophy only as “love of wisdom” and stop. Explain its method, branches and the kinds of questions it asks.</w:t>
            </w:r>
          </w:p>
        </w:tc>
      </w:tr>
    </w:tbl>
    <w:p>
      <w:pPr>
        <w:pStyle w:val="Heading3"/>
        <w:widowControl w:val="1"/>
      </w:pPr>
      <w:r>
        <w:t>Preparation and Answer Use</w:t>
      </w:r>
    </w:p>
    <w:p>
      <w:pPr>
        <w:pStyle w:val="TeachingBullet"/>
        <w:widowControl w:val="1"/>
      </w:pPr>
      <w:r>
        <w:t>Learn branches with one question each.</w:t>
      </w:r>
    </w:p>
    <w:p>
      <w:pPr>
        <w:pStyle w:val="TeachingBullet"/>
        <w:widowControl w:val="1"/>
      </w:pPr>
      <w:r>
        <w:t>Prepare philosophy vs science vs religion as a balanced comparison.</w:t>
      </w:r>
    </w:p>
    <w:p>
      <w:pPr>
        <w:pStyle w:val="Heading3"/>
        <w:widowControl w:val="1"/>
      </w:pPr>
      <w:r>
        <w:t>Key Takeaways</w:t>
      </w:r>
    </w:p>
    <w:p>
      <w:pPr>
        <w:pStyle w:val="TakeawayBullet"/>
        <w:widowControl w:val="1"/>
      </w:pPr>
      <w:r>
        <w:t>Philosophy asks foundational questions.</w:t>
      </w:r>
    </w:p>
    <w:p>
      <w:pPr>
        <w:pStyle w:val="TakeawayBullet"/>
        <w:widowControl w:val="1"/>
      </w:pPr>
      <w:r>
        <w:t>Argument and conceptual clarity are central.</w:t>
      </w:r>
    </w:p>
    <w:p>
      <w:pPr>
        <w:pStyle w:val="TakeawayBullet"/>
        <w:widowControl w:val="1"/>
      </w:pPr>
      <w:r>
        <w:t>A philosophical claim should be supported by reasons.</w:t>
      </w:r>
    </w:p>
    <w:p>
      <w:pPr>
        <w:spacing w:after="20"/>
        <w:pBdr>
          <w:bottom w:val="single" w:sz="4" w:space="1" w:color="D9E2F3"/>
        </w:pBdr>
        <w:widowControl w:val="1"/>
      </w:pPr>
    </w:p>
    <w:p>
      <w:pPr>
        <w:pStyle w:val="Heading2"/>
        <w:widowControl w:val="1"/>
      </w:pPr>
      <w:r>
        <w:t>2. Philosophical Methods</w:t>
      </w:r>
    </w:p>
    <w:p>
      <w:pPr>
        <w:pStyle w:val="Heading3"/>
        <w:widowControl w:val="1"/>
      </w:pPr>
      <w:r>
        <w:t>Official Syllabus Focus</w:t>
      </w:r>
    </w:p>
    <w:p>
      <w:pPr>
        <w:pStyle w:val="FocusBullet"/>
        <w:widowControl w:val="1"/>
      </w:pPr>
      <w:r>
        <w:t>Socratic—Socrates</w:t>
      </w:r>
    </w:p>
    <w:p>
      <w:pPr>
        <w:pStyle w:val="FocusBullet"/>
        <w:widowControl w:val="1"/>
      </w:pPr>
      <w:r>
        <w:t>Inductive—Bacon, Mill</w:t>
      </w:r>
    </w:p>
    <w:p>
      <w:pPr>
        <w:pStyle w:val="FocusBullet"/>
        <w:widowControl w:val="1"/>
      </w:pPr>
      <w:r>
        <w:t>Deductive—Aristotle, Descartes</w:t>
      </w:r>
    </w:p>
    <w:p>
      <w:pPr>
        <w:pStyle w:val="FocusBullet"/>
        <w:widowControl w:val="1"/>
      </w:pPr>
      <w:r>
        <w:t>Dialectical—Hegel</w:t>
      </w:r>
    </w:p>
    <w:p>
      <w:pPr>
        <w:pStyle w:val="FocusBullet"/>
        <w:widowControl w:val="1"/>
      </w:pPr>
      <w:r>
        <w:t>Fallibilistic—Popper</w:t>
      </w:r>
    </w:p>
    <w:p>
      <w:pPr>
        <w:pStyle w:val="Heading3"/>
        <w:widowControl w:val="1"/>
      </w:pPr>
      <w:r>
        <w:t>Introduction and Scope</w:t>
      </w:r>
    </w:p>
    <w:p>
      <w:pPr>
        <w:pStyle w:val="TopicIntro"/>
        <w:widowControl w:val="1"/>
      </w:pPr>
      <w:r>
        <w:t>Philosophical methods are different ways of testing beliefs, drawing conclusions and developing knowledge.</w:t>
      </w:r>
    </w:p>
    <w:p>
      <w:pPr>
        <w:pStyle w:val="TopicIntro"/>
        <w:widowControl w:val="1"/>
      </w:pPr>
      <w:r>
        <w:t>Socratic questioning exposes assumptions and contradictions. Induction moves from observations toward generalization. Deduction applies premises to reach logically entailed conclusions. Hegelian dialectic examines development through tension/contradiction in concepts/history. Popper’s fallibilism emphasizes that knowledge claims may be mistaken and should remain open to criticism.</w:t>
      </w:r>
    </w:p>
    <w:p>
      <w:pPr>
        <w:pStyle w:val="Heading3"/>
        <w:widowControl w:val="1"/>
      </w:pPr>
      <w:r>
        <w:t>Socratic and dialectical inquiry</w:t>
      </w:r>
    </w:p>
    <w:p>
      <w:pPr>
        <w:widowControl w:val="1"/>
      </w:pPr>
      <w:r>
        <w:t>The Socratic method proceeds through questioning: a claim is proposed, its meaning is clarified, counterexamples are tested and contradictions are exposed. Its educational aim is not simply to defeat an opponent but to reveal whether a belief can survive careful examination.</w:t>
      </w:r>
    </w:p>
    <w:p>
      <w:pPr>
        <w:widowControl w:val="1"/>
      </w:pPr>
      <w:r>
        <w:t>Dialectical reasoning has different meanings across traditions. In Hegel, development is often explained through tensions and their transformation within a larger historical-logical process; the familiar slogan “thesis-antithesis-synthesis” is an oversimplification and should not be presented as Hegel’s own fixed formula.</w:t>
      </w:r>
    </w:p>
    <w:p>
      <w:pPr>
        <w:pStyle w:val="Heading3"/>
        <w:widowControl w:val="1"/>
      </w:pPr>
      <w:r>
        <w:t>Induction and deduction</w:t>
      </w:r>
    </w:p>
    <w:p>
      <w:pPr>
        <w:widowControl w:val="1"/>
      </w:pPr>
      <w:r>
        <w:t>Deductive reasoning aims at necessity: if a valid argument has true premises, its conclusion cannot be false. Inductive reasoning moves from observed cases toward a generalization or prediction whose support can be strong without being logically conclusive. Bacon is associated with systematic empirical induction; J. S. Mill developed methods for reasoning about causal relations.</w:t>
      </w:r>
    </w:p>
    <w:p>
      <w:pPr>
        <w:widowControl w:val="1"/>
      </w:pPr>
      <w:r>
        <w:t>Descartes’ method emphasizes systematic doubt and clear reasoning in search of secure foundations. Aristotle’s logical tradition analyses forms of inference. The key exam distinction is validity versus truth: validity concerns structure, while soundness requires both validity and true premises.</w:t>
      </w:r>
    </w:p>
    <w:p>
      <w:pPr>
        <w:pStyle w:val="Heading3"/>
        <w:widowControl w:val="1"/>
      </w:pPr>
      <w:r>
        <w:t>Popper and fallibilism</w:t>
      </w:r>
    </w:p>
    <w:p>
      <w:pPr>
        <w:widowControl w:val="1"/>
      </w:pPr>
      <w:r>
        <w:t>Fallibilism holds that human knowledge can remain open to correction. Karl Popper argued that scientific theories should be testable in ways that expose them to possible refutation; successful tests can corroborate a theory but do not establish it as permanently true.</w:t>
      </w:r>
    </w:p>
    <w:p>
      <w:pPr>
        <w:widowControl w:val="1"/>
      </w:pPr>
      <w:r>
        <w:t>The philosophical lesson extends beyond science: rational inquiry improves when claims are stated clearly enough to be criticized and revised.</w:t>
      </w:r>
    </w:p>
    <w:p>
      <w:pPr>
        <w:pStyle w:val="Heading3"/>
        <w:widowControl w:val="1"/>
      </w:pPr>
      <w:r>
        <w:t>Core Concepts Explained</w:t>
      </w:r>
    </w:p>
    <w:p>
      <w:pPr>
        <w:pStyle w:val="TeachingBullet"/>
        <w:widowControl w:val="1"/>
      </w:pPr>
      <w:r>
        <w:t>The Socratic method uses disciplined questioning to test definitions, expose contradictions and force a person to clarify what they really believe.</w:t>
      </w:r>
    </w:p>
    <w:p>
      <w:pPr>
        <w:pStyle w:val="TeachingBullet"/>
        <w:widowControl w:val="1"/>
      </w:pPr>
      <w:r>
        <w:t>Induction moves from observed cases toward a general conclusion. Its strength is connection with experience; its limitation is that the conclusion usually goes beyond the evidence and can be revised by new cases.</w:t>
      </w:r>
    </w:p>
    <w:p>
      <w:pPr>
        <w:pStyle w:val="TeachingBullet"/>
        <w:widowControl w:val="1"/>
      </w:pPr>
      <w:r>
        <w:t>Deduction starts from premises and reaches a conclusion that follows necessarily if the argument is valid. A deductively valid argument can still have a false conclusion if its premises are false.</w:t>
      </w:r>
    </w:p>
    <w:p>
      <w:pPr>
        <w:pStyle w:val="TeachingBullet"/>
        <w:widowControl w:val="1"/>
      </w:pPr>
      <w:r>
        <w:t>Hegelian dialectic studies development through tension, contradiction and transformation in concepts and history. It should be explained through movement of thought rather than a mechanical three-word formula.</w:t>
      </w:r>
    </w:p>
    <w:p>
      <w:pPr>
        <w:pStyle w:val="TeachingBullet"/>
        <w:widowControl w:val="1"/>
      </w:pPr>
      <w:r>
        <w:t>Popperian fallibilism emphasizes that human knowledge is corrigible. Strong claims should be exposed to criticism and possible falsification rather than protected from error.</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confuse validity with truth. Deductive validity concerns the logical relation between premises and conclusion; soundness also requires true premises.</w:t>
            </w:r>
          </w:p>
        </w:tc>
      </w:tr>
    </w:tbl>
    <w:p>
      <w:pPr>
        <w:pStyle w:val="Heading3"/>
        <w:widowControl w:val="1"/>
      </w:pPr>
      <w:r>
        <w:t>Preparation and Answer Use</w:t>
      </w:r>
    </w:p>
    <w:p>
      <w:pPr>
        <w:pStyle w:val="TeachingBullet"/>
        <w:widowControl w:val="1"/>
      </w:pPr>
      <w:r>
        <w:t>Prepare one simple example of each method.</w:t>
      </w:r>
    </w:p>
    <w:p>
      <w:pPr>
        <w:pStyle w:val="TeachingBullet"/>
        <w:widowControl w:val="1"/>
      </w:pPr>
      <w:r>
        <w:t>Differentiate induction from deduction clearly.</w:t>
      </w:r>
    </w:p>
    <w:p>
      <w:pPr>
        <w:pStyle w:val="TeachingBullet"/>
        <w:widowControl w:val="1"/>
      </w:pPr>
      <w:r>
        <w:t>Do not reduce Hegel to the simplistic thesis-antithesis-synthesis formula without explanation.</w:t>
      </w:r>
    </w:p>
    <w:p>
      <w:pPr>
        <w:pStyle w:val="Heading3"/>
        <w:widowControl w:val="1"/>
      </w:pPr>
      <w:r>
        <w:t>Key Takeaways</w:t>
      </w:r>
    </w:p>
    <w:p>
      <w:pPr>
        <w:pStyle w:val="TakeawayBullet"/>
        <w:widowControl w:val="1"/>
      </w:pPr>
      <w:r>
        <w:t>Socratic method questions.</w:t>
      </w:r>
    </w:p>
    <w:p>
      <w:pPr>
        <w:pStyle w:val="TakeawayBullet"/>
        <w:widowControl w:val="1"/>
      </w:pPr>
      <w:r>
        <w:t>Induction generalizes from cases.</w:t>
      </w:r>
    </w:p>
    <w:p>
      <w:pPr>
        <w:pStyle w:val="TakeawayBullet"/>
        <w:widowControl w:val="1"/>
      </w:pPr>
      <w:r>
        <w:t>Deduction derives conclusions from premises.</w:t>
      </w:r>
    </w:p>
    <w:p>
      <w:pPr>
        <w:pStyle w:val="TakeawayBullet"/>
        <w:widowControl w:val="1"/>
      </w:pPr>
      <w:r>
        <w:t>Fallibilism treats knowledge as corrigible.</w:t>
      </w:r>
    </w:p>
    <w:p>
      <w:pPr>
        <w:spacing w:after="20"/>
        <w:pBdr>
          <w:bottom w:val="single" w:sz="4" w:space="1" w:color="D9E2F3"/>
        </w:pBdr>
        <w:widowControl w:val="1"/>
      </w:pPr>
    </w:p>
    <w:p>
      <w:pPr>
        <w:pStyle w:val="Heading2"/>
        <w:widowControl w:val="1"/>
      </w:pPr>
      <w:r>
        <w:t>3. Epistemology</w:t>
      </w:r>
    </w:p>
    <w:p>
      <w:pPr>
        <w:pStyle w:val="Heading3"/>
        <w:widowControl w:val="1"/>
      </w:pPr>
      <w:r>
        <w:t>Official Syllabus Focus</w:t>
      </w:r>
    </w:p>
    <w:p>
      <w:pPr>
        <w:pStyle w:val="FocusBullet"/>
        <w:widowControl w:val="1"/>
      </w:pPr>
      <w:r>
        <w:rPr>
          <w:b/>
        </w:rPr>
        <w:t>Rationalism:</w:t>
      </w:r>
      <w:r>
        <w:t xml:space="preserve"> Plato, Descartes, Spinoza</w:t>
      </w:r>
    </w:p>
    <w:p>
      <w:pPr>
        <w:pStyle w:val="FocusBullet"/>
        <w:widowControl w:val="1"/>
      </w:pPr>
      <w:r>
        <w:rPr>
          <w:b/>
        </w:rPr>
        <w:t>Empiricism:</w:t>
      </w:r>
      <w:r>
        <w:t xml:space="preserve"> Locke, Berkeley, Hume</w:t>
      </w:r>
    </w:p>
    <w:p>
      <w:pPr>
        <w:pStyle w:val="FocusBullet"/>
        <w:widowControl w:val="1"/>
      </w:pPr>
      <w:r>
        <w:rPr>
          <w:b/>
        </w:rPr>
        <w:t>Transcendentalism:</w:t>
      </w:r>
      <w:r>
        <w:t xml:space="preserve"> Kant</w:t>
      </w:r>
    </w:p>
    <w:p>
      <w:pPr>
        <w:pStyle w:val="FocusBullet"/>
        <w:widowControl w:val="1"/>
      </w:pPr>
      <w:r>
        <w:rPr>
          <w:b/>
        </w:rPr>
        <w:t>Intuitionism:</w:t>
      </w:r>
      <w:r>
        <w:t xml:space="preserve"> Bergson</w:t>
      </w:r>
    </w:p>
    <w:p>
      <w:pPr>
        <w:pStyle w:val="Heading3"/>
        <w:widowControl w:val="1"/>
      </w:pPr>
      <w:r>
        <w:t>Introduction and Scope</w:t>
      </w:r>
    </w:p>
    <w:p>
      <w:pPr>
        <w:pStyle w:val="TopicIntro"/>
        <w:widowControl w:val="1"/>
      </w:pPr>
      <w:r>
        <w:t>Epistemology asks what knowledge is, where it comes from and what justifies belief.</w:t>
      </w:r>
    </w:p>
    <w:p>
      <w:pPr>
        <w:pStyle w:val="TopicIntro"/>
        <w:widowControl w:val="1"/>
      </w:pPr>
      <w:r>
        <w:t>Rationalists emphasize reason and, in different ways, knowledge not reducible to sense experience. Empiricists emphasize experience. Kant argues that experience supplies content while the mind contributes organizing forms/categories. Bergson gives intuition a special role in grasping duration/lived reality.</w:t>
      </w:r>
    </w:p>
    <w:p>
      <w:pPr>
        <w:pStyle w:val="Heading3"/>
        <w:widowControl w:val="1"/>
      </w:pPr>
      <w:r>
        <w:t>Knowledge, justification and skepticism</w:t>
      </w:r>
    </w:p>
    <w:p>
      <w:pPr>
        <w:widowControl w:val="1"/>
      </w:pPr>
      <w:r>
        <w:t>Epistemology examines knowledge, belief, justification and rational doubt. A traditional starting point treats knowledge as involving truth, belief and justification, but twentieth-century Gettier cases showed that these conditions may not be sufficient. This led to further theories of knowledge and justification.</w:t>
      </w:r>
    </w:p>
    <w:p>
      <w:pPr>
        <w:widowControl w:val="1"/>
      </w:pPr>
      <w:r>
        <w:t>Skepticism asks whether our ordinary claims to knowledge can survive doubts about perception, memory, induction or other minds. The purpose is methodological: by confronting skeptical challenges, philosophers clarify what counts as good justification.</w:t>
      </w:r>
    </w:p>
    <w:p>
      <w:pPr>
        <w:pStyle w:val="Heading3"/>
        <w:widowControl w:val="1"/>
      </w:pPr>
      <w:r>
        <w:t>Rationalism and empiricism</w:t>
      </w:r>
    </w:p>
    <w:p>
      <w:pPr>
        <w:widowControl w:val="1"/>
      </w:pPr>
      <w:r>
        <w:t>Rationalists such as Descartes and Spinoza assign an important role to reason and, in different ways, to a priori knowledge or principles not derived merely from sensory experience. Empiricists such as Locke and Hume emphasize experience as the source and test of many ideas and claims. The opposition is not “thinking versus using the senses”; both traditions use reasoning, but they disagree about its independent epistemic reach.</w:t>
      </w:r>
    </w:p>
    <w:p>
      <w:pPr>
        <w:widowControl w:val="1"/>
      </w:pPr>
      <w:r>
        <w:t>Berkeley is an empiricist who rejects material substance as Locke conceived it, showing why philosophical labels do not make thinkers identical.</w:t>
      </w:r>
    </w:p>
    <w:p>
      <w:pPr>
        <w:pStyle w:val="Heading3"/>
        <w:widowControl w:val="1"/>
      </w:pPr>
      <w:r>
        <w:t>Kant and transcendental inquiry</w:t>
      </w:r>
    </w:p>
    <w:p>
      <w:pPr>
        <w:widowControl w:val="1"/>
      </w:pPr>
      <w:r>
        <w:t>Kant argues that experience depends not only on sensory input but also on forms and concepts supplied by the knowing mind. His “transcendental” question asks what conditions must be in place for experience and knowledge of objects to be possible.</w:t>
      </w:r>
    </w:p>
    <w:p>
      <w:pPr>
        <w:widowControl w:val="1"/>
      </w:pPr>
      <w:r>
        <w:t>This approach is often presented as an attempt to move beyond a simple rationalism-versus-empiricism opposition: knowledge begins with experience but is not wholly derived from experience.</w:t>
      </w:r>
    </w:p>
    <w:p>
      <w:pPr>
        <w:pStyle w:val="Heading3"/>
        <w:widowControl w:val="1"/>
      </w:pPr>
      <w:r>
        <w:t>Intuition and Bergson</w:t>
      </w:r>
    </w:p>
    <w:p>
      <w:pPr>
        <w:widowControl w:val="1"/>
      </w:pPr>
      <w:r>
        <w:t>Bergson distinguishes the analytical habits of intellect from intuition as a mode of grasping duration and lived process. His use of “intuition” does not mean an unsupported hunch; it is part of a broader critique of treating time and life as if they were merely spatial, divisible objects.</w:t>
      </w:r>
    </w:p>
    <w:p>
      <w:pPr>
        <w:widowControl w:val="1"/>
      </w:pPr>
      <w:r>
        <w:t>For examination purposes, explain the philosophical problem—how we know continuous lived reality—before using the label intuitionism.</w:t>
      </w:r>
    </w:p>
    <w:p>
      <w:pPr>
        <w:pStyle w:val="Heading3"/>
        <w:widowControl w:val="1"/>
      </w:pPr>
      <w:r>
        <w:t>Concept Flow</w:t>
      </w:r>
    </w:p>
    <w:p>
      <w:pPr>
        <w:pStyle w:val="Flow"/>
        <w:widowControl w:val="1"/>
      </w:pPr>
      <w:r>
        <w:rPr>
          <w:b/>
        </w:rPr>
        <w:t>Experience/reason</w:t>
      </w:r>
      <w:r>
        <w:t xml:space="preserve">  →  </w:t>
      </w:r>
      <w:r>
        <w:rPr>
          <w:b w:val="0"/>
        </w:rPr>
        <w:t>Belief</w:t>
      </w:r>
      <w:r>
        <w:t xml:space="preserve">  →  </w:t>
      </w:r>
      <w:r>
        <w:rPr>
          <w:b/>
        </w:rPr>
        <w:t>Justification</w:t>
      </w:r>
      <w:r>
        <w:t xml:space="preserve">  →  </w:t>
      </w:r>
      <w:r>
        <w:rPr>
          <w:b w:val="0"/>
        </w:rPr>
        <w:t>Truth</w:t>
      </w:r>
      <w:r>
        <w:t xml:space="preserve">  →  </w:t>
      </w:r>
      <w:r>
        <w:rPr>
          <w:b/>
        </w:rPr>
        <w:t>Challenge from skepticism</w:t>
      </w:r>
      <w:r>
        <w:t xml:space="preserve">  →  </w:t>
      </w:r>
      <w:r>
        <w:rPr>
          <w:b w:val="0"/>
        </w:rPr>
        <w:t>Refined theory of knowledge</w:t>
      </w:r>
    </w:p>
    <w:p>
      <w:pPr>
        <w:pStyle w:val="Heading3"/>
        <w:widowControl w:val="1"/>
      </w:pPr>
      <w:r>
        <w:t>Core Concepts Explained</w:t>
      </w:r>
    </w:p>
    <w:p>
      <w:pPr>
        <w:pStyle w:val="TeachingBullet"/>
        <w:widowControl w:val="1"/>
      </w:pPr>
      <w:r>
        <w:t>Rationalists emphasize the role of reason in knowledge, while empiricists emphasize experience. The debate is about source and justification of knowledge, not whether either side literally ignores the other faculty.</w:t>
      </w:r>
    </w:p>
    <w:p>
      <w:pPr>
        <w:pStyle w:val="TeachingBullet"/>
        <w:widowControl w:val="1"/>
      </w:pPr>
      <w:r>
        <w:t>Descartes uses methodic doubt to search for certainty and gives reason a foundational role. Locke treats the mind as receiving ideas through experience. Berkeley challenges material substance while keeping experience central. Hume pushes empiricism toward skepticism about causation, necessary connection and the self.</w:t>
      </w:r>
    </w:p>
    <w:p>
      <w:pPr>
        <w:pStyle w:val="TeachingBullet"/>
        <w:widowControl w:val="1"/>
      </w:pPr>
      <w:r>
        <w:rPr>
          <w:b/>
        </w:rPr>
        <w:t>Kant attempts a synthesis:</w:t>
      </w:r>
      <w:r>
        <w:t xml:space="preserve"> knowledge begins with experience, but the mind contributes forms and categories that structure possible experience. This explains why experience is not a passive copy of reality.</w:t>
      </w:r>
    </w:p>
    <w:p>
      <w:pPr>
        <w:pStyle w:val="TeachingBullet"/>
        <w:widowControl w:val="1"/>
      </w:pPr>
      <w:r>
        <w:t>Bergson gives intuition a special role in grasping lived duration and reality that analytic intellect may divide into static concepts.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that rationalism equals “reason only” and empiricism equals “senses only.” The theories are subtler and should be presented through their central claims about knowledge.</w:t>
            </w:r>
          </w:p>
        </w:tc>
      </w:tr>
    </w:tbl>
    <w:p>
      <w:pPr>
        <w:pStyle w:val="Heading3"/>
        <w:widowControl w:val="1"/>
      </w:pPr>
      <w:r>
        <w:t>Preparation and Answer Use</w:t>
      </w:r>
    </w:p>
    <w:p>
      <w:pPr>
        <w:pStyle w:val="TeachingBullet"/>
        <w:widowControl w:val="1"/>
      </w:pPr>
      <w:r>
        <w:t>Make rationalism vs empiricism table.</w:t>
      </w:r>
    </w:p>
    <w:p>
      <w:pPr>
        <w:pStyle w:val="TeachingBullet"/>
        <w:widowControl w:val="1"/>
      </w:pPr>
      <w:r>
        <w:t>Prepare Descartes’ methodic doubt, Locke’s experience, Hume’s skepticism about necessary connection, Kant’s synthesis.</w:t>
      </w:r>
    </w:p>
    <w:p>
      <w:pPr>
        <w:pStyle w:val="Heading3"/>
        <w:widowControl w:val="1"/>
      </w:pPr>
      <w:r>
        <w:t>Key Takeaways</w:t>
      </w:r>
    </w:p>
    <w:p>
      <w:pPr>
        <w:pStyle w:val="TakeawayBullet"/>
        <w:widowControl w:val="1"/>
      </w:pPr>
      <w:r>
        <w:t>Reason and experience are the central tension.</w:t>
      </w:r>
    </w:p>
    <w:p>
      <w:pPr>
        <w:pStyle w:val="TakeawayBullet"/>
        <w:widowControl w:val="1"/>
      </w:pPr>
      <w:r>
        <w:t>Hume pushes empiricism toward skepticism about causation and self.</w:t>
      </w:r>
    </w:p>
    <w:p>
      <w:pPr>
        <w:pStyle w:val="TakeawayBullet"/>
        <w:widowControl w:val="1"/>
      </w:pPr>
      <w:r>
        <w:t>Kant tries to explain how objective experience is possible.</w:t>
      </w:r>
    </w:p>
    <w:p>
      <w:pPr>
        <w:spacing w:after="20"/>
        <w:pBdr>
          <w:bottom w:val="single" w:sz="4" w:space="1" w:color="D9E2F3"/>
        </w:pBdr>
        <w:widowControl w:val="1"/>
      </w:pPr>
    </w:p>
    <w:p>
      <w:pPr>
        <w:pStyle w:val="Heading2"/>
        <w:widowControl w:val="1"/>
      </w:pPr>
      <w:r>
        <w:t>4. Ontology</w:t>
      </w:r>
    </w:p>
    <w:p>
      <w:pPr>
        <w:pStyle w:val="Heading3"/>
        <w:widowControl w:val="1"/>
      </w:pPr>
      <w:r>
        <w:t>Official Syllabus Focus</w:t>
      </w:r>
    </w:p>
    <w:p>
      <w:pPr>
        <w:pStyle w:val="FocusBullet"/>
        <w:widowControl w:val="1"/>
      </w:pPr>
      <w:r>
        <w:rPr>
          <w:b/>
        </w:rPr>
        <w:t>Idealism:</w:t>
      </w:r>
      <w:r>
        <w:t xml:space="preserve"> Plato, Berkeley</w:t>
      </w:r>
    </w:p>
    <w:p>
      <w:pPr>
        <w:pStyle w:val="FocusBullet"/>
        <w:widowControl w:val="1"/>
      </w:pPr>
      <w:r>
        <w:rPr>
          <w:b/>
        </w:rPr>
        <w:t>Representative realism:</w:t>
      </w:r>
      <w:r>
        <w:t xml:space="preserve"> Locke</w:t>
      </w:r>
    </w:p>
    <w:p>
      <w:pPr>
        <w:pStyle w:val="FocusBullet"/>
        <w:widowControl w:val="1"/>
      </w:pPr>
      <w:r>
        <w:rPr>
          <w:b/>
        </w:rPr>
        <w:t>Historical and dialectical materialism:</w:t>
      </w:r>
      <w:r>
        <w:t xml:space="preserve"> Marx</w:t>
      </w:r>
    </w:p>
    <w:p>
      <w:pPr>
        <w:pStyle w:val="Heading3"/>
        <w:widowControl w:val="1"/>
      </w:pPr>
      <w:r>
        <w:t>Introduction and Scope</w:t>
      </w:r>
    </w:p>
    <w:p>
      <w:pPr>
        <w:pStyle w:val="TopicIntro"/>
        <w:widowControl w:val="1"/>
      </w:pPr>
      <w:r>
        <w:t>Ontology studies what exists and the basic structure of reality.</w:t>
      </w:r>
    </w:p>
    <w:p>
      <w:pPr>
        <w:pStyle w:val="TopicIntro"/>
        <w:widowControl w:val="1"/>
      </w:pPr>
      <w:r>
        <w:t>Plato’s idealism gives primacy to Forms; Berkeley argues that sensible objects are ideas perceived by minds; Locke’s representative realism holds that ideas represent external objects; Marx’s materialism explains social/historical development through material conditions and social relations.</w:t>
      </w:r>
    </w:p>
    <w:p>
      <w:pPr>
        <w:pStyle w:val="Heading3"/>
        <w:widowControl w:val="1"/>
      </w:pPr>
      <w:r>
        <w:t>What ontology asks</w:t>
      </w:r>
    </w:p>
    <w:p>
      <w:pPr>
        <w:widowControl w:val="1"/>
      </w:pPr>
      <w:r>
        <w:t>Ontology asks what kinds of things exist and what their most basic mode of being is. Are minds and physical objects fundamentally different? Are universals real? Is reality ultimately material, mental, or structured in some other way? These questions shape theories of knowledge, mind and ethics.</w:t>
      </w:r>
    </w:p>
    <w:p>
      <w:pPr>
        <w:widowControl w:val="1"/>
      </w:pPr>
      <w:r>
        <w:t>An ontological claim should be distinguished from an epistemological claim. Saying “only material things exist” concerns being; saying “we know through sensation” concerns knowledge.</w:t>
      </w:r>
    </w:p>
    <w:p>
      <w:pPr>
        <w:pStyle w:val="Heading3"/>
        <w:widowControl w:val="1"/>
      </w:pPr>
      <w:r>
        <w:t>Plato, Berkeley and idealism</w:t>
      </w:r>
    </w:p>
    <w:p>
      <w:pPr>
        <w:widowControl w:val="1"/>
      </w:pPr>
      <w:r>
        <w:t>Plato’s theory of Forms treats intelligible Forms as fundamental objects of knowledge and explanatory standards for changing sensible things. Berkeley’s immaterialism is very different: he argues against material substance and maintains that sensible objects consist in ideas perceived by minds, within a theistic metaphysics.</w:t>
      </w:r>
    </w:p>
    <w:p>
      <w:pPr>
        <w:widowControl w:val="1"/>
      </w:pPr>
      <w:r>
        <w:t>They therefore should not be grouped under “idealism” without explanation. Plato’s Forms and Berkeley’s perceived ideas solve different philosophical problems.</w:t>
      </w:r>
    </w:p>
    <w:p>
      <w:pPr>
        <w:pStyle w:val="Heading3"/>
        <w:widowControl w:val="1"/>
      </w:pPr>
      <w:r>
        <w:t>Locke and representative realism</w:t>
      </w:r>
    </w:p>
    <w:p>
      <w:pPr>
        <w:widowControl w:val="1"/>
      </w:pPr>
      <w:r>
        <w:t>Locke holds that our immediate mental contents are ideas while an external world exists independently of our perception. Qualities such as size and motion are treated differently from colour, taste and similar sensible qualities in his primary/secondary-quality distinction.</w:t>
      </w:r>
    </w:p>
    <w:p>
      <w:pPr>
        <w:widowControl w:val="1"/>
      </w:pPr>
      <w:r>
        <w:t>The central challenge for representative realism is epistemic: if we know external objects through ideas, how can we justify claims about the objects causing those ideas?</w:t>
      </w:r>
    </w:p>
    <w:p>
      <w:pPr>
        <w:pStyle w:val="Heading3"/>
        <w:widowControl w:val="1"/>
      </w:pPr>
      <w:r>
        <w:t>Marx: historical and dialectical materialism</w:t>
      </w:r>
    </w:p>
    <w:p>
      <w:pPr>
        <w:widowControl w:val="1"/>
      </w:pPr>
      <w:r>
        <w:t>Marx’s materialist conception of history explains social development through material production, social relations and conflict rather than treating ideas alone as the motor of history. Productive forces and relations of production shape a mode of production, which structures class relations and institutions while also being transformed through struggle and contradiction.</w:t>
      </w:r>
    </w:p>
    <w:p>
      <w:pPr>
        <w:widowControl w:val="1"/>
      </w:pPr>
      <w:r>
        <w:t>Under capitalism, Marx analyses wage labour, commodity production, exploitation and alienation. Historical materialism is not a claim that every event has one economic cause; it is a framework for understanding how material social relations condition historical possibilities and conflict.</w:t>
      </w:r>
    </w:p>
    <w:p>
      <w:pPr>
        <w:pStyle w:val="Heading3"/>
        <w:widowControl w:val="1"/>
      </w:pPr>
      <w:r>
        <w:t>Core Concepts Explained</w:t>
      </w:r>
    </w:p>
    <w:p>
      <w:pPr>
        <w:pStyle w:val="TeachingBullet"/>
        <w:widowControl w:val="1"/>
      </w:pPr>
      <w:r>
        <w:t>Ontology asks what kinds of things ultimately exist and what the basic structure of reality is. The syllabus contrasts very different positions rather than one simple realism-versus-idealism debate.</w:t>
      </w:r>
    </w:p>
    <w:p>
      <w:pPr>
        <w:pStyle w:val="TeachingBullet"/>
        <w:widowControl w:val="1"/>
      </w:pPr>
      <w:r>
        <w:t>Plato gives ontological priority to Forms as intelligible realities that ground knowledge and the character of sensible things. Berkeley argues that sensible objects are ideas perceived by minds and rejects material substance as ordinarily conceived.</w:t>
      </w:r>
    </w:p>
    <w:p>
      <w:pPr>
        <w:pStyle w:val="TeachingBullet"/>
        <w:widowControl w:val="1"/>
      </w:pPr>
      <w:r>
        <w:t>Locke's representative realism accepts an external world while holding that the mind directly knows ideas that represent external objects and their qualities.</w:t>
      </w:r>
    </w:p>
    <w:p>
      <w:pPr>
        <w:pStyle w:val="TeachingBullet"/>
        <w:widowControl w:val="1"/>
      </w:pPr>
      <w:r>
        <w:t>Marx shifts attention toward material social relations, production and class structure in explaining historical development. Historical and dialectical materialism should be connected to changing social conditions rather than merely the word “matter.”</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treat Plato and Berkeley as if they defend the same idealism. Their arguments, objects of analysis and metaphysical systems are very different.</w:t>
            </w:r>
          </w:p>
        </w:tc>
      </w:tr>
    </w:tbl>
    <w:p>
      <w:pPr>
        <w:pStyle w:val="Heading3"/>
        <w:widowControl w:val="1"/>
      </w:pPr>
      <w:r>
        <w:t>Preparation and Answer Use</w:t>
      </w:r>
    </w:p>
    <w:p>
      <w:pPr>
        <w:pStyle w:val="TeachingBullet"/>
        <w:widowControl w:val="1"/>
      </w:pPr>
      <w:r>
        <w:t>Do not treat all “idealism” as one doctrine.</w:t>
      </w:r>
    </w:p>
    <w:p>
      <w:pPr>
        <w:pStyle w:val="TeachingBullet"/>
        <w:widowControl w:val="1"/>
      </w:pPr>
      <w:r>
        <w:t>Use perception as the key comparison between Berkeley and Locke.</w:t>
      </w:r>
    </w:p>
    <w:p>
      <w:pPr>
        <w:pStyle w:val="TeachingBullet"/>
        <w:widowControl w:val="1"/>
      </w:pPr>
      <w:r>
        <w:t>For Marx, connect material conditions, class relations and historical change.</w:t>
      </w:r>
    </w:p>
    <w:p>
      <w:pPr>
        <w:pStyle w:val="Heading3"/>
        <w:widowControl w:val="1"/>
      </w:pPr>
      <w:r>
        <w:t>Key Takeaways</w:t>
      </w:r>
    </w:p>
    <w:p>
      <w:pPr>
        <w:pStyle w:val="TakeawayBullet"/>
        <w:widowControl w:val="1"/>
      </w:pPr>
      <w:r>
        <w:t>Ontology asks what reality consists of.</w:t>
      </w:r>
    </w:p>
    <w:p>
      <w:pPr>
        <w:pStyle w:val="TakeawayBullet"/>
        <w:widowControl w:val="1"/>
      </w:pPr>
      <w:r>
        <w:t>Berkeley challenges mind-independent material substance in his idealist framework.</w:t>
      </w:r>
    </w:p>
    <w:p>
      <w:pPr>
        <w:pStyle w:val="TakeawayBullet"/>
        <w:widowControl w:val="1"/>
      </w:pPr>
      <w:r>
        <w:t>Locke maintains an external world represented through ideas.</w:t>
      </w:r>
    </w:p>
    <w:p>
      <w:pPr>
        <w:pStyle w:val="TakeawayBullet"/>
        <w:widowControl w:val="1"/>
      </w:pPr>
      <w:r>
        <w:t>Marx places material social relations at the center of historical explanation.</w:t>
      </w:r>
    </w:p>
    <w:p>
      <w:pPr>
        <w:spacing w:after="20"/>
        <w:pBdr>
          <w:bottom w:val="single" w:sz="4" w:space="1" w:color="D9E2F3"/>
        </w:pBdr>
        <w:widowControl w:val="1"/>
      </w:pPr>
    </w:p>
    <w:p>
      <w:pPr>
        <w:pStyle w:val="Heading2"/>
        <w:widowControl w:val="1"/>
      </w:pPr>
      <w:r>
        <w:t>5. Ethics</w:t>
      </w:r>
    </w:p>
    <w:p>
      <w:pPr>
        <w:pStyle w:val="Heading3"/>
        <w:widowControl w:val="1"/>
      </w:pPr>
      <w:r>
        <w:t>Official Syllabus Focus</w:t>
      </w:r>
    </w:p>
    <w:p>
      <w:pPr>
        <w:pStyle w:val="FocusBullet"/>
        <w:widowControl w:val="1"/>
      </w:pPr>
      <w:r>
        <w:t>Morality</w:t>
      </w:r>
    </w:p>
    <w:p>
      <w:pPr>
        <w:pStyle w:val="FocusBullet"/>
        <w:widowControl w:val="1"/>
      </w:pPr>
      <w:r>
        <w:t>Cultural relativism</w:t>
      </w:r>
    </w:p>
    <w:p>
      <w:pPr>
        <w:pStyle w:val="FocusBullet"/>
        <w:widowControl w:val="1"/>
      </w:pPr>
      <w:r>
        <w:t>Morality and religion</w:t>
      </w:r>
    </w:p>
    <w:p>
      <w:pPr>
        <w:pStyle w:val="FocusBullet"/>
        <w:widowControl w:val="1"/>
      </w:pPr>
      <w:r>
        <w:t>Psychological/ethical egoism</w:t>
      </w:r>
    </w:p>
    <w:p>
      <w:pPr>
        <w:pStyle w:val="FocusBullet"/>
        <w:widowControl w:val="1"/>
      </w:pPr>
      <w:r>
        <w:t>Virtue ethics—Aristotle</w:t>
      </w:r>
    </w:p>
    <w:p>
      <w:pPr>
        <w:pStyle w:val="FocusBullet"/>
        <w:widowControl w:val="1"/>
      </w:pPr>
      <w:r>
        <w:t>Moral absolutism—Kant</w:t>
      </w:r>
    </w:p>
    <w:p>
      <w:pPr>
        <w:pStyle w:val="FocusBullet"/>
        <w:widowControl w:val="1"/>
      </w:pPr>
      <w:r>
        <w:t>Utilitarianism—J.S. Mill</w:t>
      </w:r>
    </w:p>
    <w:p>
      <w:pPr>
        <w:pStyle w:val="FocusBullet"/>
        <w:widowControl w:val="1"/>
      </w:pPr>
      <w:r>
        <w:t>Social contract—Hobbes, Rawls</w:t>
      </w:r>
    </w:p>
    <w:p>
      <w:pPr>
        <w:pStyle w:val="Heading3"/>
        <w:widowControl w:val="1"/>
      </w:pPr>
      <w:r>
        <w:t>Introduction and Scope</w:t>
      </w:r>
    </w:p>
    <w:p>
      <w:pPr>
        <w:pStyle w:val="TopicIntro"/>
        <w:widowControl w:val="1"/>
      </w:pPr>
      <w:r>
        <w:t>Ethics studies how we should act, what makes conduct right or wrong, and what kind of life or society is good.</w:t>
      </w:r>
    </w:p>
    <w:p>
      <w:pPr>
        <w:pStyle w:val="TopicIntro"/>
        <w:widowControl w:val="1"/>
      </w:pPr>
      <w:r>
        <w:t>Relativism asks whether moral truth depends on culture. Egoism centers self-interest. Aristotle focuses on virtue and flourishing. Kant emphasizes duty and universal moral principle. Mill evaluates actions/rules through welfare or utility. Social contract theory explains political/moral rules through agreement or fair terms of cooperation, though Hobbes and Rawls develop very different versions.</w:t>
      </w:r>
    </w:p>
    <w:p>
      <w:pPr>
        <w:pStyle w:val="Heading3"/>
        <w:widowControl w:val="1"/>
      </w:pPr>
      <w:r>
        <w:t>From moral language to normative theory</w:t>
      </w:r>
    </w:p>
    <w:p>
      <w:pPr>
        <w:widowControl w:val="1"/>
      </w:pPr>
      <w:r>
        <w:t>Ethics asks what we ought to do, what kind of person we ought to be and what makes an action or institution right or wrong. Descriptive morality reports what people believe; normative ethics asks what is justified. Cultural variation therefore does not by itself prove that no moral judgment can be better supported than another.</w:t>
      </w:r>
    </w:p>
    <w:p>
      <w:pPr>
        <w:widowControl w:val="1"/>
      </w:pPr>
      <w:r>
        <w:t>The relationship between morality and religion raises questions about whether moral obligations depend on divine command, can be known by reason, or are grounded in human flourishing or consequences. Different philosophical and theological traditions give different answers.</w:t>
      </w:r>
    </w:p>
    <w:p>
      <w:pPr>
        <w:pStyle w:val="Heading3"/>
        <w:widowControl w:val="1"/>
      </w:pPr>
      <w:r>
        <w:t>Egoism and virtue ethics</w:t>
      </w:r>
    </w:p>
    <w:p>
      <w:pPr>
        <w:widowControl w:val="1"/>
      </w:pPr>
      <w:r>
        <w:t>Psychological egoism is a descriptive claim that people are ultimately motivated by self-interest; ethical egoism is the normative claim that they ought to pursue their own interest. The first can be challenged with evidence about motivation; the second requires moral argument.</w:t>
      </w:r>
    </w:p>
    <w:p>
      <w:pPr>
        <w:widowControl w:val="1"/>
      </w:pPr>
      <w:r>
        <w:t>Aristotle’s virtue ethics focuses on character and human flourishing. Virtues are stable dispositions developed through practice and practical wisdom; moral excellence is not simply mechanically choosing a mathematical midpoint between extremes.</w:t>
      </w:r>
    </w:p>
    <w:p>
      <w:pPr>
        <w:pStyle w:val="Heading3"/>
        <w:widowControl w:val="1"/>
      </w:pPr>
      <w:r>
        <w:t>Kant and moral duty</w:t>
      </w:r>
    </w:p>
    <w:p>
      <w:pPr>
        <w:widowControl w:val="1"/>
      </w:pPr>
      <w:r>
        <w:t>Kant grounds morality in rational principles that agents can will as universal law and in respect for persons as ends in themselves. The categorical imperative is not merely “follow rules”; it is a test of the maxim underlying an action and of whether the action respects rational agency.</w:t>
      </w:r>
    </w:p>
    <w:p>
      <w:pPr>
        <w:widowControl w:val="1"/>
      </w:pPr>
      <w:r>
        <w:t>Critics question whether Kantian ethics can handle conflicts of duty or give enough weight to consequences and relationships. Defenders argue that its strength is the protection it gives to dignity and principled limits on using persons merely as means.</w:t>
      </w:r>
    </w:p>
    <w:p>
      <w:pPr>
        <w:pStyle w:val="Heading3"/>
        <w:widowControl w:val="1"/>
      </w:pPr>
      <w:r>
        <w:t>Mill and utilitarianism</w:t>
      </w:r>
    </w:p>
    <w:p>
      <w:pPr>
        <w:widowControl w:val="1"/>
      </w:pPr>
      <w:r>
        <w:t>J. S. Mill defends a consequentialist view in which actions are evaluated by their tendency to promote happiness and reduce suffering. He distinguishes higher and lower pleasures and connects utilitarian reasoning with liberty and human development.</w:t>
      </w:r>
    </w:p>
    <w:p>
      <w:pPr>
        <w:widowControl w:val="1"/>
      </w:pPr>
      <w:r>
        <w:t>Critics argue that maximizing aggregate welfare can threaten individual rights or be difficult to calculate. Utilitarians respond in different ways, including through rules and institutions that protect stable expectations and long-term welfare.</w:t>
      </w:r>
    </w:p>
    <w:p>
      <w:pPr>
        <w:pStyle w:val="Heading3"/>
        <w:widowControl w:val="1"/>
      </w:pPr>
      <w:r>
        <w:t>Hobbes and Rawls: two social-contract projects</w:t>
      </w:r>
    </w:p>
    <w:p>
      <w:pPr>
        <w:widowControl w:val="1"/>
      </w:pPr>
      <w:r>
        <w:t>Hobbes uses a hypothetical state of nature to explain why rational individuals would authorize a sovereign capable of securing peace. The problem is order under conditions of insecurity. Rawls uses a very different hypothetical device—the original position behind a veil of ignorance—to model fair choice of principles for the basic structure of a democratic society.</w:t>
      </w:r>
    </w:p>
    <w:p>
      <w:pPr>
        <w:widowControl w:val="1"/>
      </w:pPr>
      <w:r>
        <w:t>Rawls’s justice as fairness emphasizes equal basic liberties and permits social and economic inequalities only under principles that include fair equality of opportunity and benefit to the least advantaged. The two thinkers therefore use contract reasoning for different philosophical purposes.</w:t>
      </w:r>
    </w:p>
    <w:p>
      <w:pPr>
        <w:pStyle w:val="Heading3"/>
        <w:widowControl w:val="1"/>
      </w:pPr>
      <w:r>
        <w:t>Key Comparison</w:t>
      </w:r>
    </w:p>
    <w:tbl>
      <w:tblPr>
        <w:tblStyle w:val="TableGrid"/>
        <w:tblW w:type="auto" w:w="0"/>
        <w:jc w:val="center"/>
        <w:tblLook w:firstColumn="1" w:firstRow="1" w:lastColumn="0" w:lastRow="0" w:noHBand="0" w:noVBand="1" w:val="04A0"/>
      </w:tblPr>
      <w:tblGrid>
        <w:gridCol w:w="2437"/>
        <w:gridCol w:w="2437"/>
        <w:gridCol w:w="2437"/>
        <w:gridCol w:w="2437"/>
      </w:tblGrid>
      <w:tr>
        <w:trPr>
          <w:tblHeader w:val="true"/>
        </w:trPr>
        <w:tc>
          <w:tcPr>
            <w:tcW w:type="dxa" w:w="2437"/>
            <w:shd w:fill="D9E5F0"/>
            <w:vAlign w:val="center"/>
            <w:tcMar>
              <w:top w:w="90" w:type="dxa"/>
              <w:start w:w="100" w:type="dxa"/>
              <w:bottom w:w="90" w:type="dxa"/>
              <w:end w:w="100" w:type="dxa"/>
            </w:tcMar>
          </w:tcPr>
          <w:p>
            <w:pPr>
              <w:jc w:val="center"/>
            </w:pPr>
            <w:r>
              <w:rPr>
                <w:b/>
                <w:sz w:val="19"/>
              </w:rPr>
              <w:t>Approach</w:t>
            </w:r>
          </w:p>
        </w:tc>
        <w:tc>
          <w:tcPr>
            <w:tcW w:type="dxa" w:w="2437"/>
            <w:shd w:fill="D9E5F0"/>
            <w:vAlign w:val="center"/>
            <w:tcMar>
              <w:top w:w="90" w:type="dxa"/>
              <w:start w:w="100" w:type="dxa"/>
              <w:bottom w:w="90" w:type="dxa"/>
              <w:end w:w="100" w:type="dxa"/>
            </w:tcMar>
          </w:tcPr>
          <w:p>
            <w:pPr>
              <w:jc w:val="center"/>
            </w:pPr>
            <w:r>
              <w:rPr>
                <w:b/>
                <w:sz w:val="19"/>
              </w:rPr>
              <w:t>Central question</w:t>
            </w:r>
          </w:p>
        </w:tc>
        <w:tc>
          <w:tcPr>
            <w:tcW w:type="dxa" w:w="2437"/>
            <w:shd w:fill="D9E5F0"/>
            <w:vAlign w:val="center"/>
            <w:tcMar>
              <w:top w:w="90" w:type="dxa"/>
              <w:start w:w="100" w:type="dxa"/>
              <w:bottom w:w="90" w:type="dxa"/>
              <w:end w:w="100" w:type="dxa"/>
            </w:tcMar>
          </w:tcPr>
          <w:p>
            <w:pPr>
              <w:jc w:val="center"/>
            </w:pPr>
            <w:r>
              <w:rPr>
                <w:b/>
                <w:sz w:val="19"/>
              </w:rPr>
              <w:t>Strength</w:t>
            </w:r>
          </w:p>
        </w:tc>
        <w:tc>
          <w:tcPr>
            <w:tcW w:type="dxa" w:w="2437"/>
            <w:shd w:fill="D9E5F0"/>
            <w:vAlign w:val="center"/>
            <w:tcMar>
              <w:top w:w="90" w:type="dxa"/>
              <w:start w:w="100" w:type="dxa"/>
              <w:bottom w:w="90" w:type="dxa"/>
              <w:end w:w="100" w:type="dxa"/>
            </w:tcMar>
          </w:tcPr>
          <w:p>
            <w:pPr>
              <w:jc w:val="center"/>
            </w:pPr>
            <w:r>
              <w:rPr>
                <w:b/>
                <w:sz w:val="19"/>
              </w:rPr>
              <w:t>Common criticism</w:t>
            </w:r>
          </w:p>
        </w:tc>
      </w:tr>
      <w:tr>
        <w:tc>
          <w:tcPr>
            <w:tcW w:type="dxa" w:w="2437"/>
            <w:vAlign w:val="top"/>
            <w:tcMar>
              <w:top w:w="90" w:type="dxa"/>
              <w:start w:w="100" w:type="dxa"/>
              <w:bottom w:w="90" w:type="dxa"/>
              <w:end w:w="100" w:type="dxa"/>
            </w:tcMar>
          </w:tcPr>
          <w:p>
            <w:pPr>
              <w:spacing w:after="0"/>
            </w:pPr>
            <w:r>
              <w:rPr>
                <w:sz w:val="18"/>
              </w:rPr>
              <w:t>Virtue ethics</w:t>
            </w:r>
          </w:p>
        </w:tc>
        <w:tc>
          <w:tcPr>
            <w:tcW w:type="dxa" w:w="2437"/>
            <w:vAlign w:val="top"/>
            <w:tcMar>
              <w:top w:w="90" w:type="dxa"/>
              <w:start w:w="100" w:type="dxa"/>
              <w:bottom w:w="90" w:type="dxa"/>
              <w:end w:w="100" w:type="dxa"/>
            </w:tcMar>
          </w:tcPr>
          <w:p>
            <w:pPr>
              <w:spacing w:after="0"/>
            </w:pPr>
            <w:r>
              <w:rPr>
                <w:sz w:val="18"/>
              </w:rPr>
              <w:t>What kind of person should I become?</w:t>
            </w:r>
          </w:p>
        </w:tc>
        <w:tc>
          <w:tcPr>
            <w:tcW w:type="dxa" w:w="2437"/>
            <w:vAlign w:val="top"/>
            <w:tcMar>
              <w:top w:w="90" w:type="dxa"/>
              <w:start w:w="100" w:type="dxa"/>
              <w:bottom w:w="90" w:type="dxa"/>
              <w:end w:w="100" w:type="dxa"/>
            </w:tcMar>
          </w:tcPr>
          <w:p>
            <w:pPr>
              <w:spacing w:after="0"/>
            </w:pPr>
            <w:r>
              <w:rPr>
                <w:sz w:val="18"/>
              </w:rPr>
              <w:t>Character and practical wisdom</w:t>
            </w:r>
          </w:p>
        </w:tc>
        <w:tc>
          <w:tcPr>
            <w:tcW w:type="dxa" w:w="2437"/>
            <w:vAlign w:val="top"/>
            <w:tcMar>
              <w:top w:w="90" w:type="dxa"/>
              <w:start w:w="100" w:type="dxa"/>
              <w:bottom w:w="90" w:type="dxa"/>
              <w:end w:w="100" w:type="dxa"/>
            </w:tcMar>
          </w:tcPr>
          <w:p>
            <w:pPr>
              <w:spacing w:after="0"/>
            </w:pPr>
            <w:r>
              <w:rPr>
                <w:sz w:val="18"/>
              </w:rPr>
              <w:t>May give less precise action rules</w:t>
            </w:r>
          </w:p>
        </w:tc>
      </w:tr>
      <w:tr>
        <w:tc>
          <w:tcPr>
            <w:tcW w:type="dxa" w:w="2437"/>
            <w:vAlign w:val="top"/>
            <w:tcMar>
              <w:top w:w="90" w:type="dxa"/>
              <w:start w:w="100" w:type="dxa"/>
              <w:bottom w:w="90" w:type="dxa"/>
              <w:end w:w="100" w:type="dxa"/>
            </w:tcMar>
          </w:tcPr>
          <w:p>
            <w:pPr>
              <w:spacing w:after="0"/>
            </w:pPr>
            <w:r>
              <w:rPr>
                <w:sz w:val="18"/>
              </w:rPr>
              <w:t>Kantian ethics</w:t>
            </w:r>
          </w:p>
        </w:tc>
        <w:tc>
          <w:tcPr>
            <w:tcW w:type="dxa" w:w="2437"/>
            <w:vAlign w:val="top"/>
            <w:tcMar>
              <w:top w:w="90" w:type="dxa"/>
              <w:start w:w="100" w:type="dxa"/>
              <w:bottom w:w="90" w:type="dxa"/>
              <w:end w:w="100" w:type="dxa"/>
            </w:tcMar>
          </w:tcPr>
          <w:p>
            <w:pPr>
              <w:spacing w:after="0"/>
            </w:pPr>
            <w:r>
              <w:rPr>
                <w:sz w:val="18"/>
              </w:rPr>
              <w:t>Can the maxim be universal and respect persons?</w:t>
            </w:r>
          </w:p>
        </w:tc>
        <w:tc>
          <w:tcPr>
            <w:tcW w:type="dxa" w:w="2437"/>
            <w:vAlign w:val="top"/>
            <w:tcMar>
              <w:top w:w="90" w:type="dxa"/>
              <w:start w:w="100" w:type="dxa"/>
              <w:bottom w:w="90" w:type="dxa"/>
              <w:end w:w="100" w:type="dxa"/>
            </w:tcMar>
          </w:tcPr>
          <w:p>
            <w:pPr>
              <w:spacing w:after="0"/>
            </w:pPr>
            <w:r>
              <w:rPr>
                <w:sz w:val="18"/>
              </w:rPr>
              <w:t>Strong protection of dignity and principle</w:t>
            </w:r>
          </w:p>
        </w:tc>
        <w:tc>
          <w:tcPr>
            <w:tcW w:type="dxa" w:w="2437"/>
            <w:vAlign w:val="top"/>
            <w:tcMar>
              <w:top w:w="90" w:type="dxa"/>
              <w:start w:w="100" w:type="dxa"/>
              <w:bottom w:w="90" w:type="dxa"/>
              <w:end w:w="100" w:type="dxa"/>
            </w:tcMar>
          </w:tcPr>
          <w:p>
            <w:pPr>
              <w:spacing w:after="0"/>
            </w:pPr>
            <w:r>
              <w:rPr>
                <w:sz w:val="18"/>
              </w:rPr>
              <w:t>Can seem rigid in conflicts</w:t>
            </w:r>
          </w:p>
        </w:tc>
      </w:tr>
      <w:tr>
        <w:tc>
          <w:tcPr>
            <w:tcW w:type="dxa" w:w="2437"/>
            <w:vAlign w:val="top"/>
            <w:tcMar>
              <w:top w:w="90" w:type="dxa"/>
              <w:start w:w="100" w:type="dxa"/>
              <w:bottom w:w="90" w:type="dxa"/>
              <w:end w:w="100" w:type="dxa"/>
            </w:tcMar>
          </w:tcPr>
          <w:p>
            <w:pPr>
              <w:spacing w:after="0"/>
            </w:pPr>
            <w:r>
              <w:rPr>
                <w:sz w:val="18"/>
              </w:rPr>
              <w:t>Utilitarianism</w:t>
            </w:r>
          </w:p>
        </w:tc>
        <w:tc>
          <w:tcPr>
            <w:tcW w:type="dxa" w:w="2437"/>
            <w:vAlign w:val="top"/>
            <w:tcMar>
              <w:top w:w="90" w:type="dxa"/>
              <w:start w:w="100" w:type="dxa"/>
              <w:bottom w:w="90" w:type="dxa"/>
              <w:end w:w="100" w:type="dxa"/>
            </w:tcMar>
          </w:tcPr>
          <w:p>
            <w:pPr>
              <w:spacing w:after="0"/>
            </w:pPr>
            <w:r>
              <w:rPr>
                <w:sz w:val="18"/>
              </w:rPr>
              <w:t>Which option produces best consequences for welfare?</w:t>
            </w:r>
          </w:p>
        </w:tc>
        <w:tc>
          <w:tcPr>
            <w:tcW w:type="dxa" w:w="2437"/>
            <w:vAlign w:val="top"/>
            <w:tcMar>
              <w:top w:w="90" w:type="dxa"/>
              <w:start w:w="100" w:type="dxa"/>
              <w:bottom w:w="90" w:type="dxa"/>
              <w:end w:w="100" w:type="dxa"/>
            </w:tcMar>
          </w:tcPr>
          <w:p>
            <w:pPr>
              <w:spacing w:after="0"/>
            </w:pPr>
            <w:r>
              <w:rPr>
                <w:sz w:val="18"/>
              </w:rPr>
              <w:t>Sensitive to outcomes</w:t>
            </w:r>
          </w:p>
        </w:tc>
        <w:tc>
          <w:tcPr>
            <w:tcW w:type="dxa" w:w="2437"/>
            <w:vAlign w:val="top"/>
            <w:tcMar>
              <w:top w:w="90" w:type="dxa"/>
              <w:start w:w="100" w:type="dxa"/>
              <w:bottom w:w="90" w:type="dxa"/>
              <w:end w:w="100" w:type="dxa"/>
            </w:tcMar>
          </w:tcPr>
          <w:p>
            <w:pPr>
              <w:spacing w:after="0"/>
            </w:pPr>
            <w:r>
              <w:rPr>
                <w:sz w:val="18"/>
              </w:rPr>
              <w:t>May threaten rights or be hard to calculate</w:t>
            </w:r>
          </w:p>
        </w:tc>
      </w:tr>
      <w:tr>
        <w:tc>
          <w:tcPr>
            <w:tcW w:type="dxa" w:w="2437"/>
            <w:vAlign w:val="top"/>
            <w:tcMar>
              <w:top w:w="90" w:type="dxa"/>
              <w:start w:w="100" w:type="dxa"/>
              <w:bottom w:w="90" w:type="dxa"/>
              <w:end w:w="100" w:type="dxa"/>
            </w:tcMar>
          </w:tcPr>
          <w:p>
            <w:pPr>
              <w:spacing w:after="0"/>
            </w:pPr>
            <w:r>
              <w:rPr>
                <w:sz w:val="18"/>
              </w:rPr>
              <w:t>Social contract</w:t>
            </w:r>
          </w:p>
        </w:tc>
        <w:tc>
          <w:tcPr>
            <w:tcW w:type="dxa" w:w="2437"/>
            <w:vAlign w:val="top"/>
            <w:tcMar>
              <w:top w:w="90" w:type="dxa"/>
              <w:start w:w="100" w:type="dxa"/>
              <w:bottom w:w="90" w:type="dxa"/>
              <w:end w:w="100" w:type="dxa"/>
            </w:tcMar>
          </w:tcPr>
          <w:p>
            <w:pPr>
              <w:spacing w:after="0"/>
            </w:pPr>
            <w:r>
              <w:rPr>
                <w:sz w:val="18"/>
              </w:rPr>
              <w:t>What principles would rational/fair contractors accept?</w:t>
            </w:r>
          </w:p>
        </w:tc>
        <w:tc>
          <w:tcPr>
            <w:tcW w:type="dxa" w:w="2437"/>
            <w:vAlign w:val="top"/>
            <w:tcMar>
              <w:top w:w="90" w:type="dxa"/>
              <w:start w:w="100" w:type="dxa"/>
              <w:bottom w:w="90" w:type="dxa"/>
              <w:end w:w="100" w:type="dxa"/>
            </w:tcMar>
          </w:tcPr>
          <w:p>
            <w:pPr>
              <w:spacing w:after="0"/>
            </w:pPr>
            <w:r>
              <w:rPr>
                <w:sz w:val="18"/>
              </w:rPr>
              <w:t>Connects obligation to justification</w:t>
            </w:r>
          </w:p>
        </w:tc>
        <w:tc>
          <w:tcPr>
            <w:tcW w:type="dxa" w:w="2437"/>
            <w:vAlign w:val="top"/>
            <w:tcMar>
              <w:top w:w="90" w:type="dxa"/>
              <w:start w:w="100" w:type="dxa"/>
              <w:bottom w:w="90" w:type="dxa"/>
              <w:end w:w="100" w:type="dxa"/>
            </w:tcMar>
          </w:tcPr>
          <w:p>
            <w:pPr>
              <w:spacing w:after="0"/>
            </w:pPr>
            <w:r>
              <w:rPr>
                <w:sz w:val="18"/>
              </w:rPr>
              <w:t>Depends on design of hypothetical agreement</w:t>
            </w:r>
          </w:p>
        </w:tc>
      </w:tr>
    </w:tbl>
    <w:p>
      <w:pPr>
        <w:widowControl w:val="1"/>
      </w:pPr>
    </w:p>
    <w:p>
      <w:pPr>
        <w:pStyle w:val="Heading3"/>
        <w:widowControl w:val="1"/>
      </w:pPr>
      <w:r>
        <w:t>Core Concepts Explained</w:t>
      </w:r>
    </w:p>
    <w:p>
      <w:pPr>
        <w:pStyle w:val="TeachingBullet"/>
        <w:widowControl w:val="1"/>
      </w:pPr>
      <w:r>
        <w:t>Begin every ethical theory with its criterion of rightness. Ask: what makes an action right, what kind of person should one become, or what principles should structure social cooperation?</w:t>
      </w:r>
    </w:p>
    <w:p>
      <w:pPr>
        <w:pStyle w:val="TeachingBullet"/>
        <w:widowControl w:val="1"/>
      </w:pPr>
      <w:r>
        <w:t>Cultural relativism questions universal moral standards by emphasizing cultural variation. Egoism gives self-interest a central role. Aristotle focuses on character, virtue, habituation and flourishing rather than isolated acts.</w:t>
      </w:r>
    </w:p>
    <w:p>
      <w:pPr>
        <w:pStyle w:val="TeachingBullet"/>
        <w:widowControl w:val="1"/>
      </w:pPr>
      <w:r>
        <w:t>Kantian ethics emphasizes duty and principles that can be universalized while respecting persons as ends. Utilitarianism evaluates actions or rules through consequences for overall welfare.</w:t>
      </w:r>
    </w:p>
    <w:p>
      <w:pPr>
        <w:pStyle w:val="TeachingBullet"/>
        <w:widowControl w:val="1"/>
      </w:pPr>
      <w:r>
        <w:t>Hobbes uses social contract to explain political order as an escape from insecurity; Rawls uses a fairness-based hypothetical choice situation to derive principles of justice. Their contract theories should not be merged.</w:t>
      </w:r>
    </w:p>
    <w:p>
      <w:pPr>
        <w:pStyle w:val="TeachingBullet"/>
        <w:widowControl w:val="1"/>
      </w:pPr>
      <w:r>
        <w:t>Use one common dilemma and show how each theory reasons differently. Comparison reveals the theory better than separate definitions.</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reduce utilitarianism to “whatever makes most people happy” or Kant to “always follow rules.” Explain the principle and the reasoning behind it.</w:t>
            </w:r>
          </w:p>
        </w:tc>
      </w:tr>
    </w:tbl>
    <w:p>
      <w:pPr>
        <w:pStyle w:val="Heading3"/>
        <w:widowControl w:val="1"/>
      </w:pPr>
      <w:r>
        <w:t>Preparation and Answer Use</w:t>
      </w:r>
    </w:p>
    <w:p>
      <w:pPr>
        <w:pStyle w:val="TeachingBullet"/>
        <w:widowControl w:val="1"/>
      </w:pPr>
      <w:r>
        <w:t>Prepare theory → rule of right action → human nature → strength → criticism.</w:t>
      </w:r>
    </w:p>
    <w:p>
      <w:pPr>
        <w:pStyle w:val="TeachingBullet"/>
        <w:widowControl w:val="1"/>
      </w:pPr>
      <w:r>
        <w:t>Use one common moral dilemma to compare theories.</w:t>
      </w:r>
    </w:p>
    <w:p>
      <w:pPr>
        <w:pStyle w:val="Heading3"/>
        <w:widowControl w:val="1"/>
      </w:pPr>
      <w:r>
        <w:t>Key Takeaways</w:t>
      </w:r>
    </w:p>
    <w:p>
      <w:pPr>
        <w:pStyle w:val="TakeawayBullet"/>
        <w:widowControl w:val="1"/>
      </w:pPr>
      <w:r>
        <w:t>Virtue ethics asks what kind of person to become.</w:t>
      </w:r>
    </w:p>
    <w:p>
      <w:pPr>
        <w:pStyle w:val="TakeawayBullet"/>
        <w:widowControl w:val="1"/>
      </w:pPr>
      <w:r>
        <w:t>Kant emphasizes duty and universalizability.</w:t>
      </w:r>
    </w:p>
    <w:p>
      <w:pPr>
        <w:pStyle w:val="TakeawayBullet"/>
        <w:widowControl w:val="1"/>
      </w:pPr>
      <w:r>
        <w:t>Utilitarianism focuses on consequences for welfare.</w:t>
      </w:r>
    </w:p>
    <w:p>
      <w:pPr>
        <w:pStyle w:val="TakeawayBullet"/>
        <w:widowControl w:val="1"/>
      </w:pPr>
      <w:r>
        <w:t>Rawls uses a fairness-based contractual device rather than Hobbes’s security-centered contract.</w:t>
      </w:r>
    </w:p>
    <w:p>
      <w:pPr>
        <w:spacing w:after="20"/>
        <w:pBdr>
          <w:bottom w:val="single" w:sz="4" w:space="1" w:color="D9E2F3"/>
        </w:pBdr>
        <w:widowControl w:val="1"/>
      </w:pPr>
    </w:p>
    <w:p>
      <w:pPr>
        <w:pStyle w:val="Heading2"/>
        <w:widowControl w:val="1"/>
      </w:pPr>
      <w:r>
        <w:t>6. Muslim Thinkers</w:t>
      </w:r>
    </w:p>
    <w:p>
      <w:pPr>
        <w:pStyle w:val="Heading3"/>
        <w:widowControl w:val="1"/>
      </w:pPr>
      <w:r>
        <w:t>Official Syllabus Focus</w:t>
      </w:r>
    </w:p>
    <w:p>
      <w:pPr>
        <w:pStyle w:val="FocusBullet"/>
        <w:widowControl w:val="1"/>
      </w:pPr>
      <w:r>
        <w:t>Al-Farabi</w:t>
      </w:r>
    </w:p>
    <w:p>
      <w:pPr>
        <w:pStyle w:val="FocusBullet"/>
        <w:widowControl w:val="1"/>
      </w:pPr>
      <w:r>
        <w:t>Ibn Sina</w:t>
      </w:r>
    </w:p>
    <w:p>
      <w:pPr>
        <w:pStyle w:val="FocusBullet"/>
        <w:widowControl w:val="1"/>
      </w:pPr>
      <w:r>
        <w:t>Al-Ghazali</w:t>
      </w:r>
    </w:p>
    <w:p>
      <w:pPr>
        <w:pStyle w:val="FocusBullet"/>
        <w:widowControl w:val="1"/>
      </w:pPr>
      <w:r>
        <w:t>Ibn Rushd</w:t>
      </w:r>
    </w:p>
    <w:p>
      <w:pPr>
        <w:pStyle w:val="FocusBullet"/>
        <w:widowControl w:val="1"/>
      </w:pPr>
      <w:r>
        <w:t>Ibn Khaldun</w:t>
      </w:r>
    </w:p>
    <w:p>
      <w:pPr>
        <w:pStyle w:val="FocusBullet"/>
        <w:widowControl w:val="1"/>
      </w:pPr>
      <w:r>
        <w:t>Shah Waliullah</w:t>
      </w:r>
    </w:p>
    <w:p>
      <w:pPr>
        <w:pStyle w:val="FocusBullet"/>
        <w:widowControl w:val="1"/>
      </w:pPr>
      <w:r>
        <w:t>Muhammad Iqbal</w:t>
      </w:r>
    </w:p>
    <w:p>
      <w:pPr>
        <w:pStyle w:val="Heading3"/>
        <w:widowControl w:val="1"/>
      </w:pPr>
      <w:r>
        <w:t>Introduction and Scope</w:t>
      </w:r>
    </w:p>
    <w:p>
      <w:pPr>
        <w:pStyle w:val="TopicIntro"/>
        <w:widowControl w:val="1"/>
      </w:pPr>
      <w:r>
        <w:t>This unit surveys major Muslim thinkers who contributed to metaphysics, logic, political philosophy, theology, history, society and reconstruction of religious thought.</w:t>
      </w:r>
    </w:p>
    <w:p>
      <w:pPr>
        <w:pStyle w:val="TopicIntro"/>
        <w:widowControl w:val="1"/>
      </w:pPr>
      <w:r>
        <w:t>Prepare each thinker around two or three central ideas rather than a life story. Al-Farabi: virtuous city and philosophy; Ibn Sina: being/essence and metaphysics; Al-Ghazali: critique of philosophers and spiritual-ethical thought; Ibn Rushd: defense of philosophical reasoning; Ibn Khaldun: society, asabiyyah and historical change; Shah Waliullah: social/religious reform and integrative thought; Iqbal: selfhood, reconstruction and dynamic thought.</w:t>
      </w:r>
    </w:p>
    <w:p>
      <w:pPr>
        <w:pStyle w:val="Heading3"/>
        <w:widowControl w:val="1"/>
      </w:pPr>
      <w:r>
        <w:t>Al-Farabi: philosophy, virtue and the political community</w:t>
      </w:r>
    </w:p>
    <w:p>
      <w:pPr>
        <w:widowControl w:val="1"/>
      </w:pPr>
      <w:r>
        <w:t>Al-Farabi develops a philosophical account of human perfection in which knowledge, virtue and political organization are connected. His famous idea of the virtuous city examines how political leadership and social cooperation can orient citizens toward genuine happiness rather than merely wealth, pleasure or domination.</w:t>
      </w:r>
    </w:p>
    <w:p>
      <w:pPr>
        <w:widowControl w:val="1"/>
      </w:pPr>
      <w:r>
        <w:t>He draws heavily on Plato and Aristotle while working within the intellectual world of classical Islam. His political philosophy is therefore best understood as a synthesis and transformation of Greek philosophical resources, not as a simple copy of Plato’s Republic.</w:t>
      </w:r>
    </w:p>
    <w:p>
      <w:pPr>
        <w:pStyle w:val="Heading3"/>
        <w:widowControl w:val="1"/>
      </w:pPr>
      <w:r>
        <w:t>Ibn Sina: metaphysics and the Necessary Existent</w:t>
      </w:r>
    </w:p>
    <w:p>
      <w:pPr>
        <w:widowControl w:val="1"/>
      </w:pPr>
      <w:r>
        <w:t>Ibn Sina builds a systematic philosophy spanning logic, natural philosophy, psychology and metaphysics. A central distinction is between essence—what a thing is—and existence—that it is. Contingent beings do not contain the sufficient explanation of their existence in themselves, leading Ibn Sina’s metaphysics toward the Necessary Existent as the ultimate ground of existence.</w:t>
      </w:r>
    </w:p>
    <w:p>
      <w:pPr>
        <w:widowControl w:val="1"/>
      </w:pPr>
      <w:r>
        <w:t>His account of the soul, intellect and knowledge became extraordinarily influential in Islamic and Latin philosophy. It should be presented as a coherent system, not reduced to his work as a physician.</w:t>
      </w:r>
    </w:p>
    <w:p>
      <w:pPr>
        <w:pStyle w:val="Heading3"/>
        <w:widowControl w:val="1"/>
      </w:pPr>
      <w:r>
        <w:t>Al-Ghazali: critique, theology and the limits of demonstration</w:t>
      </w:r>
    </w:p>
    <w:p>
      <w:pPr>
        <w:widowControl w:val="1"/>
      </w:pPr>
      <w:r>
        <w:t>Al-Ghazali mastered the philosophical tradition he criticized. In The Incoherence of the Philosophers he challenges particular doctrines of the falasifa while accepting and using logic and rigorous argument in other contexts. His work therefore does not support the simplistic claim that he “ended philosophy.”</w:t>
      </w:r>
    </w:p>
    <w:p>
      <w:pPr>
        <w:widowControl w:val="1"/>
      </w:pPr>
      <w:r>
        <w:t>His broader project joins jurisprudence, theology, ethics and spiritual reform. Philosophically, he is important for debates about causation, certainty, reason and revelation.</w:t>
      </w:r>
    </w:p>
    <w:p>
      <w:pPr>
        <w:pStyle w:val="Heading3"/>
        <w:widowControl w:val="1"/>
      </w:pPr>
      <w:r>
        <w:t>Ibn Rushd: demonstration and harmony of philosophy and religion</w:t>
      </w:r>
    </w:p>
    <w:p>
      <w:pPr>
        <w:widowControl w:val="1"/>
      </w:pPr>
      <w:r>
        <w:t>Ibn Rushd was a major jurist and Aristotelian philosopher who defended the legitimate role of demonstrative reasoning in religious inquiry for those qualified to use it. His commentaries helped transmit and reshape Aristotle’s legacy in both Islamic and European traditions.</w:t>
      </w:r>
    </w:p>
    <w:p>
      <w:pPr>
        <w:widowControl w:val="1"/>
      </w:pPr>
      <w:r>
        <w:t>His disagreement with al-Ghazali should be studied as a precise debate over philosophical doctrines and methods rather than as a crude conflict between “reason” and “religion.”</w:t>
      </w:r>
    </w:p>
    <w:p>
      <w:pPr>
        <w:pStyle w:val="Heading3"/>
        <w:widowControl w:val="1"/>
      </w:pPr>
      <w:r>
        <w:t>Ibn Khaldun: society, power and historical explanation</w:t>
      </w:r>
    </w:p>
    <w:p>
      <w:pPr>
        <w:widowControl w:val="1"/>
      </w:pPr>
      <w:r>
        <w:t>Ibn Khaldun’s Muqaddimah develops an analytical approach to social and political change. His concept of asabiyyah concerns group solidarity and capacity for collective action, especially in the rise and consolidation of political power. He also discusses taxation, labour, urban life, education and the reliability of historical reports.</w:t>
      </w:r>
    </w:p>
    <w:p>
      <w:pPr>
        <w:widowControl w:val="1"/>
      </w:pPr>
      <w:r>
        <w:t>His cyclical observations about dynastic rise and decline are analytical patterns, not an inflexible law that every society must follow in identical stages.</w:t>
      </w:r>
    </w:p>
    <w:p>
      <w:pPr>
        <w:pStyle w:val="Heading3"/>
        <w:widowControl w:val="1"/>
      </w:pPr>
      <w:r>
        <w:t>Shah Waliullah and Muhammad Iqbal</w:t>
      </w:r>
    </w:p>
    <w:p>
      <w:pPr>
        <w:widowControl w:val="1"/>
      </w:pPr>
      <w:r>
        <w:t>Shah Waliullah sought intellectual and social reform through Qur’anic scholarship, hadith, jurisprudence and an effort to understand the purposes and wisdom of legal and social institutions. His thought is important for connecting normative teaching with social conditions in South Asian Islam.</w:t>
      </w:r>
    </w:p>
    <w:p>
      <w:pPr>
        <w:widowControl w:val="1"/>
      </w:pPr>
      <w:r>
        <w:t>Muhammad Iqbal’s Reconstruction of Religious Thought in Islam engages modern philosophy, science and Islamic intellectual tradition. Themes include selfhood (khudi), creativity, freedom, time and the reconstruction of religious thought. Iqbal should be read through his arguments, not through isolated inspirational quotations.</w:t>
      </w:r>
    </w:p>
    <w:p>
      <w:pPr>
        <w:pStyle w:val="Heading3"/>
        <w:widowControl w:val="1"/>
      </w:pPr>
      <w:r>
        <w:t>Core Concepts Explained</w:t>
      </w:r>
    </w:p>
    <w:p>
      <w:pPr>
        <w:pStyle w:val="TeachingBullet"/>
        <w:widowControl w:val="1"/>
      </w:pPr>
      <w:r>
        <w:t>Prepare each thinker through a problem and a few central ideas. Biography matters only when it helps explain the intellectual project.</w:t>
      </w:r>
    </w:p>
    <w:p>
      <w:pPr>
        <w:pStyle w:val="TeachingBullet"/>
        <w:widowControl w:val="1"/>
      </w:pPr>
      <w:r>
        <w:t>Al-Farabi links philosophy and political order through the idea of the virtuous city; Ibn Sina develops a sophisticated metaphysics of being and essence; Al-Ghazali critically examines philosophical claims while developing theological and spiritual thought.</w:t>
      </w:r>
    </w:p>
    <w:p>
      <w:pPr>
        <w:pStyle w:val="TeachingBullet"/>
        <w:widowControl w:val="1"/>
      </w:pPr>
      <w:r>
        <w:t>Ibn Rushd defends the legitimacy of philosophical reasoning and interprets the relation between philosophy and revelation; Ibn Khaldun explains social cohesion, political rise and decline, and historical method through concepts such as asabiyyah.</w:t>
      </w:r>
    </w:p>
    <w:p>
      <w:pPr>
        <w:pStyle w:val="TeachingBullet"/>
        <w:widowControl w:val="1"/>
      </w:pPr>
      <w:r>
        <w:t>Shah Waliullah addresses religious and social reform through an integrative intellectual approach; Iqbal develops selfhood, dynamism and reconstruction of religious thought in engagement with modern philosophy.</w:t>
      </w:r>
    </w:p>
    <w:p>
      <w:pPr>
        <w:pStyle w:val="TeachingBullet"/>
        <w:widowControl w:val="1"/>
      </w:pPr>
      <w:r>
        <w:t>Comparative questions should identify both agreement and disagreement. Al-Ghazali versus Ibn Rushd, for example, should not be reduced to “religion versus philosophy.”</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fill answers with quotations you cannot verify. Accurate concepts and references to the thinker's actual works are more valuable.</w:t>
            </w:r>
          </w:p>
        </w:tc>
      </w:tr>
    </w:tbl>
    <w:p>
      <w:pPr>
        <w:pStyle w:val="Heading3"/>
        <w:widowControl w:val="1"/>
      </w:pPr>
      <w:r>
        <w:t>Preparation and Answer Use</w:t>
      </w:r>
    </w:p>
    <w:p>
      <w:pPr>
        <w:pStyle w:val="TeachingBullet"/>
        <w:widowControl w:val="1"/>
      </w:pPr>
      <w:r>
        <w:t>Make one-page thinker cards.</w:t>
      </w:r>
    </w:p>
    <w:p>
      <w:pPr>
        <w:pStyle w:val="TeachingBullet"/>
        <w:widowControl w:val="1"/>
      </w:pPr>
      <w:r>
        <w:t>Compare Al-Ghazali and Ibn Rushd carefully.</w:t>
      </w:r>
    </w:p>
    <w:p>
      <w:pPr>
        <w:pStyle w:val="TeachingBullet"/>
        <w:widowControl w:val="1"/>
      </w:pPr>
      <w:r>
        <w:t>For Iqbal, use his own published works/reliable scholarship for quotations.</w:t>
      </w:r>
    </w:p>
    <w:p>
      <w:pPr>
        <w:pStyle w:val="Heading3"/>
        <w:widowControl w:val="1"/>
      </w:pPr>
      <w:r>
        <w:t>Key Takeaways</w:t>
      </w:r>
    </w:p>
    <w:p>
      <w:pPr>
        <w:pStyle w:val="TakeawayBullet"/>
        <w:widowControl w:val="1"/>
      </w:pPr>
      <w:r>
        <w:t>Muslim philosophy contains internal debate, not one uniform school.</w:t>
      </w:r>
    </w:p>
    <w:p>
      <w:pPr>
        <w:pStyle w:val="TakeawayBullet"/>
        <w:widowControl w:val="1"/>
      </w:pPr>
      <w:r>
        <w:t>Political, metaphysical and social thought all appear in this unit.</w:t>
      </w:r>
    </w:p>
    <w:p>
      <w:pPr>
        <w:pStyle w:val="TakeawayBullet"/>
        <w:widowControl w:val="1"/>
      </w:pPr>
      <w:r>
        <w:t>Accurate concepts matter more than decorative quotations.</w:t>
      </w:r>
    </w:p>
    <w:p>
      <w:pPr>
        <w:spacing w:after="20"/>
        <w:pBdr>
          <w:bottom w:val="single" w:sz="4" w:space="1" w:color="D9E2F3"/>
        </w:pBdr>
        <w:widowControl w:val="1"/>
      </w:pPr>
    </w:p>
    <w:p>
      <w:pPr>
        <w:pStyle w:val="Heading2"/>
        <w:widowControl w:val="1"/>
      </w:pPr>
      <w:r>
        <w:t>7. Contemporary Philosophical Movements</w:t>
      </w:r>
    </w:p>
    <w:p>
      <w:pPr>
        <w:pStyle w:val="Heading3"/>
        <w:widowControl w:val="1"/>
      </w:pPr>
      <w:r>
        <w:t>Official Syllabus Focus</w:t>
      </w:r>
    </w:p>
    <w:p>
      <w:pPr>
        <w:pStyle w:val="FocusBullet"/>
        <w:widowControl w:val="1"/>
      </w:pPr>
      <w:r>
        <w:rPr>
          <w:b/>
        </w:rPr>
        <w:t>Existentialism:</w:t>
      </w:r>
      <w:r>
        <w:t xml:space="preserve"> Heidegger, Sartre</w:t>
      </w:r>
    </w:p>
    <w:p>
      <w:pPr>
        <w:pStyle w:val="FocusBullet"/>
        <w:widowControl w:val="1"/>
      </w:pPr>
      <w:r>
        <w:rPr>
          <w:b/>
        </w:rPr>
        <w:t>Pragmatism:</w:t>
      </w:r>
      <w:r>
        <w:t xml:space="preserve"> Peirce, James, Dewey</w:t>
      </w:r>
    </w:p>
    <w:p>
      <w:pPr>
        <w:pStyle w:val="FocusBullet"/>
        <w:widowControl w:val="1"/>
      </w:pPr>
      <w:r>
        <w:rPr>
          <w:b/>
        </w:rPr>
        <w:t>Neo-pragmatism:</w:t>
      </w:r>
      <w:r>
        <w:t xml:space="preserve"> Rorty</w:t>
      </w:r>
    </w:p>
    <w:p>
      <w:pPr>
        <w:pStyle w:val="FocusBullet"/>
        <w:widowControl w:val="1"/>
      </w:pPr>
      <w:r>
        <w:rPr>
          <w:b/>
        </w:rPr>
        <w:t>Postmodernism:</w:t>
      </w:r>
      <w:r>
        <w:t xml:space="preserve"> Lyotard, Foucault, Derrida</w:t>
      </w:r>
    </w:p>
    <w:p>
      <w:pPr>
        <w:pStyle w:val="Heading3"/>
        <w:widowControl w:val="1"/>
      </w:pPr>
      <w:r>
        <w:t>Introduction and Scope</w:t>
      </w:r>
    </w:p>
    <w:p>
      <w:pPr>
        <w:pStyle w:val="TopicIntro"/>
        <w:widowControl w:val="1"/>
      </w:pPr>
      <w:r>
        <w:t>Contemporary movements challenge older assumptions about fixed foundations, detached reason, language, truth and human existence.</w:t>
      </w:r>
    </w:p>
    <w:p>
      <w:pPr>
        <w:pStyle w:val="TopicIntro"/>
        <w:widowControl w:val="1"/>
      </w:pPr>
      <w:r>
        <w:t>Existentialism emphasizes concrete existence, choice, anxiety, authenticity and responsibility, though Heidegger and Sartre differ. Pragmatism links meaning and inquiry with practical consequences and problem-solving. Rorty rejects strong foundationalism in favor of conversation/contingency. Postmodern thinkers question totalizing narratives, fixed structures of knowledge and stable meanings in different ways.</w:t>
      </w:r>
    </w:p>
    <w:p>
      <w:pPr>
        <w:pStyle w:val="Heading3"/>
        <w:widowControl w:val="1"/>
      </w:pPr>
      <w:r>
        <w:t>Existentialism: freedom, existence and responsibility</w:t>
      </w:r>
    </w:p>
    <w:p>
      <w:pPr>
        <w:widowControl w:val="1"/>
      </w:pPr>
      <w:r>
        <w:t>Existentialist thinkers differ substantially, but many focus on concrete human existence, freedom, anxiety, choice and the difficulty of living without ready-made guarantees. Heidegger analyses being-in-the-world and authenticity; Sartre emphasizes radical freedom, responsibility and the idea that human beings define themselves through projects and choices.</w:t>
      </w:r>
    </w:p>
    <w:p>
      <w:pPr>
        <w:widowControl w:val="1"/>
      </w:pPr>
      <w:r>
        <w:t>Existentialism does not simply mean pessimism. Its central concern is how persons confront finitude, contingency and responsibility.</w:t>
      </w:r>
    </w:p>
    <w:p>
      <w:pPr>
        <w:pStyle w:val="Heading3"/>
        <w:widowControl w:val="1"/>
      </w:pPr>
      <w:r>
        <w:t>Pragmatism and neo-pragmatism</w:t>
      </w:r>
    </w:p>
    <w:p>
      <w:pPr>
        <w:widowControl w:val="1"/>
      </w:pPr>
      <w:r>
        <w:t>Classical pragmatism connects meaning and inquiry with practical consequences and habits of action. Peirce emphasizes fallible communal inquiry; William James explores truth in relation to lived consequences and experience; Dewey treats inquiry as problem-solving within social life and education.</w:t>
      </w:r>
    </w:p>
    <w:p>
      <w:pPr>
        <w:widowControl w:val="1"/>
      </w:pPr>
      <w:r>
        <w:t>Richard Rorty’s neo-pragmatism rejects the ambition to represent reality from a neutral “view from nowhere” and stresses vocabulary, conversation and historically contingent practices. This is not the claim that every belief is equally good; justification still occurs within practices of reason-giving and criticism.</w:t>
      </w:r>
    </w:p>
    <w:p>
      <w:pPr>
        <w:pStyle w:val="Heading3"/>
        <w:widowControl w:val="1"/>
      </w:pPr>
      <w:r>
        <w:t>Foucault: power, knowledge and discipline</w:t>
      </w:r>
    </w:p>
    <w:p>
      <w:pPr>
        <w:widowControl w:val="1"/>
      </w:pPr>
      <w:r>
        <w:t>Foucault studies how institutions, practices and forms of knowledge help produce categories of normality, deviance and identity. His idea of power/knowledge stresses that systems of knowing human beings are intertwined with practices that classify, supervise and govern them.</w:t>
      </w:r>
    </w:p>
    <w:p>
      <w:pPr>
        <w:widowControl w:val="1"/>
      </w:pPr>
      <w:r>
        <w:t>Power in Foucault is not only something possessed by the state or a ruler. It operates through dispersed practices, institutions and norms, which is why his work is influential in studies of prisons, medicine, sexuality and administration.</w:t>
      </w:r>
    </w:p>
    <w:p>
      <w:pPr>
        <w:pStyle w:val="Heading3"/>
        <w:widowControl w:val="1"/>
      </w:pPr>
      <w:r>
        <w:t>Derrida and deconstruction</w:t>
      </w:r>
    </w:p>
    <w:p>
      <w:pPr>
        <w:widowControl w:val="1"/>
      </w:pPr>
      <w:r>
        <w:t>Derrida’s deconstruction examines how texts depend on conceptual oppositions and exclusions that may be less stable than they appear. It is a disciplined form of reading that investigates how meaning is produced and deferred; it is not simply “destroying a text” or declaring that words can mean anything.</w:t>
      </w:r>
    </w:p>
    <w:p>
      <w:pPr>
        <w:widowControl w:val="1"/>
      </w:pPr>
      <w:r>
        <w:t>Critics argue that deconstruction can make normative judgment difficult or obscure; defenders see it as a way to expose hidden assumptions and marginalization within established concepts.</w:t>
      </w:r>
    </w:p>
    <w:p>
      <w:pPr>
        <w:pStyle w:val="Heading3"/>
        <w:widowControl w:val="1"/>
      </w:pPr>
      <w:r>
        <w:t>Lyotard and the postmodern condition</w:t>
      </w:r>
    </w:p>
    <w:p>
      <w:pPr>
        <w:widowControl w:val="1"/>
      </w:pPr>
      <w:r>
        <w:t>Lyotard is associated with skepticism toward large, universal “grand narratives” that claim to organize all knowledge and history. His analysis addresses the legitimation of knowledge in advanced societies rather than a simple denial of facts or truth.</w:t>
      </w:r>
    </w:p>
    <w:p>
      <w:pPr>
        <w:widowControl w:val="1"/>
      </w:pPr>
      <w:r>
        <w:t>A careful answer treats “postmodernism” as a family of debates rather than one doctrine shared identically by Lyotard, Foucault and Derrida.</w:t>
      </w:r>
    </w:p>
    <w:p>
      <w:pPr>
        <w:pStyle w:val="Heading3"/>
        <w:widowControl w:val="1"/>
      </w:pPr>
      <w:r>
        <w:t>Core Concepts Explained</w:t>
      </w:r>
    </w:p>
    <w:p>
      <w:pPr>
        <w:pStyle w:val="TeachingBullet"/>
        <w:widowControl w:val="1"/>
      </w:pPr>
      <w:r>
        <w:t>Existentialism emphasizes concrete human existence, choice, anxiety, responsibility and authenticity, but Heidegger and Sartre do not present identical systems. Treat them separately.</w:t>
      </w:r>
    </w:p>
    <w:p>
      <w:pPr>
        <w:pStyle w:val="TeachingBullet"/>
        <w:widowControl w:val="1"/>
      </w:pPr>
      <w:r>
        <w:t>Pragmatism connects meaning, truth and inquiry with practical consequences and problem-solving. Peirce, James and Dewey share a family resemblance but differ in emphasis.</w:t>
      </w:r>
    </w:p>
    <w:p>
      <w:pPr>
        <w:pStyle w:val="TeachingBullet"/>
        <w:widowControl w:val="1"/>
      </w:pPr>
      <w:r>
        <w:t>Rorty's neo-pragmatism questions traditional foundationalism and the idea that knowledge mirrors reality from a neutral standpoint. He emphasizes contingency, language and conversation.</w:t>
      </w:r>
    </w:p>
    <w:p>
      <w:pPr>
        <w:pStyle w:val="TeachingBullet"/>
        <w:widowControl w:val="1"/>
      </w:pPr>
      <w:r>
        <w:t>Postmodern thinkers should not be collapsed into one doctrine. Lyotard critiques grand narratives; Foucault analyzes relations among knowledge, power and institutions; Derrida develops deconstruction and examines instability and difference in textual meaning.</w:t>
      </w:r>
    </w:p>
    <w:p>
      <w:pPr>
        <w:pStyle w:val="TeachingBullet"/>
        <w:widowControl w:val="1"/>
      </w:pPr>
      <w:r>
        <w:t>For each thinker prepare one central concept, a simple example, one criticism and one comparison. This turns abstract philosophy into exam-usable material.</w:t>
      </w:r>
    </w:p>
    <w:tbl>
      <w:tblPr>
        <w:tblW w:type="auto" w:w="0"/>
        <w:jc w:val="center"/>
        <w:tblLayout w:type="autofit"/>
        <w:tblLook w:firstColumn="1" w:firstRow="1" w:lastColumn="0" w:lastRow="0" w:noHBand="0" w:noVBand="1" w:val="04A0"/>
      </w:tblPr>
      <w:tblGrid>
        <w:gridCol w:w="9749"/>
      </w:tblGrid>
      <w:tr>
        <w:tc>
          <w:tcPr>
            <w:tcW w:type="dxa" w:w="9749"/>
            <w:shd w:fill="FFF4E5"/>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Common confusion to avoid:</w:t>
            </w:r>
            <w:r>
              <w:t xml:space="preserve"> Do not write “postmodernism says there is no truth” as a blanket statement. Explain the specific thinker's argument about knowledge, power, language or foundations.</w:t>
            </w:r>
          </w:p>
        </w:tc>
      </w:tr>
    </w:tbl>
    <w:p>
      <w:pPr>
        <w:pStyle w:val="Heading3"/>
        <w:widowControl w:val="1"/>
      </w:pPr>
      <w:r>
        <w:t>Preparation and Answer Use</w:t>
      </w:r>
    </w:p>
    <w:p>
      <w:pPr>
        <w:pStyle w:val="TeachingBullet"/>
        <w:widowControl w:val="1"/>
      </w:pPr>
      <w:r>
        <w:t>Treat each thinker individually; do not merge them into one doctrine.</w:t>
      </w:r>
    </w:p>
    <w:p>
      <w:pPr>
        <w:pStyle w:val="TeachingBullet"/>
        <w:widowControl w:val="1"/>
      </w:pPr>
      <w:r>
        <w:t>Prepare one core concept and one criticism for each.</w:t>
      </w:r>
    </w:p>
    <w:p>
      <w:pPr>
        <w:pStyle w:val="TeachingBullet"/>
        <w:widowControl w:val="1"/>
      </w:pPr>
      <w:r>
        <w:t>Use plain-language examples to explain difficult terms.</w:t>
      </w:r>
    </w:p>
    <w:p>
      <w:pPr>
        <w:pStyle w:val="Heading3"/>
        <w:widowControl w:val="1"/>
      </w:pPr>
      <w:r>
        <w:t>Key Takeaways</w:t>
      </w:r>
    </w:p>
    <w:p>
      <w:pPr>
        <w:pStyle w:val="TakeawayBullet"/>
        <w:widowControl w:val="1"/>
      </w:pPr>
      <w:r>
        <w:t>Sartre emphasizes freedom and responsibility.</w:t>
      </w:r>
    </w:p>
    <w:p>
      <w:pPr>
        <w:pStyle w:val="TakeawayBullet"/>
        <w:widowControl w:val="1"/>
      </w:pPr>
      <w:r>
        <w:t>Pragmatism asks how ideas function in inquiry and experience.</w:t>
      </w:r>
    </w:p>
    <w:p>
      <w:pPr>
        <w:pStyle w:val="TakeawayBullet"/>
        <w:widowControl w:val="1"/>
      </w:pPr>
      <w:r>
        <w:t>Lyotard is associated with skepticism toward grand narratives.</w:t>
      </w:r>
    </w:p>
    <w:p>
      <w:pPr>
        <w:pStyle w:val="TakeawayBullet"/>
        <w:widowControl w:val="1"/>
      </w:pPr>
      <w:r>
        <w:t>Foucault studies knowledge/power relations.</w:t>
      </w:r>
    </w:p>
    <w:p>
      <w:pPr>
        <w:pStyle w:val="TakeawayBullet"/>
        <w:widowControl w:val="1"/>
      </w:pPr>
      <w:r>
        <w:t>Derrida is associated with deconstruction and instability in textual meaning.</w:t>
      </w:r>
    </w:p>
    <w:p>
      <w:pPr>
        <w:spacing w:after="20"/>
        <w:pBdr>
          <w:bottom w:val="single" w:sz="4" w:space="1" w:color="D9E2F3"/>
        </w:pBdr>
        <w:widowControl w:val="1"/>
      </w:pPr>
    </w:p>
    <w:p>
      <w:pPr>
        <w:pStyle w:val="Heading2"/>
        <w:widowControl w:val="1"/>
      </w:pPr>
      <w:r>
        <w:t>Selected Primary and Academic References</w:t>
      </w:r>
    </w:p>
    <w:p>
      <w:pPr>
        <w:widowControl w:val="1"/>
      </w:pPr>
      <w:r>
        <w:t>These references support the subject’s legal, institutional or theoretical framework. Statutes and regulations should be checked in their latest official form before examination. Access checked: 21 September 2026.</w:t>
      </w:r>
    </w:p>
    <w:p>
      <w:pPr>
        <w:pStyle w:val="Reference"/>
        <w:widowControl w:val="1"/>
      </w:pPr>
      <w:r>
        <w:t xml:space="preserve">• Stanford Encyclopedia of Philosophy — peer-reviewed reference entries — </w:t>
      </w:r>
      <w:hyperlink r:id="rId29">
        <w:r>
          <w:rPr>
            <w:color w:val="1F4E79"/>
            <w:u w:val="single"/>
          </w:rPr>
          <w:t>https://plato.stanford.edu/</w:t>
        </w:r>
      </w:hyperlink>
    </w:p>
    <w:p>
      <w:pPr>
        <w:pStyle w:val="Reference"/>
        <w:widowControl w:val="1"/>
      </w:pPr>
      <w:r>
        <w:t xml:space="preserve">• Stanford Encyclopedia of Philosophy — Ibn Sina, al-Ghazali and Ibn Rushd entries — </w:t>
      </w:r>
      <w:hyperlink r:id="rId29">
        <w:r>
          <w:rPr>
            <w:color w:val="1F4E79"/>
            <w:u w:val="single"/>
          </w:rPr>
          <w:t>https://plato.stanford.edu/</w:t>
        </w:r>
      </w:hyperlink>
    </w:p>
    <w:p>
      <w:pPr>
        <w:pStyle w:val="Reference"/>
        <w:widowControl w:val="1"/>
      </w:pPr>
      <w:r>
        <w:t xml:space="preserve">• Stanford Encyclopedia of Philosophy — Rawls, Foucault, Derrida, Pragmatism and Existentialism entries — </w:t>
      </w:r>
      <w:hyperlink r:id="rId29">
        <w:r>
          <w:rPr>
            <w:color w:val="1F4E79"/>
            <w:u w:val="single"/>
          </w:rPr>
          <w:t>https://plato.stanford.edu/</w:t>
        </w:r>
      </w:hyperlink>
    </w:p>
    <w:p>
      <w:pPr>
        <w:widowControl w:val="1"/>
      </w:pPr>
      <w:r>
        <w:br w:type="page"/>
      </w:r>
    </w:p>
    <w:p>
      <w:pPr>
        <w:pStyle w:val="Heading1"/>
        <w:widowControl w:val="1"/>
      </w:pPr>
      <w:r>
        <w:t>Master Revision Strategy</w:t>
      </w:r>
    </w:p>
    <w:p>
      <w:pPr>
        <w:pStyle w:val="TeachingBullet"/>
        <w:widowControl w:val="1"/>
      </w:pPr>
      <w:r>
        <w:t>1. Build the conceptual map first. For every subject, know the major units and how they connect before memorizing details.</w:t>
      </w:r>
    </w:p>
    <w:p>
      <w:pPr>
        <w:pStyle w:val="TeachingBullet"/>
        <w:widowControl w:val="1"/>
      </w:pPr>
      <w:r>
        <w:t>2. Convert legal subjects into process maps and distinction tables. Learn exact statutory language only after you understand the legal problem that the provision solves.</w:t>
      </w:r>
    </w:p>
    <w:p>
      <w:pPr>
        <w:pStyle w:val="TeachingBullet"/>
        <w:widowControl w:val="1"/>
      </w:pPr>
      <w:r>
        <w:rPr>
          <w:b/>
        </w:rPr>
        <w:t>3. Convert analytical subjects into theory maps:</w:t>
      </w:r>
      <w:r>
        <w:t xml:space="preserve"> question → assumptions → mechanism → example/evidence → criticism → application.</w:t>
      </w:r>
    </w:p>
    <w:p>
      <w:pPr>
        <w:pStyle w:val="TeachingBullet"/>
        <w:widowControl w:val="1"/>
      </w:pPr>
      <w:r>
        <w:t>4. Use past papers after finishing a syllabus block. Classify each past question by topic, command word and type of analysis required.</w:t>
      </w:r>
    </w:p>
    <w:p>
      <w:pPr>
        <w:pStyle w:val="TeachingBullet"/>
        <w:widowControl w:val="1"/>
      </w:pPr>
      <w:r>
        <w:t>5. Revise through retrieval. Close the notes and reconstruct the topic from the Key Takeaways, then reopen the detailed section to correct gaps.</w:t>
      </w:r>
    </w:p>
    <w:p>
      <w:pPr>
        <w:pStyle w:val="TeachingBullet"/>
        <w:widowControl w:val="1"/>
      </w:pPr>
      <w:r>
        <w:t>6. Recheck current law and contemporary institutional information near the examination date. A master note can teach stable doctrine, but amendments, rules and institutional arrangements may change.</w:t>
      </w:r>
    </w:p>
    <w:p>
      <w:pPr>
        <w:pStyle w:val="Heading1"/>
        <w:widowControl w:val="1"/>
      </w:pPr>
      <w:r>
        <w:t>Consolidated Reference Base</w:t>
      </w:r>
    </w:p>
    <w:p>
      <w:pPr>
        <w:widowControl w:val="1"/>
      </w:pPr>
      <w:r>
        <w:t>The following authoritative sources were used as verification anchors or recommended primary references in the expansion. Hyperlinks are included for traceability; where an official website warns that its online text is under review, the Gazette or other original legal publication remains the final verification point.</w:t>
      </w:r>
    </w:p>
    <w:p>
      <w:pPr>
        <w:pStyle w:val="Heading2"/>
        <w:widowControl w:val="1"/>
      </w:pPr>
      <w:r>
        <w:t>LAW</w:t>
      </w:r>
    </w:p>
    <w:p>
      <w:pPr>
        <w:pStyle w:val="Reference"/>
        <w:widowControl w:val="1"/>
      </w:pPr>
      <w:r>
        <w:t xml:space="preserve">• Pakistan Code — Ministry of Law and Justice — </w:t>
      </w:r>
      <w:hyperlink r:id="rId11">
        <w:r>
          <w:rPr>
            <w:color w:val="1F4E79"/>
            <w:u w:val="single"/>
          </w:rPr>
          <w:t>https://pakistancode.gov.pk/</w:t>
        </w:r>
      </w:hyperlink>
    </w:p>
    <w:p>
      <w:pPr>
        <w:pStyle w:val="Reference"/>
        <w:widowControl w:val="1"/>
      </w:pPr>
      <w:r>
        <w:t xml:space="preserve">• Code of Civil Procedure, 1908 — official/current legal text via Pakistan Code — </w:t>
      </w:r>
      <w:hyperlink r:id="rId11">
        <w:r>
          <w:rPr>
            <w:color w:val="1F4E79"/>
            <w:u w:val="single"/>
          </w:rPr>
          <w:t>https://pakistancode.gov.pk/</w:t>
        </w:r>
      </w:hyperlink>
    </w:p>
    <w:p>
      <w:pPr>
        <w:pStyle w:val="Reference"/>
        <w:widowControl w:val="1"/>
      </w:pPr>
      <w:r>
        <w:t xml:space="preserve">• Pakistan Penal Code, 1860 — official/current legal text via Pakistan Code — </w:t>
      </w:r>
      <w:hyperlink r:id="rId11">
        <w:r>
          <w:rPr>
            <w:color w:val="1F4E79"/>
            <w:u w:val="single"/>
          </w:rPr>
          <w:t>https://pakistancode.gov.pk/</w:t>
        </w:r>
      </w:hyperlink>
    </w:p>
    <w:p>
      <w:pPr>
        <w:pStyle w:val="Reference"/>
        <w:widowControl w:val="1"/>
      </w:pPr>
      <w:r>
        <w:t xml:space="preserve">• Qanun-e-Shahadat Order, 1984 — official/current legal text via Pakistan Code — </w:t>
      </w:r>
      <w:hyperlink r:id="rId11">
        <w:r>
          <w:rPr>
            <w:color w:val="1F4E79"/>
            <w:u w:val="single"/>
          </w:rPr>
          <w:t>https://pakistancode.gov.pk/</w:t>
        </w:r>
      </w:hyperlink>
    </w:p>
    <w:p>
      <w:pPr>
        <w:pStyle w:val="Reference"/>
        <w:widowControl w:val="1"/>
      </w:pPr>
      <w:r>
        <w:t xml:space="preserve">• Code of Criminal Procedure, 1898 — official/current legal text via Pakistan Code — </w:t>
      </w:r>
      <w:hyperlink r:id="rId11">
        <w:r>
          <w:rPr>
            <w:color w:val="1F4E79"/>
            <w:u w:val="single"/>
          </w:rPr>
          <w:t>https://pakistancode.gov.pk/</w:t>
        </w:r>
      </w:hyperlink>
    </w:p>
    <w:p>
      <w:pPr>
        <w:pStyle w:val="Heading2"/>
        <w:widowControl w:val="1"/>
      </w:pPr>
      <w:r>
        <w:t>CONSTITUTIONAL LAW</w:t>
      </w:r>
    </w:p>
    <w:p>
      <w:pPr>
        <w:pStyle w:val="Reference"/>
        <w:widowControl w:val="1"/>
      </w:pPr>
      <w:r>
        <w:t xml:space="preserve">• Constitution of the Islamic Republic of Pakistan — official legal text — </w:t>
      </w:r>
      <w:hyperlink r:id="rId11">
        <w:r>
          <w:rPr>
            <w:color w:val="1F4E79"/>
            <w:u w:val="single"/>
          </w:rPr>
          <w:t>https://pakistancode.gov.pk/</w:t>
        </w:r>
      </w:hyperlink>
    </w:p>
    <w:p>
      <w:pPr>
        <w:pStyle w:val="Reference"/>
        <w:widowControl w:val="1"/>
      </w:pPr>
      <w:r>
        <w:t xml:space="preserve">• Supreme Court of Pakistan — judgments and institutional material — </w:t>
      </w:r>
      <w:hyperlink r:id="rId12">
        <w:r>
          <w:rPr>
            <w:color w:val="1F4E79"/>
            <w:u w:val="single"/>
          </w:rPr>
          <w:t>https://www.supremecourt.gov.pk/</w:t>
        </w:r>
      </w:hyperlink>
    </w:p>
    <w:p>
      <w:pPr>
        <w:pStyle w:val="Reference"/>
        <w:widowControl w:val="1"/>
      </w:pPr>
      <w:r>
        <w:t xml:space="preserve">• FPSC Revised Scheme and Syllabus for CSS Competitive Examination — </w:t>
      </w:r>
      <w:hyperlink r:id="rId13">
        <w:r>
          <w:rPr>
            <w:color w:val="1F4E79"/>
            <w:u w:val="single"/>
          </w:rPr>
          <w:t>https://www.fpsc.gov.pk/</w:t>
        </w:r>
      </w:hyperlink>
    </w:p>
    <w:p>
      <w:pPr>
        <w:pStyle w:val="Heading2"/>
        <w:widowControl w:val="1"/>
      </w:pPr>
      <w:r>
        <w:t>INTERNATIONAL LAW</w:t>
      </w:r>
    </w:p>
    <w:p>
      <w:pPr>
        <w:pStyle w:val="Reference"/>
        <w:widowControl w:val="1"/>
      </w:pPr>
      <w:r>
        <w:t xml:space="preserve">• United Nations Charter — full text — </w:t>
      </w:r>
      <w:hyperlink r:id="rId14">
        <w:r>
          <w:rPr>
            <w:color w:val="1F4E79"/>
            <w:u w:val="single"/>
          </w:rPr>
          <w:t>https://www.un.org/en/about-us/un-charter/full-text</w:t>
        </w:r>
      </w:hyperlink>
    </w:p>
    <w:p>
      <w:pPr>
        <w:pStyle w:val="Reference"/>
        <w:widowControl w:val="1"/>
      </w:pPr>
      <w:r>
        <w:t xml:space="preserve">• Statute of the International Court of Justice — </w:t>
      </w:r>
      <w:hyperlink r:id="rId15">
        <w:r>
          <w:rPr>
            <w:color w:val="1F4E79"/>
            <w:u w:val="single"/>
          </w:rPr>
          <w:t>https://www.icj-cij.org/statute</w:t>
        </w:r>
      </w:hyperlink>
    </w:p>
    <w:p>
      <w:pPr>
        <w:pStyle w:val="Reference"/>
        <w:widowControl w:val="1"/>
      </w:pPr>
      <w:r>
        <w:t xml:space="preserve">• Vienna Convention on the Law of Treaties, 1969 — UN International Law Commission — </w:t>
      </w:r>
      <w:hyperlink r:id="rId16">
        <w:r>
          <w:rPr>
            <w:color w:val="1F4E79"/>
            <w:u w:val="single"/>
          </w:rPr>
          <w:t>https://legal.un.org/ilc/texts/instruments/english/conventions/1_1_1969.pdf</w:t>
        </w:r>
      </w:hyperlink>
    </w:p>
    <w:p>
      <w:pPr>
        <w:pStyle w:val="Reference"/>
        <w:widowControl w:val="1"/>
      </w:pPr>
      <w:r>
        <w:t xml:space="preserve">• Articles on Responsibility of States for Internationally Wrongful Acts, 2001 — ILC — </w:t>
      </w:r>
      <w:hyperlink r:id="rId17">
        <w:r>
          <w:rPr>
            <w:color w:val="1F4E79"/>
            <w:u w:val="single"/>
          </w:rPr>
          <w:t>https://legal.un.org/ilc/texts/instruments/english/draft_articles/9_6_2001.pdf</w:t>
        </w:r>
      </w:hyperlink>
    </w:p>
    <w:p>
      <w:pPr>
        <w:pStyle w:val="Reference"/>
        <w:widowControl w:val="1"/>
      </w:pPr>
      <w:r>
        <w:t xml:space="preserve">• ICRC International Humanitarian Law Databases — </w:t>
      </w:r>
      <w:hyperlink r:id="rId18">
        <w:r>
          <w:rPr>
            <w:color w:val="1F4E79"/>
            <w:u w:val="single"/>
          </w:rPr>
          <w:t>https://ihl-databases.icrc.org/</w:t>
        </w:r>
      </w:hyperlink>
    </w:p>
    <w:p>
      <w:pPr>
        <w:pStyle w:val="Heading2"/>
        <w:widowControl w:val="1"/>
      </w:pPr>
      <w:r>
        <w:t>MUSLIM LAW &amp; JURISPRUDENCE</w:t>
      </w:r>
    </w:p>
    <w:p>
      <w:pPr>
        <w:pStyle w:val="Reference"/>
        <w:widowControl w:val="1"/>
      </w:pPr>
      <w:r>
        <w:t xml:space="preserve">• Pakistan Code — Dissolution of Muslim Marriages Act, 1939 and Muslim Family Laws Ordinance, 1961 — </w:t>
      </w:r>
      <w:hyperlink r:id="rId11">
        <w:r>
          <w:rPr>
            <w:color w:val="1F4E79"/>
            <w:u w:val="single"/>
          </w:rPr>
          <w:t>https://pakistancode.gov.pk/</w:t>
        </w:r>
      </w:hyperlink>
    </w:p>
    <w:p>
      <w:pPr>
        <w:pStyle w:val="Reference"/>
        <w:widowControl w:val="1"/>
      </w:pPr>
      <w:r>
        <w:t xml:space="preserve">• State Bank of Pakistan — Islamic Banking and Shariah Governance material — </w:t>
      </w:r>
      <w:hyperlink r:id="rId19">
        <w:r>
          <w:rPr>
            <w:color w:val="1F4E79"/>
            <w:u w:val="single"/>
          </w:rPr>
          <w:t>https://www.sbp.org.pk/ibd/</w:t>
        </w:r>
      </w:hyperlink>
    </w:p>
    <w:p>
      <w:pPr>
        <w:pStyle w:val="Reference"/>
        <w:widowControl w:val="1"/>
      </w:pPr>
      <w:r>
        <w:t xml:space="preserve">• AAOIFI — Shariah standards and Islamic finance standard-setting — </w:t>
      </w:r>
      <w:hyperlink r:id="rId20">
        <w:r>
          <w:rPr>
            <w:color w:val="1F4E79"/>
            <w:u w:val="single"/>
          </w:rPr>
          <w:t>https://aaoifi.com/</w:t>
        </w:r>
      </w:hyperlink>
    </w:p>
    <w:p>
      <w:pPr>
        <w:pStyle w:val="Heading2"/>
        <w:widowControl w:val="1"/>
      </w:pPr>
      <w:r>
        <w:t>MERCANTILE LAW</w:t>
      </w:r>
    </w:p>
    <w:p>
      <w:pPr>
        <w:pStyle w:val="Reference"/>
        <w:widowControl w:val="1"/>
      </w:pPr>
      <w:r>
        <w:t xml:space="preserve">• Pakistan Code — federal commercial statutes — </w:t>
      </w:r>
      <w:hyperlink r:id="rId11">
        <w:r>
          <w:rPr>
            <w:color w:val="1F4E79"/>
            <w:u w:val="single"/>
          </w:rPr>
          <w:t>https://pakistancode.gov.pk/</w:t>
        </w:r>
      </w:hyperlink>
    </w:p>
    <w:p>
      <w:pPr>
        <w:pStyle w:val="Reference"/>
        <w:widowControl w:val="1"/>
      </w:pPr>
      <w:r>
        <w:t xml:space="preserve">• Securities and Exchange Commission of Pakistan — Companies Act, 2017 and current corporate laws — </w:t>
      </w:r>
      <w:hyperlink r:id="rId21">
        <w:r>
          <w:rPr>
            <w:color w:val="1F4E79"/>
            <w:u w:val="single"/>
          </w:rPr>
          <w:t>https://www.secp.gov.pk/laws/acts/</w:t>
        </w:r>
      </w:hyperlink>
    </w:p>
    <w:p>
      <w:pPr>
        <w:pStyle w:val="Reference"/>
        <w:widowControl w:val="1"/>
      </w:pPr>
      <w:r>
        <w:t xml:space="preserve">• Competition Commission of Pakistan — Competition Act and enforcement resources — </w:t>
      </w:r>
      <w:hyperlink r:id="rId22">
        <w:r>
          <w:rPr>
            <w:color w:val="1F4E79"/>
            <w:u w:val="single"/>
          </w:rPr>
          <w:t>https://cc.gov.pk/</w:t>
        </w:r>
      </w:hyperlink>
    </w:p>
    <w:p>
      <w:pPr>
        <w:pStyle w:val="Reference"/>
        <w:widowControl w:val="1"/>
      </w:pPr>
      <w:r>
        <w:t xml:space="preserve">• State Bank of Pakistan — payment systems and electronic fund-transfer regulation — </w:t>
      </w:r>
      <w:hyperlink r:id="rId23">
        <w:r>
          <w:rPr>
            <w:color w:val="1F4E79"/>
            <w:u w:val="single"/>
          </w:rPr>
          <w:t>https://www.sbp.org.pk/</w:t>
        </w:r>
      </w:hyperlink>
    </w:p>
    <w:p>
      <w:pPr>
        <w:pStyle w:val="Reference"/>
        <w:widowControl w:val="1"/>
      </w:pPr>
      <w:r>
        <w:t xml:space="preserve">• Sindh Consumer Protection Act, 2014 — Sindh Laws — </w:t>
      </w:r>
      <w:hyperlink r:id="rId24">
        <w:r>
          <w:rPr>
            <w:color w:val="1F4E79"/>
            <w:u w:val="single"/>
          </w:rPr>
          <w:t>https://www.sindhlaws.gov.pk/</w:t>
        </w:r>
      </w:hyperlink>
    </w:p>
    <w:p>
      <w:pPr>
        <w:pStyle w:val="Heading2"/>
        <w:widowControl w:val="1"/>
      </w:pPr>
      <w:r>
        <w:t>CRIMINOLOGY</w:t>
      </w:r>
    </w:p>
    <w:p>
      <w:pPr>
        <w:pStyle w:val="Reference"/>
        <w:widowControl w:val="1"/>
      </w:pPr>
      <w:r>
        <w:t xml:space="preserve">• Juvenile Justice System Act, 2018 — Pakistan Code — </w:t>
      </w:r>
      <w:hyperlink r:id="rId11">
        <w:r>
          <w:rPr>
            <w:color w:val="1F4E79"/>
            <w:u w:val="single"/>
          </w:rPr>
          <w:t>https://pakistancode.gov.pk/</w:t>
        </w:r>
      </w:hyperlink>
    </w:p>
    <w:p>
      <w:pPr>
        <w:pStyle w:val="Reference"/>
        <w:widowControl w:val="1"/>
      </w:pPr>
      <w:r>
        <w:t xml:space="preserve">• United Nations Office on Drugs and Crime — crime prevention and criminal justice resources — </w:t>
      </w:r>
      <w:hyperlink r:id="rId25">
        <w:r>
          <w:rPr>
            <w:color w:val="1F4E79"/>
            <w:u w:val="single"/>
          </w:rPr>
          <w:t>https://www.unodc.org/</w:t>
        </w:r>
      </w:hyperlink>
    </w:p>
    <w:p>
      <w:pPr>
        <w:pStyle w:val="Reference"/>
        <w:widowControl w:val="1"/>
      </w:pPr>
      <w:r>
        <w:t xml:space="preserve">• United Nations Standard Minimum Rules for the Treatment of Prisoners (Nelson Mandela Rules) — </w:t>
      </w:r>
      <w:hyperlink r:id="rId26">
        <w:r>
          <w:rPr>
            <w:color w:val="1F4E79"/>
            <w:u w:val="single"/>
          </w:rPr>
          <w:t>https://www.unodc.org/justice-and-prison-reform/nelsonmandelarules.html</w:t>
        </w:r>
      </w:hyperlink>
    </w:p>
    <w:p>
      <w:pPr>
        <w:pStyle w:val="Reference"/>
        <w:widowControl w:val="1"/>
      </w:pPr>
      <w:r>
        <w:t xml:space="preserve">• INTERPOL — organization, member countries and National Central Bureaus — </w:t>
      </w:r>
      <w:hyperlink r:id="rId27">
        <w:r>
          <w:rPr>
            <w:color w:val="1F4E79"/>
            <w:u w:val="single"/>
          </w:rPr>
          <w:t>https://www.interpol.int/</w:t>
        </w:r>
      </w:hyperlink>
    </w:p>
    <w:p>
      <w:pPr>
        <w:pStyle w:val="Reference"/>
        <w:widowControl w:val="1"/>
      </w:pPr>
      <w:r>
        <w:t xml:space="preserve">• National Institute of Justice — criminological research and justice evidence — </w:t>
      </w:r>
      <w:hyperlink r:id="rId28">
        <w:r>
          <w:rPr>
            <w:color w:val="1F4E79"/>
            <w:u w:val="single"/>
          </w:rPr>
          <w:t>https://nij.ojp.gov/</w:t>
        </w:r>
      </w:hyperlink>
    </w:p>
    <w:p>
      <w:pPr>
        <w:pStyle w:val="Heading2"/>
        <w:widowControl w:val="1"/>
      </w:pPr>
      <w:r>
        <w:t>PHILOSOPHY</w:t>
      </w:r>
    </w:p>
    <w:p>
      <w:pPr>
        <w:pStyle w:val="Reference"/>
        <w:widowControl w:val="1"/>
      </w:pPr>
      <w:r>
        <w:t xml:space="preserve">• Stanford Encyclopedia of Philosophy — peer-reviewed reference entries — </w:t>
      </w:r>
      <w:hyperlink r:id="rId29">
        <w:r>
          <w:rPr>
            <w:color w:val="1F4E79"/>
            <w:u w:val="single"/>
          </w:rPr>
          <w:t>https://plato.stanford.edu/</w:t>
        </w:r>
      </w:hyperlink>
    </w:p>
    <w:p>
      <w:pPr>
        <w:pStyle w:val="Reference"/>
        <w:widowControl w:val="1"/>
      </w:pPr>
      <w:r>
        <w:t xml:space="preserve">• Stanford Encyclopedia of Philosophy — Ibn Sina, al-Ghazali and Ibn Rushd entries — </w:t>
      </w:r>
      <w:hyperlink r:id="rId29">
        <w:r>
          <w:rPr>
            <w:color w:val="1F4E79"/>
            <w:u w:val="single"/>
          </w:rPr>
          <w:t>https://plato.stanford.edu/</w:t>
        </w:r>
      </w:hyperlink>
    </w:p>
    <w:p>
      <w:pPr>
        <w:pStyle w:val="Reference"/>
        <w:widowControl w:val="1"/>
      </w:pPr>
      <w:r>
        <w:t xml:space="preserve">• Stanford Encyclopedia of Philosophy — Rawls, Foucault, Derrida, Pragmatism and Existentialism entries — </w:t>
      </w:r>
      <w:hyperlink r:id="rId29">
        <w:r>
          <w:rPr>
            <w:color w:val="1F4E79"/>
            <w:u w:val="single"/>
          </w:rPr>
          <w:t>https://plato.stanford.edu/</w:t>
        </w:r>
      </w:hyperlink>
    </w:p>
    <w:p>
      <w:pPr>
        <w:pStyle w:val="Heading2"/>
        <w:widowControl w:val="1"/>
      </w:pPr>
      <w:r>
        <w:t>Verification Anchors for Updated Material</w:t>
      </w:r>
    </w:p>
    <w:p>
      <w:pPr>
        <w:pStyle w:val="Reference"/>
        <w:widowControl w:val="1"/>
      </w:pPr>
      <w:r>
        <w:t xml:space="preserve">• SECP, “Acts” — Companies Act 2017 and updated schedules including 2025–26 materials — </w:t>
      </w:r>
      <w:hyperlink r:id="rId21">
        <w:r>
          <w:rPr>
            <w:color w:val="1F4E79"/>
            <w:u w:val="single"/>
          </w:rPr>
          <w:t>https://www.secp.gov.pk/laws/acts/</w:t>
        </w:r>
      </w:hyperlink>
    </w:p>
    <w:p>
      <w:pPr>
        <w:pStyle w:val="Reference"/>
        <w:widowControl w:val="1"/>
      </w:pPr>
      <w:r>
        <w:t xml:space="preserve">• Pakistan Code, Contract Act 1872 and other federal statutes — Ministry of Law and Justice — </w:t>
      </w:r>
      <w:hyperlink r:id="rId11">
        <w:r>
          <w:rPr>
            <w:color w:val="1F4E79"/>
            <w:u w:val="single"/>
          </w:rPr>
          <w:t>https://pakistancode.gov.pk/</w:t>
        </w:r>
      </w:hyperlink>
    </w:p>
    <w:p>
      <w:pPr>
        <w:pStyle w:val="Reference"/>
        <w:widowControl w:val="1"/>
      </w:pPr>
      <w:r>
        <w:t xml:space="preserve">• Sindh Laws, Sindh Consumer Protection Act 2014 (Sindh Act XVII of 2015) — </w:t>
      </w:r>
      <w:hyperlink r:id="rId24">
        <w:r>
          <w:rPr>
            <w:color w:val="1F4E79"/>
            <w:u w:val="single"/>
          </w:rPr>
          <w:t>https://www.sindhlaws.gov.pk/</w:t>
        </w:r>
      </w:hyperlink>
    </w:p>
    <w:p>
      <w:pPr>
        <w:pStyle w:val="Reference"/>
        <w:widowControl w:val="1"/>
      </w:pPr>
      <w:r>
        <w:t xml:space="preserve">• INTERPOL, “What is INTERPOL?” and current 196-member network — </w:t>
      </w:r>
      <w:hyperlink r:id="rId30">
        <w:r>
          <w:rPr>
            <w:color w:val="1F4E79"/>
            <w:u w:val="single"/>
          </w:rPr>
          <w:t>https://www.interpol.int/Who-we-are/What-is-INTERPOL</w:t>
        </w:r>
      </w:hyperlink>
    </w:p>
    <w:p>
      <w:pPr>
        <w:pStyle w:val="Reference"/>
        <w:widowControl w:val="1"/>
      </w:pPr>
      <w:r>
        <w:t xml:space="preserve">• Stanford Encyclopedia of Philosophy, peer-reviewed entries (including Rawls, Ibn Sina, al-Ghazali, Ibn Rushd, Foucault and Derrida) — </w:t>
      </w:r>
      <w:hyperlink r:id="rId29">
        <w:r>
          <w:rPr>
            <w:color w:val="1F4E79"/>
            <w:u w:val="single"/>
          </w:rPr>
          <w:t>https://plato.stanford.edu/</w:t>
        </w:r>
      </w:hyperlink>
    </w:p>
    <w:tbl>
      <w:tblPr>
        <w:tblW w:type="auto" w:w="0"/>
        <w:jc w:val="center"/>
        <w:tblLayout w:type="autofit"/>
        <w:tblLook w:firstColumn="1" w:firstRow="1" w:lastColumn="0" w:lastRow="0" w:noHBand="0" w:noVBand="1" w:val="04A0"/>
      </w:tblPr>
      <w:tblGrid>
        <w:gridCol w:w="9749"/>
      </w:tblGrid>
      <w:tr>
        <w:tc>
          <w:tcPr>
            <w:tcW w:type="dxa" w:w="9749"/>
            <w:shd w:fill="EEF4F8"/>
            <w:tcMar>
              <w:top w:w="120" w:type="dxa"/>
              <w:start w:w="140" w:type="dxa"/>
              <w:bottom w:w="120" w:type="dxa"/>
              <w:end w:w="140" w:type="dxa"/>
            </w:tcMar>
            <w:tcBorders>
              <w:top w:val="single" w:sz="6" w:color="8EA9C1"/>
              <w:bottom w:val="single" w:sz="6" w:color="8EA9C1"/>
              <w:start w:val="single" w:sz="6" w:color="8EA9C1"/>
              <w:end w:val="single" w:sz="6" w:color="8EA9C1"/>
            </w:tcBorders>
          </w:tcPr>
          <w:p>
            <w:r>
              <w:rPr>
                <w:b/>
                <w:sz w:val="21"/>
              </w:rPr>
              <w:t>Academic use note:</w:t>
            </w:r>
            <w:r>
              <w:t xml:space="preserve"> This resource is designed for examination study and conceptual mastery. It is not a substitute for professional legal advice. For legal problem-solving, current bare Acts, rules, Gazette notifications and authoritative judgments control over any explanatory summary.</w:t>
            </w:r>
          </w:p>
        </w:tc>
      </w:tr>
    </w:tbl>
    <w:sectPr w:rsidR="00FC693F" w:rsidRPr="0006063C" w:rsidSect="00034616">
      <w:headerReference w:type="default" r:id="rId9"/>
      <w:footerReference w:type="default" r:id="rId10"/>
      <w:pgSz w:w="11909" w:h="16834"/>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GROUP VI OPTIONAL SUBJECTS — MASTER STUDY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65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chingBullet">
    <w:name w:val="Teaching Bullet"/>
    <w:basedOn w:val="Normal"/>
    <w:pPr>
      <w:keepLines/>
      <w:spacing w:after="80"/>
      <w:ind w:left="317" w:hanging="202"/>
    </w:pPr>
    <w:rPr>
      <w:sz w:val="21"/>
    </w:rPr>
  </w:style>
  <w:style w:type="paragraph" w:customStyle="1" w:styleId="FocusBullet">
    <w:name w:val="Focus Bullet"/>
    <w:basedOn w:val="TeachingBullet"/>
    <w:rPr>
      <w:color w:val="414141"/>
      <w:sz w:val="20"/>
    </w:rPr>
  </w:style>
  <w:style w:type="paragraph" w:customStyle="1" w:styleId="TakeawayBullet">
    <w:name w:val="Takeaway Bullet"/>
    <w:basedOn w:val="TeachingBullet"/>
    <w:rPr>
      <w:sz w:val="21"/>
    </w:rPr>
  </w:style>
  <w:style w:type="paragraph" w:customStyle="1" w:styleId="SourceNote">
    <w:name w:val="Source Note"/>
    <w:basedOn w:val="Normal"/>
    <w:pPr>
      <w:spacing w:after="80"/>
    </w:pPr>
    <w:rPr>
      <w:i/>
      <w:color w:val="505050"/>
      <w:sz w:val="18"/>
    </w:rPr>
  </w:style>
  <w:style w:type="paragraph" w:customStyle="1" w:styleId="Flow">
    <w:name w:val="Flow"/>
    <w:basedOn w:val="Normal"/>
    <w:pPr>
      <w:spacing w:before="80" w:after="140"/>
      <w:ind w:left="216" w:right="216"/>
    </w:pPr>
    <w:rPr>
      <w:sz w:val="20"/>
    </w:rPr>
  </w:style>
  <w:style w:type="paragraph" w:customStyle="1" w:styleId="TopicIntro">
    <w:name w:val="Topic Intro"/>
    <w:basedOn w:val="Normal"/>
    <w:pPr>
      <w:spacing w:after="100"/>
    </w:pPr>
    <w:rPr>
      <w:sz w:val="22"/>
    </w:rPr>
  </w:style>
  <w:style w:type="paragraph" w:customStyle="1" w:styleId="Reference">
    <w:name w:val="Reference"/>
    <w:basedOn w:val="Normal"/>
    <w:pPr>
      <w:spacing w:after="50"/>
      <w:ind w:left="259" w:hanging="259"/>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kistancode.gov.pk/" TargetMode="External"/><Relationship Id="rId12" Type="http://schemas.openxmlformats.org/officeDocument/2006/relationships/hyperlink" Target="https://www.supremecourt.gov.pk/" TargetMode="External"/><Relationship Id="rId13" Type="http://schemas.openxmlformats.org/officeDocument/2006/relationships/hyperlink" Target="https://www.fpsc.gov.pk/" TargetMode="External"/><Relationship Id="rId14" Type="http://schemas.openxmlformats.org/officeDocument/2006/relationships/hyperlink" Target="https://www.un.org/en/about-us/un-charter/full-text" TargetMode="External"/><Relationship Id="rId15" Type="http://schemas.openxmlformats.org/officeDocument/2006/relationships/hyperlink" Target="https://www.icj-cij.org/statute" TargetMode="External"/><Relationship Id="rId16" Type="http://schemas.openxmlformats.org/officeDocument/2006/relationships/hyperlink" Target="https://legal.un.org/ilc/texts/instruments/english/conventions/1_1_1969.pdf" TargetMode="External"/><Relationship Id="rId17" Type="http://schemas.openxmlformats.org/officeDocument/2006/relationships/hyperlink" Target="https://legal.un.org/ilc/texts/instruments/english/draft_articles/9_6_2001.pdf" TargetMode="External"/><Relationship Id="rId18" Type="http://schemas.openxmlformats.org/officeDocument/2006/relationships/hyperlink" Target="https://ihl-databases.icrc.org/" TargetMode="External"/><Relationship Id="rId19" Type="http://schemas.openxmlformats.org/officeDocument/2006/relationships/hyperlink" Target="https://www.sbp.org.pk/ibd/" TargetMode="External"/><Relationship Id="rId20" Type="http://schemas.openxmlformats.org/officeDocument/2006/relationships/hyperlink" Target="https://aaoifi.com/" TargetMode="External"/><Relationship Id="rId21" Type="http://schemas.openxmlformats.org/officeDocument/2006/relationships/hyperlink" Target="https://www.secp.gov.pk/laws/acts/" TargetMode="External"/><Relationship Id="rId22" Type="http://schemas.openxmlformats.org/officeDocument/2006/relationships/hyperlink" Target="https://cc.gov.pk/" TargetMode="External"/><Relationship Id="rId23" Type="http://schemas.openxmlformats.org/officeDocument/2006/relationships/hyperlink" Target="https://www.sbp.org.pk/" TargetMode="External"/><Relationship Id="rId24" Type="http://schemas.openxmlformats.org/officeDocument/2006/relationships/hyperlink" Target="https://www.sindhlaws.gov.pk/" TargetMode="External"/><Relationship Id="rId25" Type="http://schemas.openxmlformats.org/officeDocument/2006/relationships/hyperlink" Target="https://www.unodc.org/" TargetMode="External"/><Relationship Id="rId26" Type="http://schemas.openxmlformats.org/officeDocument/2006/relationships/hyperlink" Target="https://www.unodc.org/justice-and-prison-reform/nelsonmandelarules.html" TargetMode="External"/><Relationship Id="rId27" Type="http://schemas.openxmlformats.org/officeDocument/2006/relationships/hyperlink" Target="https://www.interpol.int/" TargetMode="External"/><Relationship Id="rId28" Type="http://schemas.openxmlformats.org/officeDocument/2006/relationships/hyperlink" Target="https://nij.ojp.gov/" TargetMode="External"/><Relationship Id="rId29" Type="http://schemas.openxmlformats.org/officeDocument/2006/relationships/hyperlink" Target="https://plato.stanford.edu/" TargetMode="External"/><Relationship Id="rId30" Type="http://schemas.openxmlformats.org/officeDocument/2006/relationships/hyperlink" Target="https://www.interpol.int/Who-we-are/What-is-INTERP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VI Optional Subjects — Master Study Resource</dc:title>
  <dc:subject>Detailed beginner-friendly master notes for Group VI optional subjects</dc:subject>
  <dc:creator/>
  <cp:keywords>Law, Constitutional Law, International Law, Muslim Law, Mercantile Law, Criminology, Philosophy</cp:keywords>
  <dc:description>generated by python-docx</dc:description>
  <cp:lastModifiedBy/>
  <cp:revision>1</cp:revision>
  <dcterms:created xsi:type="dcterms:W3CDTF">2013-12-23T23:15:00Z</dcterms:created>
  <dcterms:modified xsi:type="dcterms:W3CDTF">2013-12-23T23:15:00Z</dcterms:modified>
  <cp:category/>
</cp:coreProperties>
</file>