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History of Pakistan &amp; India</w:t>
      </w:r>
    </w:p>
    <w:p>
      <w:pPr>
        <w:pStyle w:val="Subtitle"/>
      </w:pPr>
      <w:r>
        <w:t xml:space="preserve">Expanded</w:t>
      </w:r>
      <w:r>
        <w:t xml:space="preserve"> </w:t>
      </w:r>
      <w:r>
        <w:t xml:space="preserve">Master</w:t>
      </w:r>
      <w:r>
        <w:t xml:space="preserve"> </w:t>
      </w:r>
      <w:r>
        <w:t xml:space="preserve">Study</w:t>
      </w:r>
      <w:r>
        <w:t xml:space="preserve"> </w:t>
      </w:r>
      <w:r>
        <w:t xml:space="preserve">Resource</w:t>
      </w:r>
      <w:r>
        <w:t xml:space="preserve"> </w:t>
      </w:r>
      <w:r>
        <w:t xml:space="preserve">—</w:t>
      </w:r>
      <w:r>
        <w:t xml:space="preserve"> </w:t>
      </w:r>
      <w:r>
        <w:t xml:space="preserve">FPSC</w:t>
      </w:r>
      <w:r>
        <w:t xml:space="preserve"> </w:t>
      </w:r>
      <w:r>
        <w:t xml:space="preserve">Group</w:t>
      </w:r>
      <w:r>
        <w:t xml:space="preserve"> </w:t>
      </w:r>
      <w:r>
        <w:t xml:space="preserve">IV</w:t>
      </w:r>
      <w:r>
        <w:t xml:space="preserve"> </w:t>
      </w:r>
      <w:r>
        <w:t xml:space="preserve">Optional</w:t>
      </w:r>
      <w:r>
        <w:t xml:space="preserve"> </w:t>
      </w:r>
      <w:r>
        <w:t xml:space="preserve">Subject</w:t>
      </w:r>
      <w:r>
        <w:t xml:space="preserve"> </w:t>
      </w:r>
      <w:r>
        <w:t xml:space="preserve">(Code</w:t>
      </w:r>
      <w:r>
        <w:t xml:space="preserve"> </w:t>
      </w:r>
      <w:r>
        <w:t xml:space="preserve">26,</w:t>
      </w:r>
      <w:r>
        <w:t xml:space="preserve"> </w:t>
      </w:r>
      <w:r>
        <w:t xml:space="preserve">100</w:t>
      </w:r>
      <w:r>
        <w:t xml:space="preserve"> </w:t>
      </w:r>
      <w:r>
        <w:t xml:space="preserve">Marks)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3" w:name="how-to-use-this-resource"/>
    <w:p>
      <w:pPr>
        <w:pStyle w:val="Heading1"/>
      </w:pPr>
      <w:r>
        <w:t xml:space="preserve">How to Use This Resource</w:t>
      </w:r>
    </w:p>
    <w:p>
      <w:pPr>
        <w:pStyle w:val="FirstParagraph"/>
      </w:pPr>
      <w:r>
        <w:t xml:space="preserve">This resource expands the original</w:t>
      </w:r>
      <w:r>
        <w:t xml:space="preserve"> </w:t>
      </w:r>
      <w:r>
        <w:rPr>
          <w:iCs/>
          <w:i/>
        </w:rPr>
        <w:t xml:space="preserve">Group IV Easy Crash Course</w:t>
      </w:r>
      <w:r>
        <w:t xml:space="preserve"> </w:t>
      </w:r>
      <w:r>
        <w:t xml:space="preserve">chapter on the History of Pakistan &amp; India into a full teaching text. It keeps the original syllabus wording, preparation checklists,</w:t>
      </w:r>
      <w:r>
        <w:t xml:space="preserve"> </w:t>
      </w:r>
      <w:r>
        <w:t xml:space="preserve">“</w:t>
      </w:r>
      <w:r>
        <w:t xml:space="preserve">common confusions,</w:t>
      </w:r>
      <w:r>
        <w:t xml:space="preserve">”</w:t>
      </w:r>
      <w:r>
        <w:t xml:space="preserve"> </w:t>
      </w:r>
      <w:r>
        <w:t xml:space="preserve">and</w:t>
      </w:r>
      <w:r>
        <w:t xml:space="preserve"> </w:t>
      </w:r>
      <w:r>
        <w:t xml:space="preserve">“</w:t>
      </w:r>
      <w:r>
        <w:t xml:space="preserve">easy revision points</w:t>
      </w:r>
      <w:r>
        <w:t xml:space="preserve">”</w:t>
      </w:r>
      <w:r>
        <w:t xml:space="preserve"> </w:t>
      </w:r>
      <w:r>
        <w:t xml:space="preserve">from the crash course exactly where they were useful, and builds a much deeper explanatory layer around them: background, mechanisms, key terms, comparisons, historiographical debate, and a</w:t>
      </w:r>
      <w:r>
        <w:t xml:space="preserve"> </w:t>
      </w:r>
      <w:r>
        <w:t xml:space="preserve">“</w:t>
      </w:r>
      <w:r>
        <w:t xml:space="preserve">Key Takeaways</w:t>
      </w:r>
      <w:r>
        <w:t xml:space="preserve">”</w:t>
      </w:r>
      <w:r>
        <w:t xml:space="preserve"> </w:t>
      </w:r>
      <w:r>
        <w:t xml:space="preserve">section at the end of every topic.</w:t>
      </w:r>
    </w:p>
    <w:p>
      <w:pPr>
        <w:pStyle w:val="BodyText"/>
      </w:pPr>
      <w:r>
        <w:t xml:space="preserve">Two habits will make this resource far more useful than reading it once from top to bottom. First, read each topic in the order given below — introduction, background, main explanation, comparison, debate, takeaways — because each part depends on the one before it. Second, treat the</w:t>
      </w:r>
      <w:r>
        <w:t xml:space="preserve"> </w:t>
      </w:r>
      <w:r>
        <w:t xml:space="preserve">“</w:t>
      </w:r>
      <w:r>
        <w:t xml:space="preserve">Preparation Toolkit</w:t>
      </w:r>
      <w:r>
        <w:t xml:space="preserve">”</w:t>
      </w:r>
      <w:r>
        <w:t xml:space="preserve"> </w:t>
      </w:r>
      <w:r>
        <w:t xml:space="preserve">at the end of each topic as an active study task, not a summary to skim: build the timeline, fill in the comparison table, and write the one-paragraph analytical answer it asks for before moving to the next topic.</w:t>
      </w:r>
    </w:p>
    <w:p>
      <w:pPr>
        <w:pStyle w:val="BodyText"/>
      </w:pPr>
      <w:r>
        <w:t xml:space="preserve">A short caution on method: history examinations at this level reward causal explanation and balanced judgment far more than they reward the number of dates a candidate can recall. Every date in this resource is included because it anchors an argument, not because it needs to be memorised for its own sake.</w:t>
      </w:r>
    </w:p>
    <w:bookmarkStart w:id="20" w:name="official-syllabus-at-a-glance"/>
    <w:p>
      <w:pPr>
        <w:pStyle w:val="Heading2"/>
      </w:pPr>
      <w:r>
        <w:t xml:space="preserve">Official Syllabus at a Glance</w:t>
      </w:r>
    </w:p>
    <w:p>
      <w:pPr>
        <w:numPr>
          <w:ilvl w:val="0"/>
          <w:numId w:val="1001"/>
        </w:numPr>
        <w:pStyle w:val="Compact"/>
      </w:pPr>
      <w:r>
        <w:rPr>
          <w:bCs/>
          <w:b/>
        </w:rPr>
        <w:t xml:space="preserve">I. Muslim Rule and Heritage in India (712–1857):</w:t>
      </w:r>
      <w:r>
        <w:t xml:space="preserve"> </w:t>
      </w:r>
      <w:r>
        <w:t xml:space="preserve">arrival of Muslims; foundations of Muslim rule; Sultanate and Mughal dynasties; administration, judiciary, military, economy, education, society, art, architecture and culture.</w:t>
      </w:r>
    </w:p>
    <w:p>
      <w:pPr>
        <w:numPr>
          <w:ilvl w:val="0"/>
          <w:numId w:val="1001"/>
        </w:numPr>
        <w:pStyle w:val="Compact"/>
      </w:pPr>
      <w:r>
        <w:rPr>
          <w:bCs/>
          <w:b/>
        </w:rPr>
        <w:t xml:space="preserve">II. British Rule in India (1857–1947):</w:t>
      </w:r>
      <w:r>
        <w:t xml:space="preserve"> </w:t>
      </w:r>
      <w:r>
        <w:t xml:space="preserve">East India Company; decline of Mughal power; War of Independence 1857; consolidation of British rule; colonial administration and its effects.</w:t>
      </w:r>
    </w:p>
    <w:p>
      <w:pPr>
        <w:numPr>
          <w:ilvl w:val="0"/>
          <w:numId w:val="1001"/>
        </w:numPr>
        <w:pStyle w:val="Compact"/>
      </w:pPr>
      <w:r>
        <w:rPr>
          <w:bCs/>
          <w:b/>
        </w:rPr>
        <w:t xml:space="preserve">III. Constitutional and Political Reforms under the British (1858–1947):</w:t>
      </w:r>
      <w:r>
        <w:t xml:space="preserve"> </w:t>
      </w:r>
      <w:r>
        <w:t xml:space="preserve">major constitutional measures; development of representative institutions; rise and politics of the Indian National Congress.</w:t>
      </w:r>
    </w:p>
    <w:p>
      <w:pPr>
        <w:numPr>
          <w:ilvl w:val="0"/>
          <w:numId w:val="1001"/>
        </w:numPr>
        <w:pStyle w:val="Compact"/>
      </w:pPr>
      <w:r>
        <w:rPr>
          <w:bCs/>
          <w:b/>
        </w:rPr>
        <w:t xml:space="preserve">IV. Muslim Struggle for Independence:</w:t>
      </w:r>
      <w:r>
        <w:t xml:space="preserve"> </w:t>
      </w:r>
      <w:r>
        <w:t xml:space="preserve">Shah Waliullah, Syed Ahmad Shaheed, Sir Syed Ahmad Khan, Aligarh Movement, Partition of Bengal, Simla Deputation, Muslim League, Lucknow Pact, Khilafat Movement, Nehru Report and Jinnah’s Fourteen Points.</w:t>
      </w:r>
    </w:p>
    <w:p>
      <w:pPr>
        <w:numPr>
          <w:ilvl w:val="0"/>
          <w:numId w:val="1001"/>
        </w:numPr>
        <w:pStyle w:val="Compact"/>
      </w:pPr>
      <w:r>
        <w:rPr>
          <w:bCs/>
          <w:b/>
        </w:rPr>
        <w:t xml:space="preserve">V. Pakistan Movement:</w:t>
      </w:r>
      <w:r>
        <w:t xml:space="preserve"> </w:t>
      </w:r>
      <w:r>
        <w:t xml:space="preserve">Iqbal’s Allahabad Address, Round Table Conferences, Congress ministries, Lahore Resolution, Cripps Mission, Simla Conference, Cabinet Mission Plan, 3 June Plan and role of major leaders.</w:t>
      </w:r>
    </w:p>
    <w:p>
      <w:pPr>
        <w:numPr>
          <w:ilvl w:val="0"/>
          <w:numId w:val="1001"/>
        </w:numPr>
        <w:pStyle w:val="Compact"/>
      </w:pPr>
      <w:r>
        <w:rPr>
          <w:bCs/>
          <w:b/>
        </w:rPr>
        <w:t xml:space="preserve">VI. History of Pakistan (1947–to date):</w:t>
      </w:r>
      <w:r>
        <w:t xml:space="preserve"> </w:t>
      </w:r>
      <w:r>
        <w:t xml:space="preserve">early challenges, leadership of Quaid-i-Azam, constitutional development and political evolution.</w:t>
      </w:r>
    </w:p>
    <w:p>
      <w:pPr>
        <w:numPr>
          <w:ilvl w:val="0"/>
          <w:numId w:val="1001"/>
        </w:numPr>
        <w:pStyle w:val="Compact"/>
      </w:pPr>
      <w:r>
        <w:rPr>
          <w:bCs/>
          <w:b/>
        </w:rPr>
        <w:t xml:space="preserve">VII. Military in Politics:</w:t>
      </w:r>
      <w:r>
        <w:t xml:space="preserve"> </w:t>
      </w:r>
      <w:r>
        <w:t xml:space="preserve">Ayub Khan, Yahya Khan, Zia-ul-Haq and Pervez Musharraf; civil-military relations and effects on political development.</w:t>
      </w:r>
    </w:p>
    <w:p>
      <w:pPr>
        <w:numPr>
          <w:ilvl w:val="0"/>
          <w:numId w:val="1001"/>
        </w:numPr>
        <w:pStyle w:val="Compact"/>
      </w:pPr>
      <w:r>
        <w:rPr>
          <w:bCs/>
          <w:b/>
        </w:rPr>
        <w:t xml:space="preserve">VIII. Separation of East Pakistan:</w:t>
      </w:r>
      <w:r>
        <w:t xml:space="preserve"> </w:t>
      </w:r>
      <w:r>
        <w:t xml:space="preserve">political, economic, linguistic and constitutional dimensions; 1970 election; 1971 crisis and consequences.</w:t>
      </w:r>
    </w:p>
    <w:p>
      <w:pPr>
        <w:numPr>
          <w:ilvl w:val="0"/>
          <w:numId w:val="1001"/>
        </w:numPr>
        <w:pStyle w:val="Compact"/>
      </w:pPr>
      <w:r>
        <w:rPr>
          <w:bCs/>
          <w:b/>
        </w:rPr>
        <w:t xml:space="preserve">IX. Democracy in Pakistan:</w:t>
      </w:r>
      <w:r>
        <w:t xml:space="preserve"> </w:t>
      </w:r>
      <w:r>
        <w:t xml:space="preserve">democratic phases, political parties, elections, constitutional change and institutional development.</w:t>
      </w:r>
    </w:p>
    <w:p>
      <w:pPr>
        <w:numPr>
          <w:ilvl w:val="0"/>
          <w:numId w:val="1001"/>
        </w:numPr>
        <w:pStyle w:val="Compact"/>
      </w:pPr>
      <w:r>
        <w:rPr>
          <w:bCs/>
          <w:b/>
        </w:rPr>
        <w:t xml:space="preserve">X. Foreign Policy of Pakistan (1947–1999):</w:t>
      </w:r>
      <w:r>
        <w:t xml:space="preserve"> </w:t>
      </w:r>
      <w:r>
        <w:t xml:space="preserve">security, relations with major powers and neighbors, alliances, wars, regional diplomacy and nuclearization.</w:t>
      </w:r>
    </w:p>
    <w:bookmarkEnd w:id="20"/>
    <w:bookmarkStart w:id="22" w:name="how-to-approach-this-subject"/>
    <w:p>
      <w:pPr>
        <w:pStyle w:val="Heading2"/>
      </w:pPr>
      <w:r>
        <w:t xml:space="preserve">How to Approach This Subject</w:t>
      </w:r>
    </w:p>
    <w:p>
      <w:pPr>
        <w:pStyle w:val="FirstParagraph"/>
      </w:pPr>
      <w:r>
        <w:t xml:space="preserve">The single biggest mistake candidates make with this paper is treating it as ten unconnected topics to be memorised in isolation. The subject actually has one continuous argument running through it:</w:t>
      </w:r>
      <w:r>
        <w:t xml:space="preserve"> </w:t>
      </w:r>
      <w:r>
        <w:rPr>
          <w:iCs/>
          <w:i/>
        </w:rPr>
        <w:t xml:space="preserve">how political authority over the subcontinent, and later over Pakistan, was built, contested, and reorganised — and what that has meant for the institutions ordinary people live under.</w:t>
      </w:r>
      <w:r>
        <w:t xml:space="preserve"> </w:t>
      </w:r>
      <w:r>
        <w:t xml:space="preserve">Keeping that argument in view turns ten topics into one coherent story with several chapters.</w:t>
      </w:r>
    </w:p>
    <w:p>
      <w:pPr>
        <w:numPr>
          <w:ilvl w:val="0"/>
          <w:numId w:val="1002"/>
        </w:numPr>
        <w:pStyle w:val="Compact"/>
      </w:pPr>
      <w:r>
        <w:t xml:space="preserve">Build one master timeline running from 712 CE to the present, but use it to locate causes and consequences rather than to memorise dates for their own sake.</w:t>
      </w:r>
    </w:p>
    <w:p>
      <w:pPr>
        <w:numPr>
          <w:ilvl w:val="0"/>
          <w:numId w:val="1002"/>
        </w:numPr>
        <w:pStyle w:val="Compact"/>
      </w:pPr>
      <w:r>
        <w:t xml:space="preserve">For the pre-1947 portion, study political movements and constitutional reforms side by side. Constitutional change usually responded to political pressure, and political demands usually responded to what the previous constitutional reform had — and had not — granted.</w:t>
      </w:r>
    </w:p>
    <w:p>
      <w:pPr>
        <w:numPr>
          <w:ilvl w:val="0"/>
          <w:numId w:val="1002"/>
        </w:numPr>
        <w:pStyle w:val="Compact"/>
      </w:pPr>
      <w:r>
        <w:t xml:space="preserve">For the post-1947 portion, compare constitutional government, elected civilian government, and military government against each other rather than studying each period as a sealed compartment.</w:t>
      </w:r>
    </w:p>
    <w:p>
      <w:pPr>
        <w:numPr>
          <w:ilvl w:val="0"/>
          <w:numId w:val="1002"/>
        </w:numPr>
        <w:pStyle w:val="Compact"/>
      </w:pPr>
      <w:r>
        <w:t xml:space="preserve">Distinguish factual chronology from interpretation in every answer. The causes of the 1971 crisis, for instance, require political, economic, linguistic, constitutional and military dimensions held together at once — no single-cause explanation survives serious scrutiny.</w:t>
      </w:r>
    </w:p>
    <w:p>
      <w:pPr>
        <w:numPr>
          <w:ilvl w:val="0"/>
          <w:numId w:val="1002"/>
        </w:numPr>
        <w:pStyle w:val="Compact"/>
      </w:pPr>
      <w:r>
        <w:t xml:space="preserve">Use maps for territorial change, especially the subcontinent as a whole, Bengal, Kashmir, and the eastern and western wings of Pakistan.</w:t>
      </w:r>
    </w:p>
    <w:bookmarkStart w:id="21" w:name="subject-roadmap-in-the-simplest-form"/>
    <w:p>
      <w:pPr>
        <w:pStyle w:val="Heading3"/>
      </w:pPr>
      <w:r>
        <w:t xml:space="preserve">Subject Roadmap in the Simplest Form</w:t>
      </w:r>
    </w:p>
    <w:p>
      <w:pPr>
        <w:numPr>
          <w:ilvl w:val="0"/>
          <w:numId w:val="1003"/>
        </w:numPr>
        <w:pStyle w:val="Compact"/>
      </w:pPr>
      <w:r>
        <w:t xml:space="preserve">Read the subject in three large blocks: Muslim rule and civilization (Topic 1), British rule and the freedom movement (Topics 2–5), and Pakistan after 1947 (Topics 6–10).</w:t>
      </w:r>
    </w:p>
    <w:p>
      <w:pPr>
        <w:numPr>
          <w:ilvl w:val="0"/>
          <w:numId w:val="1003"/>
        </w:numPr>
        <w:pStyle w:val="Compact"/>
      </w:pPr>
      <w:r>
        <w:t xml:space="preserve">For 1857–1947, keep one constitutional timeline beside one political-movement timeline. The two repeatedly interact — a reform changes what politics can achieve, and politics then generates pressure for the next reform.</w:t>
      </w:r>
    </w:p>
    <w:p>
      <w:pPr>
        <w:numPr>
          <w:ilvl w:val="0"/>
          <w:numId w:val="1003"/>
        </w:numPr>
        <w:pStyle w:val="Compact"/>
      </w:pPr>
      <w:r>
        <w:t xml:space="preserve">For Pakistan after 1947, keep two parallel timelines: governments, and constitutional changes. This prevents the fall of a government from being confused with a change to the constitutional order itself, and vice versa.</w:t>
      </w:r>
    </w:p>
    <w:p>
      <w:pPr>
        <w:numPr>
          <w:ilvl w:val="0"/>
          <w:numId w:val="1003"/>
        </w:numPr>
        <w:pStyle w:val="Compact"/>
      </w:pPr>
      <w:r>
        <w:t xml:space="preserve">Prepare the major controversies — 1857, constitutional safeguards, 1971, military intervention, and the quality of democracy — as questions with multiple contributing causes, not single-cause stories.</w:t>
      </w:r>
    </w:p>
    <w:p>
      <w:pPr>
        <w:numPr>
          <w:ilvl w:val="0"/>
          <w:numId w:val="1003"/>
        </w:numPr>
        <w:pStyle w:val="Compact"/>
      </w:pPr>
      <w:r>
        <w:t xml:space="preserve">Use comparison tables for constitutional reforms and for military versus civilian regimes; they compress information that is otherwise easy to confuse.</w:t>
      </w:r>
    </w:p>
    <w:p>
      <w:pPr>
        <w:numPr>
          <w:ilvl w:val="0"/>
          <w:numId w:val="1003"/>
        </w:numPr>
        <w:pStyle w:val="Compact"/>
      </w:pPr>
      <w:r>
        <w:t xml:space="preserve">Attach verified dates, Acts, elections, treaties and resolutions only where they support an argument. An answer stuffed with unexplained dates reads as recall, not analysis.</w:t>
      </w:r>
    </w:p>
    <w:p>
      <w:pPr>
        <w:pStyle w:val="FirstParagraph"/>
      </w:pPr>
      <w:r>
        <w:t xml:space="preserve">The following sections explain every main syllabus topic in expanded form. The official syllabus headings are kept distinct from the explanatory material that follows them, so the syllabus itself is never silently altered.</w:t>
      </w:r>
    </w:p>
    <w:bookmarkEnd w:id="21"/>
    <w:bookmarkEnd w:id="22"/>
    <w:bookmarkEnd w:id="23"/>
    <w:bookmarkStart w:id="35" w:name="Xdb36cf319854b0ab254edf07d3acced5dfd88d7"/>
    <w:p>
      <w:pPr>
        <w:pStyle w:val="Heading1"/>
        <w:pageBreakBefore/>
      </w:pPr>
      <w:r>
        <w:t xml:space="preserve">1. Muslim Rule and Heritage in India (712–1857)</w:t>
      </w:r>
    </w:p>
    <w:bookmarkStart w:id="24" w:name="why-this-topic-matters"/>
    <w:p>
      <w:pPr>
        <w:pStyle w:val="Heading2"/>
      </w:pPr>
      <w:r>
        <w:t xml:space="preserve">Why This Topic Matters</w:t>
      </w:r>
    </w:p>
    <w:p>
      <w:pPr>
        <w:pStyle w:val="FirstParagraph"/>
      </w:pPr>
      <w:r>
        <w:t xml:space="preserve">This topic covers eleven and a half centuries — longer than any other topic in the syllabus — and it sets up almost everything that follows. The institutions the British eventually took over (a land-revenue system, a service nobility, a body of provincial administration), the demographic and cultural facts that later made partition conceivable (a large, geographically concentrated Muslim population with its own political memory), and the very idea that religious community could be a basis for political claims, all have roots in this period. A candidate who treats it only as a sequence of dynasties will struggle with every later topic; a candidate who understands it as the building and eventual weakening of a durable state system will find Topics 2 through 5 much easier to explain.</w:t>
      </w:r>
    </w:p>
    <w:bookmarkEnd w:id="24"/>
    <w:bookmarkStart w:id="25" w:name="X7c8f78fb7d429ecd7742935e9b14baddc826f7b"/>
    <w:p>
      <w:pPr>
        <w:pStyle w:val="Heading2"/>
      </w:pPr>
      <w:r>
        <w:t xml:space="preserve">Background: The Subcontinent Before Sustained Muslim Rule</w:t>
      </w:r>
    </w:p>
    <w:p>
      <w:pPr>
        <w:pStyle w:val="FirstParagraph"/>
      </w:pPr>
      <w:r>
        <w:t xml:space="preserve">Before 712 CE, the Indian subcontinent had no single political centre. Political power was fragmented among regional kingdoms — in the north, dynasties such as the Gurjara-Pratiharas, the Palas of Bengal, and various Rajput principalities contested territory; in the Deccan and south, the Chalukyas, Rashtrakutas, Pallavas and later the Cholas built their own regional states. Society was organised through the caste system, temple-centred religious and economic life, and a strong tradition of regional kingship legitimated through Brahmanical ritual. This fragmentation matters for understanding what followed: there was no single</w:t>
      </w:r>
      <w:r>
        <w:t xml:space="preserve"> </w:t>
      </w:r>
      <w:r>
        <w:t xml:space="preserve">“</w:t>
      </w:r>
      <w:r>
        <w:t xml:space="preserve">Indian empire</w:t>
      </w:r>
      <w:r>
        <w:t xml:space="preserve">”</w:t>
      </w:r>
      <w:r>
        <w:t xml:space="preserve"> </w:t>
      </w:r>
      <w:r>
        <w:t xml:space="preserve">for Muslim rulers to displace. Instead, incoming Muslim power entered a patchwork of competing regional states, allied with some, defeated others, and was itself repeatedly absorbed into regional politics rather than imposed as a single uniform system from outside.</w:t>
      </w:r>
    </w:p>
    <w:p>
      <w:pPr>
        <w:pStyle w:val="BodyText"/>
      </w:pPr>
      <w:r>
        <w:t xml:space="preserve">At the same time, in the Arabian Peninsula and the wider Middle East, the seventh century saw the rise of Islam under the Prophet Muhammad (570–632 CE) and the rapid expansion of Muslim political power under the Rashidun and then the Umayyad Caliphate. By the early eighth century, Umayyad power stretched from Spain to Central Asia. The conquest of Sindh has to be understood as one edge of this much larger imperial expansion — a frontier campaign of the Umayyad Caliphate, not an isolated event in Indian history alone.</w:t>
      </w:r>
    </w:p>
    <w:bookmarkEnd w:id="25"/>
    <w:bookmarkStart w:id="26" w:name="Xd7af748074722e8e3b021642bd89bdaa64454e2"/>
    <w:p>
      <w:pPr>
        <w:pStyle w:val="Heading2"/>
      </w:pPr>
      <w:r>
        <w:t xml:space="preserve">From Sindh to the Sultanate: The Long Build-Up (711–1206)</w:t>
      </w:r>
    </w:p>
    <w:p>
      <w:pPr>
        <w:pStyle w:val="FirstParagraph"/>
      </w:pPr>
      <w:r>
        <w:rPr>
          <w:bCs/>
          <w:b/>
        </w:rPr>
        <w:t xml:space="preserve">The Arab conquest of Sindh.</w:t>
      </w:r>
      <w:r>
        <w:t xml:space="preserve"> </w:t>
      </w:r>
      <w:r>
        <w:t xml:space="preserve">In 711–712 CE, a young Umayyad commander, Muhammad bin Qasim, led a campaign into Sindh on the orders of the governor of Iraq, Hajjaj bin Yusuf. The immediate trigger usually cited is a dispute over the treatment of Arab traders and pilgrims — accounts describe Arab ships being attacked near Debal (close to modern Karachi) and Hajjaj using this as grounds for military action against Raja Dahir, the ruler of Sindh. Muhammad bin Qasim defeated Dahir, captured key towns including Debal, Nerun, Aror and Multan, and established Umayyad rule over Sindh and southern Punjab.</w:t>
      </w:r>
    </w:p>
    <w:p>
      <w:pPr>
        <w:pStyle w:val="BodyText"/>
      </w:pPr>
      <w:r>
        <w:t xml:space="preserve">What matters for the exam is not the campaign narrative alone but its significance: this was the first durable Muslim political foothold in South Asia, administered initially as a frontier province of the Umayyad, then Abbasid, Caliphate. It did</w:t>
      </w:r>
      <w:r>
        <w:t xml:space="preserve"> </w:t>
      </w:r>
      <w:r>
        <w:rPr>
          <w:bCs/>
          <w:b/>
        </w:rPr>
        <w:t xml:space="preserve">not</w:t>
      </w:r>
      <w:r>
        <w:t xml:space="preserve"> </w:t>
      </w:r>
      <w:r>
        <w:t xml:space="preserve">immediately extend Muslim rule over the rest of the subcontinent — Sindh remained a distant, semi-autonomous frontier for the next three centuries, eventually passing to local Arab and then non-Arab dynasties as Abbasid central control weakened. Treating 712 as the start of one continuous empire is the single most common error candidates make with this topic.</w:t>
      </w:r>
    </w:p>
    <w:p>
      <w:pPr>
        <w:pStyle w:val="BodyText"/>
      </w:pPr>
      <w:r>
        <w:rPr>
          <w:bCs/>
          <w:b/>
        </w:rPr>
        <w:t xml:space="preserve">From raids to conquest: Ghaznavids and Ghurids.</w:t>
      </w:r>
      <w:r>
        <w:t xml:space="preserve"> </w:t>
      </w:r>
      <w:r>
        <w:t xml:space="preserve">The next major wave came from Central Asia rather than Arabia. Mahmud of Ghazni (ruled 998–1030) led a famous series of campaigns into north-western India, most remembered for the repeated raids into Punjab and the 1025 raid on the Somnath temple in Gujarat. Historians read Mahmud’s motives in more than one way: contemporary court chronicles emphasise religious merit and iconoclasm, while modern historians (for example Romila Thapar’s extended study of the Somnath episode) point out that temple treasuries were also major concentrations of wealth in this period, so plunder and legitimation through religious language often operated together rather than as alternatives. What is not disputed is the outcome: Mahmud annexed Punjab to the Ghaznavid empire but did not attempt to conquer the interior of India, so his raids should be understood as wealth-extraction and frontier expansion rather than the founding of settled Muslim rule over India as a whole.</w:t>
      </w:r>
    </w:p>
    <w:p>
      <w:pPr>
        <w:pStyle w:val="BodyText"/>
      </w:pPr>
      <w:r>
        <w:t xml:space="preserve">Settled Muslim political rule over northern India began later, with the Ghurid dynasty. Muhammad Ghuri (also called Muizz ud-Din Muhammad) invaded India repeatedly from the 1170s, was defeated by the Rajput confederacy under Prithviraj Chauhan at the First Battle of Tarain (1191), but returned the following year and decisively defeated Prithviraj at the Second Battle of Tarain (1192). This second battle is the conventional turning point: Ghurid generals, especially the slave-commander Qutb-ud-din Aibak, then extended control over Delhi, Ajmer and much of the Gangetic plain. When Muhammad Ghuri was assassinated in 1206, Aibak, who had governed Ghurid territories in India as a trusted commander, established himself as an independent ruler in Delhi — conventionally treated as the founding moment of the Delhi Sultanate.</w:t>
      </w:r>
    </w:p>
    <w:bookmarkEnd w:id="26"/>
    <w:bookmarkStart w:id="27" w:name="X91a7e82b5f96c3f830507b5109cb474d72370dc"/>
    <w:p>
      <w:pPr>
        <w:pStyle w:val="Heading2"/>
      </w:pPr>
      <w:r>
        <w:t xml:space="preserve">The Delhi Sultanate (1206–1526): Building a State</w:t>
      </w:r>
    </w:p>
    <w:p>
      <w:pPr>
        <w:pStyle w:val="FirstParagraph"/>
      </w:pPr>
      <w:r>
        <w:t xml:space="preserve">The Sultanate period is best learned as a sequence of five dynasties, each of which faced the same underlying problem in a different way: how does a relatively small ruling elite of Turkic, Afghan and (later) local converts govern a vast, religiously and culturally diverse subcontinental population, defend against external threats (chiefly the Mongols), and prevent its own military aristocracy from fragmenting the state?</w:t>
      </w:r>
    </w:p>
    <w:p>
      <w:pPr>
        <w:pStyle w:val="BodyText"/>
      </w:pPr>
      <w:r>
        <w:rPr>
          <w:bCs/>
          <w:b/>
        </w:rPr>
        <w:t xml:space="preserve">The Mamluk (Slave) dynasty (1206–1290).</w:t>
      </w:r>
      <w:r>
        <w:t xml:space="preserve"> </w:t>
      </w:r>
      <w:r>
        <w:t xml:space="preserve">Qutb-ud-din Aibak began the dynasty; his most important successor, Iltutmish (r. 1211–1236), is usually credited with actually consolidating Delhi Sultanate rule — securing recognition from the Abbasid Caliph, developing the</w:t>
      </w:r>
      <w:r>
        <w:t xml:space="preserve"> </w:t>
      </w:r>
      <w:r>
        <w:rPr>
          <w:iCs/>
          <w:i/>
        </w:rPr>
        <w:t xml:space="preserve">iqta</w:t>
      </w:r>
      <w:r>
        <w:t xml:space="preserve"> </w:t>
      </w:r>
      <w:r>
        <w:t xml:space="preserve">system of assigning revenue-bearing land to nobles in exchange for military service, and defending Delhi from the first waves of Mongol pressure under Genghis Khan’s forces. Razia Sultana (r. 1236–1240), Iltutmish’s daughter, is a notable exception in a male-dominated succession pattern, though her short reign ended in a nobles’ revolt — a useful example of how the Turkish military aristocracy (the</w:t>
      </w:r>
      <w:r>
        <w:t xml:space="preserve"> </w:t>
      </w:r>
      <w:r>
        <w:t xml:space="preserve">“</w:t>
      </w:r>
      <w:r>
        <w:t xml:space="preserve">Chihalgani</w:t>
      </w:r>
      <w:r>
        <w:t xml:space="preserve">”</w:t>
      </w:r>
      <w:r>
        <w:t xml:space="preserve"> </w:t>
      </w:r>
      <w:r>
        <w:t xml:space="preserve">or Forty) constrained even a capable ruler’s authority. Ghiyas-ud-din Balban (r. 1266–1287) developed an elaborate theory of divine kingship (</w:t>
      </w:r>
      <w:r>
        <w:rPr>
          <w:iCs/>
          <w:i/>
        </w:rPr>
        <w:t xml:space="preserve">zill-i-ilahi</w:t>
      </w:r>
      <w:r>
        <w:t xml:space="preserve">,</w:t>
      </w:r>
      <w:r>
        <w:t xml:space="preserve"> </w:t>
      </w:r>
      <w:r>
        <w:t xml:space="preserve">“</w:t>
      </w:r>
      <w:r>
        <w:t xml:space="preserve">shadow of God</w:t>
      </w:r>
      <w:r>
        <w:t xml:space="preserve">”</w:t>
      </w:r>
      <w:r>
        <w:t xml:space="preserve">) to strengthen royal authority against the nobility, alongside a harsh internal-security policy and continued Mongol defence.</w:t>
      </w:r>
    </w:p>
    <w:p>
      <w:pPr>
        <w:pStyle w:val="BodyText"/>
      </w:pPr>
      <w:r>
        <w:rPr>
          <w:bCs/>
          <w:b/>
        </w:rPr>
        <w:t xml:space="preserve">The Khalji dynasty (1290–1320).</w:t>
      </w:r>
      <w:r>
        <w:t xml:space="preserve"> </w:t>
      </w:r>
      <w:r>
        <w:t xml:space="preserve">Alauddin Khalji (r. 1296–1316) is the dynasty’s dominant figure. His reign shows the Sultanate at its most centralising: he introduced market-control regulations (fixing prices of grain, cloth and horses to maintain a large standing army affordably), reorganised land revenue assessment, and built a large, disciplined army that decisively defeated repeated Mongol invasions — arguably the single most important achievement of any Sultanate ruler, since a Mongol conquest of Delhi would have altered the entire subsequent history of the region. He also extended Sultanate authority deep into the Deccan through campaigns led by his general Malik Kafur.</w:t>
      </w:r>
    </w:p>
    <w:p>
      <w:pPr>
        <w:pStyle w:val="BodyText"/>
      </w:pPr>
      <w:r>
        <w:rPr>
          <w:bCs/>
          <w:b/>
        </w:rPr>
        <w:t xml:space="preserve">The Tughlaq dynasty (1320–1414).</w:t>
      </w:r>
      <w:r>
        <w:t xml:space="preserve"> </w:t>
      </w:r>
      <w:r>
        <w:t xml:space="preserve">Muhammad bin Tughlaq (r. 1325–1351) is remembered for two controversial policies often mishandled in students’ answers: the transfer of the capital from Delhi to Daulatabad in the Deccan (intended to better govern the empire’s southern territories, but executed in a way that caused severe hardship and was eventually reversed), and the introduction of token currency (copper or brass coins declared equal in value to silver, an idea with sound economic logic — similar to modern fiat currency — but undermined by weak controls against forgery, which forced its withdrawal). These episodes are best explained as ambitious but poorly implemented reforms rather than simple</w:t>
      </w:r>
      <w:r>
        <w:t xml:space="preserve"> </w:t>
      </w:r>
      <w:r>
        <w:t xml:space="preserve">“</w:t>
      </w:r>
      <w:r>
        <w:t xml:space="preserve">mistakes of a mad king,</w:t>
      </w:r>
      <w:r>
        <w:t xml:space="preserve">”</w:t>
      </w:r>
      <w:r>
        <w:t xml:space="preserve"> </w:t>
      </w:r>
      <w:r>
        <w:t xml:space="preserve">a dated and overly personalised framing. Firoz Shah Tughlaq (r. 1351–1388) pursued a more consolidating, less experimental policy: he undertook major public works (canals, hospitals, rest-houses), reorganised taxation along lines more consistent with Islamic jurisprudence, and is credited with an extensive programme of city-building, though later Tughlaq rulers proved weak and the dynasty fragmented — Timur’s devastating sack of Delhi in 1398 marks the effective end of Tughlaq central authority.</w:t>
      </w:r>
    </w:p>
    <w:p>
      <w:pPr>
        <w:pStyle w:val="BodyText"/>
      </w:pPr>
      <w:r>
        <w:rPr>
          <w:bCs/>
          <w:b/>
        </w:rPr>
        <w:t xml:space="preserve">The Sayyid (1414–1451) and Lodi (1451–1526) dynasties.</w:t>
      </w:r>
      <w:r>
        <w:t xml:space="preserve"> </w:t>
      </w:r>
      <w:r>
        <w:t xml:space="preserve">These two shorter dynasties ruled over a much-reduced Sultanate, with real power increasingly regional (Bengal, Malwa, Gujarat and the Deccan sultanates had become independent). Sikandar Lodi (r. 1489–1517) is the most notable Lodi ruler, credited with administrative consolidation and the founding of Agra. The dynasty ended when Ibrahim Lodi was defeated and killed by Babur at the First Battle of Panipat in 1526 — the event that conventionally opens the Mughal period.</w:t>
      </w:r>
    </w:p>
    <w:p>
      <w:pPr>
        <w:pStyle w:val="BodyText"/>
      </w:pPr>
      <w:r>
        <w:rPr>
          <w:bCs/>
          <w:b/>
        </w:rPr>
        <w:t xml:space="preserve">Institutions of the Sultanate.</w:t>
      </w:r>
      <w:r>
        <w:t xml:space="preserve"> </w:t>
      </w:r>
      <w:r>
        <w:t xml:space="preserve">For the examination, it helps to separate four institutional threads that ran through all five dynasties:</w:t>
      </w:r>
    </w:p>
    <w:p>
      <w:pPr>
        <w:numPr>
          <w:ilvl w:val="0"/>
          <w:numId w:val="1004"/>
        </w:numPr>
        <w:pStyle w:val="Compact"/>
      </w:pPr>
      <w:r>
        <w:rPr>
          <w:bCs/>
          <w:b/>
        </w:rPr>
        <w:t xml:space="preserve">The iqta system:</w:t>
      </w:r>
      <w:r>
        <w:t xml:space="preserve"> </w:t>
      </w:r>
      <w:r>
        <w:t xml:space="preserve">Revenue-bearing territories (</w:t>
      </w:r>
      <w:r>
        <w:rPr>
          <w:iCs/>
          <w:i/>
        </w:rPr>
        <w:t xml:space="preserve">iqtas</w:t>
      </w:r>
      <w:r>
        <w:t xml:space="preserve">) were assigned to nobles (</w:t>
      </w:r>
      <w:r>
        <w:rPr>
          <w:iCs/>
          <w:i/>
        </w:rPr>
        <w:t xml:space="preserve">iqtadars</w:t>
      </w:r>
      <w:r>
        <w:t xml:space="preserve"> </w:t>
      </w:r>
      <w:r>
        <w:t xml:space="preserve">or</w:t>
      </w:r>
      <w:r>
        <w:t xml:space="preserve"> </w:t>
      </w:r>
      <w:r>
        <w:rPr>
          <w:iCs/>
          <w:i/>
        </w:rPr>
        <w:t xml:space="preserve">muqtis</w:t>
      </w:r>
      <w:r>
        <w:t xml:space="preserve">) in return for maintaining a fixed quota of cavalry for the Sultan’s army. This solved the problem of paying a large standing army without a fully monetised, centrally administered treasury, but it also meant that provincial nobles controlled real military and fiscal resources — a persistent source of tension between centre and periphery that recurs, in different institutional forms, throughout the rest of the topic (and, much later, in Mughal jagirdari crisis and in the constitutional centre-province debates of Topics 3 and 6).</w:t>
      </w:r>
    </w:p>
    <w:p>
      <w:pPr>
        <w:numPr>
          <w:ilvl w:val="0"/>
          <w:numId w:val="1004"/>
        </w:numPr>
        <w:pStyle w:val="Compact"/>
      </w:pPr>
      <w:r>
        <w:rPr>
          <w:bCs/>
          <w:b/>
        </w:rPr>
        <w:t xml:space="preserve">Judicial administration:</w:t>
      </w:r>
      <w:r>
        <w:t xml:space="preserve"> </w:t>
      </w:r>
      <w:r>
        <w:t xml:space="preserve">The Sultan’s court, provincial governors, and appointed judges (</w:t>
      </w:r>
      <w:r>
        <w:rPr>
          <w:iCs/>
          <w:i/>
        </w:rPr>
        <w:t xml:space="preserve">qazis</w:t>
      </w:r>
      <w:r>
        <w:t xml:space="preserve">) administered justice according to Islamic law (</w:t>
      </w:r>
      <w:r>
        <w:rPr>
          <w:iCs/>
          <w:i/>
        </w:rPr>
        <w:t xml:space="preserve">sharia</w:t>
      </w:r>
      <w:r>
        <w:t xml:space="preserve">, chiefly through the Hanafi school) for matters involving Muslims, while Hindu subjects generally continued to use their own customary and caste-based dispute-resolution mechanisms (village panchayats, caste councils) for most civil matters — a pattern of legal pluralism, not a single uniform legal code imposed on the whole population.</w:t>
      </w:r>
    </w:p>
    <w:p>
      <w:pPr>
        <w:numPr>
          <w:ilvl w:val="0"/>
          <w:numId w:val="1004"/>
        </w:numPr>
        <w:pStyle w:val="Compact"/>
      </w:pPr>
      <w:r>
        <w:rPr>
          <w:bCs/>
          <w:b/>
        </w:rPr>
        <w:t xml:space="preserve">The military:</w:t>
      </w:r>
      <w:r>
        <w:t xml:space="preserve"> </w:t>
      </w:r>
      <w:r>
        <w:t xml:space="preserve">Sultanate armies were cavalry-based, funded through the iqta system, and repeatedly tested by the most serious external threat of the period — recurring Mongol invasions from the 1220s through the early fourteenth century. Successful Mongol defence, especially under Balban and Alauddin Khalji, should be treated as a major (and often under-credited) achievement of the Sultanate state.</w:t>
      </w:r>
    </w:p>
    <w:p>
      <w:pPr>
        <w:numPr>
          <w:ilvl w:val="0"/>
          <w:numId w:val="1004"/>
        </w:numPr>
        <w:pStyle w:val="Compact"/>
      </w:pPr>
      <w:r>
        <w:rPr>
          <w:bCs/>
          <w:b/>
        </w:rPr>
        <w:t xml:space="preserve">Society and religion:</w:t>
      </w:r>
      <w:r>
        <w:t xml:space="preserve"> </w:t>
      </w:r>
      <w:r>
        <w:t xml:space="preserve">The Sultanate ruled over an overwhelmingly non-Muslim population. The</w:t>
      </w:r>
      <w:r>
        <w:t xml:space="preserve"> </w:t>
      </w:r>
      <w:r>
        <w:rPr>
          <w:iCs/>
          <w:i/>
        </w:rPr>
        <w:t xml:space="preserve">jizya</w:t>
      </w:r>
      <w:r>
        <w:t xml:space="preserve"> </w:t>
      </w:r>
      <w:r>
        <w:t xml:space="preserve">(a tax on non-Muslim subjects, exempting them from military service) was levied, though its application varied by ruler and period and was sometimes waived for particular groups. Sufi orders (the Chishti order, associated with figures such as Khwaja Muinuddin Chishti of Ajmer and Nizamuddin Auliya of Delhi, is especially important) spread through the countryside during this period, building shrines that became centres of popular devotion attracting both Muslim and Hindu visitors — an important channel of cultural interaction distinct from, and often more locally influential than, state policy itself.</w:t>
      </w:r>
    </w:p>
    <w:bookmarkEnd w:id="27"/>
    <w:bookmarkStart w:id="28" w:name="Xcb8e750ee849e575b68621504ad7e551fdf2795"/>
    <w:p>
      <w:pPr>
        <w:pStyle w:val="Heading2"/>
      </w:pPr>
      <w:r>
        <w:t xml:space="preserve">The Mughal Empire (1526–1857): Consolidation and Institution-Building</w:t>
      </w:r>
    </w:p>
    <w:p>
      <w:pPr>
        <w:pStyle w:val="FirstParagraph"/>
      </w:pPr>
      <w:r>
        <w:rPr>
          <w:bCs/>
          <w:b/>
        </w:rPr>
        <w:t xml:space="preserve">Founding and the Sur interregnum.</w:t>
      </w:r>
      <w:r>
        <w:t xml:space="preserve"> </w:t>
      </w:r>
      <w:r>
        <w:t xml:space="preserve">Babur, a Central Asian prince descended from both Timur and Genghis Khan, defeated Ibrahim Lodi at the First Battle of Panipat (1526) and then defeated a Rajput confederacy under Rana Sanga at Khanwa (1527), establishing Mughal rule in northern India. His son Humayun, however, was driven out of India by the Afghan noble Sher Shah Suri in 1540 and spent roughly fifteen years in exile (including a period at the Safavid Persian court) before reclaiming Delhi in 1555. Sher Shah Suri’s brief interregnum (1540–1545) matters more than its short length suggests: he introduced administrative reforms — a systematic land-revenue survey and assessment, a stable silver currency (the rupiya, ancestor of the modern rupee), an extensive road network including the Grand Trunk Road, and a chain of</w:t>
      </w:r>
      <w:r>
        <w:t xml:space="preserve"> </w:t>
      </w:r>
      <w:r>
        <w:rPr>
          <w:iCs/>
          <w:i/>
        </w:rPr>
        <w:t xml:space="preserve">sarais</w:t>
      </w:r>
      <w:r>
        <w:t xml:space="preserve"> </w:t>
      </w:r>
      <w:r>
        <w:t xml:space="preserve">(rest-houses) supporting trade and communication — that the Mughals, under Akbar in particular, later adopted and refined rather than invented from scratch. This is a useful corrective to any account that treats Mughal administrative achievement as arising purely from Mughal genius; a good part of it was inherited and improved.</w:t>
      </w:r>
    </w:p>
    <w:p>
      <w:pPr>
        <w:pStyle w:val="BodyText"/>
      </w:pPr>
      <w:r>
        <w:rPr>
          <w:bCs/>
          <w:b/>
        </w:rPr>
        <w:t xml:space="preserve">Akbar and imperial consolidation (r. 1556–1605).</w:t>
      </w:r>
      <w:r>
        <w:t xml:space="preserve"> </w:t>
      </w:r>
      <w:r>
        <w:t xml:space="preserve">Akbar is the pivotal figure in Mughal state-building. His reign combined military expansion (bringing Rajputana, Gujarat, Bengal and much of the Deccan frontier under Mughal control, often through a mixture of conquest and alliance — most famously marrying into Rajput royal families and incorporating Rajput nobles into the imperial nobility rather than simply conquering and excluding them) with major administrative reform:</w:t>
      </w:r>
    </w:p>
    <w:p>
      <w:pPr>
        <w:numPr>
          <w:ilvl w:val="0"/>
          <w:numId w:val="1005"/>
        </w:numPr>
        <w:pStyle w:val="Compact"/>
      </w:pPr>
      <w:r>
        <w:t xml:space="preserve">The</w:t>
      </w:r>
      <w:r>
        <w:t xml:space="preserve"> </w:t>
      </w:r>
      <w:r>
        <w:rPr>
          <w:bCs/>
          <w:b/>
        </w:rPr>
        <w:t xml:space="preserve">mansabdari system</w:t>
      </w:r>
      <w:r>
        <w:t xml:space="preserve"> </w:t>
      </w:r>
      <w:r>
        <w:t xml:space="preserve">ranked every noble (</w:t>
      </w:r>
      <w:r>
        <w:rPr>
          <w:iCs/>
          <w:i/>
        </w:rPr>
        <w:t xml:space="preserve">mansabdar</w:t>
      </w:r>
      <w:r>
        <w:t xml:space="preserve">) with a numerical rank indicating both personal status (</w:t>
      </w:r>
      <w:r>
        <w:rPr>
          <w:iCs/>
          <w:i/>
        </w:rPr>
        <w:t xml:space="preserve">zat</w:t>
      </w:r>
      <w:r>
        <w:t xml:space="preserve">) and the number of cavalry he was obliged to maintain (</w:t>
      </w:r>
      <w:r>
        <w:rPr>
          <w:iCs/>
          <w:i/>
        </w:rPr>
        <w:t xml:space="preserve">sawar</w:t>
      </w:r>
      <w:r>
        <w:t xml:space="preserve">). Mansabdars were typically paid through assignment of</w:t>
      </w:r>
      <w:r>
        <w:t xml:space="preserve"> </w:t>
      </w:r>
      <w:r>
        <w:rPr>
          <w:iCs/>
          <w:i/>
        </w:rPr>
        <w:t xml:space="preserve">jagirs</w:t>
      </w:r>
      <w:r>
        <w:t xml:space="preserve"> </w:t>
      </w:r>
      <w:r>
        <w:t xml:space="preserve">(revenue rights over specified territory, conceptually similar to the Sultanate’s iqta but administered as part of a more centralised, rotating system to prevent any noble from building an entrenched regional power base).</w:t>
      </w:r>
    </w:p>
    <w:p>
      <w:pPr>
        <w:numPr>
          <w:ilvl w:val="0"/>
          <w:numId w:val="1005"/>
        </w:numPr>
        <w:pStyle w:val="Compact"/>
      </w:pPr>
      <w:r>
        <w:t xml:space="preserve">The</w:t>
      </w:r>
      <w:r>
        <w:t xml:space="preserve"> </w:t>
      </w:r>
      <w:r>
        <w:rPr>
          <w:bCs/>
          <w:b/>
        </w:rPr>
        <w:t xml:space="preserve">zabt revenue system</w:t>
      </w:r>
      <w:r>
        <w:t xml:space="preserve">, developed under the finance minister Raja Todar Mal, assessed land revenue based on careful measurement of cultivated land and a ten-year average of crop yields and prices (the</w:t>
      </w:r>
      <w:r>
        <w:t xml:space="preserve"> </w:t>
      </w:r>
      <w:r>
        <w:rPr>
          <w:iCs/>
          <w:i/>
        </w:rPr>
        <w:t xml:space="preserve">dahsala</w:t>
      </w:r>
      <w:r>
        <w:t xml:space="preserve"> </w:t>
      </w:r>
      <w:r>
        <w:t xml:space="preserve">system), aiming for a predictable, sustainable share of agricultural output rather than arbitrary extraction.</w:t>
      </w:r>
    </w:p>
    <w:p>
      <w:pPr>
        <w:numPr>
          <w:ilvl w:val="0"/>
          <w:numId w:val="1005"/>
        </w:numPr>
        <w:pStyle w:val="Compact"/>
      </w:pPr>
      <w:r>
        <w:t xml:space="preserve">Akbar’s</w:t>
      </w:r>
      <w:r>
        <w:t xml:space="preserve"> </w:t>
      </w:r>
      <w:r>
        <w:rPr>
          <w:bCs/>
          <w:b/>
        </w:rPr>
        <w:t xml:space="preserve">religious policy</w:t>
      </w:r>
      <w:r>
        <w:t xml:space="preserve"> </w:t>
      </w:r>
      <w:r>
        <w:t xml:space="preserve">is one of the most discussed aspects of his reign. He abolished the jizya on non-Muslim subjects in 1564, promoted a policy summarised by the phrase</w:t>
      </w:r>
      <w:r>
        <w:t xml:space="preserve"> </w:t>
      </w:r>
      <w:r>
        <w:rPr>
          <w:iCs/>
          <w:i/>
        </w:rPr>
        <w:t xml:space="preserve">sulh-i-kul</w:t>
      </w:r>
      <w:r>
        <w:t xml:space="preserve"> </w:t>
      </w:r>
      <w:r>
        <w:t xml:space="preserve">(</w:t>
      </w:r>
      <w:r>
        <w:t xml:space="preserve">“</w:t>
      </w:r>
      <w:r>
        <w:t xml:space="preserve">peace with all</w:t>
      </w:r>
      <w:r>
        <w:t xml:space="preserve">”</w:t>
      </w:r>
      <w:r>
        <w:t xml:space="preserve"> </w:t>
      </w:r>
      <w:r>
        <w:t xml:space="preserve">or universal reconciliation), held interfaith discussions at his court (the</w:t>
      </w:r>
      <w:r>
        <w:t xml:space="preserve"> </w:t>
      </w:r>
      <w:r>
        <w:rPr>
          <w:iCs/>
          <w:i/>
        </w:rPr>
        <w:t xml:space="preserve">Ibadat Khana</w:t>
      </w:r>
      <w:r>
        <w:t xml:space="preserve">) with Muslim, Hindu, Jain, Zoroastrian and Jesuit Christian participants, and proposed a syncretic court-centred devotional practice sometimes called</w:t>
      </w:r>
      <w:r>
        <w:t xml:space="preserve"> </w:t>
      </w:r>
      <w:r>
        <w:rPr>
          <w:iCs/>
          <w:i/>
        </w:rPr>
        <w:t xml:space="preserve">Din-i-Ilahi</w:t>
      </w:r>
      <w:r>
        <w:t xml:space="preserve">. Historians debate how far Din-i-Ilahi was a genuine new religion (as older accounts sometimes suggested) versus primarily a symbolic, court-centred loyalty order with limited following beyond Akbar’s immediate circle — but there is broad agreement that Akbar’s overall policy of religious accommodation was both a matter of personal conviction and a deliberate strategy for governing a vast non-Muslim majority population with a comparatively small ruling elite.</w:t>
      </w:r>
    </w:p>
    <w:p>
      <w:pPr>
        <w:pStyle w:val="FirstParagraph"/>
      </w:pPr>
      <w:r>
        <w:rPr>
          <w:bCs/>
          <w:b/>
        </w:rPr>
        <w:t xml:space="preserve">Jahangir and Shah Jahan (r. 1605–1658 combined).</w:t>
      </w:r>
      <w:r>
        <w:t xml:space="preserve"> </w:t>
      </w:r>
      <w:r>
        <w:t xml:space="preserve">Jahangir largely continued Akbar’s administrative framework while the empire’s cultural life — miniature painting especially — reached new heights. Shah Jahan’s reign (1628–1658) is remembered chiefly for architectural patronage on an extraordinary scale: the Taj Mahal at Agra (built as a mausoleum for his wife Mumtaz Mahal), the Red Fort and Jama Masjid at Delhi (to which he shifted the capital, renaming it Shahjahanabad), and the Shalimar Gardens at Lahore. These monuments are not merely aesthetic footnotes for the exam; they are physical evidence of the fiscal and administrative capacity Akbar’s reforms had built — building on this scale required a state able to mobilise vast resources reliably over many years.</w:t>
      </w:r>
    </w:p>
    <w:p>
      <w:pPr>
        <w:pStyle w:val="BodyText"/>
      </w:pPr>
      <w:r>
        <w:rPr>
          <w:bCs/>
          <w:b/>
        </w:rPr>
        <w:t xml:space="preserve">Aurangzeb and imperial overreach (r. 1658–1707).</w:t>
      </w:r>
      <w:r>
        <w:t xml:space="preserve"> </w:t>
      </w:r>
      <w:r>
        <w:t xml:space="preserve">Aurangzeb came to power after a war of succession against his brothers (a recurring Mughal pattern, since there was no fixed law of primogeniture — succession was regularly decided by force among rival princes, a structural weakness worth noting explicitly rather than treating each succession war as a one-off crisis). His reign brought the empire to its greatest territorial extent, especially through prolonged campaigns in the Deccan against the Marathas and the Deccan sultanates of Bijapur and Golconda. At the same time, his reign produced the single most historiographically contested religious policy of the whole Mughal period: he reimposed the jizya in 1679, and various contemporary and near-contemporary sources record instances of temple destruction associated with his reign. Older colonial-era and nationalist accounts often portrayed Aurangzeb simply as a religious bigot who reversed Akbar’s tolerant legacy and thereby weakened the empire. More recent scholarship (for example the historian Audrey Truschke’s work, and detailed regional studies by historians such as Richard Eaton) complicates this picture: temple patronage and destruction under Aurangzeb both occurred, but destruction was frequently tied to specific political circumstances — temples associated with rebel rulers or used as symbols of a defeated political rival — rather than a blanket policy against Hindu worship as such, and Aurangzeb also continued to employ large numbers of Hindu nobles (including prominent Rajput commanders) throughout his reign. This remains a genuinely live scholarly debate rather than a settled question, and a strong exam answer should present both the evidence for a harder communal turn under Aurangzeb and the evidence complicating a simple bigot narrative, rather than asserting either position as beyond dispute.</w:t>
      </w:r>
    </w:p>
    <w:p>
      <w:pPr>
        <w:pStyle w:val="BodyText"/>
      </w:pPr>
      <w:r>
        <w:t xml:space="preserve">What is much less disputed is the</w:t>
      </w:r>
      <w:r>
        <w:t xml:space="preserve"> </w:t>
      </w:r>
      <w:r>
        <w:rPr>
          <w:iCs/>
          <w:i/>
        </w:rPr>
        <w:t xml:space="preserve">strategic</w:t>
      </w:r>
      <w:r>
        <w:t xml:space="preserve"> </w:t>
      </w:r>
      <w:r>
        <w:t xml:space="preserve">cost of Aurangzeb’s decades-long Deccan wars: they drained the imperial treasury, overextended Mughal military resources across a vast and difficult terrain, and never produced a decisive, lasting victory over Maratha resistance under Shivaji and his successors. This is the strategic overreach historians most consistently point to when explaining why the empire, despite reaching its largest territorial size under Aurangzeb, entered rapid political and fiscal difficulty within a generation of his death.</w:t>
      </w:r>
    </w:p>
    <w:p>
      <w:pPr>
        <w:pStyle w:val="BodyText"/>
      </w:pPr>
      <w:r>
        <w:rPr>
          <w:bCs/>
          <w:b/>
        </w:rPr>
        <w:t xml:space="preserve">Administration, economy, and culture under the Mughals.</w:t>
      </w:r>
      <w:r>
        <w:t xml:space="preserve"> </w:t>
      </w:r>
      <w:r>
        <w:t xml:space="preserve">A few threads deserve separate emphasis because the syllabus explicitly lists them as distinct areas (administration, judiciary, military, economy, education, society, art, architecture, culture):</w:t>
      </w:r>
    </w:p>
    <w:p>
      <w:pPr>
        <w:numPr>
          <w:ilvl w:val="0"/>
          <w:numId w:val="1006"/>
        </w:numPr>
        <w:pStyle w:val="Compact"/>
      </w:pPr>
      <w:r>
        <w:rPr>
          <w:bCs/>
          <w:b/>
        </w:rPr>
        <w:t xml:space="preserve">Judiciary:</w:t>
      </w:r>
      <w:r>
        <w:t xml:space="preserve"> </w:t>
      </w:r>
      <w:r>
        <w:t xml:space="preserve">Qazi courts administered Islamic law for Muslims; a chief qazi (</w:t>
      </w:r>
      <w:r>
        <w:rPr>
          <w:iCs/>
          <w:i/>
        </w:rPr>
        <w:t xml:space="preserve">qazi-ul-quzat</w:t>
      </w:r>
      <w:r>
        <w:t xml:space="preserve">) sat at the imperial centre, with a hierarchy of provincial and local qazis. Non-Muslim communities generally continued to resolve most civil disputes (inheritance, marriage, caste matters) through their own community and caste-based institutions, again illustrating legal pluralism rather than a single uniform legal system.</w:t>
      </w:r>
    </w:p>
    <w:p>
      <w:pPr>
        <w:numPr>
          <w:ilvl w:val="0"/>
          <w:numId w:val="1006"/>
        </w:numPr>
        <w:pStyle w:val="Compact"/>
      </w:pPr>
      <w:r>
        <w:rPr>
          <w:bCs/>
          <w:b/>
        </w:rPr>
        <w:t xml:space="preserve">Economy:</w:t>
      </w:r>
      <w:r>
        <w:t xml:space="preserve"> </w:t>
      </w:r>
      <w:r>
        <w:t xml:space="preserve">Agriculture remained the overwhelming base of state revenue, but Mughal India also had a large, sophisticated trading economy — textiles (cotton and silk) were a major export, and Indian ports connected to Indian Ocean and, increasingly, European trade networks. European trading companies arrived in stages: the Portuguese first (from 1498, well before the Mughal period began), followed by the Dutch, English (East India Company chartered 1600) and French in the seventeenth century, initially as licensed traders operating under Mughal permission rather than as territorial powers — a status that would change fundamentally after Mughal central authority weakened (the subject of Topic 2).</w:t>
      </w:r>
    </w:p>
    <w:p>
      <w:pPr>
        <w:numPr>
          <w:ilvl w:val="0"/>
          <w:numId w:val="1006"/>
        </w:numPr>
        <w:pStyle w:val="Compact"/>
      </w:pPr>
      <w:r>
        <w:rPr>
          <w:bCs/>
          <w:b/>
        </w:rPr>
        <w:t xml:space="preserve">Culture:</w:t>
      </w:r>
      <w:r>
        <w:t xml:space="preserve"> </w:t>
      </w:r>
      <w:r>
        <w:t xml:space="preserve">Persian remained the administrative and high-cultural language of the empire, while everyday interaction between Persian, Arabic, Turkic and various South Asian vernaculars contributed to the emergence of Urdu as a literary language. Mughal architecture fused Persian, Central Asian and indigenous Indian building traditions — visible in the evolution from the more austere early Mughal style to the elaborate marble work of Shah Jahan’s monuments. Sufi orders continued to play an important social role, and popular devotional movements (both Sufi and Bhakti) provided channels of religious and cultural exchange that operated somewhat independently of state policy.</w:t>
      </w:r>
    </w:p>
    <w:bookmarkEnd w:id="28"/>
    <w:bookmarkStart w:id="29" w:name="X4481ecd4fb24afd3cb28fa41407fa737835ca7e"/>
    <w:p>
      <w:pPr>
        <w:pStyle w:val="Heading2"/>
      </w:pPr>
      <w:r>
        <w:t xml:space="preserve">Decline of the Mughal Empire: A Multi-Causal Process</w:t>
      </w:r>
    </w:p>
    <w:p>
      <w:pPr>
        <w:pStyle w:val="FirstParagraph"/>
      </w:pPr>
      <w:r>
        <w:t xml:space="preserve">Mughal decline after Aurangzeb’s death in 1707 was gradual and multi-causal, not a single collapse triggered by one policy or one ruler. A strong answer identifies several interacting causes rather than picking just one:</w:t>
      </w:r>
    </w:p>
    <w:p>
      <w:pPr>
        <w:numPr>
          <w:ilvl w:val="0"/>
          <w:numId w:val="1007"/>
        </w:numPr>
        <w:pStyle w:val="Compact"/>
      </w:pPr>
      <w:r>
        <w:rPr>
          <w:bCs/>
          <w:b/>
        </w:rPr>
        <w:t xml:space="preserve">Succession disputes:</w:t>
      </w:r>
      <w:r>
        <w:t xml:space="preserve"> </w:t>
      </w:r>
      <w:r>
        <w:t xml:space="preserve">The absence of a fixed succession law meant every transition of power risked a debilitating war among royal princes, weakening central authority at exactly the moments it most needed strength.</w:t>
      </w:r>
    </w:p>
    <w:p>
      <w:pPr>
        <w:numPr>
          <w:ilvl w:val="0"/>
          <w:numId w:val="1007"/>
        </w:numPr>
        <w:pStyle w:val="Compact"/>
      </w:pPr>
      <w:r>
        <w:rPr>
          <w:bCs/>
          <w:b/>
        </w:rPr>
        <w:t xml:space="preserve">The jagirdari crisis:</w:t>
      </w:r>
      <w:r>
        <w:t xml:space="preserve"> </w:t>
      </w:r>
      <w:r>
        <w:t xml:space="preserve">Historian Satish Chandra’s influential analysis describes a growing mismatch, by the late seventeenth century, between the number of nobles requiring jagir assignments and the amount of assessed revenue actually available to assign — a structural fiscal problem that predates and helps explain the empire’s post-Aurangzeb difficulties, rather than viewing decline as purely the result of</w:t>
      </w:r>
      <w:r>
        <w:t xml:space="preserve"> </w:t>
      </w:r>
      <w:r>
        <w:t xml:space="preserve">“</w:t>
      </w:r>
      <w:r>
        <w:t xml:space="preserve">weak later emperors.</w:t>
      </w:r>
      <w:r>
        <w:t xml:space="preserve">”</w:t>
      </w:r>
    </w:p>
    <w:p>
      <w:pPr>
        <w:numPr>
          <w:ilvl w:val="0"/>
          <w:numId w:val="1007"/>
        </w:numPr>
        <w:pStyle w:val="Compact"/>
      </w:pPr>
      <w:r>
        <w:rPr>
          <w:bCs/>
          <w:b/>
        </w:rPr>
        <w:t xml:space="preserve">Regional assertion:</w:t>
      </w:r>
      <w:r>
        <w:t xml:space="preserve"> </w:t>
      </w:r>
      <w:r>
        <w:t xml:space="preserve">Provincial governors increasingly retained local revenue and authority rather than remitting it to Delhi, effectively becoming autonomous or semi-autonomous rulers while nominally still recognising Mughal sovereignty — Bengal under Murshid Quli Khan and his successors, Awadh under the Nawabs, and Hyderabad under the Nizam are the standard examples.</w:t>
      </w:r>
    </w:p>
    <w:p>
      <w:pPr>
        <w:numPr>
          <w:ilvl w:val="0"/>
          <w:numId w:val="1007"/>
        </w:numPr>
        <w:pStyle w:val="Compact"/>
      </w:pPr>
      <w:r>
        <w:rPr>
          <w:bCs/>
          <w:b/>
        </w:rPr>
        <w:t xml:space="preserve">The Maratha challenge:</w:t>
      </w:r>
      <w:r>
        <w:t xml:space="preserve"> </w:t>
      </w:r>
      <w:r>
        <w:t xml:space="preserve">Maratha power, built by Shivaji in the mid-seventeenth century and expanded dramatically by his successors and the Peshwa ministers in the eighteenth century, repeatedly raided and eventually dominated large parts of central and northern India, becoming the single most important indigenous military challenge to Mughal authority in the eighteenth century.</w:t>
      </w:r>
    </w:p>
    <w:p>
      <w:pPr>
        <w:numPr>
          <w:ilvl w:val="0"/>
          <w:numId w:val="1007"/>
        </w:numPr>
        <w:pStyle w:val="Compact"/>
      </w:pPr>
      <w:r>
        <w:rPr>
          <w:bCs/>
          <w:b/>
        </w:rPr>
        <w:t xml:space="preserve">Sikh consolidation in Punjab</w:t>
      </w:r>
      <w:r>
        <w:t xml:space="preserve"> </w:t>
      </w:r>
      <w:r>
        <w:t xml:space="preserve">and recurring</w:t>
      </w:r>
      <w:r>
        <w:t xml:space="preserve"> </w:t>
      </w:r>
      <w:r>
        <w:rPr>
          <w:bCs/>
          <w:b/>
        </w:rPr>
        <w:t xml:space="preserve">Jat uprisings</w:t>
      </w:r>
      <w:r>
        <w:t xml:space="preserve"> </w:t>
      </w:r>
      <w:r>
        <w:t xml:space="preserve">near Delhi and Agra further eroded direct Mughal control over core territories.</w:t>
      </w:r>
    </w:p>
    <w:p>
      <w:pPr>
        <w:numPr>
          <w:ilvl w:val="0"/>
          <w:numId w:val="1007"/>
        </w:numPr>
        <w:pStyle w:val="Compact"/>
      </w:pPr>
      <w:r>
        <w:rPr>
          <w:bCs/>
          <w:b/>
        </w:rPr>
        <w:t xml:space="preserve">External invasions:</w:t>
      </w:r>
      <w:r>
        <w:t xml:space="preserve"> </w:t>
      </w:r>
      <w:r>
        <w:t xml:space="preserve">Nadir Shah’s invasion from Persia and sack of Delhi in 1739 (during which the Peacock Throne and the Koh-i-Noor diamond were carried off) inflicted catastrophic material and psychological damage; Ahmad Shah Abdali’s repeated invasions from Afghanistan through the 1750s and 1760s further destabilised the region and culminated in the Third Battle of Panipat (1761), where Abdali decisively defeated the Marathas — a battle that, by weakening the strongest surviving indigenous power, indirectly cleared space for later British expansion.</w:t>
      </w:r>
    </w:p>
    <w:p>
      <w:pPr>
        <w:numPr>
          <w:ilvl w:val="0"/>
          <w:numId w:val="1007"/>
        </w:numPr>
        <w:pStyle w:val="Compact"/>
      </w:pPr>
      <w:r>
        <w:rPr>
          <w:bCs/>
          <w:b/>
        </w:rPr>
        <w:t xml:space="preserve">The rise of the East India Company:</w:t>
      </w:r>
      <w:r>
        <w:t xml:space="preserve"> </w:t>
      </w:r>
      <w:r>
        <w:t xml:space="preserve">As central authority weakened and regional powers fought each other, the English East India Company exploited this fragmented political landscape to expand from a trading concern into a territorial power — the subject developed fully in Topic 2. The Mughal dynasty survived, nominally, as a symbolic authority (the</w:t>
      </w:r>
      <w:r>
        <w:t xml:space="preserve"> </w:t>
      </w:r>
      <w:r>
        <w:t xml:space="preserve">“</w:t>
      </w:r>
      <w:r>
        <w:t xml:space="preserve">shadow emperors</w:t>
      </w:r>
      <w:r>
        <w:t xml:space="preserve">”</w:t>
      </w:r>
      <w:r>
        <w:t xml:space="preserve"> </w:t>
      </w:r>
      <w:r>
        <w:t xml:space="preserve">of Delhi) for another century, until the British formally abolished the title after the 1857 uprising.</w:t>
      </w:r>
    </w:p>
    <w:bookmarkEnd w:id="29"/>
    <w:bookmarkStart w:id="30" w:name="key-terms-and-concepts"/>
    <w:p>
      <w:pPr>
        <w:pStyle w:val="Heading2"/>
      </w:pPr>
      <w:r>
        <w:t xml:space="preserve">Key Terms and Concepts</w:t>
      </w:r>
    </w:p>
    <w:p>
      <w:pPr>
        <w:numPr>
          <w:ilvl w:val="0"/>
          <w:numId w:val="1008"/>
        </w:numPr>
        <w:pStyle w:val="Compact"/>
      </w:pPr>
      <w:r>
        <w:rPr>
          <w:bCs/>
          <w:b/>
        </w:rPr>
        <w:t xml:space="preserve">Iqta:</w:t>
      </w:r>
      <w:r>
        <w:t xml:space="preserve"> </w:t>
      </w:r>
      <w:r>
        <w:t xml:space="preserve">A Sultanate-era assignment of revenue rights over territory to a noble, in exchange for maintaining a quota of troops.</w:t>
      </w:r>
    </w:p>
    <w:p>
      <w:pPr>
        <w:numPr>
          <w:ilvl w:val="0"/>
          <w:numId w:val="1008"/>
        </w:numPr>
        <w:pStyle w:val="Compact"/>
      </w:pPr>
      <w:r>
        <w:rPr>
          <w:bCs/>
          <w:b/>
        </w:rPr>
        <w:t xml:space="preserve">Mansabdari:</w:t>
      </w:r>
      <w:r>
        <w:t xml:space="preserve"> </w:t>
      </w:r>
      <w:r>
        <w:t xml:space="preserve">The Mughal ranking system assigning nobles a personal and military rank, determining pay, status and military obligation.</w:t>
      </w:r>
    </w:p>
    <w:p>
      <w:pPr>
        <w:numPr>
          <w:ilvl w:val="0"/>
          <w:numId w:val="1008"/>
        </w:numPr>
        <w:pStyle w:val="Compact"/>
      </w:pPr>
      <w:r>
        <w:rPr>
          <w:bCs/>
          <w:b/>
        </w:rPr>
        <w:t xml:space="preserve">Jagir:</w:t>
      </w:r>
      <w:r>
        <w:t xml:space="preserve"> </w:t>
      </w:r>
      <w:r>
        <w:t xml:space="preserve">Mughal-era territorial revenue assignment supporting a mansabdar, conceptually descended from the iqta but administered within a more centralised, rotating framework.</w:t>
      </w:r>
    </w:p>
    <w:p>
      <w:pPr>
        <w:numPr>
          <w:ilvl w:val="0"/>
          <w:numId w:val="1008"/>
        </w:numPr>
        <w:pStyle w:val="Compact"/>
      </w:pPr>
      <w:r>
        <w:rPr>
          <w:bCs/>
          <w:b/>
        </w:rPr>
        <w:t xml:space="preserve">Zabt / Dahsala system:</w:t>
      </w:r>
      <w:r>
        <w:t xml:space="preserve"> </w:t>
      </w:r>
      <w:r>
        <w:t xml:space="preserve">Akbar-era land-revenue assessment based on measured cultivation and a ten-year average of yields and prices.</w:t>
      </w:r>
    </w:p>
    <w:p>
      <w:pPr>
        <w:numPr>
          <w:ilvl w:val="0"/>
          <w:numId w:val="1008"/>
        </w:numPr>
        <w:pStyle w:val="Compact"/>
      </w:pPr>
      <w:r>
        <w:rPr>
          <w:bCs/>
          <w:b/>
        </w:rPr>
        <w:t xml:space="preserve">Jizya:</w:t>
      </w:r>
      <w:r>
        <w:t xml:space="preserve"> </w:t>
      </w:r>
      <w:r>
        <w:t xml:space="preserve">A tax historically levied on non-Muslim subjects under Islamic-influenced states, in place of military service; its application varied significantly by ruler and period in South Asia.</w:t>
      </w:r>
    </w:p>
    <w:p>
      <w:pPr>
        <w:numPr>
          <w:ilvl w:val="0"/>
          <w:numId w:val="1008"/>
        </w:numPr>
        <w:pStyle w:val="Compact"/>
      </w:pPr>
      <w:r>
        <w:rPr>
          <w:bCs/>
          <w:b/>
        </w:rPr>
        <w:t xml:space="preserve">Sulh-i-kul:</w:t>
      </w:r>
      <w:r>
        <w:t xml:space="preserve"> </w:t>
      </w:r>
      <w:r>
        <w:t xml:space="preserve">Akbar’s policy phrase, usually translated</w:t>
      </w:r>
      <w:r>
        <w:t xml:space="preserve"> </w:t>
      </w:r>
      <w:r>
        <w:t xml:space="preserve">“</w:t>
      </w:r>
      <w:r>
        <w:t xml:space="preserve">peace with all</w:t>
      </w:r>
      <w:r>
        <w:t xml:space="preserve">”</w:t>
      </w:r>
      <w:r>
        <w:t xml:space="preserve"> </w:t>
      </w:r>
      <w:r>
        <w:t xml:space="preserve">or</w:t>
      </w:r>
      <w:r>
        <w:t xml:space="preserve"> </w:t>
      </w:r>
      <w:r>
        <w:t xml:space="preserve">“</w:t>
      </w:r>
      <w:r>
        <w:t xml:space="preserve">universal reconciliation,</w:t>
      </w:r>
      <w:r>
        <w:t xml:space="preserve">”</w:t>
      </w:r>
      <w:r>
        <w:t xml:space="preserve"> </w:t>
      </w:r>
      <w:r>
        <w:t xml:space="preserve">describing his approach to governing a religiously diverse empire.</w:t>
      </w:r>
    </w:p>
    <w:p>
      <w:pPr>
        <w:numPr>
          <w:ilvl w:val="0"/>
          <w:numId w:val="1008"/>
        </w:numPr>
        <w:pStyle w:val="Compact"/>
      </w:pPr>
      <w:r>
        <w:rPr>
          <w:bCs/>
          <w:b/>
        </w:rPr>
        <w:t xml:space="preserve">Qazi:</w:t>
      </w:r>
      <w:r>
        <w:t xml:space="preserve"> </w:t>
      </w:r>
      <w:r>
        <w:t xml:space="preserve">A judge administering Islamic law, operating within a hierarchy from the imperial centre down to the local level.</w:t>
      </w:r>
    </w:p>
    <w:bookmarkEnd w:id="30"/>
    <w:bookmarkStart w:id="31" w:name="X3a9b7d62d2bf6fed78a3ffd9ae8ac5f0fd68a59"/>
    <w:p>
      <w:pPr>
        <w:pStyle w:val="Heading2"/>
      </w:pPr>
      <w:r>
        <w:t xml:space="preserve">Comparing the Sultanate and the Mughal Empire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Delhi Sultanate (1206–1526)</w:t>
            </w:r>
          </w:p>
        </w:tc>
        <w:tc>
          <w:tcPr/>
          <w:p>
            <w:pPr>
              <w:pStyle w:val="Compact"/>
              <w:jc w:val="left"/>
            </w:pPr>
            <w:r>
              <w:t xml:space="preserve">Mughal Empire (1526–1707, peak)</w:t>
            </w:r>
          </w:p>
        </w:tc>
      </w:tr>
      <w:tr>
        <w:tc>
          <w:tcPr/>
          <w:p>
            <w:pPr>
              <w:pStyle w:val="Compact"/>
              <w:jc w:val="left"/>
            </w:pPr>
            <w:r>
              <w:t xml:space="preserve">Land-revenue assignment</w:t>
            </w:r>
          </w:p>
        </w:tc>
        <w:tc>
          <w:tcPr/>
          <w:p>
            <w:pPr>
              <w:pStyle w:val="Compact"/>
              <w:jc w:val="left"/>
            </w:pPr>
            <w:r>
              <w:t xml:space="preserve">Iqta system: territorial assignment to nobles for military service</w:t>
            </w:r>
          </w:p>
        </w:tc>
        <w:tc>
          <w:tcPr/>
          <w:p>
            <w:pPr>
              <w:pStyle w:val="Compact"/>
              <w:jc w:val="left"/>
            </w:pPr>
            <w:r>
              <w:t xml:space="preserve">Mansabdari–jagir system: more centralised, ranked, and rotated to limit entrenched regional power</w:t>
            </w:r>
          </w:p>
        </w:tc>
      </w:tr>
      <w:tr>
        <w:tc>
          <w:tcPr/>
          <w:p>
            <w:pPr>
              <w:pStyle w:val="Compact"/>
              <w:jc w:val="left"/>
            </w:pPr>
            <w:r>
              <w:t xml:space="preserve">Central authority over nobility</w:t>
            </w:r>
          </w:p>
        </w:tc>
        <w:tc>
          <w:tcPr/>
          <w:p>
            <w:pPr>
              <w:pStyle w:val="Compact"/>
              <w:jc w:val="left"/>
            </w:pPr>
            <w:r>
              <w:t xml:space="preserve">Frequently contested by powerful noble factions (e.g., the</w:t>
            </w:r>
            <w:r>
              <w:t xml:space="preserve"> </w:t>
            </w:r>
            <w:r>
              <w:t xml:space="preserve">“</w:t>
            </w:r>
            <w:r>
              <w:t xml:space="preserve">Forty</w:t>
            </w:r>
            <w:r>
              <w:t xml:space="preserve">”</w:t>
            </w:r>
            <w:r>
              <w:t xml:space="preserve"> </w:t>
            </w:r>
            <w:r>
              <w:t xml:space="preserve">under early Sultans)</w:t>
            </w:r>
          </w:p>
        </w:tc>
        <w:tc>
          <w:tcPr/>
          <w:p>
            <w:pPr>
              <w:pStyle w:val="Compact"/>
              <w:jc w:val="left"/>
            </w:pPr>
            <w:r>
              <w:t xml:space="preserve">Stronger under Akbar–Shah Jahan; weakened again in the jagirdari crisis after Aurangzeb</w:t>
            </w:r>
          </w:p>
        </w:tc>
      </w:tr>
      <w:tr>
        <w:tc>
          <w:tcPr/>
          <w:p>
            <w:pPr>
              <w:pStyle w:val="Compact"/>
              <w:jc w:val="left"/>
            </w:pPr>
            <w:r>
              <w:t xml:space="preserve">Religious policy</w:t>
            </w:r>
          </w:p>
        </w:tc>
        <w:tc>
          <w:tcPr/>
          <w:p>
            <w:pPr>
              <w:pStyle w:val="Compact"/>
              <w:jc w:val="left"/>
            </w:pPr>
            <w:r>
              <w:t xml:space="preserve">Varied by ruler; jizya generally levied; legal pluralism for non-Muslim subjects</w:t>
            </w:r>
          </w:p>
        </w:tc>
        <w:tc>
          <w:tcPr/>
          <w:p>
            <w:pPr>
              <w:pStyle w:val="Compact"/>
              <w:jc w:val="left"/>
            </w:pPr>
            <w:r>
              <w:t xml:space="preserve">Ranged from Akbar’s abolition of jizya and religious accommodation to Aurangzeb’s reimposition of jizya</w:t>
            </w:r>
          </w:p>
        </w:tc>
      </w:tr>
      <w:tr>
        <w:tc>
          <w:tcPr/>
          <w:p>
            <w:pPr>
              <w:pStyle w:val="Compact"/>
              <w:jc w:val="left"/>
            </w:pPr>
            <w:r>
              <w:t xml:space="preserve">Greatest external threat</w:t>
            </w:r>
          </w:p>
        </w:tc>
        <w:tc>
          <w:tcPr/>
          <w:p>
            <w:pPr>
              <w:pStyle w:val="Compact"/>
              <w:jc w:val="left"/>
            </w:pPr>
            <w:r>
              <w:t xml:space="preserve">Recurring Mongol invasions (13th–early 14th century)</w:t>
            </w:r>
          </w:p>
        </w:tc>
        <w:tc>
          <w:tcPr/>
          <w:p>
            <w:pPr>
              <w:pStyle w:val="Compact"/>
              <w:jc w:val="left"/>
            </w:pPr>
            <w:r>
              <w:t xml:space="preserve">Deccan powers, especially the Marathas, in the later period</w:t>
            </w:r>
          </w:p>
        </w:tc>
      </w:tr>
      <w:tr>
        <w:tc>
          <w:tcPr/>
          <w:p>
            <w:pPr>
              <w:pStyle w:val="Compact"/>
              <w:jc w:val="left"/>
            </w:pPr>
            <w:r>
              <w:t xml:space="preserve">High point of centralisation</w:t>
            </w:r>
          </w:p>
        </w:tc>
        <w:tc>
          <w:tcPr/>
          <w:p>
            <w:pPr>
              <w:pStyle w:val="Compact"/>
              <w:jc w:val="left"/>
            </w:pPr>
            <w:r>
              <w:t xml:space="preserve">Alauddin Khalji</w:t>
            </w:r>
          </w:p>
        </w:tc>
        <w:tc>
          <w:tcPr/>
          <w:p>
            <w:pPr>
              <w:pStyle w:val="Compact"/>
              <w:jc w:val="left"/>
            </w:pPr>
            <w:r>
              <w:t xml:space="preserve">Akbar to Shah Jahan</w:t>
            </w:r>
          </w:p>
        </w:tc>
      </w:tr>
      <w:tr>
        <w:tc>
          <w:tcPr/>
          <w:p>
            <w:pPr>
              <w:pStyle w:val="Compact"/>
              <w:jc w:val="left"/>
            </w:pPr>
            <w:r>
              <w:t xml:space="preserve">Core cause of eventual decline</w:t>
            </w:r>
          </w:p>
        </w:tc>
        <w:tc>
          <w:tcPr/>
          <w:p>
            <w:pPr>
              <w:pStyle w:val="Compact"/>
              <w:jc w:val="left"/>
            </w:pPr>
            <w:r>
              <w:t xml:space="preserve">Fragmentation into regional dynasties after Timur’s 1398 invasion</w:t>
            </w:r>
          </w:p>
        </w:tc>
        <w:tc>
          <w:tcPr/>
          <w:p>
            <w:pPr>
              <w:pStyle w:val="Compact"/>
              <w:jc w:val="left"/>
            </w:pPr>
            <w:r>
              <w:t xml:space="preserve">Jagirdari fiscal crisis, succession wars, and regional assertion following Aurangzeb’s death</w:t>
            </w:r>
          </w:p>
        </w:tc>
      </w:tr>
    </w:tbl>
    <w:bookmarkEnd w:id="31"/>
    <w:bookmarkStart w:id="32" w:name="X8a22db0f6e70ce1cf2e8e77a4508913afbbeb06"/>
    <w:p>
      <w:pPr>
        <w:pStyle w:val="Heading2"/>
      </w:pPr>
      <w:r>
        <w:t xml:space="preserve">Historiographical Debates: How Should This Period Be Read?</w:t>
      </w:r>
    </w:p>
    <w:p>
      <w:pPr>
        <w:pStyle w:val="FirstParagraph"/>
      </w:pPr>
      <w:r>
        <w:t xml:space="preserve">This eleven-century span is one of the most politically sensitive periods in South Asian historiography, and the exam rewards awareness of</w:t>
      </w:r>
      <w:r>
        <w:t xml:space="preserve"> </w:t>
      </w:r>
      <w:r>
        <w:rPr>
          <w:iCs/>
          <w:i/>
        </w:rPr>
        <w:t xml:space="preserve">why</w:t>
      </w:r>
      <w:r>
        <w:t xml:space="preserve"> </w:t>
      </w:r>
      <w:r>
        <w:t xml:space="preserve">it is contested rather than a single confident verdict.</w:t>
      </w:r>
    </w:p>
    <w:p>
      <w:pPr>
        <w:numPr>
          <w:ilvl w:val="0"/>
          <w:numId w:val="1009"/>
        </w:numPr>
        <w:pStyle w:val="Compact"/>
      </w:pPr>
      <w:r>
        <w:rPr>
          <w:bCs/>
          <w:b/>
        </w:rPr>
        <w:t xml:space="preserve">The colonial periodisation problem.</w:t>
      </w:r>
      <w:r>
        <w:t xml:space="preserve"> </w:t>
      </w:r>
      <w:r>
        <w:t xml:space="preserve">The nineteenth-century British historian James Mill’s influential</w:t>
      </w:r>
      <w:r>
        <w:t xml:space="preserve"> </w:t>
      </w:r>
      <w:r>
        <w:rPr>
          <w:iCs/>
          <w:i/>
        </w:rPr>
        <w:t xml:space="preserve">History of British India</w:t>
      </w:r>
      <w:r>
        <w:t xml:space="preserve"> </w:t>
      </w:r>
      <w:r>
        <w:t xml:space="preserve">divided Indian history into</w:t>
      </w:r>
      <w:r>
        <w:t xml:space="preserve"> </w:t>
      </w:r>
      <w:r>
        <w:t xml:space="preserve">“</w:t>
      </w:r>
      <w:r>
        <w:t xml:space="preserve">Hindu,</w:t>
      </w:r>
      <w:r>
        <w:t xml:space="preserve">”</w:t>
      </w:r>
      <w:r>
        <w:t xml:space="preserve"> </w:t>
      </w:r>
      <w:r>
        <w:t xml:space="preserve">“</w:t>
      </w:r>
      <w:r>
        <w:t xml:space="preserve">Muslim</w:t>
      </w:r>
      <w:r>
        <w:t xml:space="preserve">”</w:t>
      </w:r>
      <w:r>
        <w:t xml:space="preserve"> </w:t>
      </w:r>
      <w:r>
        <w:t xml:space="preserve">and</w:t>
      </w:r>
      <w:r>
        <w:t xml:space="preserve"> </w:t>
      </w:r>
      <w:r>
        <w:t xml:space="preserve">“</w:t>
      </w:r>
      <w:r>
        <w:t xml:space="preserve">British</w:t>
      </w:r>
      <w:r>
        <w:t xml:space="preserve">”</w:t>
      </w:r>
      <w:r>
        <w:t xml:space="preserve"> </w:t>
      </w:r>
      <w:r>
        <w:t xml:space="preserve">periods — a framework that treated over a thousand years of enormously varied regional politics as if it were defined mainly by the ruler’s religion. Most professional historians today regard this periodisation as an oversimplification that obscures far more than it explains, since it ignores continuity in administration, economy and society across the supposed dividing lines, and ignores the fact that many</w:t>
      </w:r>
      <w:r>
        <w:t xml:space="preserve"> </w:t>
      </w:r>
      <w:r>
        <w:t xml:space="preserve">“</w:t>
      </w:r>
      <w:r>
        <w:t xml:space="preserve">Muslim</w:t>
      </w:r>
      <w:r>
        <w:t xml:space="preserve">”</w:t>
      </w:r>
      <w:r>
        <w:t xml:space="preserve"> </w:t>
      </w:r>
      <w:r>
        <w:t xml:space="preserve">states relied heavily on Hindu administrators, generals and allies (and vice versa).</w:t>
      </w:r>
    </w:p>
    <w:p>
      <w:pPr>
        <w:numPr>
          <w:ilvl w:val="0"/>
          <w:numId w:val="1009"/>
        </w:numPr>
        <w:pStyle w:val="Compact"/>
      </w:pPr>
      <w:r>
        <w:rPr>
          <w:bCs/>
          <w:b/>
        </w:rPr>
        <w:t xml:space="preserve">Competing modern narratives.</w:t>
      </w:r>
      <w:r>
        <w:t xml:space="preserve"> </w:t>
      </w:r>
      <w:r>
        <w:t xml:space="preserve">Partly in reaction to colonial historiography, later nationalist traditions developed their own emphases. Indian nationalist historiography has often stressed syncretism and composite culture (sometimes summarised as</w:t>
      </w:r>
      <w:r>
        <w:t xml:space="preserve"> </w:t>
      </w:r>
      <w:r>
        <w:rPr>
          <w:iCs/>
          <w:i/>
        </w:rPr>
        <w:t xml:space="preserve">Ganga-Jamuni tehzeeb</w:t>
      </w:r>
      <w:r>
        <w:t xml:space="preserve">, referring to the blending of traditions along the Ganges and Yamuna river basins). Hindu-nationalist historiography has tended to emphasise conquest, temple destruction and cultural rupture. Pakistani textbook historiography has often emphasised continuity between medieval Muslim rule and the later Pakistan Movement, presenting the period as part of a longer history of Muslim political presence in the subcontinent. Professional historians generally regard all three of these frameworks as selective: the historical record contains genuine evidence of cooperation, syncretism, patronage across religious lines, coercion, and destruction, varying enormously by ruler, region and period, and a responsible account resists collapsing eleven centuries into any single verdict.</w:t>
      </w:r>
    </w:p>
    <w:p>
      <w:pPr>
        <w:numPr>
          <w:ilvl w:val="0"/>
          <w:numId w:val="1009"/>
        </w:numPr>
        <w:pStyle w:val="Compact"/>
      </w:pPr>
      <w:r>
        <w:rPr>
          <w:bCs/>
          <w:b/>
        </w:rPr>
        <w:t xml:space="preserve">The Aurangzeb debate specifically</w:t>
      </w:r>
      <w:r>
        <w:t xml:space="preserve"> </w:t>
      </w:r>
      <w:r>
        <w:t xml:space="preserve">(discussed above) remains the sharpest live disagreement among historians, precisely because it sits at the intersection of religious policy, imperial decline and modern political identity. A strong exam answer notes both the evidence historians cite for a harder religious turn and the evidence cited against reading it as a uniform anti-Hindu policy, and explains why the debate matters rather than declaring it resolved.</w:t>
      </w:r>
    </w:p>
    <w:bookmarkEnd w:id="32"/>
    <w:bookmarkStart w:id="33" w:name="preparation-toolkit"/>
    <w:p>
      <w:pPr>
        <w:pStyle w:val="Heading2"/>
      </w:pPr>
      <w:r>
        <w:t xml:space="preserve">Preparation Toolkit</w:t>
      </w:r>
    </w:p>
    <w:p>
      <w:pPr>
        <w:pStyle w:val="FirstParagraph"/>
      </w:pPr>
      <w:r>
        <w:rPr>
          <w:bCs/>
          <w:b/>
        </w:rPr>
        <w:t xml:space="preserve">Preparation Checklist</w:t>
      </w:r>
    </w:p>
    <w:p>
      <w:pPr>
        <w:numPr>
          <w:ilvl w:val="0"/>
          <w:numId w:val="1010"/>
        </w:numPr>
        <w:pStyle w:val="Compact"/>
      </w:pPr>
      <w:r>
        <w:t xml:space="preserve">Build a dynasty chart first — five Sultanate dynasties, then the Mughal line from Babur to the effective end of central authority — before adding institutional or cultural detail.</w:t>
      </w:r>
    </w:p>
    <w:p>
      <w:pPr>
        <w:numPr>
          <w:ilvl w:val="0"/>
          <w:numId w:val="1010"/>
        </w:numPr>
        <w:pStyle w:val="Compact"/>
      </w:pPr>
      <w:r>
        <w:t xml:space="preserve">Make separate short notes on administration, revenue, military organisation, cultural development and causes of decline, rather than one continuous narrative.</w:t>
      </w:r>
    </w:p>
    <w:p>
      <w:pPr>
        <w:numPr>
          <w:ilvl w:val="0"/>
          <w:numId w:val="1010"/>
        </w:numPr>
        <w:pStyle w:val="Compact"/>
      </w:pPr>
      <w:r>
        <w:t xml:space="preserve">Compare the Sultanate iqta system with the Mughal mansabdari–jagir system directly; the differences (centralisation, rotation, ranking) are a common and high-value exam point.</w:t>
      </w:r>
    </w:p>
    <w:p>
      <w:pPr>
        <w:numPr>
          <w:ilvl w:val="0"/>
          <w:numId w:val="1010"/>
        </w:numPr>
        <w:pStyle w:val="Compact"/>
      </w:pPr>
      <w:r>
        <w:t xml:space="preserve">Keep an evidence bank of 8–10 reliable anchors: Second Battle of Tarain (1192), founding of the Sultanate (1206), Alauddin Khalji’s Mongol defences, Babur’s victory at Panipat (1526), Akbar’s abolition of jizya (1564) and the zabt system, Aurangzeb’s reimposition of jizya (1679), Nadir Shah’s invasion (1739), the Third Battle of Panipat (1761).</w:t>
      </w:r>
    </w:p>
    <w:p>
      <w:pPr>
        <w:numPr>
          <w:ilvl w:val="0"/>
          <w:numId w:val="1010"/>
        </w:numPr>
        <w:pStyle w:val="Compact"/>
      </w:pPr>
      <w:r>
        <w:t xml:space="preserve">Practice one analytical outline answering:</w:t>
      </w:r>
      <w:r>
        <w:t xml:space="preserve"> </w:t>
      </w:r>
      <w:r>
        <w:t xml:space="preserve">“</w:t>
      </w:r>
      <w:r>
        <w:t xml:space="preserve">Why did Mughal central authority weaken after 1707, and how much of this was structural versus the result of individual rulers’ choices?</w:t>
      </w:r>
      <w:r>
        <w:t xml:space="preserve">”</w:t>
      </w:r>
    </w:p>
    <w:p>
      <w:pPr>
        <w:pStyle w:val="FirstParagraph"/>
      </w:pPr>
      <w:r>
        <w:rPr>
          <w:bCs/>
          <w:b/>
        </w:rPr>
        <w:t xml:space="preserve">Common Confusions to Avoid</w:t>
      </w:r>
    </w:p>
    <w:p>
      <w:pPr>
        <w:numPr>
          <w:ilvl w:val="0"/>
          <w:numId w:val="1011"/>
        </w:numPr>
        <w:pStyle w:val="Compact"/>
      </w:pPr>
      <w:r>
        <w:t xml:space="preserve">Do not treat 712–1857 as one continuous empire under one system; five distinct Sultanate dynasties and the separate Mughal dynasty used different institutions across different centuries.</w:t>
      </w:r>
    </w:p>
    <w:p>
      <w:pPr>
        <w:numPr>
          <w:ilvl w:val="0"/>
          <w:numId w:val="1011"/>
        </w:numPr>
        <w:pStyle w:val="Compact"/>
      </w:pPr>
      <w:r>
        <w:t xml:space="preserve">Do not write only political-military chronology. The syllabus explicitly includes administration, economy, judiciary, military, education, society, art and culture, and examiners reward coverage of these dimensions.</w:t>
      </w:r>
    </w:p>
    <w:p>
      <w:pPr>
        <w:numPr>
          <w:ilvl w:val="0"/>
          <w:numId w:val="1011"/>
        </w:numPr>
        <w:pStyle w:val="Compact"/>
      </w:pPr>
      <w:r>
        <w:t xml:space="preserve">Do not explain Mughal decline through one ruler (usually Aurangzeb) or one policy alone; it was a long process combining succession disputes, fiscal structure, regional assertion, indigenous military challenges and external invasion.</w:t>
      </w:r>
    </w:p>
    <w:p>
      <w:pPr>
        <w:numPr>
          <w:ilvl w:val="0"/>
          <w:numId w:val="1011"/>
        </w:numPr>
        <w:pStyle w:val="Compact"/>
      </w:pPr>
      <w:r>
        <w:t xml:space="preserve">Do not present Aurangzeb’s religious policy, or Muslim rule in general, as settled beyond scholarly dispute in either direction; present the debate.</w:t>
      </w:r>
    </w:p>
    <w:p>
      <w:pPr>
        <w:pStyle w:val="FirstParagraph"/>
      </w:pPr>
      <w:r>
        <w:rPr>
          <w:bCs/>
          <w:b/>
        </w:rPr>
        <w:t xml:space="preserve">Easy Revision Points</w:t>
      </w:r>
    </w:p>
    <w:p>
      <w:pPr>
        <w:numPr>
          <w:ilvl w:val="0"/>
          <w:numId w:val="1012"/>
        </w:numPr>
        <w:pStyle w:val="Compact"/>
      </w:pPr>
      <w:r>
        <w:t xml:space="preserve">Muhammad bin Qasim’s campaign in Sindh began in 711–712 CE and established an early Muslim political presence in the region, administered initially as a frontier province of the Umayyad Caliphate.</w:t>
      </w:r>
    </w:p>
    <w:p>
      <w:pPr>
        <w:numPr>
          <w:ilvl w:val="0"/>
          <w:numId w:val="1012"/>
        </w:numPr>
        <w:pStyle w:val="Compact"/>
      </w:pPr>
      <w:r>
        <w:t xml:space="preserve">The Delhi Sultanate is conventionally dated from 1206 (following the Second Battle of Tarain in 1192) and included the Mamluk, Khalji, Tughlaq, Sayyid and Lodi dynasties.</w:t>
      </w:r>
    </w:p>
    <w:p>
      <w:pPr>
        <w:numPr>
          <w:ilvl w:val="0"/>
          <w:numId w:val="1012"/>
        </w:numPr>
        <w:pStyle w:val="Compact"/>
      </w:pPr>
      <w:r>
        <w:t xml:space="preserve">Babur defeated Ibrahim Lodi at the First Battle of Panipat in 1526, beginning Mughal rule in northern India; Sher Shah Suri’s brief interregnum (1540–1545) contributed lasting administrative reforms.</w:t>
      </w:r>
    </w:p>
    <w:p>
      <w:pPr>
        <w:numPr>
          <w:ilvl w:val="0"/>
          <w:numId w:val="1012"/>
        </w:numPr>
        <w:pStyle w:val="Compact"/>
      </w:pPr>
      <w:r>
        <w:t xml:space="preserve">Akbar strengthened imperial administration through the mansabdari system and the zabt/dahsala revenue reforms associated with Raja Todar Mal, and pursued a policy of religious accommodation summarised as sulh-i-kul.</w:t>
      </w:r>
    </w:p>
    <w:p>
      <w:pPr>
        <w:numPr>
          <w:ilvl w:val="0"/>
          <w:numId w:val="1012"/>
        </w:numPr>
        <w:pStyle w:val="Compact"/>
      </w:pPr>
      <w:r>
        <w:t xml:space="preserve">Mughal political power weakened substantially after Aurangzeb’s death in 1707, although the dynasty formally continued as a symbolic authority until 1857.</w:t>
      </w:r>
    </w:p>
    <w:p>
      <w:pPr>
        <w:numPr>
          <w:ilvl w:val="0"/>
          <w:numId w:val="1012"/>
        </w:numPr>
        <w:pStyle w:val="Compact"/>
      </w:pPr>
      <w:r>
        <w:t xml:space="preserve">Architecture, Persianate court culture, regional languages, crafts, trade and religious-cultural interaction are as important to this topic as military conquest.</w:t>
      </w:r>
    </w:p>
    <w:bookmarkEnd w:id="33"/>
    <w:bookmarkStart w:id="34" w:name="key-takeaways"/>
    <w:p>
      <w:pPr>
        <w:pStyle w:val="Heading2"/>
      </w:pPr>
      <w:r>
        <w:t xml:space="preserve">Key Takeaways</w:t>
      </w:r>
    </w:p>
    <w:p>
      <w:pPr>
        <w:numPr>
          <w:ilvl w:val="0"/>
          <w:numId w:val="1013"/>
        </w:numPr>
        <w:pStyle w:val="Compact"/>
      </w:pPr>
      <w:r>
        <w:t xml:space="preserve">The subcontinent Muslim rulers entered was already politically fragmented, and Muslim political power itself developed in stages — a frontier province in Sindh, then Central Asian raids, then a settled Sultanate, then a much more centralised Mughal Empire — rather than arriving as one uniform, continuous system.</w:t>
      </w:r>
    </w:p>
    <w:p>
      <w:pPr>
        <w:numPr>
          <w:ilvl w:val="0"/>
          <w:numId w:val="1013"/>
        </w:numPr>
        <w:pStyle w:val="Compact"/>
      </w:pPr>
      <w:r>
        <w:t xml:space="preserve">Institutional capacity (iqta, then mansabdari–jagir, then zabt revenue assessment) explains both how these states could govern a vast, diverse population with a relatively small ruling elite, and why institutional strain — especially the jagirdari fiscal crisis — is central to explaining Mughal decline.</w:t>
      </w:r>
    </w:p>
    <w:p>
      <w:pPr>
        <w:numPr>
          <w:ilvl w:val="0"/>
          <w:numId w:val="1013"/>
        </w:numPr>
        <w:pStyle w:val="Compact"/>
      </w:pPr>
      <w:r>
        <w:t xml:space="preserve">Religious policy varied significantly by ruler and period, from Akbar’s abolition of jizya and pursuit of sulh-i-kul to Aurangzeb’s reimposition of jizya; this variation is itself an important exam point, since it undermines any answer that treats</w:t>
      </w:r>
      <w:r>
        <w:t xml:space="preserve"> </w:t>
      </w:r>
      <w:r>
        <w:t xml:space="preserve">“</w:t>
      </w:r>
      <w:r>
        <w:t xml:space="preserve">Muslim rule</w:t>
      </w:r>
      <w:r>
        <w:t xml:space="preserve">”</w:t>
      </w:r>
      <w:r>
        <w:t xml:space="preserve"> </w:t>
      </w:r>
      <w:r>
        <w:t xml:space="preserve">as religiously uniform across eleven centuries.</w:t>
      </w:r>
    </w:p>
    <w:p>
      <w:pPr>
        <w:numPr>
          <w:ilvl w:val="0"/>
          <w:numId w:val="1013"/>
        </w:numPr>
        <w:pStyle w:val="Compact"/>
      </w:pPr>
      <w:r>
        <w:t xml:space="preserve">Mughal decline after 1707 resulted from the interaction of succession disputes, fiscal-institutional strain, regional assertion, indigenous military challenge (especially the Marathas) and external invasion (Nadir Shah, Ahmad Shah Abdali) — never from a single cause.</w:t>
      </w:r>
    </w:p>
    <w:p>
      <w:pPr>
        <w:numPr>
          <w:ilvl w:val="0"/>
          <w:numId w:val="1013"/>
        </w:numPr>
        <w:pStyle w:val="Compact"/>
      </w:pPr>
      <w:r>
        <w:t xml:space="preserve">This period is genuinely contested in historiography, and the strongest exam answers acknowledge the debate (particularly around Aurangzeb and around competing nationalist framings of the period) rather than asserting a single settled narrative.</w:t>
      </w:r>
    </w:p>
    <w:bookmarkEnd w:id="34"/>
    <w:bookmarkEnd w:id="35"/>
    <w:bookmarkStart w:id="46" w:name="british-rule-in-india-18571947"/>
    <w:p>
      <w:pPr>
        <w:pStyle w:val="Heading1"/>
        <w:pageBreakBefore/>
      </w:pPr>
      <w:r>
        <w:t xml:space="preserve">2. British Rule in India (1857–1947)</w:t>
      </w:r>
    </w:p>
    <w:bookmarkStart w:id="36" w:name="why-this-topic-matters-1"/>
    <w:p>
      <w:pPr>
        <w:pStyle w:val="Heading2"/>
      </w:pPr>
      <w:r>
        <w:t xml:space="preserve">Why This Topic Matters</w:t>
      </w:r>
    </w:p>
    <w:p>
      <w:pPr>
        <w:pStyle w:val="FirstParagraph"/>
      </w:pPr>
      <w:r>
        <w:t xml:space="preserve">This topic explains the transformation of a chartered trading company into the ruling power of the subcontinent, the crisis that nearly ended that project in 1857, and the different, more cautious colonial state that emerged afterward. Understanding</w:t>
      </w:r>
      <w:r>
        <w:t xml:space="preserve"> </w:t>
      </w:r>
      <w:r>
        <w:rPr>
          <w:iCs/>
          <w:i/>
        </w:rPr>
        <w:t xml:space="preserve">how</w:t>
      </w:r>
      <w:r>
        <w:t xml:space="preserve"> </w:t>
      </w:r>
      <w:r>
        <w:t xml:space="preserve">the Company became a territorial power — not just</w:t>
      </w:r>
      <w:r>
        <w:t xml:space="preserve"> </w:t>
      </w:r>
      <w:r>
        <w:rPr>
          <w:iCs/>
          <w:i/>
        </w:rPr>
        <w:t xml:space="preserve">that</w:t>
      </w:r>
      <w:r>
        <w:t xml:space="preserve"> </w:t>
      </w:r>
      <w:r>
        <w:t xml:space="preserve">it did — is essential preparation for Topic 3 (which explains how the British then slowly and reluctantly conceded limited political representation) and for the entire nationalist movement covered in Topics 4 and 5, since colonial economic and administrative policy is exactly what that movement organised against.</w:t>
      </w:r>
    </w:p>
    <w:bookmarkEnd w:id="36"/>
    <w:bookmarkStart w:id="37" w:name="X4756e20c27b1be3000ad74c932494a8ce1bde24"/>
    <w:p>
      <w:pPr>
        <w:pStyle w:val="Heading2"/>
      </w:pPr>
      <w:r>
        <w:t xml:space="preserve">Background: A Trading Company Becomes a Political Power</w:t>
      </w:r>
    </w:p>
    <w:p>
      <w:pPr>
        <w:pStyle w:val="FirstParagraph"/>
      </w:pPr>
      <w:r>
        <w:t xml:space="preserve">The English East India Company received its royal charter in 1600, initially as one of several European trading concerns (the Portuguese had arrived earlier, in 1498; the Dutch and French entered around the same period as the English) competing for access to Indian textiles, spices and other goods. For over a century the Company operated primarily as a commercial enterprise, maintaining fortified trading posts —</w:t>
      </w:r>
      <w:r>
        <w:t xml:space="preserve"> </w:t>
      </w:r>
      <w:r>
        <w:t xml:space="preserve">“</w:t>
      </w:r>
      <w:r>
        <w:t xml:space="preserve">factories</w:t>
      </w:r>
      <w:r>
        <w:t xml:space="preserve">”</w:t>
      </w:r>
      <w:r>
        <w:t xml:space="preserve"> </w:t>
      </w:r>
      <w:r>
        <w:t xml:space="preserve">— at locations such as Surat, Madras (Fort St George), Bombay and Calcutta (Fort William), under licence from Mughal or regional authorities. It had no initial plan to conquer the subcontinent; the shift from trade to territorial rule happened gradually, as Mughal central authority weakened (see Topic 1) and the Company found itself drawn into regional power struggles, first as a participant and increasingly as the dominant player.</w:t>
      </w:r>
    </w:p>
    <w:bookmarkEnd w:id="37"/>
    <w:bookmarkStart w:id="38" w:name="from-trading-post-to-territorial-power"/>
    <w:p>
      <w:pPr>
        <w:pStyle w:val="Heading2"/>
      </w:pPr>
      <w:r>
        <w:t xml:space="preserve">From Trading Post to Territorial Power</w:t>
      </w:r>
    </w:p>
    <w:p>
      <w:pPr>
        <w:pStyle w:val="FirstParagraph"/>
      </w:pPr>
      <w:r>
        <w:rPr>
          <w:bCs/>
          <w:b/>
        </w:rPr>
        <w:t xml:space="preserve">Bengal: the decisive theatre.</w:t>
      </w:r>
      <w:r>
        <w:t xml:space="preserve"> </w:t>
      </w:r>
      <w:r>
        <w:t xml:space="preserve">The Company’s transformation into a territorial power began in Bengal. In 1757, Robert Clive led Company forces to victory over the Nawab of Bengal, Siraj-ud-Daulah, at the Battle of Plassey — a victory achieved as much through the defection of the Nawab’s own commander, Mir Jafar (bribed by the Company), as through military superiority on the battlefield. Plassey installed a Company-controlled puppet as Nawab and gave the Company enormous influence over Bengal’s revenue and trade. The Battle of Buxar (1764), in which Company forces defeated a combined army of the Nawab of Bengal, the Nawab of Awadh, and the Mughal emperor Shah Alam II, confirmed and extended this dominance. Its outcome was constitutionally significant: in 1765, the Company obtained the</w:t>
      </w:r>
      <w:r>
        <w:t xml:space="preserve"> </w:t>
      </w:r>
      <w:r>
        <w:rPr>
          <w:iCs/>
          <w:i/>
        </w:rPr>
        <w:t xml:space="preserve">Diwani</w:t>
      </w:r>
      <w:r>
        <w:t xml:space="preserve"> </w:t>
      </w:r>
      <w:r>
        <w:t xml:space="preserve">(the right to collect land revenue) over Bengal, Bihar and Orissa directly from the Mughal emperor — meaning the Company now held, in law, a governing function once reserved for imperial or provincial authority, even though it remained formally a commercial corporation answerable to shareholders in London.</w:t>
      </w:r>
    </w:p>
    <w:p>
      <w:pPr>
        <w:pStyle w:val="BodyText"/>
      </w:pPr>
      <w:r>
        <w:rPr>
          <w:bCs/>
          <w:b/>
        </w:rPr>
        <w:t xml:space="preserve">Mechanisms of further expansion.</w:t>
      </w:r>
      <w:r>
        <w:t xml:space="preserve"> </w:t>
      </w:r>
      <w:r>
        <w:t xml:space="preserve">Over the following decades, the Company expanded its territorial control through a mixture of direct annexation and indirect control:</w:t>
      </w:r>
    </w:p>
    <w:p>
      <w:pPr>
        <w:numPr>
          <w:ilvl w:val="0"/>
          <w:numId w:val="1014"/>
        </w:numPr>
        <w:pStyle w:val="Compact"/>
      </w:pPr>
      <w:r>
        <w:rPr>
          <w:bCs/>
          <w:b/>
        </w:rPr>
        <w:t xml:space="preserve">The subsidiary alliance system</w:t>
      </w:r>
      <w:r>
        <w:t xml:space="preserve">, developed and extended especially under Governor-General Wellesley (in office 1798–1805), required allied Indian rulers to accept a British</w:t>
      </w:r>
      <w:r>
        <w:t xml:space="preserve"> </w:t>
      </w:r>
      <w:r>
        <w:t xml:space="preserve">“</w:t>
      </w:r>
      <w:r>
        <w:t xml:space="preserve">Resident</w:t>
      </w:r>
      <w:r>
        <w:t xml:space="preserve">”</w:t>
      </w:r>
      <w:r>
        <w:t xml:space="preserve"> </w:t>
      </w:r>
      <w:r>
        <w:t xml:space="preserve">at their court, station and pay for British troops within their territory, and surrender control of their foreign relations, in exchange for British protection. This allowed the Company to dominate large princely states without the cost of direct conquest and administration.</w:t>
      </w:r>
    </w:p>
    <w:p>
      <w:pPr>
        <w:numPr>
          <w:ilvl w:val="0"/>
          <w:numId w:val="1014"/>
        </w:numPr>
        <w:pStyle w:val="Compact"/>
      </w:pPr>
      <w:r>
        <w:rPr>
          <w:bCs/>
          <w:b/>
        </w:rPr>
        <w:t xml:space="preserve">The Doctrine of Lapse</w:t>
      </w:r>
      <w:r>
        <w:t xml:space="preserve">, applied especially under Governor-General Dalhousie (in office 1848–1856), held that a princely state without a natural (biological) male heir would pass (</w:t>
      </w:r>
      <w:r>
        <w:t xml:space="preserve">“</w:t>
      </w:r>
      <w:r>
        <w:t xml:space="preserve">lapse</w:t>
      </w:r>
      <w:r>
        <w:t xml:space="preserve">”</w:t>
      </w:r>
      <w:r>
        <w:t xml:space="preserve">) to Company control rather than to an adopted heir, even where adoption was customary and previously accepted practice. States annexed under this doctrine included Satara, Jhansi and Nagpur; Dalhousie also annexed Awadh outright in 1856 on grounds of alleged misgovernment. These annexations generated intense resentment among the dispossessed ruling families and their dependent administrative and military establishments — resentment that fed directly into the 1857 uprising.</w:t>
      </w:r>
    </w:p>
    <w:p>
      <w:pPr>
        <w:numPr>
          <w:ilvl w:val="0"/>
          <w:numId w:val="1014"/>
        </w:numPr>
        <w:pStyle w:val="Compact"/>
      </w:pPr>
      <w:r>
        <w:rPr>
          <w:bCs/>
          <w:b/>
        </w:rPr>
        <w:t xml:space="preserve">Direct warfare</w:t>
      </w:r>
      <w:r>
        <w:t xml:space="preserve"> </w:t>
      </w:r>
      <w:r>
        <w:t xml:space="preserve">against remaining independent powers — the Anglo-Mysore Wars against Tipu Sultan, the Anglo-Maratha Wars against the Maratha confederacy, and the Anglo-Sikh Wars against the Sikh kingdom of Punjab (annexed in 1849) — progressively eliminated the major indigenous powers capable of contesting Company expansion.</w:t>
      </w:r>
    </w:p>
    <w:p>
      <w:pPr>
        <w:pStyle w:val="FirstParagraph"/>
      </w:pPr>
      <w:r>
        <w:rPr>
          <w:bCs/>
          <w:b/>
        </w:rPr>
        <w:t xml:space="preserve">Early Company administration.</w:t>
      </w:r>
      <w:r>
        <w:t xml:space="preserve"> </w:t>
      </w:r>
      <w:r>
        <w:t xml:space="preserve">Governor-General Warren Hastings (in office 1772–1785) and Governor-General Cornwallis (in office 1786–1793) built the first systematic administrative structures. Cornwallis’s</w:t>
      </w:r>
      <w:r>
        <w:t xml:space="preserve"> </w:t>
      </w:r>
      <w:r>
        <w:rPr>
          <w:bCs/>
          <w:b/>
        </w:rPr>
        <w:t xml:space="preserve">Permanent Settlement of Bengal (1793)</w:t>
      </w:r>
      <w:r>
        <w:t xml:space="preserve"> </w:t>
      </w:r>
      <w:r>
        <w:t xml:space="preserve">fixed land-revenue obligations for</w:t>
      </w:r>
      <w:r>
        <w:t xml:space="preserve"> </w:t>
      </w:r>
      <w:r>
        <w:rPr>
          <w:iCs/>
          <w:i/>
        </w:rPr>
        <w:t xml:space="preserve">zamindars</w:t>
      </w:r>
      <w:r>
        <w:t xml:space="preserve"> </w:t>
      </w:r>
      <w:r>
        <w:t xml:space="preserve">(landholders) permanently, converting them into a class of hereditary landlords with clear property rights in exchange for a fixed revenue payment to the Company — a policy that provided the Company with predictable revenue and created a landed class with a direct stake in British rule, but that also, over time, often placed a heavy fixed burden on cultivators regardless of harvest conditions.</w:t>
      </w:r>
    </w:p>
    <w:bookmarkEnd w:id="38"/>
    <w:bookmarkStart w:id="39" w:name="X6d0164d239954a2e3ffdc86ba0ae63d78063bb2"/>
    <w:p>
      <w:pPr>
        <w:pStyle w:val="Heading2"/>
      </w:pPr>
      <w:r>
        <w:t xml:space="preserve">The Uprising of 1857: Causes, Course, and Consequences</w:t>
      </w:r>
    </w:p>
    <w:p>
      <w:pPr>
        <w:pStyle w:val="FirstParagraph"/>
      </w:pPr>
      <w:r>
        <w:rPr>
          <w:bCs/>
          <w:b/>
        </w:rPr>
        <w:t xml:space="preserve">Causes.</w:t>
      </w:r>
      <w:r>
        <w:t xml:space="preserve"> </w:t>
      </w:r>
      <w:r>
        <w:t xml:space="preserve">The uprising of 1857 is best explained through several interacting categories of grievance rather than a single trigger, though a single trigger did light the fuse:</w:t>
      </w:r>
    </w:p>
    <w:p>
      <w:pPr>
        <w:numPr>
          <w:ilvl w:val="0"/>
          <w:numId w:val="1015"/>
        </w:numPr>
        <w:pStyle w:val="Compact"/>
      </w:pPr>
      <w:r>
        <w:rPr>
          <w:bCs/>
          <w:b/>
        </w:rPr>
        <w:t xml:space="preserve">The immediate military trigger</w:t>
      </w:r>
      <w:r>
        <w:t xml:space="preserve"> </w:t>
      </w:r>
      <w:r>
        <w:t xml:space="preserve">was the introduction of the new Enfield rifle cartridge, which sepoys (Indian soldiers in Company service) believed was greased with a mixture of cow and pig fat — offensive to Hindu and Muslim religious sensibilities respectively, since loading the rifle required biting the cartridge open. This grievance detonated existing, much deeper tensions rather than creating them from nothing.</w:t>
      </w:r>
    </w:p>
    <w:p>
      <w:pPr>
        <w:numPr>
          <w:ilvl w:val="0"/>
          <w:numId w:val="1015"/>
        </w:numPr>
        <w:pStyle w:val="Compact"/>
      </w:pPr>
      <w:r>
        <w:rPr>
          <w:bCs/>
          <w:b/>
        </w:rPr>
        <w:t xml:space="preserve">Political grievances</w:t>
      </w:r>
      <w:r>
        <w:t xml:space="preserve"> </w:t>
      </w:r>
      <w:r>
        <w:t xml:space="preserve">centred on annexations (especially Awadh in 1856 and the Doctrine of Lapse annexations) and fear that British rule intended to eliminate remaining Indian ruling houses entirely.</w:t>
      </w:r>
    </w:p>
    <w:p>
      <w:pPr>
        <w:numPr>
          <w:ilvl w:val="0"/>
          <w:numId w:val="1015"/>
        </w:numPr>
        <w:pStyle w:val="Compact"/>
      </w:pPr>
      <w:r>
        <w:rPr>
          <w:bCs/>
          <w:b/>
        </w:rPr>
        <w:t xml:space="preserve">Economic grievances</w:t>
      </w:r>
      <w:r>
        <w:t xml:space="preserve"> </w:t>
      </w:r>
      <w:r>
        <w:t xml:space="preserve">included the burden of land revenue demands (heightened under the Permanent Settlement and similar systems elsewhere), the displacement of traditional artisans and weavers by imported British manufactured goods, and the loss of livelihood among soldiers and administrators attached to annexed princely courts.</w:t>
      </w:r>
    </w:p>
    <w:p>
      <w:pPr>
        <w:numPr>
          <w:ilvl w:val="0"/>
          <w:numId w:val="1015"/>
        </w:numPr>
        <w:pStyle w:val="Compact"/>
      </w:pPr>
      <w:r>
        <w:rPr>
          <w:bCs/>
          <w:b/>
        </w:rPr>
        <w:t xml:space="preserve">Religious and social anxieties</w:t>
      </w:r>
      <w:r>
        <w:t xml:space="preserve"> </w:t>
      </w:r>
      <w:r>
        <w:t xml:space="preserve">were fuelled by missionary activity, social reform legislation (such as the abolition of</w:t>
      </w:r>
      <w:r>
        <w:t xml:space="preserve"> </w:t>
      </w:r>
      <w:r>
        <w:rPr>
          <w:iCs/>
          <w:i/>
        </w:rPr>
        <w:t xml:space="preserve">sati</w:t>
      </w:r>
      <w:r>
        <w:t xml:space="preserve">, the practice of widow immolation, in 1829, and permission for widow remarriage in 1856 — reforms that, whatever their intrinsic merit, were widely perceived by conservative sections of society as external interference in religious and social custom), and a general sense that British rule was becoming more intrusive into areas of life previously left to local and religious authority.</w:t>
      </w:r>
    </w:p>
    <w:p>
      <w:pPr>
        <w:numPr>
          <w:ilvl w:val="0"/>
          <w:numId w:val="1015"/>
        </w:numPr>
        <w:pStyle w:val="Compact"/>
      </w:pPr>
      <w:r>
        <w:rPr>
          <w:bCs/>
          <w:b/>
        </w:rPr>
        <w:t xml:space="preserve">Dispossessed elites</w:t>
      </w:r>
      <w:r>
        <w:t xml:space="preserve"> </w:t>
      </w:r>
      <w:r>
        <w:t xml:space="preserve">— former rulers, their soldiers, and hereditary administrative and military service families displaced by annexation — provided much of the organisational capacity and leadership for the revolt once it began.</w:t>
      </w:r>
    </w:p>
    <w:p>
      <w:pPr>
        <w:pStyle w:val="FirstParagraph"/>
      </w:pPr>
      <w:r>
        <w:rPr>
          <w:bCs/>
          <w:b/>
        </w:rPr>
        <w:t xml:space="preserve">Course of the uprising.</w:t>
      </w:r>
      <w:r>
        <w:t xml:space="preserve"> </w:t>
      </w:r>
      <w:r>
        <w:t xml:space="preserve">The revolt began among sepoys at Meerut in May 1857 and spread rapidly to Delhi, where the rebels proclaimed the elderly Mughal emperor Bahadur Shah Zafar as their nominal sovereign — a symbolically important act, since it shows rebels reaching for the last remaining symbol of pre-colonial legitimate authority even though Mughal power had been nominal for over a century. Major centres of the revolt included Delhi, Kanpur (where Nana Sahib led resistance), Lucknow (the site of a prolonged siege of the British Residency), and Jhansi, where Rani Lakshmibai led a determined defence that has since become one of the most celebrated episodes of resistance in Indian nationalist memory. The revolt was intense across large parts of north and central India but did</w:t>
      </w:r>
      <w:r>
        <w:t xml:space="preserve"> </w:t>
      </w:r>
      <w:r>
        <w:rPr>
          <w:bCs/>
          <w:b/>
        </w:rPr>
        <w:t xml:space="preserve">not</w:t>
      </w:r>
      <w:r>
        <w:t xml:space="preserve"> </w:t>
      </w:r>
      <w:r>
        <w:t xml:space="preserve">affect all regions equally — Bengal, Madras, Bombay and Punjab remained largely, though not entirely, under British control throughout, and many Indian rulers and soldiers actively supported the British side.</w:t>
      </w:r>
    </w:p>
    <w:p>
      <w:pPr>
        <w:pStyle w:val="BodyText"/>
      </w:pPr>
      <w:r>
        <w:t xml:space="preserve">British forces suppressed the uprising over roughly a year of hard fighting, retaking Delhi in September 1857 and gradually subduing remaining centres of resistance through 1858. The suppression was extremely severe, including large-scale reprisal killings; this dimension is often understated in narratives that focus only on the causes and course of the revolt.</w:t>
      </w:r>
    </w:p>
    <w:bookmarkEnd w:id="39"/>
    <w:bookmarkStart w:id="40" w:name="Xc55c9a6129ee689a58a969fc233294108127fd7"/>
    <w:p>
      <w:pPr>
        <w:pStyle w:val="Heading2"/>
      </w:pPr>
      <w:r>
        <w:t xml:space="preserve">From Company to Crown: The New Colonial State</w:t>
      </w:r>
    </w:p>
    <w:p>
      <w:pPr>
        <w:pStyle w:val="FirstParagraph"/>
      </w:pPr>
      <w:r>
        <w:rPr>
          <w:bCs/>
          <w:b/>
        </w:rPr>
        <w:t xml:space="preserve">Constitutional transformation.</w:t>
      </w:r>
      <w:r>
        <w:t xml:space="preserve"> </w:t>
      </w:r>
      <w:r>
        <w:t xml:space="preserve">The Government of India Act 1858 formally ended East India Company rule and transferred governing authority directly to the British Crown, administered through a Secretary of State for India in London and a Viceroy in India (the same office as Governor-General, now carrying the additional title of Viceroy as the Crown’s direct representative). Queen Victoria’s proclamation of 1858 promised non-interference in religious belief and customary practice, respect for the rights of princely rulers, and equal treatment before the law — commitments intended to reassure exactly the constituencies (princes, religious authorities, landed elites) whose alienation had contributed to 1857.</w:t>
      </w:r>
    </w:p>
    <w:p>
      <w:pPr>
        <w:pStyle w:val="BodyText"/>
      </w:pPr>
      <w:r>
        <w:rPr>
          <w:bCs/>
          <w:b/>
        </w:rPr>
        <w:t xml:space="preserve">A more cautious colonial state.</w:t>
      </w:r>
      <w:r>
        <w:t xml:space="preserve"> </w:t>
      </w:r>
      <w:r>
        <w:t xml:space="preserve">Post-1858 policy shows a marked shift toward caution and consolidation rather than continued rapid annexation:</w:t>
      </w:r>
    </w:p>
    <w:p>
      <w:pPr>
        <w:numPr>
          <w:ilvl w:val="0"/>
          <w:numId w:val="1016"/>
        </w:numPr>
        <w:pStyle w:val="Compact"/>
      </w:pPr>
      <w:r>
        <w:t xml:space="preserve">The</w:t>
      </w:r>
      <w:r>
        <w:t xml:space="preserve"> </w:t>
      </w:r>
      <w:r>
        <w:rPr>
          <w:bCs/>
          <w:b/>
        </w:rPr>
        <w:t xml:space="preserve">army was reorganised</w:t>
      </w:r>
      <w:r>
        <w:t xml:space="preserve"> </w:t>
      </w:r>
      <w:r>
        <w:t xml:space="preserve">to reduce the risk of another coordinated uprising: the ratio of European to Indian troops was substantially increased, artillery was kept almost exclusively under European control, and recruitment was deliberately diversified across different regions and communities (giving rise to the colonial doctrine of</w:t>
      </w:r>
      <w:r>
        <w:t xml:space="preserve"> </w:t>
      </w:r>
      <w:r>
        <w:t xml:space="preserve">“</w:t>
      </w:r>
      <w:r>
        <w:t xml:space="preserve">martial races,</w:t>
      </w:r>
      <w:r>
        <w:t xml:space="preserve">”</w:t>
      </w:r>
      <w:r>
        <w:t xml:space="preserve"> </w:t>
      </w:r>
      <w:r>
        <w:t xml:space="preserve">which favoured recruitment from Punjab, Nepal (Gurkhas) and certain other groups over Bengal, reflecting both practical security calculations and racialised assumptions about which populations were considered reliably loyal or militarily capable).</w:t>
      </w:r>
    </w:p>
    <w:p>
      <w:pPr>
        <w:numPr>
          <w:ilvl w:val="0"/>
          <w:numId w:val="1016"/>
        </w:numPr>
        <w:pStyle w:val="Compact"/>
      </w:pPr>
      <w:r>
        <w:rPr>
          <w:bCs/>
          <w:b/>
        </w:rPr>
        <w:t xml:space="preserve">Princely states were preserved rather than further annexed.</w:t>
      </w:r>
      <w:r>
        <w:t xml:space="preserve"> </w:t>
      </w:r>
      <w:r>
        <w:t xml:space="preserve">The Doctrine of Lapse was abandoned, and the roughly 550 princely states that remained were bound to the Crown through treaty relationships and British</w:t>
      </w:r>
      <w:r>
        <w:t xml:space="preserve"> </w:t>
      </w:r>
      <w:r>
        <w:t xml:space="preserve">“</w:t>
      </w:r>
      <w:r>
        <w:t xml:space="preserve">paramountcy</w:t>
      </w:r>
      <w:r>
        <w:t xml:space="preserve">”</w:t>
      </w:r>
      <w:r>
        <w:t xml:space="preserve"> </w:t>
      </w:r>
      <w:r>
        <w:t xml:space="preserve">rather than being absorbed into directly administered British India — a structural feature that would later complicate the 1947 transfer of power (the subject of Topic 5).</w:t>
      </w:r>
    </w:p>
    <w:p>
      <w:pPr>
        <w:numPr>
          <w:ilvl w:val="0"/>
          <w:numId w:val="1016"/>
        </w:numPr>
        <w:pStyle w:val="Compact"/>
      </w:pPr>
      <w:r>
        <w:rPr>
          <w:bCs/>
          <w:b/>
        </w:rPr>
        <w:t xml:space="preserve">Religious and social policy became more cautious</w:t>
      </w:r>
      <w:r>
        <w:t xml:space="preserve">, with the colonial state generally avoiding direct interference in religious custom in ways that might provoke another 1857-style backlash.</w:t>
      </w:r>
    </w:p>
    <w:bookmarkEnd w:id="40"/>
    <w:bookmarkStart w:id="41" w:name="Xdaf4a21d7002bfdc2d4e6ef5fa62f4b346bf768"/>
    <w:p>
      <w:pPr>
        <w:pStyle w:val="Heading2"/>
      </w:pPr>
      <w:r>
        <w:t xml:space="preserve">Economic and Social Effects of Colonial Rule</w:t>
      </w:r>
    </w:p>
    <w:p>
      <w:pPr>
        <w:pStyle w:val="FirstParagraph"/>
      </w:pPr>
      <w:r>
        <w:rPr>
          <w:bCs/>
          <w:b/>
        </w:rPr>
        <w:t xml:space="preserve">Infrastructure and its purposes.</w:t>
      </w:r>
      <w:r>
        <w:t xml:space="preserve"> </w:t>
      </w:r>
      <w:r>
        <w:t xml:space="preserve">Colonial rule expanded railways, telegraph lines, canals, ports and a centralised administrative and legal system across the subcontinent to a degree no previous state had achieved. These developments genuinely improved communication and, in some respects, agricultural productivity (through irrigation canals, for instance). At the same time, historians emphasise that this infrastructure was built primarily to serve imperial purposes — moving troops quickly to suppress unrest, moving raw materials to ports for export to British industry, and moving British manufactured goods into Indian markets — rather than as disinterested development assistance. Railways and canals therefore need to be explained with both dimensions held together, not presented as either a purely benevolent gift or a purely extractive instrument.</w:t>
      </w:r>
    </w:p>
    <w:p>
      <w:pPr>
        <w:pStyle w:val="BodyText"/>
      </w:pPr>
      <w:r>
        <w:rPr>
          <w:bCs/>
          <w:b/>
        </w:rPr>
        <w:t xml:space="preserve">The</w:t>
      </w:r>
      <w:r>
        <w:rPr>
          <w:bCs/>
          <w:b/>
        </w:rPr>
        <w:t xml:space="preserve"> </w:t>
      </w:r>
      <w:r>
        <w:rPr>
          <w:bCs/>
          <w:b/>
        </w:rPr>
        <w:t xml:space="preserve">“</w:t>
      </w:r>
      <w:r>
        <w:rPr>
          <w:bCs/>
          <w:b/>
        </w:rPr>
        <w:t xml:space="preserve">drain of wealth</w:t>
      </w:r>
      <w:r>
        <w:rPr>
          <w:bCs/>
          <w:b/>
        </w:rPr>
        <w:t xml:space="preserve">”</w:t>
      </w:r>
      <w:r>
        <w:rPr>
          <w:bCs/>
          <w:b/>
        </w:rPr>
        <w:t xml:space="preserve"> </w:t>
      </w:r>
      <w:r>
        <w:rPr>
          <w:bCs/>
          <w:b/>
        </w:rPr>
        <w:t xml:space="preserve">debate.</w:t>
      </w:r>
      <w:r>
        <w:t xml:space="preserve"> </w:t>
      </w:r>
      <w:r>
        <w:t xml:space="preserve">Indian nationalist economists, most influentially Dadabhai Naoroji (in his 1901 work</w:t>
      </w:r>
      <w:r>
        <w:t xml:space="preserve"> </w:t>
      </w:r>
      <w:r>
        <w:rPr>
          <w:iCs/>
          <w:i/>
        </w:rPr>
        <w:t xml:space="preserve">Poverty and Un-British Rule in India</w:t>
      </w:r>
      <w:r>
        <w:t xml:space="preserve">) and later R. C. Dutt, argued that a substantial share of India’s wealth was transferred to Britain through mechanisms such as unrequited exports, Home Charges (payments India was required to make to Britain for administrative, military and pension costs incurred in London), and profits repatriated by British-owned enterprises — a phenomenon they termed the</w:t>
      </w:r>
      <w:r>
        <w:t xml:space="preserve"> </w:t>
      </w:r>
      <w:r>
        <w:t xml:space="preserve">“</w:t>
      </w:r>
      <w:r>
        <w:t xml:space="preserve">drain of wealth.</w:t>
      </w:r>
      <w:r>
        <w:t xml:space="preserve">”</w:t>
      </w:r>
      <w:r>
        <w:t xml:space="preserve"> </w:t>
      </w:r>
      <w:r>
        <w:t xml:space="preserve">This argument became central to early nationalist economic critique of colonial rule. Modern economic historians continue to debate the precise scale of the drain and the extent to which it, versus other factors (population growth, terms of trade, technological change, and India’s pre-existing agrarian structure), explains India’s relative economic stagnation and periodic famine under colonial rule; the debate over exact magnitudes should not obscure the broader, less disputed point that colonial economic policy structured trade and taxation in ways that generally favoured British economic interests.</w:t>
      </w:r>
    </w:p>
    <w:p>
      <w:pPr>
        <w:pStyle w:val="BodyText"/>
      </w:pPr>
      <w:r>
        <w:rPr>
          <w:bCs/>
          <w:b/>
        </w:rPr>
        <w:t xml:space="preserve">Deindustrialization.</w:t>
      </w:r>
      <w:r>
        <w:t xml:space="preserve"> </w:t>
      </w:r>
      <w:r>
        <w:t xml:space="preserve">A related and also debated claim concerns deindustrialization: the argument that India’s traditional handicraft and textile manufacturing sector (especially hand-spun and hand-woven cotton textiles) declined sharply during the nineteenth century as cheap, machine-made British textiles flooded Indian markets (helped by colonial trade and tariff policy that generally favoured British manufactured imports over Indian manufactured exports), while India increasingly exported raw materials (raw cotton, among others) rather than finished goods. Economic historians debate the precise timing, scale and regional variation of this process, but the broad direction — a shift of India’s role in the world economy toward raw-material export and finished-goods import — is well established.</w:t>
      </w:r>
    </w:p>
    <w:p>
      <w:pPr>
        <w:pStyle w:val="BodyText"/>
      </w:pPr>
      <w:r>
        <w:rPr>
          <w:bCs/>
          <w:b/>
        </w:rPr>
        <w:t xml:space="preserve">Education, print culture, and the seeds of nationalist politics.</w:t>
      </w:r>
      <w:r>
        <w:t xml:space="preserve"> </w:t>
      </w:r>
      <w:r>
        <w:t xml:space="preserve">Thomas Macaulay’s 1835</w:t>
      </w:r>
      <w:r>
        <w:t xml:space="preserve"> </w:t>
      </w:r>
      <w:r>
        <w:t xml:space="preserve">“</w:t>
      </w:r>
      <w:r>
        <w:t xml:space="preserve">Minute on Indian Education</w:t>
      </w:r>
      <w:r>
        <w:t xml:space="preserve">”</w:t>
      </w:r>
      <w:r>
        <w:t xml:space="preserve"> </w:t>
      </w:r>
      <w:r>
        <w:t xml:space="preserve">argued for English-medium education aimed at producing, in his own often-quoted phrase, a class of persons Indian in blood and colour but English in taste and intellect — intended to create a class of administrators and clerks useful to colonial governance. Wood’s Despatch of 1854 extended this policy into a more systematic framework for state-supported education. The unintended long-term consequence was significant: English education, combined with the spread of the printing press and English-language and vernacular newspapers, created a new, professionally trained, English-speaking Indian middle class of lawyers, journalists, teachers and civil servants — precisely the social group that would go on to found the political associations and, eventually, the Indian National Congress (Topic 3) that organised the movement against colonial rule. Colonial policy, in other words, produced both the tools of stronger imperial administration and the social conditions for organised anti-colonial politics — one of the central ironies of this period, and a point worth making explicitly in any strong answer.</w:t>
      </w:r>
    </w:p>
    <w:bookmarkEnd w:id="41"/>
    <w:bookmarkStart w:id="42" w:name="key-terms-and-concepts-1"/>
    <w:p>
      <w:pPr>
        <w:pStyle w:val="Heading2"/>
      </w:pPr>
      <w:r>
        <w:t xml:space="preserve">Key Terms and Concepts</w:t>
      </w:r>
    </w:p>
    <w:p>
      <w:pPr>
        <w:numPr>
          <w:ilvl w:val="0"/>
          <w:numId w:val="1017"/>
        </w:numPr>
        <w:pStyle w:val="Compact"/>
      </w:pPr>
      <w:r>
        <w:rPr>
          <w:bCs/>
          <w:b/>
        </w:rPr>
        <w:t xml:space="preserve">Diwani:</w:t>
      </w:r>
      <w:r>
        <w:t xml:space="preserve"> </w:t>
      </w:r>
      <w:r>
        <w:t xml:space="preserve">The right to collect and administer land revenue, granted to the Company over Bengal, Bihar and Orissa by the Mughal emperor in 1765.</w:t>
      </w:r>
    </w:p>
    <w:p>
      <w:pPr>
        <w:numPr>
          <w:ilvl w:val="0"/>
          <w:numId w:val="1017"/>
        </w:numPr>
        <w:pStyle w:val="Compact"/>
      </w:pPr>
      <w:r>
        <w:rPr>
          <w:bCs/>
          <w:b/>
        </w:rPr>
        <w:t xml:space="preserve">Subsidiary alliance:</w:t>
      </w:r>
      <w:r>
        <w:t xml:space="preserve"> </w:t>
      </w:r>
      <w:r>
        <w:t xml:space="preserve">A treaty system binding Indian princely states to British protection in exchange for accepting British troops, a Resident, and loss of independent foreign policy.</w:t>
      </w:r>
    </w:p>
    <w:p>
      <w:pPr>
        <w:numPr>
          <w:ilvl w:val="0"/>
          <w:numId w:val="1017"/>
        </w:numPr>
        <w:pStyle w:val="Compact"/>
      </w:pPr>
      <w:r>
        <w:rPr>
          <w:bCs/>
          <w:b/>
        </w:rPr>
        <w:t xml:space="preserve">Doctrine of Lapse:</w:t>
      </w:r>
      <w:r>
        <w:t xml:space="preserve"> </w:t>
      </w:r>
      <w:r>
        <w:t xml:space="preserve">The policy of annexing princely states lacking a natural male heir, rather than recognising adopted successors.</w:t>
      </w:r>
    </w:p>
    <w:p>
      <w:pPr>
        <w:numPr>
          <w:ilvl w:val="0"/>
          <w:numId w:val="1017"/>
        </w:numPr>
        <w:pStyle w:val="Compact"/>
      </w:pPr>
      <w:r>
        <w:rPr>
          <w:bCs/>
          <w:b/>
        </w:rPr>
        <w:t xml:space="preserve">Permanent Settlement:</w:t>
      </w:r>
      <w:r>
        <w:t xml:space="preserve"> </w:t>
      </w:r>
      <w:r>
        <w:t xml:space="preserve">Cornwallis’s 1793 fixing of Bengal land revenue obligations, creating a hereditary zamindar landlord class.</w:t>
      </w:r>
    </w:p>
    <w:p>
      <w:pPr>
        <w:numPr>
          <w:ilvl w:val="0"/>
          <w:numId w:val="1017"/>
        </w:numPr>
        <w:pStyle w:val="Compact"/>
      </w:pPr>
      <w:r>
        <w:rPr>
          <w:bCs/>
          <w:b/>
        </w:rPr>
        <w:t xml:space="preserve">Drain of wealth:</w:t>
      </w:r>
      <w:r>
        <w:t xml:space="preserve"> </w:t>
      </w:r>
      <w:r>
        <w:t xml:space="preserve">The nationalist economic critique, associated with Dadabhai Naoroji, describing the transfer of Indian wealth to Britain through trade, taxation and remittance mechanisms.</w:t>
      </w:r>
    </w:p>
    <w:p>
      <w:pPr>
        <w:numPr>
          <w:ilvl w:val="0"/>
          <w:numId w:val="1017"/>
        </w:numPr>
        <w:pStyle w:val="Compact"/>
      </w:pPr>
      <w:r>
        <w:rPr>
          <w:bCs/>
          <w:b/>
        </w:rPr>
        <w:t xml:space="preserve">Paramountcy:</w:t>
      </w:r>
      <w:r>
        <w:t xml:space="preserve"> </w:t>
      </w:r>
      <w:r>
        <w:t xml:space="preserve">The British Crown’s overarching authority over princely states, distinct from direct administration of British India proper.</w:t>
      </w:r>
    </w:p>
    <w:bookmarkEnd w:id="42"/>
    <w:bookmarkStart w:id="43" w:name="X2e4c333276b00015999fb2ea35a15f9c06efddd"/>
    <w:p>
      <w:pPr>
        <w:pStyle w:val="Heading2"/>
      </w:pPr>
      <w:r>
        <w:t xml:space="preserve">Historiographical Debates:</w:t>
      </w:r>
      <w:r>
        <w:t xml:space="preserve"> </w:t>
      </w:r>
      <w:r>
        <w:t xml:space="preserve">“</w:t>
      </w:r>
      <w:r>
        <w:t xml:space="preserve">Mutiny,</w:t>
      </w:r>
      <w:r>
        <w:t xml:space="preserve">”</w:t>
      </w:r>
      <w:r>
        <w:t xml:space="preserve"> </w:t>
      </w:r>
      <w:r>
        <w:t xml:space="preserve">“</w:t>
      </w:r>
      <w:r>
        <w:t xml:space="preserve">Rebellion,</w:t>
      </w:r>
      <w:r>
        <w:t xml:space="preserve">”</w:t>
      </w:r>
      <w:r>
        <w:t xml:space="preserve"> </w:t>
      </w:r>
      <w:r>
        <w:t xml:space="preserve">or</w:t>
      </w:r>
      <w:r>
        <w:t xml:space="preserve"> </w:t>
      </w:r>
      <w:r>
        <w:t xml:space="preserve">“</w:t>
      </w:r>
      <w:r>
        <w:t xml:space="preserve">War of Independence</w:t>
      </w:r>
      <w:r>
        <w:t xml:space="preserve">”</w:t>
      </w:r>
      <w:r>
        <w:t xml:space="preserve">?</w:t>
      </w:r>
    </w:p>
    <w:p>
      <w:pPr>
        <w:pStyle w:val="FirstParagraph"/>
      </w:pPr>
      <w:r>
        <w:t xml:space="preserve">How 1857 should even be</w:t>
      </w:r>
      <w:r>
        <w:t xml:space="preserve"> </w:t>
      </w:r>
      <w:r>
        <w:rPr>
          <w:iCs/>
          <w:i/>
        </w:rPr>
        <w:t xml:space="preserve">named</w:t>
      </w:r>
      <w:r>
        <w:t xml:space="preserve"> </w:t>
      </w:r>
      <w:r>
        <w:t xml:space="preserve">is itself a historiographical debate, and naming choices reflect underlying interpretive positions:</w:t>
      </w:r>
    </w:p>
    <w:p>
      <w:pPr>
        <w:numPr>
          <w:ilvl w:val="0"/>
          <w:numId w:val="1018"/>
        </w:numPr>
        <w:pStyle w:val="Compact"/>
      </w:pPr>
      <w:r>
        <w:rPr>
          <w:bCs/>
          <w:b/>
        </w:rPr>
        <w:t xml:space="preserve">The colonial</w:t>
      </w:r>
      <w:r>
        <w:rPr>
          <w:bCs/>
          <w:b/>
        </w:rPr>
        <w:t xml:space="preserve"> </w:t>
      </w:r>
      <w:r>
        <w:rPr>
          <w:bCs/>
          <w:b/>
        </w:rPr>
        <w:t xml:space="preserve">“</w:t>
      </w:r>
      <w:r>
        <w:rPr>
          <w:bCs/>
          <w:b/>
        </w:rPr>
        <w:t xml:space="preserve">mutiny</w:t>
      </w:r>
      <w:r>
        <w:rPr>
          <w:bCs/>
          <w:b/>
        </w:rPr>
        <w:t xml:space="preserve">”</w:t>
      </w:r>
      <w:r>
        <w:rPr>
          <w:bCs/>
          <w:b/>
        </w:rPr>
        <w:t xml:space="preserve"> </w:t>
      </w:r>
      <w:r>
        <w:rPr>
          <w:bCs/>
          <w:b/>
        </w:rPr>
        <w:t xml:space="preserve">framing</w:t>
      </w:r>
      <w:r>
        <w:t xml:space="preserve"> </w:t>
      </w:r>
      <w:r>
        <w:t xml:space="preserve">presented the uprising primarily as a military mutiny — a breakdown of army discipline triggered by the cartridge controversy — with limited, mainly reactionary political content, and downplayed its wider political and economic causes.</w:t>
      </w:r>
    </w:p>
    <w:p>
      <w:pPr>
        <w:numPr>
          <w:ilvl w:val="0"/>
          <w:numId w:val="1018"/>
        </w:numPr>
        <w:pStyle w:val="Compact"/>
      </w:pPr>
      <w:r>
        <w:rPr>
          <w:bCs/>
          <w:b/>
        </w:rPr>
        <w:t xml:space="preserve">The nationalist</w:t>
      </w:r>
      <w:r>
        <w:rPr>
          <w:bCs/>
          <w:b/>
        </w:rPr>
        <w:t xml:space="preserve"> </w:t>
      </w:r>
      <w:r>
        <w:rPr>
          <w:bCs/>
          <w:b/>
        </w:rPr>
        <w:t xml:space="preserve">“</w:t>
      </w:r>
      <w:r>
        <w:rPr>
          <w:bCs/>
          <w:b/>
        </w:rPr>
        <w:t xml:space="preserve">First War of Independence</w:t>
      </w:r>
      <w:r>
        <w:rPr>
          <w:bCs/>
          <w:b/>
        </w:rPr>
        <w:t xml:space="preserve">”</w:t>
      </w:r>
      <w:r>
        <w:rPr>
          <w:bCs/>
          <w:b/>
        </w:rPr>
        <w:t xml:space="preserve"> </w:t>
      </w:r>
      <w:r>
        <w:rPr>
          <w:bCs/>
          <w:b/>
        </w:rPr>
        <w:t xml:space="preserve">framing</w:t>
      </w:r>
      <w:r>
        <w:t xml:space="preserve">, most influentially associated with V. D. Savarkar’s 1909 book of that title, reinterpreted 1857 as a unified, proto-nationalist struggle for Indian independence, emphasising political and economic grievance over narrow military mutiny.</w:t>
      </w:r>
    </w:p>
    <w:p>
      <w:pPr>
        <w:numPr>
          <w:ilvl w:val="0"/>
          <w:numId w:val="1018"/>
        </w:numPr>
        <w:pStyle w:val="Compact"/>
      </w:pPr>
      <w:r>
        <w:rPr>
          <w:bCs/>
          <w:b/>
        </w:rPr>
        <w:t xml:space="preserve">Most professional historians today</w:t>
      </w:r>
      <w:r>
        <w:t xml:space="preserve"> </w:t>
      </w:r>
      <w:r>
        <w:t xml:space="preserve">occupy a position between these two poles: 1857 clearly involved much more than a narrow military mutiny — the political, economic, religious and social grievances discussed above are well documented — but it also fell well short of a unified, nationwide, ideologically coherent independence movement in the modern sense, since participation, motives and even loyalties varied enormously by region, community and class, and many Indians actively supported the British side. A strong exam answer treats 1857 as a serious, multi-causal, regionally uneven uprising with real proto-nationalist significance, rather than adopting either extreme label uncritically.</w:t>
      </w:r>
    </w:p>
    <w:bookmarkEnd w:id="43"/>
    <w:bookmarkStart w:id="44" w:name="preparation-toolkit-1"/>
    <w:p>
      <w:pPr>
        <w:pStyle w:val="Heading2"/>
      </w:pPr>
      <w:r>
        <w:t xml:space="preserve">Preparation Toolkit</w:t>
      </w:r>
    </w:p>
    <w:p>
      <w:pPr>
        <w:pStyle w:val="FirstParagraph"/>
      </w:pPr>
      <w:r>
        <w:rPr>
          <w:bCs/>
          <w:b/>
        </w:rPr>
        <w:t xml:space="preserve">Preparation Checklist</w:t>
      </w:r>
    </w:p>
    <w:p>
      <w:pPr>
        <w:numPr>
          <w:ilvl w:val="0"/>
          <w:numId w:val="1019"/>
        </w:numPr>
        <w:pStyle w:val="Compact"/>
      </w:pPr>
      <w:r>
        <w:t xml:space="preserve">Build the topic in three stages: Company expansion and its mechanisms (Plassey, Buxar, Diwani, subsidiary alliance, Doctrine of Lapse); the 1857 uprising (causes, course, suppression); and the post-1858 colonial state (constitutional transfer, army reorganisation, princely-state policy, economic and educational effects).</w:t>
      </w:r>
    </w:p>
    <w:p>
      <w:pPr>
        <w:numPr>
          <w:ilvl w:val="0"/>
          <w:numId w:val="1019"/>
        </w:numPr>
        <w:pStyle w:val="Compact"/>
      </w:pPr>
      <w:r>
        <w:t xml:space="preserve">For 1857, prepare political, military, economic, social and religious causes as separate labelled categories — examiners specifically reward this multi-causal structure.</w:t>
      </w:r>
    </w:p>
    <w:p>
      <w:pPr>
        <w:numPr>
          <w:ilvl w:val="0"/>
          <w:numId w:val="1019"/>
        </w:numPr>
        <w:pStyle w:val="Compact"/>
      </w:pPr>
      <w:r>
        <w:t xml:space="preserve">For colonial economic impact, prepare both the infrastructure/administrative-development side and the extraction/deindustrialization-debate side together, since a one-sided answer in either direction reads as unbalanced.</w:t>
      </w:r>
    </w:p>
    <w:p>
      <w:pPr>
        <w:numPr>
          <w:ilvl w:val="0"/>
          <w:numId w:val="1019"/>
        </w:numPr>
        <w:pStyle w:val="Compact"/>
      </w:pPr>
      <w:r>
        <w:t xml:space="preserve">Keep an evidence bank: Company charter (1600), Plassey (1757), Buxar (1764), Diwani grant (1765), Permanent Settlement (1793), Doctrine of Lapse annexations, Meerut/Delhi/Jhansi (1857), Government of India Act 1858, Macaulay’s Minute (1835).</w:t>
      </w:r>
    </w:p>
    <w:p>
      <w:pPr>
        <w:numPr>
          <w:ilvl w:val="0"/>
          <w:numId w:val="1019"/>
        </w:numPr>
        <w:pStyle w:val="Compact"/>
      </w:pPr>
      <w:r>
        <w:t xml:space="preserve">Practice one analytical outline answering:</w:t>
      </w:r>
      <w:r>
        <w:t xml:space="preserve"> </w:t>
      </w:r>
      <w:r>
        <w:t xml:space="preserve">“</w:t>
      </w:r>
      <w:r>
        <w:t xml:space="preserve">Was 1857 primarily a military mutiny or a broader rebellion? Use evidence on both sides before reaching a judgment.</w:t>
      </w:r>
      <w:r>
        <w:t xml:space="preserve">”</w:t>
      </w:r>
    </w:p>
    <w:p>
      <w:pPr>
        <w:pStyle w:val="FirstParagraph"/>
      </w:pPr>
      <w:r>
        <w:rPr>
          <w:bCs/>
          <w:b/>
        </w:rPr>
        <w:t xml:space="preserve">Common Confusions to Avoid</w:t>
      </w:r>
    </w:p>
    <w:p>
      <w:pPr>
        <w:numPr>
          <w:ilvl w:val="0"/>
          <w:numId w:val="1020"/>
        </w:numPr>
        <w:pStyle w:val="Compact"/>
      </w:pPr>
      <w:r>
        <w:t xml:space="preserve">Do not describe the East India Company as a normal department of the British government from the outset; it was a chartered commercial company whose political and territorial role expanded gradually and, for a long period, without a deliberate master plan for conquest.</w:t>
      </w:r>
    </w:p>
    <w:p>
      <w:pPr>
        <w:numPr>
          <w:ilvl w:val="0"/>
          <w:numId w:val="1020"/>
        </w:numPr>
        <w:pStyle w:val="Compact"/>
      </w:pPr>
      <w:r>
        <w:t xml:space="preserve">Do not call 1857 a uniform, nationwide movement with identical aims everywhere; different participants had different motives, and several regions and communities either stayed neutral or actively supported the British.</w:t>
      </w:r>
    </w:p>
    <w:p>
      <w:pPr>
        <w:numPr>
          <w:ilvl w:val="0"/>
          <w:numId w:val="1020"/>
        </w:numPr>
        <w:pStyle w:val="Compact"/>
      </w:pPr>
      <w:r>
        <w:t xml:space="preserve">Do not present railways, telegraph and English education as purely benevolent gifts or as purely harmful instruments of exploitation; explain their imperial purposes and their broader, sometimes unintended, social and political consequences together.</w:t>
      </w:r>
    </w:p>
    <w:p>
      <w:pPr>
        <w:pStyle w:val="FirstParagraph"/>
      </w:pPr>
      <w:r>
        <w:rPr>
          <w:bCs/>
          <w:b/>
        </w:rPr>
        <w:t xml:space="preserve">Easy Revision Points</w:t>
      </w:r>
    </w:p>
    <w:p>
      <w:pPr>
        <w:numPr>
          <w:ilvl w:val="0"/>
          <w:numId w:val="1021"/>
        </w:numPr>
        <w:pStyle w:val="Compact"/>
      </w:pPr>
      <w:r>
        <w:t xml:space="preserve">The English East India Company received its royal charter in 1600.</w:t>
      </w:r>
    </w:p>
    <w:p>
      <w:pPr>
        <w:numPr>
          <w:ilvl w:val="0"/>
          <w:numId w:val="1021"/>
        </w:numPr>
        <w:pStyle w:val="Compact"/>
      </w:pPr>
      <w:r>
        <w:t xml:space="preserve">The Battles of Plassey (1757) and Buxar (1764) were the decisive steps in the Company’s transformation from trader to territorial power in eastern India; the 1765 grant of Diwani over Bengal, Bihar and Orissa confirmed this shift constitutionally.</w:t>
      </w:r>
    </w:p>
    <w:p>
      <w:pPr>
        <w:numPr>
          <w:ilvl w:val="0"/>
          <w:numId w:val="1021"/>
        </w:numPr>
        <w:pStyle w:val="Compact"/>
      </w:pPr>
      <w:r>
        <w:t xml:space="preserve">The uprising of 1857 had multiple, interacting causes and different regional forms; a single-cause explanation (such as</w:t>
      </w:r>
      <w:r>
        <w:t xml:space="preserve"> </w:t>
      </w:r>
      <w:r>
        <w:t xml:space="preserve">“</w:t>
      </w:r>
      <w:r>
        <w:t xml:space="preserve">the cartridges caused the revolt</w:t>
      </w:r>
      <w:r>
        <w:t xml:space="preserve">”</w:t>
      </w:r>
      <w:r>
        <w:t xml:space="preserve">) is inadequate.</w:t>
      </w:r>
    </w:p>
    <w:p>
      <w:pPr>
        <w:numPr>
          <w:ilvl w:val="0"/>
          <w:numId w:val="1021"/>
        </w:numPr>
        <w:pStyle w:val="Compact"/>
      </w:pPr>
      <w:r>
        <w:t xml:space="preserve">The Government of India Act 1858 ended Company rule and transferred authority to the British Crown, administered through a Secretary of State in London and a Viceroy in India.</w:t>
      </w:r>
    </w:p>
    <w:p>
      <w:pPr>
        <w:numPr>
          <w:ilvl w:val="0"/>
          <w:numId w:val="1021"/>
        </w:numPr>
        <w:pStyle w:val="Compact"/>
      </w:pPr>
      <w:r>
        <w:t xml:space="preserve">Colonial rule expanded railways, telegraph and centralised administration, but scholars generally agree these served imperial as well as local purposes.</w:t>
      </w:r>
    </w:p>
    <w:p>
      <w:pPr>
        <w:numPr>
          <w:ilvl w:val="0"/>
          <w:numId w:val="1021"/>
        </w:numPr>
        <w:pStyle w:val="Compact"/>
      </w:pPr>
      <w:r>
        <w:t xml:space="preserve">The</w:t>
      </w:r>
      <w:r>
        <w:t xml:space="preserve"> </w:t>
      </w:r>
      <w:r>
        <w:t xml:space="preserve">“</w:t>
      </w:r>
      <w:r>
        <w:t xml:space="preserve">drain of wealth</w:t>
      </w:r>
      <w:r>
        <w:t xml:space="preserve">”</w:t>
      </w:r>
      <w:r>
        <w:t xml:space="preserve"> </w:t>
      </w:r>
      <w:r>
        <w:t xml:space="preserve">argument (Dadabhai Naoroji) and the deindustrialization debate remain important, actively discussed fields of economic-historical research, not settled matters of simple fact.</w:t>
      </w:r>
    </w:p>
    <w:bookmarkEnd w:id="44"/>
    <w:bookmarkStart w:id="45" w:name="key-takeaways-1"/>
    <w:p>
      <w:pPr>
        <w:pStyle w:val="Heading2"/>
      </w:pPr>
      <w:r>
        <w:t xml:space="preserve">Key Takeaways</w:t>
      </w:r>
    </w:p>
    <w:p>
      <w:pPr>
        <w:numPr>
          <w:ilvl w:val="0"/>
          <w:numId w:val="1022"/>
        </w:numPr>
        <w:pStyle w:val="Compact"/>
      </w:pPr>
      <w:r>
        <w:t xml:space="preserve">The East India Company’s shift from trading company to territorial ruler was gradual and opportunistic, driven by specific victories (Plassey, Buxar), specific constitutional grants (the 1765 Diwani), and specific expansion mechanisms (subsidiary alliance, Doctrine of Lapse) rather than a single founding conquest.</w:t>
      </w:r>
    </w:p>
    <w:p>
      <w:pPr>
        <w:numPr>
          <w:ilvl w:val="0"/>
          <w:numId w:val="1022"/>
        </w:numPr>
        <w:pStyle w:val="Compact"/>
      </w:pPr>
      <w:r>
        <w:t xml:space="preserve">The 1857 uprising requires a genuinely multi-causal explanation — military, political, economic, social and religious grievances together — and is best understood as a serious but regionally uneven rebellion rather than either a narrow</w:t>
      </w:r>
      <w:r>
        <w:t xml:space="preserve"> </w:t>
      </w:r>
      <w:r>
        <w:t xml:space="preserve">“</w:t>
      </w:r>
      <w:r>
        <w:t xml:space="preserve">mutiny</w:t>
      </w:r>
      <w:r>
        <w:t xml:space="preserve">”</w:t>
      </w:r>
      <w:r>
        <w:t xml:space="preserve"> </w:t>
      </w:r>
      <w:r>
        <w:t xml:space="preserve">or a fully unified</w:t>
      </w:r>
      <w:r>
        <w:t xml:space="preserve"> </w:t>
      </w:r>
      <w:r>
        <w:t xml:space="preserve">“</w:t>
      </w:r>
      <w:r>
        <w:t xml:space="preserve">war of independence.</w:t>
      </w:r>
      <w:r>
        <w:t xml:space="preserve">”</w:t>
      </w:r>
    </w:p>
    <w:p>
      <w:pPr>
        <w:numPr>
          <w:ilvl w:val="0"/>
          <w:numId w:val="1022"/>
        </w:numPr>
        <w:pStyle w:val="Compact"/>
      </w:pPr>
      <w:r>
        <w:t xml:space="preserve">The post-1858 colonial state was deliberately more cautious than the pre-1857 Company state: army reorganisation, the abandonment of the Doctrine of Lapse, and more careful religious and social policy were all direct responses to the trauma of 1857.</w:t>
      </w:r>
    </w:p>
    <w:p>
      <w:pPr>
        <w:numPr>
          <w:ilvl w:val="0"/>
          <w:numId w:val="1022"/>
        </w:numPr>
        <w:pStyle w:val="Compact"/>
      </w:pPr>
      <w:r>
        <w:t xml:space="preserve">Colonial economic and educational policy had a double character worth stating explicitly: it built infrastructure and administrative systems serving imperial interests while also inadvertently creating the educated, print-connected Indian middle class that would go on to organise the nationalist movement covered in the next three topics.</w:t>
      </w:r>
    </w:p>
    <w:p>
      <w:pPr>
        <w:numPr>
          <w:ilvl w:val="0"/>
          <w:numId w:val="1022"/>
        </w:numPr>
        <w:pStyle w:val="Compact"/>
      </w:pPr>
      <w:r>
        <w:t xml:space="preserve">Key economic debates from this period — the</w:t>
      </w:r>
      <w:r>
        <w:t xml:space="preserve"> </w:t>
      </w:r>
      <w:r>
        <w:t xml:space="preserve">“</w:t>
      </w:r>
      <w:r>
        <w:t xml:space="preserve">drain of wealth</w:t>
      </w:r>
      <w:r>
        <w:t xml:space="preserve">”</w:t>
      </w:r>
      <w:r>
        <w:t xml:space="preserve"> </w:t>
      </w:r>
      <w:r>
        <w:t xml:space="preserve">and deindustrialization — remain active fields of historical and economic research rather than settled facts, and a strong answer treats them as such.</w:t>
      </w:r>
    </w:p>
    <w:bookmarkEnd w:id="45"/>
    <w:bookmarkEnd w:id="46"/>
    <w:bookmarkStart w:id="61" w:name="X7b61666314355a44e6c5ff3afed507153bda639"/>
    <w:p>
      <w:pPr>
        <w:pStyle w:val="Heading1"/>
        <w:pageBreakBefore/>
      </w:pPr>
      <w:r>
        <w:t xml:space="preserve">3. Constitutional and Political Reforms under the British (1858–1947)</w:t>
      </w:r>
    </w:p>
    <w:bookmarkStart w:id="47" w:name="why-this-topic-matters-2"/>
    <w:p>
      <w:pPr>
        <w:pStyle w:val="Heading2"/>
      </w:pPr>
      <w:r>
        <w:t xml:space="preserve">Why This Topic Matters</w:t>
      </w:r>
    </w:p>
    <w:p>
      <w:pPr>
        <w:pStyle w:val="FirstParagraph"/>
      </w:pPr>
      <w:r>
        <w:t xml:space="preserve">This topic is the constitutional spine connecting the aftermath of 1857 (Topic 2) to the Pakistan Movement (Topic 5) and to Pakistan’s own post-1947 constitution-making (Topic 6). Every later Pakistani and Indian constitutional debate — about federalism, about minority representation, about the balance between central and provincial power — has direct roots in the reforms studied here. The examiner’s real question across this topic is never simply</w:t>
      </w:r>
      <w:r>
        <w:t xml:space="preserve"> </w:t>
      </w:r>
      <w:r>
        <w:t xml:space="preserve">“</w:t>
      </w:r>
      <w:r>
        <w:t xml:space="preserve">what did each reform grant?</w:t>
      </w:r>
      <w:r>
        <w:t xml:space="preserve">”</w:t>
      </w:r>
      <w:r>
        <w:t xml:space="preserve"> </w:t>
      </w:r>
      <w:r>
        <w:t xml:space="preserve">but always the paired question:</w:t>
      </w:r>
      <w:r>
        <w:t xml:space="preserve"> </w:t>
      </w:r>
      <w:r>
        <w:t xml:space="preserve">“</w:t>
      </w:r>
      <w:r>
        <w:t xml:space="preserve">what did the British still keep, and why did Indian political opinion consider that insufficient?</w:t>
      </w:r>
      <w:r>
        <w:t xml:space="preserve">”</w:t>
      </w:r>
    </w:p>
    <w:bookmarkEnd w:id="47"/>
    <w:bookmarkStart w:id="48" w:name="X54d320ffa34a7aaa26a57ec436e65dc219ec8fb"/>
    <w:p>
      <w:pPr>
        <w:pStyle w:val="Heading2"/>
      </w:pPr>
      <w:r>
        <w:t xml:space="preserve">Background: The Logic of Gradual, Controlled Reform</w:t>
      </w:r>
    </w:p>
    <w:p>
      <w:pPr>
        <w:pStyle w:val="FirstParagraph"/>
      </w:pPr>
      <w:r>
        <w:t xml:space="preserve">After 1858, British policy toward Indian political participation followed a consistent underlying logic: expand consultative and, later, representative institutions gradually, in response to political pressure and changing strategic calculations (including the World Wars), while retaining ultimate control over defence, foreign affairs, and — until 1947 — the power to override or suspend Indian self-government where London judged it necessary. Every reform discussed below should be read against this pattern of</w:t>
      </w:r>
      <w:r>
        <w:t xml:space="preserve"> </w:t>
      </w:r>
      <w:r>
        <w:rPr>
          <w:iCs/>
          <w:i/>
        </w:rPr>
        <w:t xml:space="preserve">controlled</w:t>
      </w:r>
      <w:r>
        <w:t xml:space="preserve"> </w:t>
      </w:r>
      <w:r>
        <w:t xml:space="preserve">concession rather than a steady, linear march toward full self-government.</w:t>
      </w:r>
    </w:p>
    <w:bookmarkEnd w:id="48"/>
    <w:bookmarkStart w:id="49" w:name="the-early-councils-1861-and-1892"/>
    <w:p>
      <w:pPr>
        <w:pStyle w:val="Heading2"/>
      </w:pPr>
      <w:r>
        <w:t xml:space="preserve">The Early Councils: 1861 and 1892</w:t>
      </w:r>
    </w:p>
    <w:p>
      <w:pPr>
        <w:pStyle w:val="FirstParagraph"/>
      </w:pPr>
      <w:r>
        <w:t xml:space="preserve">The</w:t>
      </w:r>
      <w:r>
        <w:t xml:space="preserve"> </w:t>
      </w:r>
      <w:r>
        <w:rPr>
          <w:bCs/>
          <w:b/>
        </w:rPr>
        <w:t xml:space="preserve">Indian Councils Act of 1861</w:t>
      </w:r>
      <w:r>
        <w:t xml:space="preserve"> </w:t>
      </w:r>
      <w:r>
        <w:t xml:space="preserve">was the first post-1857 constitutional measure. It restored and expanded the Governor-General’s legislative council by adding non-official members — for the first time including a small number of Indians — who could discuss and comment on legislation, but who had no power to vote on the budget, ask questions, or exercise any real check on executive decisions. The</w:t>
      </w:r>
      <w:r>
        <w:t xml:space="preserve"> </w:t>
      </w:r>
      <w:r>
        <w:rPr>
          <w:bCs/>
          <w:b/>
        </w:rPr>
        <w:t xml:space="preserve">Indian Councils Act of 1892</w:t>
      </w:r>
      <w:r>
        <w:t xml:space="preserve"> </w:t>
      </w:r>
      <w:r>
        <w:t xml:space="preserve">widened these councils further, allowing indirect election of some non-official members (through local bodies and associations rather than a general franchise) and permitting limited discussion of the budget and the right to ask questions — a real but still very narrow expansion of participation. Executive power in both cases remained firmly with the British-appointed Governor-General and Governors.</w:t>
      </w:r>
    </w:p>
    <w:bookmarkEnd w:id="49"/>
    <w:bookmarkStart w:id="50" w:name="X7f56813ae3bd629d4d22f55014acc293be48305"/>
    <w:p>
      <w:pPr>
        <w:pStyle w:val="Heading2"/>
      </w:pPr>
      <w:r>
        <w:t xml:space="preserve">The Morley-Minto Reforms of 1909: Wider Councils, Separate Electorates</w:t>
      </w:r>
    </w:p>
    <w:p>
      <w:pPr>
        <w:pStyle w:val="FirstParagraph"/>
      </w:pPr>
      <w:r>
        <w:t xml:space="preserve">The Indian Councils Act 1909, commonly called the Morley-Minto reforms after the Secretary of State (John Morley) and Viceroy (Lord Minto) who negotiated them, substantially enlarged legislative councils at both the central and provincial level and expanded their power to discuss budgets and move resolutions, though executive responsibility to the legislature was still not established — councils could advise and criticise, but the executive did not depend on their confidence.</w:t>
      </w:r>
    </w:p>
    <w:p>
      <w:pPr>
        <w:pStyle w:val="BodyText"/>
      </w:pPr>
      <w:r>
        <w:t xml:space="preserve">The reform’s most consequential and most debated feature was the introduction of</w:t>
      </w:r>
      <w:r>
        <w:t xml:space="preserve"> </w:t>
      </w:r>
      <w:r>
        <w:rPr>
          <w:bCs/>
          <w:b/>
        </w:rPr>
        <w:t xml:space="preserve">separate electorates for Muslims</w:t>
      </w:r>
      <w:r>
        <w:t xml:space="preserve">: Muslim voters would elect Muslim representatives to a fixed number of reserved seats, rather than voting in general constituencies alongside Hindu and other voters. This decision followed the Simla Deputation of 1906 (in which a delegation of Muslim leaders petitioned Viceroy Minto for separate representation, discussed in depth in Topic 4) and is one of the single most important constitutional developments in the entire syllabus, because it formally linked constitutional design to communal identity for the first time and set a precedent — separate electorates, and later weightage and reserved seats — that shaped every subsequent constitutional negotiation through to partition itself. Nationalist Congress opinion generally opposed separate electorates as an instrument of the colonial strategy sometimes summarised as</w:t>
      </w:r>
      <w:r>
        <w:t xml:space="preserve"> </w:t>
      </w:r>
      <w:r>
        <w:t xml:space="preserve">“</w:t>
      </w:r>
      <w:r>
        <w:t xml:space="preserve">divide and rule,</w:t>
      </w:r>
      <w:r>
        <w:t xml:space="preserve">”</w:t>
      </w:r>
      <w:r>
        <w:t xml:space="preserve"> </w:t>
      </w:r>
      <w:r>
        <w:t xml:space="preserve">while a significant body of Muslim political opinion regarded them as a necessary safeguard against permanent minority status in an eventual system of majority rule. Both positions need to be understood, not merely stated, to answer questions on this reform well.</w:t>
      </w:r>
    </w:p>
    <w:bookmarkEnd w:id="50"/>
    <w:bookmarkStart w:id="51" w:name="Xa61ae1f522043b0fc43040602de567cf359d96e"/>
    <w:p>
      <w:pPr>
        <w:pStyle w:val="Heading2"/>
      </w:pPr>
      <w:r>
        <w:t xml:space="preserve">The Path to 1919: Repression Alongside Reform</w:t>
      </w:r>
    </w:p>
    <w:p>
      <w:pPr>
        <w:pStyle w:val="FirstParagraph"/>
      </w:pPr>
      <w:r>
        <w:t xml:space="preserve">The First World War (1914–1918) changed the political calculation on both sides. India contributed heavily to the British war effort in manpower and resources, and Indian political leaders expected meaningful constitutional reward in return. In August 1917, Secretary of State Edwin Montagu announced in the British Parliament that the goal of British policy was the</w:t>
      </w:r>
      <w:r>
        <w:t xml:space="preserve"> </w:t>
      </w:r>
      <w:r>
        <w:t xml:space="preserve">“</w:t>
      </w:r>
      <w:r>
        <w:t xml:space="preserve">gradual development of self-governing institutions</w:t>
      </w:r>
      <w:r>
        <w:t xml:space="preserve">”</w:t>
      </w:r>
      <w:r>
        <w:t xml:space="preserve"> </w:t>
      </w:r>
      <w:r>
        <w:t xml:space="preserve">leading toward</w:t>
      </w:r>
      <w:r>
        <w:t xml:space="preserve"> </w:t>
      </w:r>
      <w:r>
        <w:t xml:space="preserve">“</w:t>
      </w:r>
      <w:r>
        <w:t xml:space="preserve">responsible government</w:t>
      </w:r>
      <w:r>
        <w:t xml:space="preserve">”</w:t>
      </w:r>
      <w:r>
        <w:t xml:space="preserve"> </w:t>
      </w:r>
      <w:r>
        <w:t xml:space="preserve">in India — the first explicit British statement of self-government as an eventual goal, though without a timetable.</w:t>
      </w:r>
    </w:p>
    <w:p>
      <w:pPr>
        <w:pStyle w:val="BodyText"/>
      </w:pPr>
      <w:r>
        <w:t xml:space="preserve">At almost the same moment, however, the colonial state moved toward greater repression: the</w:t>
      </w:r>
      <w:r>
        <w:t xml:space="preserve"> </w:t>
      </w:r>
      <w:r>
        <w:rPr>
          <w:bCs/>
          <w:b/>
        </w:rPr>
        <w:t xml:space="preserve">Rowlatt Act of 1919</w:t>
      </w:r>
      <w:r>
        <w:t xml:space="preserve"> </w:t>
      </w:r>
      <w:r>
        <w:t xml:space="preserve">extended emergency wartime powers of detention without trial into peacetime, provoking widespread protest. Protests against the Rowlatt Act in Amritsar led to the</w:t>
      </w:r>
      <w:r>
        <w:t xml:space="preserve"> </w:t>
      </w:r>
      <w:r>
        <w:rPr>
          <w:bCs/>
          <w:b/>
        </w:rPr>
        <w:t xml:space="preserve">Jallianwala Bagh massacre</w:t>
      </w:r>
      <w:r>
        <w:t xml:space="preserve"> </w:t>
      </w:r>
      <w:r>
        <w:t xml:space="preserve">of April 1919, in which troops under General Reginald Dyer fired without warning on an unarmed crowd gathered in an enclosed garden, killing several hundred people (estimates vary; British official figures and Indian estimates differ substantially, and the exact toll remains a matter of historical dispute, though the scale of the atrocity itself is not in question). This episode radicalised a generation of Indian political opinion and is essential context for understanding why the reforms announced the same year were widely regarded as inadequate — reform and repression arrived almost simultaneously, and the repression made the limits of the reform far harder to accept.</w:t>
      </w:r>
    </w:p>
    <w:bookmarkEnd w:id="51"/>
    <w:bookmarkStart w:id="52" w:name="the-government-of-india-act-1919-dyarchy"/>
    <w:p>
      <w:pPr>
        <w:pStyle w:val="Heading2"/>
      </w:pPr>
      <w:r>
        <w:t xml:space="preserve">The Government of India Act 1919: Dyarchy</w:t>
      </w:r>
    </w:p>
    <w:p>
      <w:pPr>
        <w:pStyle w:val="FirstParagraph"/>
      </w:pPr>
      <w:r>
        <w:t xml:space="preserve">The Government of India Act 1919 introduced the system of</w:t>
      </w:r>
      <w:r>
        <w:t xml:space="preserve"> </w:t>
      </w:r>
      <w:r>
        <w:rPr>
          <w:bCs/>
          <w:b/>
        </w:rPr>
        <w:t xml:space="preserve">dyarchy</w:t>
      </w:r>
      <w:r>
        <w:t xml:space="preserve"> </w:t>
      </w:r>
      <w:r>
        <w:t xml:space="preserve">(</w:t>
      </w:r>
      <w:r>
        <w:t xml:space="preserve">“</w:t>
      </w:r>
      <w:r>
        <w:t xml:space="preserve">dual government</w:t>
      </w:r>
      <w:r>
        <w:t xml:space="preserve">”</w:t>
      </w:r>
      <w:r>
        <w:t xml:space="preserve">) at the provincial level: provincial subjects were divided into</w:t>
      </w:r>
      <w:r>
        <w:t xml:space="preserve"> </w:t>
      </w:r>
      <w:r>
        <w:t xml:space="preserve">“</w:t>
      </w:r>
      <w:r>
        <w:t xml:space="preserve">transferred</w:t>
      </w:r>
      <w:r>
        <w:t xml:space="preserve">”</w:t>
      </w:r>
      <w:r>
        <w:t xml:space="preserve"> </w:t>
      </w:r>
      <w:r>
        <w:t xml:space="preserve">subjects (such as education, health and local self-government), administered by Indian ministers responsible to the enlarged provincial legislature, and</w:t>
      </w:r>
      <w:r>
        <w:t xml:space="preserve"> </w:t>
      </w:r>
      <w:r>
        <w:t xml:space="preserve">“</w:t>
      </w:r>
      <w:r>
        <w:t xml:space="preserve">reserved</w:t>
      </w:r>
      <w:r>
        <w:t xml:space="preserve">”</w:t>
      </w:r>
      <w:r>
        <w:t xml:space="preserve"> </w:t>
      </w:r>
      <w:r>
        <w:t xml:space="preserve">subjects (such as police, justice and revenue), which remained under the direct control of the Governor and his executive council, not answerable to the legislature. This was a genuine, if partial, experiment in representative provincial government — the first time elected Indian ministers held real executive authority over some areas of provincial policy — but the retention of the most sensitive functions (police, revenue, law and order) under unaccountable executive control meant that</w:t>
      </w:r>
      <w:r>
        <w:t xml:space="preserve"> </w:t>
      </w:r>
      <w:r>
        <w:t xml:space="preserve">“</w:t>
      </w:r>
      <w:r>
        <w:t xml:space="preserve">self-government</w:t>
      </w:r>
      <w:r>
        <w:t xml:space="preserve">”</w:t>
      </w:r>
      <w:r>
        <w:t xml:space="preserve"> </w:t>
      </w:r>
      <w:r>
        <w:t xml:space="preserve">remained heavily qualified. At the centre, the Act created a bicameral legislature (a Legislative Assembly and a Council of State) with expanded Indian membership, but the central government remained fully answerable to the Viceroy and, through him, to London rather than to the Indian legislature.</w:t>
      </w:r>
    </w:p>
    <w:bookmarkEnd w:id="52"/>
    <w:bookmarkStart w:id="53" w:name="Xd805c94c0440adb62b6c7e61727da5afee2780f"/>
    <w:p>
      <w:pPr>
        <w:pStyle w:val="Heading2"/>
      </w:pPr>
      <w:r>
        <w:t xml:space="preserve">The Government of India Act 1935: Provincial Autonomy and the Unrealised Federation</w:t>
      </w:r>
    </w:p>
    <w:p>
      <w:pPr>
        <w:pStyle w:val="FirstParagraph"/>
      </w:pPr>
      <w:r>
        <w:t xml:space="preserve">The Government of India Act 1935 was the most extensive constitutional framework produced before partition, and it operated in two quite different registers:</w:t>
      </w:r>
    </w:p>
    <w:p>
      <w:pPr>
        <w:numPr>
          <w:ilvl w:val="0"/>
          <w:numId w:val="1023"/>
        </w:numPr>
        <w:pStyle w:val="Compact"/>
      </w:pPr>
      <w:r>
        <w:rPr>
          <w:bCs/>
          <w:b/>
        </w:rPr>
        <w:t xml:space="preserve">Provincial autonomy</w:t>
      </w:r>
      <w:r>
        <w:t xml:space="preserve">, which actually came into force, abolished dyarchy and gave provincial legislatures and Indian ministers real, accountable control over the</w:t>
      </w:r>
      <w:r>
        <w:t xml:space="preserve"> </w:t>
      </w:r>
      <w:r>
        <w:rPr>
          <w:iCs/>
          <w:i/>
        </w:rPr>
        <w:t xml:space="preserve">entire</w:t>
      </w:r>
      <w:r>
        <w:t xml:space="preserve"> </w:t>
      </w:r>
      <w:r>
        <w:t xml:space="preserve">range of provincial subjects (subject to certain</w:t>
      </w:r>
      <w:r>
        <w:t xml:space="preserve"> </w:t>
      </w:r>
      <w:r>
        <w:t xml:space="preserve">“</w:t>
      </w:r>
      <w:r>
        <w:t xml:space="preserve">special responsibilities</w:t>
      </w:r>
      <w:r>
        <w:t xml:space="preserve">”</w:t>
      </w:r>
      <w:r>
        <w:t xml:space="preserve"> </w:t>
      </w:r>
      <w:r>
        <w:t xml:space="preserve">retained by Governors, such as the ability to intervene to protect minority rights or maintain law and order in genuine emergencies, but these were meant to be reserve powers rather than routine controls). This allowed the 1937 provincial elections and the resulting Congress ministries, which are central to Topic 5.</w:t>
      </w:r>
    </w:p>
    <w:p>
      <w:pPr>
        <w:numPr>
          <w:ilvl w:val="0"/>
          <w:numId w:val="1023"/>
        </w:numPr>
        <w:pStyle w:val="Compact"/>
      </w:pPr>
      <w:r>
        <w:rPr>
          <w:bCs/>
          <w:b/>
        </w:rPr>
        <w:t xml:space="preserve">An all-India federation</w:t>
      </w:r>
      <w:r>
        <w:t xml:space="preserve">, which was proposed but</w:t>
      </w:r>
      <w:r>
        <w:t xml:space="preserve"> </w:t>
      </w:r>
      <w:r>
        <w:rPr>
          <w:bCs/>
          <w:b/>
        </w:rPr>
        <w:t xml:space="preserve">never came into operation</w:t>
      </w:r>
      <w:r>
        <w:t xml:space="preserve">, would have combined British India’s provinces with the princely states in a federal structure with a bicameral central legislature. It failed chiefly because a sufficient number of princely states never acceded to the scheme (many rulers feared loss of autonomy and revenue), and the outbreak of the Second World War in 1939 further postponed any implementation. Students frequently confuse the (implemented) provincial-autonomy provisions with the (never-implemented) federal provisions of the same Act — keeping these two halves of the Act clearly separate is one of the highest-value distinctions in this entire topic.</w:t>
      </w:r>
    </w:p>
    <w:p>
      <w:pPr>
        <w:pStyle w:val="FirstParagraph"/>
      </w:pPr>
      <w:r>
        <w:t xml:space="preserve">The 1935 Act also expanded the franchise considerably (to roughly one-sixth of the adult population, still far short of universal suffrage) and extended separate electorates to additional categories beyond Muslims, including a separate electorate scheme for the</w:t>
      </w:r>
      <w:r>
        <w:t xml:space="preserve"> </w:t>
      </w:r>
      <w:r>
        <w:t xml:space="preserve">“</w:t>
      </w:r>
      <w:r>
        <w:t xml:space="preserve">depressed classes</w:t>
      </w:r>
      <w:r>
        <w:t xml:space="preserve">”</w:t>
      </w:r>
      <w:r>
        <w:t xml:space="preserve"> </w:t>
      </w:r>
      <w:r>
        <w:t xml:space="preserve">(the subject of the Communal Award and Poona Pact, discussed below).</w:t>
      </w:r>
    </w:p>
    <w:bookmarkEnd w:id="53"/>
    <w:bookmarkStart w:id="54" w:name="Xf64a720721693d1666c93af7d9aec4345d10a1c"/>
    <w:p>
      <w:pPr>
        <w:pStyle w:val="Heading2"/>
      </w:pPr>
      <w:r>
        <w:t xml:space="preserve">The Indian National Congress: From Petition to Mass Movement</w:t>
      </w:r>
    </w:p>
    <w:p>
      <w:pPr>
        <w:pStyle w:val="FirstParagraph"/>
      </w:pPr>
      <w:r>
        <w:t xml:space="preserve">The</w:t>
      </w:r>
      <w:r>
        <w:t xml:space="preserve"> </w:t>
      </w:r>
      <w:r>
        <w:rPr>
          <w:bCs/>
          <w:b/>
        </w:rPr>
        <w:t xml:space="preserve">Indian National Congress</w:t>
      </w:r>
      <w:r>
        <w:t xml:space="preserve">, founded in 1885 largely at the initiative of the retired British civil servant Allan Octavian Hume together with prominent Indian professionals, began as a</w:t>
      </w:r>
      <w:r>
        <w:t xml:space="preserve"> </w:t>
      </w:r>
      <w:r>
        <w:rPr>
          <w:bCs/>
          <w:b/>
        </w:rPr>
        <w:t xml:space="preserve">moderate</w:t>
      </w:r>
      <w:r>
        <w:t xml:space="preserve"> </w:t>
      </w:r>
      <w:r>
        <w:t xml:space="preserve">organisation whose early leaders (such as Dadabhai Naoroji, discussed in Topic 2’s</w:t>
      </w:r>
      <w:r>
        <w:t xml:space="preserve"> </w:t>
      </w:r>
      <w:r>
        <w:t xml:space="preserve">“</w:t>
      </w:r>
      <w:r>
        <w:t xml:space="preserve">drain of wealth</w:t>
      </w:r>
      <w:r>
        <w:t xml:space="preserve">”</w:t>
      </w:r>
      <w:r>
        <w:t xml:space="preserve"> </w:t>
      </w:r>
      <w:r>
        <w:t xml:space="preserve">argument, and Gopal Krishna Gokhale) petitioned for greater Indian representation in the civil service and legislative councils, and pursued reform through constitutional argument and loyal petition rather than mass mobilisation.</w:t>
      </w:r>
    </w:p>
    <w:p>
      <w:pPr>
        <w:pStyle w:val="BodyText"/>
      </w:pPr>
      <w:r>
        <w:t xml:space="preserve">By the early twentieth century, a more assertive</w:t>
      </w:r>
      <w:r>
        <w:t xml:space="preserve"> </w:t>
      </w:r>
      <w:r>
        <w:rPr>
          <w:bCs/>
          <w:b/>
        </w:rPr>
        <w:t xml:space="preserve">“</w:t>
      </w:r>
      <w:r>
        <w:rPr>
          <w:bCs/>
          <w:b/>
        </w:rPr>
        <w:t xml:space="preserve">Extremist</w:t>
      </w:r>
      <w:r>
        <w:rPr>
          <w:bCs/>
          <w:b/>
        </w:rPr>
        <w:t xml:space="preserve">”</w:t>
      </w:r>
      <w:r>
        <w:t xml:space="preserve"> </w:t>
      </w:r>
      <w:r>
        <w:t xml:space="preserve">faction emerged, associated with leaders such as Bal Gangadhar Tilak, Bipin Chandra Pal and Lala Lajpat Rai (together often called</w:t>
      </w:r>
      <w:r>
        <w:t xml:space="preserve"> </w:t>
      </w:r>
      <w:r>
        <w:t xml:space="preserve">“</w:t>
      </w:r>
      <w:r>
        <w:t xml:space="preserve">Lal-Bal-Pal</w:t>
      </w:r>
      <w:r>
        <w:t xml:space="preserve">”</w:t>
      </w:r>
      <w:r>
        <w:t xml:space="preserve">), who argued for more direct methods including boycott of British goods and</w:t>
      </w:r>
      <w:r>
        <w:t xml:space="preserve"> </w:t>
      </w:r>
      <w:r>
        <w:rPr>
          <w:iCs/>
          <w:i/>
        </w:rPr>
        <w:t xml:space="preserve">swadeshi</w:t>
      </w:r>
      <w:r>
        <w:t xml:space="preserve"> </w:t>
      </w:r>
      <w:r>
        <w:t xml:space="preserve">(self-reliant, indigenous economic activity) — a strategy that gained enormous force in reaction to the 1905 Partition of Bengal (covered in Topic 4). Tensions between Moderates and Extremists led to a formal split within Congress in 1907, later partially healed.</w:t>
      </w:r>
    </w:p>
    <w:p>
      <w:pPr>
        <w:pStyle w:val="BodyText"/>
      </w:pPr>
      <w:r>
        <w:t xml:space="preserve">Annie Besant and Tilak separately launched</w:t>
      </w:r>
      <w:r>
        <w:t xml:space="preserve"> </w:t>
      </w:r>
      <w:r>
        <w:rPr>
          <w:bCs/>
          <w:b/>
        </w:rPr>
        <w:t xml:space="preserve">Home Rule Leagues</w:t>
      </w:r>
      <w:r>
        <w:t xml:space="preserve"> </w:t>
      </w:r>
      <w:r>
        <w:t xml:space="preserve">during the First World War, demanding self-government within the British Empire along the lines of Ireland or the self-governing dominions — an important bridge between earlier petition-based politics and the mass politics that followed.</w:t>
      </w:r>
    </w:p>
    <w:p>
      <w:pPr>
        <w:pStyle w:val="BodyText"/>
      </w:pPr>
      <w:r>
        <w:rPr>
          <w:bCs/>
          <w:b/>
        </w:rPr>
        <w:t xml:space="preserve">Mahatma Gandhi’s</w:t>
      </w:r>
      <w:r>
        <w:t xml:space="preserve"> </w:t>
      </w:r>
      <w:r>
        <w:t xml:space="preserve">return to India from South Africa in 1915, and his emergence as the dominant Congress leader from around 1919–1920, marked a decisive shift toward genuinely mass-based, nonviolent political mobilisation: the</w:t>
      </w:r>
      <w:r>
        <w:t xml:space="preserve"> </w:t>
      </w:r>
      <w:r>
        <w:rPr>
          <w:bCs/>
          <w:b/>
        </w:rPr>
        <w:t xml:space="preserve">Non-Cooperation Movement</w:t>
      </w:r>
      <w:r>
        <w:t xml:space="preserve"> </w:t>
      </w:r>
      <w:r>
        <w:t xml:space="preserve">(1920–1922, temporarily allied with the Khilafat Movement discussed in Topic 4, and called off by Gandhi after the violent Chauri Chaura incident in 1922), the</w:t>
      </w:r>
      <w:r>
        <w:t xml:space="preserve"> </w:t>
      </w:r>
      <w:r>
        <w:rPr>
          <w:bCs/>
          <w:b/>
        </w:rPr>
        <w:t xml:space="preserve">Civil Disobedience Movement</w:t>
      </w:r>
      <w:r>
        <w:t xml:space="preserve"> </w:t>
      </w:r>
      <w:r>
        <w:t xml:space="preserve">(1930–1934, including the famous Salt March of 1930), and the</w:t>
      </w:r>
      <w:r>
        <w:t xml:space="preserve"> </w:t>
      </w:r>
      <w:r>
        <w:rPr>
          <w:bCs/>
          <w:b/>
        </w:rPr>
        <w:t xml:space="preserve">Quit India Movement</w:t>
      </w:r>
      <w:r>
        <w:t xml:space="preserve"> </w:t>
      </w:r>
      <w:r>
        <w:t xml:space="preserve">(1942, launched during the Second World War, met with immediate mass arrests of Congress leadership and severe repression). Each of these movements pressured the colonial government toward further constitutional concession, even where the immediate movement itself was suppressed — a pattern worth stating explicitly, since it explains the causal link between mass politics and constitutional reform that a purely legalistic account of the Acts alone would miss.</w:t>
      </w:r>
    </w:p>
    <w:bookmarkEnd w:id="54"/>
    <w:bookmarkStart w:id="55" w:name="X54b7096fd2751527f9a617952f6cdcb8e78a536"/>
    <w:p>
      <w:pPr>
        <w:pStyle w:val="Heading2"/>
      </w:pPr>
      <w:r>
        <w:t xml:space="preserve">The Communal Award and the Poona Pact (1932)</w:t>
      </w:r>
    </w:p>
    <w:p>
      <w:pPr>
        <w:pStyle w:val="FirstParagraph"/>
      </w:pPr>
      <w:r>
        <w:t xml:space="preserve">At the Second Round Table Conference (1931, discussed further in Topic 5), the failure of Indian delegates to agree on a scheme of minority representation led British Prime Minister Ramsay MacDonald to announce the</w:t>
      </w:r>
      <w:r>
        <w:t xml:space="preserve"> </w:t>
      </w:r>
      <w:r>
        <w:rPr>
          <w:bCs/>
          <w:b/>
        </w:rPr>
        <w:t xml:space="preserve">Communal Award</w:t>
      </w:r>
      <w:r>
        <w:t xml:space="preserve"> </w:t>
      </w:r>
      <w:r>
        <w:t xml:space="preserve">in 1932, extending separate electorates not only to Muslims but also to Sikhs, Christians, Anglo-Indians, and, most controversially, the</w:t>
      </w:r>
      <w:r>
        <w:t xml:space="preserve"> </w:t>
      </w:r>
      <w:r>
        <w:t xml:space="preserve">“</w:t>
      </w:r>
      <w:r>
        <w:t xml:space="preserve">depressed classes</w:t>
      </w:r>
      <w:r>
        <w:t xml:space="preserve">”</w:t>
      </w:r>
      <w:r>
        <w:t xml:space="preserve"> </w:t>
      </w:r>
      <w:r>
        <w:t xml:space="preserve">(those subject to untouchability under the caste system, represented in the negotiations by B. R. Ambedkar). Gandhi, who opposed separating the depressed classes from the general Hindu electorate on the grounds that this would permanently fragment Hindu political unity, undertook a fast in protest; the resulting negotiation between Gandhi and Ambedkar produced the</w:t>
      </w:r>
      <w:r>
        <w:t xml:space="preserve"> </w:t>
      </w:r>
      <w:r>
        <w:rPr>
          <w:bCs/>
          <w:b/>
        </w:rPr>
        <w:t xml:space="preserve">Poona Pact</w:t>
      </w:r>
      <w:r>
        <w:t xml:space="preserve"> </w:t>
      </w:r>
      <w:r>
        <w:t xml:space="preserve">(1932), which replaced separate electorates for the depressed classes with a system of reserved seats within general electorates — depressed-class candidates would be elected, but by the whole general electorate rather than by depressed-class voters alone. This episode is a useful, self-contained case study of how communal representation disputes could be genuinely negotiated and resolved, in contrast to the Muslim-Congress disagreement over separate electorates, which was never similarly resolved before partition.</w:t>
      </w:r>
    </w:p>
    <w:bookmarkEnd w:id="55"/>
    <w:bookmarkStart w:id="56" w:name="key-terms-and-concepts-2"/>
    <w:p>
      <w:pPr>
        <w:pStyle w:val="Heading2"/>
      </w:pPr>
      <w:r>
        <w:t xml:space="preserve">Key Terms and Concepts</w:t>
      </w:r>
    </w:p>
    <w:p>
      <w:pPr>
        <w:numPr>
          <w:ilvl w:val="0"/>
          <w:numId w:val="1024"/>
        </w:numPr>
        <w:pStyle w:val="Compact"/>
      </w:pPr>
      <w:r>
        <w:rPr>
          <w:bCs/>
          <w:b/>
        </w:rPr>
        <w:t xml:space="preserve">Dyarchy:</w:t>
      </w:r>
      <w:r>
        <w:t xml:space="preserve"> </w:t>
      </w:r>
      <w:r>
        <w:t xml:space="preserve">The division of provincial government (under the 1919 Act) into</w:t>
      </w:r>
      <w:r>
        <w:t xml:space="preserve"> </w:t>
      </w:r>
      <w:r>
        <w:t xml:space="preserve">“</w:t>
      </w:r>
      <w:r>
        <w:t xml:space="preserve">transferred</w:t>
      </w:r>
      <w:r>
        <w:t xml:space="preserve">”</w:t>
      </w:r>
      <w:r>
        <w:t xml:space="preserve"> </w:t>
      </w:r>
      <w:r>
        <w:t xml:space="preserve">subjects under accountable Indian ministers and</w:t>
      </w:r>
      <w:r>
        <w:t xml:space="preserve"> </w:t>
      </w:r>
      <w:r>
        <w:t xml:space="preserve">“</w:t>
      </w:r>
      <w:r>
        <w:t xml:space="preserve">reserved</w:t>
      </w:r>
      <w:r>
        <w:t xml:space="preserve">”</w:t>
      </w:r>
      <w:r>
        <w:t xml:space="preserve"> </w:t>
      </w:r>
      <w:r>
        <w:t xml:space="preserve">subjects under the unaccountable Governor’s executive.</w:t>
      </w:r>
    </w:p>
    <w:p>
      <w:pPr>
        <w:numPr>
          <w:ilvl w:val="0"/>
          <w:numId w:val="1024"/>
        </w:numPr>
        <w:pStyle w:val="Compact"/>
      </w:pPr>
      <w:r>
        <w:rPr>
          <w:bCs/>
          <w:b/>
        </w:rPr>
        <w:t xml:space="preserve">Provincial autonomy:</w:t>
      </w:r>
      <w:r>
        <w:t xml:space="preserve"> </w:t>
      </w:r>
      <w:r>
        <w:t xml:space="preserve">The 1935 Act’s grant of full, accountable ministerial control over all provincial subjects, replacing dyarchy.</w:t>
      </w:r>
    </w:p>
    <w:p>
      <w:pPr>
        <w:numPr>
          <w:ilvl w:val="0"/>
          <w:numId w:val="1024"/>
        </w:numPr>
        <w:pStyle w:val="Compact"/>
      </w:pPr>
      <w:r>
        <w:rPr>
          <w:bCs/>
          <w:b/>
        </w:rPr>
        <w:t xml:space="preserve">Separate electorate:</w:t>
      </w:r>
      <w:r>
        <w:t xml:space="preserve"> </w:t>
      </w:r>
      <w:r>
        <w:t xml:space="preserve">A system in which members of a specified community vote only for candidates of their own community in reserved constituencies.</w:t>
      </w:r>
    </w:p>
    <w:p>
      <w:pPr>
        <w:numPr>
          <w:ilvl w:val="0"/>
          <w:numId w:val="1024"/>
        </w:numPr>
        <w:pStyle w:val="Compact"/>
      </w:pPr>
      <w:r>
        <w:rPr>
          <w:bCs/>
          <w:b/>
        </w:rPr>
        <w:t xml:space="preserve">Communal Award:</w:t>
      </w:r>
      <w:r>
        <w:t xml:space="preserve"> </w:t>
      </w:r>
      <w:r>
        <w:t xml:space="preserve">The 1932 British decision extending separate or reserved representation to several minority communities, including the depressed classes.</w:t>
      </w:r>
    </w:p>
    <w:p>
      <w:pPr>
        <w:numPr>
          <w:ilvl w:val="0"/>
          <w:numId w:val="1024"/>
        </w:numPr>
        <w:pStyle w:val="Compact"/>
      </w:pPr>
      <w:r>
        <w:rPr>
          <w:bCs/>
          <w:b/>
        </w:rPr>
        <w:t xml:space="preserve">Poona Pact:</w:t>
      </w:r>
      <w:r>
        <w:t xml:space="preserve"> </w:t>
      </w:r>
      <w:r>
        <w:t xml:space="preserve">The 1932 Gandhi–Ambedkar agreement replacing separate depressed-class electorates with reserved seats within general electorates.</w:t>
      </w:r>
    </w:p>
    <w:bookmarkEnd w:id="56"/>
    <w:bookmarkStart w:id="57" w:name="Xe5812d6b1046c1bd28c04258742ce530a833e16"/>
    <w:p>
      <w:pPr>
        <w:pStyle w:val="Heading2"/>
      </w:pPr>
      <w:r>
        <w:t xml:space="preserve">Comparing the Major Constitutional Reforms, 1861–1935</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Reform</w:t>
            </w:r>
          </w:p>
        </w:tc>
        <w:tc>
          <w:tcPr/>
          <w:p>
            <w:pPr>
              <w:pStyle w:val="Compact"/>
              <w:jc w:val="left"/>
            </w:pPr>
            <w:r>
              <w:t xml:space="preserve">Central structure</w:t>
            </w:r>
          </w:p>
        </w:tc>
        <w:tc>
          <w:tcPr/>
          <w:p>
            <w:pPr>
              <w:pStyle w:val="Compact"/>
              <w:jc w:val="left"/>
            </w:pPr>
            <w:r>
              <w:t xml:space="preserve">Provincial structure</w:t>
            </w:r>
          </w:p>
        </w:tc>
        <w:tc>
          <w:tcPr/>
          <w:p>
            <w:pPr>
              <w:pStyle w:val="Compact"/>
              <w:jc w:val="left"/>
            </w:pPr>
            <w:r>
              <w:t xml:space="preserve">Franchise / representation</w:t>
            </w:r>
          </w:p>
        </w:tc>
        <w:tc>
          <w:tcPr/>
          <w:p>
            <w:pPr>
              <w:pStyle w:val="Compact"/>
              <w:jc w:val="left"/>
            </w:pPr>
            <w:r>
              <w:t xml:space="preserve">Key significance</w:t>
            </w:r>
          </w:p>
        </w:tc>
      </w:tr>
      <w:tr>
        <w:tc>
          <w:tcPr/>
          <w:p>
            <w:pPr>
              <w:pStyle w:val="Compact"/>
              <w:jc w:val="left"/>
            </w:pPr>
            <w:r>
              <w:t xml:space="preserve">Indian Councils Acts 1861 &amp; 1892</w:t>
            </w:r>
          </w:p>
        </w:tc>
        <w:tc>
          <w:tcPr/>
          <w:p>
            <w:pPr>
              <w:pStyle w:val="Compact"/>
              <w:jc w:val="left"/>
            </w:pPr>
            <w:r>
              <w:t xml:space="preserve">Enlarged advisory legislative council, limited Indian membership</w:t>
            </w:r>
          </w:p>
        </w:tc>
        <w:tc>
          <w:tcPr/>
          <w:p>
            <w:pPr>
              <w:pStyle w:val="Compact"/>
              <w:jc w:val="left"/>
            </w:pPr>
            <w:r>
              <w:t xml:space="preserve">Similarly enlarged, advisory only</w:t>
            </w:r>
          </w:p>
        </w:tc>
        <w:tc>
          <w:tcPr/>
          <w:p>
            <w:pPr>
              <w:pStyle w:val="Compact"/>
              <w:jc w:val="left"/>
            </w:pPr>
            <w:r>
              <w:t xml:space="preserve">No election; select nomination, later limited indirect election (1892)</w:t>
            </w:r>
          </w:p>
        </w:tc>
        <w:tc>
          <w:tcPr/>
          <w:p>
            <w:pPr>
              <w:pStyle w:val="Compact"/>
              <w:jc w:val="left"/>
            </w:pPr>
            <w:r>
              <w:t xml:space="preserve">First, very cautious steps toward Indian participation in lawmaking</w:t>
            </w:r>
          </w:p>
        </w:tc>
      </w:tr>
      <w:tr>
        <w:tc>
          <w:tcPr/>
          <w:p>
            <w:pPr>
              <w:pStyle w:val="Compact"/>
              <w:jc w:val="left"/>
            </w:pPr>
            <w:r>
              <w:t xml:space="preserve">Morley-Minto Reforms 1909</w:t>
            </w:r>
          </w:p>
        </w:tc>
        <w:tc>
          <w:tcPr/>
          <w:p>
            <w:pPr>
              <w:pStyle w:val="Compact"/>
              <w:jc w:val="left"/>
            </w:pPr>
            <w:r>
              <w:t xml:space="preserve">Enlarged legislative council with budget discussion rights</w:t>
            </w:r>
          </w:p>
        </w:tc>
        <w:tc>
          <w:tcPr/>
          <w:p>
            <w:pPr>
              <w:pStyle w:val="Compact"/>
              <w:jc w:val="left"/>
            </w:pPr>
            <w:r>
              <w:t xml:space="preserve">Enlarged provincial councils</w:t>
            </w:r>
          </w:p>
        </w:tc>
        <w:tc>
          <w:tcPr/>
          <w:p>
            <w:pPr>
              <w:pStyle w:val="Compact"/>
              <w:jc w:val="left"/>
            </w:pPr>
            <w:r>
              <w:t xml:space="preserve">Limited election introduced; separate electorate for Muslims introduced</w:t>
            </w:r>
          </w:p>
        </w:tc>
        <w:tc>
          <w:tcPr/>
          <w:p>
            <w:pPr>
              <w:pStyle w:val="Compact"/>
              <w:jc w:val="left"/>
            </w:pPr>
            <w:r>
              <w:t xml:space="preserve">Formally linked constitutional design to communal representation</w:t>
            </w:r>
          </w:p>
        </w:tc>
      </w:tr>
      <w:tr>
        <w:tc>
          <w:tcPr/>
          <w:p>
            <w:pPr>
              <w:pStyle w:val="Compact"/>
              <w:jc w:val="left"/>
            </w:pPr>
            <w:r>
              <w:t xml:space="preserve">Government of India Act 1919</w:t>
            </w:r>
          </w:p>
        </w:tc>
        <w:tc>
          <w:tcPr/>
          <w:p>
            <w:pPr>
              <w:pStyle w:val="Compact"/>
              <w:jc w:val="left"/>
            </w:pPr>
            <w:r>
              <w:t xml:space="preserve">Bicameral central legislature; executive still answerable to Viceroy, not legislature</w:t>
            </w:r>
          </w:p>
        </w:tc>
        <w:tc>
          <w:tcPr/>
          <w:p>
            <w:pPr>
              <w:pStyle w:val="Compact"/>
              <w:jc w:val="left"/>
            </w:pPr>
            <w:r>
              <w:t xml:space="preserve">Dyarchy: transferred subjects to accountable ministers, reserved subjects to the Governor</w:t>
            </w:r>
          </w:p>
        </w:tc>
        <w:tc>
          <w:tcPr/>
          <w:p>
            <w:pPr>
              <w:pStyle w:val="Compact"/>
              <w:jc w:val="left"/>
            </w:pPr>
            <w:r>
              <w:t xml:space="preserve">Wider, still limited franchise</w:t>
            </w:r>
          </w:p>
        </w:tc>
        <w:tc>
          <w:tcPr/>
          <w:p>
            <w:pPr>
              <w:pStyle w:val="Compact"/>
              <w:jc w:val="left"/>
            </w:pPr>
            <w:r>
              <w:t xml:space="preserve">First real (partial) transfer of executive responsibility, at provincial level only</w:t>
            </w:r>
          </w:p>
        </w:tc>
      </w:tr>
      <w:tr>
        <w:tc>
          <w:tcPr/>
          <w:p>
            <w:pPr>
              <w:pStyle w:val="Compact"/>
              <w:jc w:val="left"/>
            </w:pPr>
            <w:r>
              <w:t xml:space="preserve">Government of India Act 1935</w:t>
            </w:r>
          </w:p>
        </w:tc>
        <w:tc>
          <w:tcPr/>
          <w:p>
            <w:pPr>
              <w:pStyle w:val="Compact"/>
              <w:jc w:val="left"/>
            </w:pPr>
            <w:r>
              <w:t xml:space="preserve">Federal scheme proposed but never implemented</w:t>
            </w:r>
          </w:p>
        </w:tc>
        <w:tc>
          <w:tcPr/>
          <w:p>
            <w:pPr>
              <w:pStyle w:val="Compact"/>
              <w:jc w:val="left"/>
            </w:pPr>
            <w:r>
              <w:t xml:space="preserve">Full provincial autonomy: all subjects to accountable ministers, subject to Governors’ reserve powers</w:t>
            </w:r>
          </w:p>
        </w:tc>
        <w:tc>
          <w:tcPr/>
          <w:p>
            <w:pPr>
              <w:pStyle w:val="Compact"/>
              <w:jc w:val="left"/>
            </w:pPr>
            <w:r>
              <w:t xml:space="preserve">Franchise expanded to roughly one-sixth of adults; separate/reserved representation extended further</w:t>
            </w:r>
          </w:p>
        </w:tc>
        <w:tc>
          <w:tcPr/>
          <w:p>
            <w:pPr>
              <w:pStyle w:val="Compact"/>
              <w:jc w:val="left"/>
            </w:pPr>
            <w:r>
              <w:t xml:space="preserve">Most extensive pre-partition framework; enabled 1937 elections and Congress ministries</w:t>
            </w:r>
          </w:p>
        </w:tc>
      </w:tr>
    </w:tbl>
    <w:bookmarkEnd w:id="57"/>
    <w:bookmarkStart w:id="58" w:name="Xd09b0d5c3297b89305e6818c21a0a298b0c52a8"/>
    <w:p>
      <w:pPr>
        <w:pStyle w:val="Heading2"/>
      </w:pPr>
      <w:r>
        <w:t xml:space="preserve">Historiographical Debates: Why Did Reform Happen?</w:t>
      </w:r>
    </w:p>
    <w:p>
      <w:pPr>
        <w:pStyle w:val="FirstParagraph"/>
      </w:pPr>
      <w:r>
        <w:t xml:space="preserve">Historians disagree, in revealing ways, about what actually</w:t>
      </w:r>
      <w:r>
        <w:t xml:space="preserve"> </w:t>
      </w:r>
      <w:r>
        <w:rPr>
          <w:iCs/>
          <w:i/>
        </w:rPr>
        <w:t xml:space="preserve">drove</w:t>
      </w:r>
      <w:r>
        <w:t xml:space="preserve"> </w:t>
      </w:r>
      <w:r>
        <w:t xml:space="preserve">this sequence of reforms:</w:t>
      </w:r>
    </w:p>
    <w:p>
      <w:pPr>
        <w:numPr>
          <w:ilvl w:val="0"/>
          <w:numId w:val="1025"/>
        </w:numPr>
        <w:pStyle w:val="Compact"/>
      </w:pPr>
      <w:r>
        <w:t xml:space="preserve">The</w:t>
      </w:r>
      <w:r>
        <w:t xml:space="preserve"> </w:t>
      </w:r>
      <w:r>
        <w:rPr>
          <w:bCs/>
          <w:b/>
        </w:rPr>
        <w:t xml:space="preserve">“</w:t>
      </w:r>
      <w:r>
        <w:rPr>
          <w:bCs/>
          <w:b/>
        </w:rPr>
        <w:t xml:space="preserve">Cambridge School</w:t>
      </w:r>
      <w:r>
        <w:rPr>
          <w:bCs/>
          <w:b/>
        </w:rPr>
        <w:t xml:space="preserve">”</w:t>
      </w:r>
      <w:r>
        <w:t xml:space="preserve"> </w:t>
      </w:r>
      <w:r>
        <w:t xml:space="preserve">of historians (associated especially with Anil Seal, John Gallagher and Gordon Johnson) emphasised the internal factional and patronage politics of Indian elites competing for access to colonial institutions, arguing that constitutional concessions were substantially shaped by the colonial state’s own strategic calculations about which Indian groups to co-opt as</w:t>
      </w:r>
      <w:r>
        <w:t xml:space="preserve"> </w:t>
      </w:r>
      <w:r>
        <w:t xml:space="preserve">“</w:t>
      </w:r>
      <w:r>
        <w:t xml:space="preserve">collaborators,</w:t>
      </w:r>
      <w:r>
        <w:t xml:space="preserve">”</w:t>
      </w:r>
      <w:r>
        <w:t xml:space="preserve"> </w:t>
      </w:r>
      <w:r>
        <w:t xml:space="preserve">rather than being simple, direct responses to nationalist pressure from below.</w:t>
      </w:r>
    </w:p>
    <w:p>
      <w:pPr>
        <w:numPr>
          <w:ilvl w:val="0"/>
          <w:numId w:val="1025"/>
        </w:numPr>
        <w:pStyle w:val="Compact"/>
      </w:pPr>
      <w:r>
        <w:rPr>
          <w:bCs/>
          <w:b/>
        </w:rPr>
        <w:t xml:space="preserve">Nationalist historiography</w:t>
      </w:r>
      <w:r>
        <w:t xml:space="preserve">, by contrast, generally presents each reform primarily as a concession won through sustained political struggle and mass mobilisation — Congress agitation, the Home Rule movement, Non-Cooperation, Civil Disobedience — reading the sequence of Acts as a story of pressure from below gradually forcing British retreat.</w:t>
      </w:r>
    </w:p>
    <w:p>
      <w:pPr>
        <w:numPr>
          <w:ilvl w:val="0"/>
          <w:numId w:val="1025"/>
        </w:numPr>
        <w:pStyle w:val="Compact"/>
      </w:pPr>
      <w:r>
        <w:rPr>
          <w:bCs/>
          <w:b/>
        </w:rPr>
        <w:t xml:space="preserve">Subaltern Studies historians</w:t>
      </w:r>
      <w:r>
        <w:t xml:space="preserve"> </w:t>
      </w:r>
      <w:r>
        <w:t xml:space="preserve">(from the 1980s onward) criticised both of the above frameworks for focusing almost exclusively on educated elites — whether colonial administrators or Congress leadership — and argued that the political consciousness and agency of peasants, workers and other subordinated groups deserves independent study rather than being read only through elite politics or elite-negotiated constitutional reform.</w:t>
      </w:r>
    </w:p>
    <w:p>
      <w:pPr>
        <w:pStyle w:val="FirstParagraph"/>
      </w:pPr>
      <w:r>
        <w:t xml:space="preserve">A strong exam answer does not need to adjudicate definitively among these schools, but recognising that</w:t>
      </w:r>
      <w:r>
        <w:t xml:space="preserve"> </w:t>
      </w:r>
      <w:r>
        <w:t xml:space="preserve">“</w:t>
      </w:r>
      <w:r>
        <w:t xml:space="preserve">why did Britain grant this reform?</w:t>
      </w:r>
      <w:r>
        <w:t xml:space="preserve">”</w:t>
      </w:r>
      <w:r>
        <w:t xml:space="preserve"> </w:t>
      </w:r>
      <w:r>
        <w:t xml:space="preserve">has more than one serious scholarly answer — elite co-optation, nationalist pressure, or a combination shaped by wartime and economic pressures specific to each moment — will distinguish a strong answer from a purely descriptive one.</w:t>
      </w:r>
    </w:p>
    <w:bookmarkEnd w:id="58"/>
    <w:bookmarkStart w:id="59" w:name="preparation-toolkit-2"/>
    <w:p>
      <w:pPr>
        <w:pStyle w:val="Heading2"/>
      </w:pPr>
      <w:r>
        <w:t xml:space="preserve">Preparation Toolkit</w:t>
      </w:r>
    </w:p>
    <w:p>
      <w:pPr>
        <w:pStyle w:val="FirstParagraph"/>
      </w:pPr>
      <w:r>
        <w:rPr>
          <w:bCs/>
          <w:b/>
        </w:rPr>
        <w:t xml:space="preserve">Preparation Checklist</w:t>
      </w:r>
    </w:p>
    <w:p>
      <w:pPr>
        <w:numPr>
          <w:ilvl w:val="0"/>
          <w:numId w:val="1026"/>
        </w:numPr>
        <w:pStyle w:val="Compact"/>
      </w:pPr>
      <w:r>
        <w:t xml:space="preserve">Build a single chronological table: year, Act/reform, central structure, provincial structure, franchise/representation, and long-term significance. This is far more useful for revision than prose paragraphs learned separately for each Act.</w:t>
      </w:r>
    </w:p>
    <w:p>
      <w:pPr>
        <w:numPr>
          <w:ilvl w:val="0"/>
          <w:numId w:val="1026"/>
        </w:numPr>
        <w:pStyle w:val="Compact"/>
      </w:pPr>
      <w:r>
        <w:t xml:space="preserve">Prepare Congress’s internal evolution (Moderates → Extremists → Home Rule → Gandhian mass politics) as its own labelled sub-timeline, since examiners frequently ask about this trajectory on its own.</w:t>
      </w:r>
    </w:p>
    <w:p>
      <w:pPr>
        <w:numPr>
          <w:ilvl w:val="0"/>
          <w:numId w:val="1026"/>
        </w:numPr>
        <w:pStyle w:val="Compact"/>
      </w:pPr>
      <w:r>
        <w:t xml:space="preserve">Prepare the Communal Award and Poona Pact as a self-contained case study of a communal representation dispute that</w:t>
      </w:r>
      <w:r>
        <w:t xml:space="preserve"> </w:t>
      </w:r>
      <w:r>
        <w:rPr>
          <w:iCs/>
          <w:i/>
        </w:rPr>
        <w:t xml:space="preserve">was</w:t>
      </w:r>
      <w:r>
        <w:t xml:space="preserve"> </w:t>
      </w:r>
      <w:r>
        <w:t xml:space="preserve">resolved, useful for contrast with disputes that were not.</w:t>
      </w:r>
    </w:p>
    <w:p>
      <w:pPr>
        <w:numPr>
          <w:ilvl w:val="0"/>
          <w:numId w:val="1026"/>
        </w:numPr>
        <w:pStyle w:val="Compact"/>
      </w:pPr>
      <w:r>
        <w:t xml:space="preserve">Keep an evidence bank: Indian Councils Act 1861 and 1892, Morley-Minto 1909, Montagu’s 1917 Declaration, Rowlatt Act and Jallianwala Bagh 1919, Government of India Act 1919, Government of India Act 1935, Communal Award and Poona Pact 1932.</w:t>
      </w:r>
    </w:p>
    <w:p>
      <w:pPr>
        <w:numPr>
          <w:ilvl w:val="0"/>
          <w:numId w:val="1026"/>
        </w:numPr>
        <w:pStyle w:val="Compact"/>
      </w:pPr>
      <w:r>
        <w:t xml:space="preserve">Practice one analytical outline answering:</w:t>
      </w:r>
      <w:r>
        <w:t xml:space="preserve"> </w:t>
      </w:r>
      <w:r>
        <w:t xml:space="preserve">“</w:t>
      </w:r>
      <w:r>
        <w:t xml:space="preserve">Each constitutional reform between 1861 and 1935 both granted new participation and preserved British control. Explain this pattern using at least three reforms.</w:t>
      </w:r>
      <w:r>
        <w:t xml:space="preserve">”</w:t>
      </w:r>
    </w:p>
    <w:p>
      <w:pPr>
        <w:pStyle w:val="FirstParagraph"/>
      </w:pPr>
      <w:r>
        <w:rPr>
          <w:bCs/>
          <w:b/>
        </w:rPr>
        <w:t xml:space="preserve">Common Confusions to Avoid</w:t>
      </w:r>
    </w:p>
    <w:p>
      <w:pPr>
        <w:numPr>
          <w:ilvl w:val="0"/>
          <w:numId w:val="1027"/>
        </w:numPr>
        <w:pStyle w:val="Compact"/>
      </w:pPr>
      <w:r>
        <w:t xml:space="preserve">Do not memorise Acts only by year; compare representation, executive responsibility, provincial powers and political reaction for each one.</w:t>
      </w:r>
    </w:p>
    <w:p>
      <w:pPr>
        <w:numPr>
          <w:ilvl w:val="0"/>
          <w:numId w:val="1027"/>
        </w:numPr>
        <w:pStyle w:val="Compact"/>
      </w:pPr>
      <w:r>
        <w:t xml:space="preserve">Dyarchy (1919 Act) applies to the provincial level only; do not confuse it with the fuller provincial autonomy introduced later by the 1935 Act, which replaced dyarchy entirely.</w:t>
      </w:r>
    </w:p>
    <w:p>
      <w:pPr>
        <w:numPr>
          <w:ilvl w:val="0"/>
          <w:numId w:val="1027"/>
        </w:numPr>
        <w:pStyle w:val="Compact"/>
      </w:pPr>
      <w:r>
        <w:t xml:space="preserve">Do not confuse the 1935 Act’s provincial-autonomy provisions (implemented, leading to the 1937 elections) with its all-India federation provisions (proposed, never implemented).</w:t>
      </w:r>
    </w:p>
    <w:p>
      <w:pPr>
        <w:numPr>
          <w:ilvl w:val="0"/>
          <w:numId w:val="1027"/>
        </w:numPr>
        <w:pStyle w:val="Compact"/>
      </w:pPr>
      <w:r>
        <w:t xml:space="preserve">Do not equate a larger legislature with full democracy; franchise remained limited throughout this period, and Governors and the Viceroy retained significant reserve powers even under provincial autonomy.</w:t>
      </w:r>
    </w:p>
    <w:p>
      <w:pPr>
        <w:pStyle w:val="FirstParagraph"/>
      </w:pPr>
      <w:r>
        <w:rPr>
          <w:bCs/>
          <w:b/>
        </w:rPr>
        <w:t xml:space="preserve">Easy Revision Points</w:t>
      </w:r>
    </w:p>
    <w:p>
      <w:pPr>
        <w:numPr>
          <w:ilvl w:val="0"/>
          <w:numId w:val="1028"/>
        </w:numPr>
        <w:pStyle w:val="Compact"/>
      </w:pPr>
      <w:r>
        <w:t xml:space="preserve">The Indian Councils Acts of 1861 and 1892 gradually widened legislative councils but did not create responsible government.</w:t>
      </w:r>
    </w:p>
    <w:p>
      <w:pPr>
        <w:numPr>
          <w:ilvl w:val="0"/>
          <w:numId w:val="1028"/>
        </w:numPr>
        <w:pStyle w:val="Compact"/>
      </w:pPr>
      <w:r>
        <w:t xml:space="preserve">The Indian Councils Act 1909 (Morley-Minto reforms) introduced separate electorates for Muslims.</w:t>
      </w:r>
    </w:p>
    <w:p>
      <w:pPr>
        <w:numPr>
          <w:ilvl w:val="0"/>
          <w:numId w:val="1028"/>
        </w:numPr>
        <w:pStyle w:val="Compact"/>
      </w:pPr>
      <w:r>
        <w:t xml:space="preserve">The Government of India Act 1919 introduced dyarchy in the provinces and expanded legislatures, against the backdrop of the Rowlatt Act and the Jallianwala Bagh massacre the same year.</w:t>
      </w:r>
    </w:p>
    <w:p>
      <w:pPr>
        <w:numPr>
          <w:ilvl w:val="0"/>
          <w:numId w:val="1028"/>
        </w:numPr>
        <w:pStyle w:val="Compact"/>
      </w:pPr>
      <w:r>
        <w:t xml:space="preserve">The Government of India Act 1935 provided provincial autonomy (implemented) and proposed an all-India federation (never implemented).</w:t>
      </w:r>
    </w:p>
    <w:p>
      <w:pPr>
        <w:numPr>
          <w:ilvl w:val="0"/>
          <w:numId w:val="1028"/>
        </w:numPr>
        <w:pStyle w:val="Compact"/>
      </w:pPr>
      <w:r>
        <w:t xml:space="preserve">The Indian National Congress was founded in 1885 and evolved from Moderate petitioning through Extremist agitation and the Home Rule movement to Gandhian mass politics from around 1920 onward.</w:t>
      </w:r>
    </w:p>
    <w:p>
      <w:pPr>
        <w:numPr>
          <w:ilvl w:val="0"/>
          <w:numId w:val="1028"/>
        </w:numPr>
        <w:pStyle w:val="Compact"/>
      </w:pPr>
      <w:r>
        <w:t xml:space="preserve">The Communal Award (1932) and the resulting Poona Pact between Gandhi and Ambedkar resolved the specific dispute over depressed-class representation.</w:t>
      </w:r>
    </w:p>
    <w:bookmarkEnd w:id="59"/>
    <w:bookmarkStart w:id="60" w:name="key-takeaways-2"/>
    <w:p>
      <w:pPr>
        <w:pStyle w:val="Heading2"/>
      </w:pPr>
      <w:r>
        <w:t xml:space="preserve">Key Takeaways</w:t>
      </w:r>
    </w:p>
    <w:p>
      <w:pPr>
        <w:numPr>
          <w:ilvl w:val="0"/>
          <w:numId w:val="1029"/>
        </w:numPr>
        <w:pStyle w:val="Compact"/>
      </w:pPr>
      <w:r>
        <w:t xml:space="preserve">Every constitutional reform in this period should be read on two levels at once: what it granted, and what the British still retained — that paired question is the examiner’s real interest.</w:t>
      </w:r>
    </w:p>
    <w:p>
      <w:pPr>
        <w:numPr>
          <w:ilvl w:val="0"/>
          <w:numId w:val="1029"/>
        </w:numPr>
        <w:pStyle w:val="Compact"/>
      </w:pPr>
      <w:r>
        <w:t xml:space="preserve">The Morley-Minto reforms’ introduction of separate electorates for Muslims in 1909 is the single most consequential constitutional decision in this topic, since it set a precedent for communal representation that shaped every subsequent negotiation through to partition.</w:t>
      </w:r>
    </w:p>
    <w:p>
      <w:pPr>
        <w:numPr>
          <w:ilvl w:val="0"/>
          <w:numId w:val="1029"/>
        </w:numPr>
        <w:pStyle w:val="Compact"/>
      </w:pPr>
      <w:r>
        <w:t xml:space="preserve">The 1919 and 1935 Acts must be kept structurally distinct — dyarchy versus full provincial autonomy — and the 1935 Act’s two halves (implemented provincial autonomy, unimplemented federation) must also be kept distinct from each other.</w:t>
      </w:r>
    </w:p>
    <w:p>
      <w:pPr>
        <w:numPr>
          <w:ilvl w:val="0"/>
          <w:numId w:val="1029"/>
        </w:numPr>
        <w:pStyle w:val="Compact"/>
      </w:pPr>
      <w:r>
        <w:t xml:space="preserve">The Indian National Congress’s internal evolution, from Moderate petitioning to Extremist agitation to Gandhian mass mobilisation, is itself an important sub-narrative, and mass movements (Non-Cooperation, Civil Disobedience, Quit India) should be understood as a causal pressure behind constitutional change, not a separate story.</w:t>
      </w:r>
    </w:p>
    <w:p>
      <w:pPr>
        <w:numPr>
          <w:ilvl w:val="0"/>
          <w:numId w:val="1029"/>
        </w:numPr>
        <w:pStyle w:val="Compact"/>
      </w:pPr>
      <w:r>
        <w:t xml:space="preserve">Historians genuinely disagree about what drove this reform sequence — elite co-optation, nationalist pressure, or a mix shaped by wartime pressures — and a strong answer shows awareness of this debate rather than assuming reform was simply Britain’s gradual, voluntary concession of self-government.</w:t>
      </w:r>
    </w:p>
    <w:bookmarkEnd w:id="60"/>
    <w:bookmarkEnd w:id="61"/>
    <w:bookmarkStart w:id="75" w:name="muslim-struggle-for-independence"/>
    <w:p>
      <w:pPr>
        <w:pStyle w:val="Heading1"/>
        <w:pageBreakBefore/>
      </w:pPr>
      <w:r>
        <w:t xml:space="preserve">4. Muslim Struggle for Independence</w:t>
      </w:r>
    </w:p>
    <w:bookmarkStart w:id="62" w:name="why-this-topic-matters-3"/>
    <w:p>
      <w:pPr>
        <w:pStyle w:val="Heading2"/>
      </w:pPr>
      <w:r>
        <w:t xml:space="preserve">Why This Topic Matters</w:t>
      </w:r>
    </w:p>
    <w:p>
      <w:pPr>
        <w:pStyle w:val="FirstParagraph"/>
      </w:pPr>
      <w:r>
        <w:t xml:space="preserve">This topic traces how Muslim political thought moved from religious and social reform, through educational modernisation, to organised constitutional politics — the essential intellectual and institutional preparation for the Pakistan Movement covered in Topic 5. A common and serious error is to read this whole sequence backward, as if every figure from Shah Waliullah onward was working toward the eventual creation of Pakistan. They were not: each figure responded to the specific political problem of his own time, and the demand for a separate state emerged only much later, in a specific and different context (1940 onward). Understanding each figure’s own problem, method and limitation — rather than treating them as steps on a predetermined path — is exactly what distinguishes a strong answer from a weak one on this topic.</w:t>
      </w:r>
    </w:p>
    <w:bookmarkEnd w:id="62"/>
    <w:bookmarkStart w:id="63" w:name="X661e574dfc41d7d9b523e6d48e7ec14c8c84859"/>
    <w:p>
      <w:pPr>
        <w:pStyle w:val="Heading2"/>
      </w:pPr>
      <w:r>
        <w:t xml:space="preserve">Background: Muslim Political Decline and the Aftermath of 1857</w:t>
      </w:r>
    </w:p>
    <w:p>
      <w:pPr>
        <w:pStyle w:val="FirstParagraph"/>
      </w:pPr>
      <w:r>
        <w:t xml:space="preserve">By the mid-eighteenth century, Mughal political power was in serious decline (Topic 1), and by 1857 the last symbolic remnant of that power — the Mughal emperor’s nominal authority — was extinguished, with Bahadur Shah Zafar exiled to Rangoon after the uprising. Muslims across northern India, who had been disproportionately associated with the old Mughal administrative and military order, faced a specific set of anxieties in this period: loss of political power, loss of court patronage for Persian and Urdu learning, British suspicion that Muslims bore particular responsibility for 1857 (since the rebels had rallied around the Mughal emperor), and consequent under-representation in the new colonial administrative and educational institutions relative to Hindu communities, who in many regions adapted more quickly to English education and colonial employment opportunities. This combination of political, cultural and economic anxiety is the essential background against which all four major figures covered in this topic worked.</w:t>
      </w:r>
    </w:p>
    <w:bookmarkEnd w:id="63"/>
    <w:bookmarkStart w:id="64" w:name="Xd0dabb11e1bbd3d6cf7cc7e79a451023f82f3ec"/>
    <w:p>
      <w:pPr>
        <w:pStyle w:val="Heading2"/>
      </w:pPr>
      <w:r>
        <w:t xml:space="preserve">Shah Waliullah: Religious and Intellectual Renewal in a Declining Empire</w:t>
      </w:r>
    </w:p>
    <w:p>
      <w:pPr>
        <w:pStyle w:val="FirstParagraph"/>
      </w:pPr>
      <w:r>
        <w:rPr>
          <w:bCs/>
          <w:b/>
        </w:rPr>
        <w:t xml:space="preserve">Problem identified:</w:t>
      </w:r>
      <w:r>
        <w:t xml:space="preserve"> </w:t>
      </w:r>
      <w:r>
        <w:t xml:space="preserve">Shah Waliullah (1703–1762) lived through the rapid political disintegration of Mughal authority described in Topic 1 — succession crises, regional fragmentation, and the traumatic invasions of Nadir Shah (1739) and Ahmad Shah Abdali. He diagnosed the crisis as being, at root, a moral and religious one: Muslim society had drifted from the ethical and intellectual foundations of its faith, and this internal decay, more than any single external military defeat, explained the empire’s weakness.</w:t>
      </w:r>
    </w:p>
    <w:p>
      <w:pPr>
        <w:pStyle w:val="BodyText"/>
      </w:pPr>
      <w:r>
        <w:rPr>
          <w:bCs/>
          <w:b/>
        </w:rPr>
        <w:t xml:space="preserve">Method:</w:t>
      </w:r>
      <w:r>
        <w:t xml:space="preserve"> </w:t>
      </w:r>
      <w:r>
        <w:t xml:space="preserve">His response was primarily intellectual and religious rather than political or military. He undertook a major project of religious scholarship, including a Persian translation of the Quran intended to make its teachings accessible beyond the narrow circle of Arabic-literate scholars, and he wrote extensively on theology, jurisprudence and social reform, seeking to reconcile and synthesise different schools of Islamic legal and mystical thought rather than deepen sectarian division.</w:t>
      </w:r>
    </w:p>
    <w:p>
      <w:pPr>
        <w:pStyle w:val="BodyText"/>
      </w:pPr>
      <w:r>
        <w:rPr>
          <w:bCs/>
          <w:b/>
        </w:rPr>
        <w:t xml:space="preserve">Achievement and limitation:</w:t>
      </w:r>
      <w:r>
        <w:t xml:space="preserve"> </w:t>
      </w:r>
      <w:r>
        <w:t xml:space="preserve">Shah Waliullah’s intellectual influence on subsequent generations of Islamic scholarship in South Asia was substantial and long-lasting — his students and successors carried his ideas forward for generations. His limitation, judged by the immediate political problem he identified, is equally clear: intellectual and religious renewal alone did not, and could not by itself, reverse the empire’s political and military decline. He also, in his later writings, appealed to Ahmad Shah Abdali to intervene against the rising Maratha power, illustrating that his political thought remained embedded in the specific power struggles of his own era rather than anticipating any later nationalist or separatist political programme.</w:t>
      </w:r>
    </w:p>
    <w:p>
      <w:pPr>
        <w:pStyle w:val="BodyText"/>
      </w:pPr>
      <w:r>
        <w:rPr>
          <w:bCs/>
          <w:b/>
        </w:rPr>
        <w:t xml:space="preserve">Significance:</w:t>
      </w:r>
      <w:r>
        <w:t xml:space="preserve"> </w:t>
      </w:r>
      <w:r>
        <w:t xml:space="preserve">His importance for the exam lies in establishing religious and intellectual reform as one enduring strand of Muslim response to political decline — a strand that resurfaces, in different forms, throughout the rest of this topic and even into Topic 5’s debates about the religious and cultural dimensions of the Pakistan demand.</w:t>
      </w:r>
    </w:p>
    <w:bookmarkEnd w:id="64"/>
    <w:bookmarkStart w:id="65" w:name="Xc64eb13852bf5b344c5805c16c271e736954e52"/>
    <w:p>
      <w:pPr>
        <w:pStyle w:val="Heading2"/>
      </w:pPr>
      <w:r>
        <w:t xml:space="preserve">Syed Ahmad Shaheed and the Tariqah-i-Muhammadiya</w:t>
      </w:r>
    </w:p>
    <w:p>
      <w:pPr>
        <w:pStyle w:val="FirstParagraph"/>
      </w:pPr>
      <w:r>
        <w:rPr>
          <w:bCs/>
          <w:b/>
        </w:rPr>
        <w:t xml:space="preserve">Problem identified:</w:t>
      </w:r>
      <w:r>
        <w:t xml:space="preserve"> </w:t>
      </w:r>
      <w:r>
        <w:t xml:space="preserve">Syed Ahmad Shaheed (also called Syed Ahmad Barelvi, 1786–1831), writing in a very different and more fragmented political landscape than Shah Waliullah — one in which Sikh power under Ranjit Singh controlled Punjab and much of the north-west — identified both religious laxity and, distinctively, direct political subjugation under non-Muslim rule as problems requiring active response.</w:t>
      </w:r>
    </w:p>
    <w:p>
      <w:pPr>
        <w:pStyle w:val="BodyText"/>
      </w:pPr>
      <w:r>
        <w:rPr>
          <w:bCs/>
          <w:b/>
        </w:rPr>
        <w:t xml:space="preserve">Method:</w:t>
      </w:r>
      <w:r>
        <w:t xml:space="preserve"> </w:t>
      </w:r>
      <w:r>
        <w:t xml:space="preserve">He combined religious reform (opposing practices he considered un-Islamic accretions) with organised armed struggle, leading a movement (the</w:t>
      </w:r>
      <w:r>
        <w:t xml:space="preserve"> </w:t>
      </w:r>
      <w:r>
        <w:rPr>
          <w:iCs/>
          <w:i/>
        </w:rPr>
        <w:t xml:space="preserve">Tariqah-i-Muhammadiya</w:t>
      </w:r>
      <w:r>
        <w:t xml:space="preserve">, sometimes loosely called the</w:t>
      </w:r>
      <w:r>
        <w:t xml:space="preserve"> </w:t>
      </w:r>
      <w:r>
        <w:t xml:space="preserve">“</w:t>
      </w:r>
      <w:r>
        <w:t xml:space="preserve">Mujahidin movement</w:t>
      </w:r>
      <w:r>
        <w:t xml:space="preserve">”</w:t>
      </w:r>
      <w:r>
        <w:t xml:space="preserve">) that sought to establish a religiously governed state in the north-west, directing its military effort primarily against Sikh rule in Punjab and the frontier regions.</w:t>
      </w:r>
    </w:p>
    <w:p>
      <w:pPr>
        <w:pStyle w:val="BodyText"/>
      </w:pPr>
      <w:r>
        <w:rPr>
          <w:bCs/>
          <w:b/>
        </w:rPr>
        <w:t xml:space="preserve">Achievement and limitation:</w:t>
      </w:r>
      <w:r>
        <w:t xml:space="preserve"> </w:t>
      </w:r>
      <w:r>
        <w:t xml:space="preserve">The movement achieved some initial local success but was ultimately defeated: Syed Ahmad Shaheed and a large number of his followers were killed at the Battle of Balakot in 1831, ending the movement’s immediate political project, though scattered remnants persisted for some decades afterward in parts of the frontier region. It is important not to read this movement anachronistically as a precursor of twentieth-century nationalist politics; it should be understood on its own terms as a religiously motivated resistance movement responding to the specific political fragmentation of the early nineteenth-century north-west frontier, quite different in context, method and aim from the later constitutional politics discussed below.</w:t>
      </w:r>
    </w:p>
    <w:p>
      <w:pPr>
        <w:pStyle w:val="BodyText"/>
      </w:pPr>
      <w:r>
        <w:rPr>
          <w:bCs/>
          <w:b/>
        </w:rPr>
        <w:t xml:space="preserve">Significance:</w:t>
      </w:r>
      <w:r>
        <w:t xml:space="preserve"> </w:t>
      </w:r>
      <w:r>
        <w:t xml:space="preserve">Together with Shah Waliullah, this movement represents an important early strand of active, organised Muslim political-religious response to loss of political power — useful as a point of contrast with the very different, non-violent and constitutionally focused methods that Sir Syed Ahmad Khan would advocate a generation later.</w:t>
      </w:r>
    </w:p>
    <w:bookmarkEnd w:id="65"/>
    <w:bookmarkStart w:id="66" w:name="Xc670f9759ffa7bf818a480c7190b9862f241959"/>
    <w:p>
      <w:pPr>
        <w:pStyle w:val="Heading2"/>
      </w:pPr>
      <w:r>
        <w:t xml:space="preserve">Sir Syed Ahmad Khan and the Aligarh Movement</w:t>
      </w:r>
    </w:p>
    <w:p>
      <w:pPr>
        <w:pStyle w:val="FirstParagraph"/>
      </w:pPr>
      <w:r>
        <w:rPr>
          <w:bCs/>
          <w:b/>
        </w:rPr>
        <w:t xml:space="preserve">Problem identified:</w:t>
      </w:r>
      <w:r>
        <w:t xml:space="preserve"> </w:t>
      </w:r>
      <w:r>
        <w:t xml:space="preserve">Writing in the direct aftermath of 1857, Sir Syed Ahmad Khan (1817–1898) — himself a serving official in British judicial administration who witnessed the uprising and its suppression firsthand — diagnosed two connected problems: first, that British suspicion of Muslims as the primary instigators of 1857 was damaging Muslim political and economic prospects under colonial rule, and second, that Muslims were falling dangerously behind Hindus in acquiring the modern English education needed to compete for administrative employment and political influence within the colonial system.</w:t>
      </w:r>
    </w:p>
    <w:p>
      <w:pPr>
        <w:pStyle w:val="BodyText"/>
      </w:pPr>
      <w:r>
        <w:rPr>
          <w:bCs/>
          <w:b/>
        </w:rPr>
        <w:t xml:space="preserve">Method:</w:t>
      </w:r>
      <w:r>
        <w:t xml:space="preserve"> </w:t>
      </w:r>
      <w:r>
        <w:t xml:space="preserve">His response combined political reconciliation with the British and an ambitious programme of educational modernisation. In his 1859 essay, often referred to in English as</w:t>
      </w:r>
      <w:r>
        <w:t xml:space="preserve"> </w:t>
      </w:r>
      <w:r>
        <w:rPr>
          <w:iCs/>
          <w:i/>
        </w:rPr>
        <w:t xml:space="preserve">Causes of the Indian Revolt</w:t>
      </w:r>
      <w:r>
        <w:t xml:space="preserve">, he argued that British policies, not any special Muslim disloyalty, bore significant responsibility for the uprising, seeking to repair British–Muslim relations. He founded the Scientific Society (1864) to translate Western scientific works into Urdu, and — his single most important institutional achievement — established the Muhammadan Anglo-Oriental College at Aligarh in 1875, explicitly modelled on English university institutions, to provide Muslims with modern English-medium education alongside religious instruction. The college later became Aligarh Muslim University and served as the institutional and social centre of what is generally called the</w:t>
      </w:r>
      <w:r>
        <w:t xml:space="preserve"> </w:t>
      </w:r>
      <w:r>
        <w:rPr>
          <w:bCs/>
          <w:b/>
        </w:rPr>
        <w:t xml:space="preserve">Aligarh Movement</w:t>
      </w:r>
      <w:r>
        <w:t xml:space="preserve">, encompassing not just the college itself but an associated network of journals, literary societies, and social reform initiatives aimed at reconciling Islamic tradition with modern scientific and administrative knowledge.</w:t>
      </w:r>
    </w:p>
    <w:p>
      <w:pPr>
        <w:pStyle w:val="BodyText"/>
      </w:pPr>
      <w:r>
        <w:rPr>
          <w:bCs/>
          <w:b/>
        </w:rPr>
        <w:t xml:space="preserve">Achievement and limitation:</w:t>
      </w:r>
      <w:r>
        <w:t xml:space="preserve"> </w:t>
      </w:r>
      <w:r>
        <w:t xml:space="preserve">The Aligarh Movement is widely credited with producing the first generation of modern, English-educated Muslim professionals and political leaders capable of competing on more equal terms within the colonial system, and Aligarh’s alumni network went on to play leading roles in Muslim League politics for decades afterward. Its limitations should also be noted honestly: the movement’s benefits reached mainly the Muslim landed and professional elite rather than the broader Muslim population; its emphasis on loyalty to British rule and caution toward mass nationalist politics (Sir Syed explicitly opposed Muslim participation in the newly founded Indian National Congress, arguing that electoral competition in a system of simple majority rule would permanently disadvantage the smaller Muslim community relative to the Hindu majority) drew criticism from more nationalist-minded contemporaries; and its approach to women’s education remained limited by the standards of later reform movements.</w:t>
      </w:r>
    </w:p>
    <w:p>
      <w:pPr>
        <w:pStyle w:val="BodyText"/>
      </w:pPr>
      <w:r>
        <w:rPr>
          <w:bCs/>
          <w:b/>
        </w:rPr>
        <w:t xml:space="preserve">Significance:</w:t>
      </w:r>
      <w:r>
        <w:t xml:space="preserve"> </w:t>
      </w:r>
      <w:r>
        <w:t xml:space="preserve">Sir Syed’s political argument — that simple majority-rule democracy could functionally disadvantage a religious minority regardless of formal legal equality — is historically significant as an early articulation of an idea that would recur, in more developed form, throughout the rest of this topic and into the Pakistan Movement itself, even though Sir Syed himself never proposed anything resembling a separate Muslim state.</w:t>
      </w:r>
    </w:p>
    <w:bookmarkEnd w:id="66"/>
    <w:bookmarkStart w:id="67" w:name="Xf6e8cb4a4f5ecf4e74260b901fb3b631fbbfb03"/>
    <w:p>
      <w:pPr>
        <w:pStyle w:val="Heading2"/>
      </w:pPr>
      <w:r>
        <w:t xml:space="preserve">From Education to Political Organisation: Bengal, Simla, and the Muslim League</w:t>
      </w:r>
    </w:p>
    <w:p>
      <w:pPr>
        <w:pStyle w:val="FirstParagraph"/>
      </w:pPr>
      <w:r>
        <w:rPr>
          <w:bCs/>
          <w:b/>
        </w:rPr>
        <w:t xml:space="preserve">The Partition of Bengal (1905).</w:t>
      </w:r>
      <w:r>
        <w:t xml:space="preserve"> </w:t>
      </w:r>
      <w:r>
        <w:t xml:space="preserve">Viceroy Lord Curzon partitioned the large province of Bengal in 1905, officially for administrative convenience (Bengal’s population was too large for effective single-province administration), creating a new province of Eastern Bengal and Assam with a Muslim-majority population. Many Bengali Muslims initially welcomed the change, seeing new administrative and educational opportunities in a province where they would no longer be a minority within undivided Bengal’s Hindu-majority political life. Bengali Hindu political opinion, by contrast, saw the partition as a deliberate colonial strategy to weaken Bengali nationalist politics by dividing the Bengali-speaking population along religious lines, and responded with the</w:t>
      </w:r>
      <w:r>
        <w:t xml:space="preserve"> </w:t>
      </w:r>
      <w:r>
        <w:rPr>
          <w:bCs/>
          <w:b/>
        </w:rPr>
        <w:t xml:space="preserve">Swadeshi movement</w:t>
      </w:r>
      <w:r>
        <w:t xml:space="preserve"> </w:t>
      </w:r>
      <w:r>
        <w:t xml:space="preserve">— boycott of British goods and promotion of indigenous industry — one of the first genuinely mass-based nationalist campaigns in Indian history. Sustained protest eventually forced the British to annul the partition in 1911, an outcome that many Bengali Muslims experienced as a political setback, reinforcing exactly the fear Sir Syed had articulated: that Hindu political mobilisation could reverse arrangements that had benefited Muslim political interests.</w:t>
      </w:r>
    </w:p>
    <w:p>
      <w:pPr>
        <w:pStyle w:val="BodyText"/>
      </w:pPr>
      <w:r>
        <w:rPr>
          <w:bCs/>
          <w:b/>
        </w:rPr>
        <w:t xml:space="preserve">The Simla Deputation (1906).</w:t>
      </w:r>
      <w:r>
        <w:t xml:space="preserve"> </w:t>
      </w:r>
      <w:r>
        <w:t xml:space="preserve">Later in 1906, a delegation of prominent Muslim leaders, led by the Aga Khan, met Viceroy Lord Minto at Simla to press for separate Muslim representation in any future expansion of representative institutions, arguing that Muslim political and economic interests required guaranteed representation beyond what their proportion of the population alone might secure through general elections. Minto’s sympathetic response to this deputation is generally regarded as paving the way for the separate electorates subsequently introduced by the Morley-Minto reforms of 1909 (Topic 3).</w:t>
      </w:r>
    </w:p>
    <w:p>
      <w:pPr>
        <w:pStyle w:val="BodyText"/>
      </w:pPr>
      <w:r>
        <w:rPr>
          <w:bCs/>
          <w:b/>
        </w:rPr>
        <w:t xml:space="preserve">Founding of the All-India Muslim League (December 1906).</w:t>
      </w:r>
      <w:r>
        <w:t xml:space="preserve"> </w:t>
      </w:r>
      <w:r>
        <w:t xml:space="preserve">Later that same year, the All-India Muslim League was founded at Dacca (in the very province created by the 1905 partition), with the stated aims of promoting loyalty to the British government, protecting and advancing the political rights and interests of Indian Muslims, and preventing the growth of any feeling of hostility between Muslims and other communities. The League initially operated as a relatively elite, loyalist organisation rather than a mass political party — it would take several more decades, and the leadership of Muhammad Ali Jinnah in particular, for it to develop into the mass movement capable of leading the Pakistan Movement.</w:t>
      </w:r>
    </w:p>
    <w:bookmarkEnd w:id="67"/>
    <w:bookmarkStart w:id="68" w:name="X18f66c740ef9fa6f4b1d9aaa9ac95ad5533d07c"/>
    <w:p>
      <w:pPr>
        <w:pStyle w:val="Heading2"/>
      </w:pPr>
      <w:r>
        <w:t xml:space="preserve">Congress–League Cooperation and Its Limits</w:t>
      </w:r>
    </w:p>
    <w:p>
      <w:pPr>
        <w:pStyle w:val="FirstParagraph"/>
      </w:pPr>
      <w:r>
        <w:rPr>
          <w:bCs/>
          <w:b/>
        </w:rPr>
        <w:t xml:space="preserve">The Lucknow Pact (1916).</w:t>
      </w:r>
      <w:r>
        <w:t xml:space="preserve"> </w:t>
      </w:r>
      <w:r>
        <w:t xml:space="preserve">In 1916, the Indian National Congress and the Muslim League reached an unusual and historically important agreement at Lucknow, under which Congress accepted the principle of separate electorates for Muslims (a significant Congress concession, since Congress had generally opposed separate electorates as communally divisive) in exchange for League support for a joint demand for greater self-government, and both parties agreed on formulas for weighted minority representation in various provincial legislatures. The Lucknow Pact is often cited as the high-water mark of formal Hindu-Muslim political cooperation in the constitutional movement, though it should be understood as a specific, negotiated agreement between two organisations’ leaderships at a particular moment — not as evidence of a broader, lasting convergence of Hindu and Muslim political opinion, which would fracture repeatedly again in the following decades.</w:t>
      </w:r>
    </w:p>
    <w:p>
      <w:pPr>
        <w:pStyle w:val="BodyText"/>
      </w:pPr>
      <w:r>
        <w:rPr>
          <w:bCs/>
          <w:b/>
        </w:rPr>
        <w:t xml:space="preserve">The Khilafat Movement (1919–1924).</w:t>
      </w:r>
      <w:r>
        <w:t xml:space="preserve"> </w:t>
      </w:r>
      <w:r>
        <w:t xml:space="preserve">Following the First World War, the Ottoman Empire’s defeat and the harsh terms proposed for it (including provisions of the 1920 Treaty of Sèvres threatening the position of the Ottoman Sultan, who also held the title of Caliph, regarded by many Muslims worldwide as a symbol of Muslim religious-political unity) provoked a major mass protest movement in India, led especially by the brothers Mohammad Ali and Shaukat Ali, demanding that Britain preserve the Caliphate’s authority and territorial integrity. Gandhi saw an opportunity to build a genuinely joint Hindu-Muslim mass movement and allied Congress’s Non-Cooperation Movement with the Khilafat agitation from 1920, producing an unprecedented, though short-lived, degree of mass Hindu-Muslim cooperation against British rule. The alliance collapsed for several reasons: Gandhi suspended Non-Cooperation in 1922 after the violent Chauri Chaura incident, disappointing many Khilafat supporters who felt the movement had been abandoned at a critical moment; and the entire premise of the movement was undermined when Mustafa Kemal Atatürk’s new secular Turkish republic itself abolished the Caliphate in 1924, removing the institution the movement had been organised to defend. The Khilafat episode’s collapse contributed to a period of renewed and, in places, intensified Hindu-Muslim communal tension through the mid-1920s, a useful corrective to any narrative that treats the pre-1930 period as one of steadily improving Hindu-Muslim relations.</w:t>
      </w:r>
    </w:p>
    <w:bookmarkEnd w:id="68"/>
    <w:bookmarkStart w:id="69" w:name="Xf6b1692032ef46954c0219eeadd3f34942b2494"/>
    <w:p>
      <w:pPr>
        <w:pStyle w:val="Heading2"/>
      </w:pPr>
      <w:r>
        <w:t xml:space="preserve">The Nehru Report (1928) and Jinnah’s Fourteen Points (1929)</w:t>
      </w:r>
    </w:p>
    <w:p>
      <w:pPr>
        <w:pStyle w:val="FirstParagraph"/>
      </w:pPr>
      <w:r>
        <w:rPr>
          <w:bCs/>
          <w:b/>
        </w:rPr>
        <w:t xml:space="preserve">The Nehru Report.</w:t>
      </w:r>
      <w:r>
        <w:t xml:space="preserve"> </w:t>
      </w:r>
      <w:r>
        <w:t xml:space="preserve">In response to a British challenge (in the form of the all-white Simon Commission, appointed in 1927 to review constitutional progress without any Indian members, provoking widespread protest across Indian political opinion) to produce an agreed Indian alternative constitutional scheme, an all-parties conference appointed a committee chaired by Motilal Nehru, which produced the</w:t>
      </w:r>
      <w:r>
        <w:t xml:space="preserve"> </w:t>
      </w:r>
      <w:r>
        <w:rPr>
          <w:bCs/>
          <w:b/>
        </w:rPr>
        <w:t xml:space="preserve">Nehru Report</w:t>
      </w:r>
      <w:r>
        <w:t xml:space="preserve"> </w:t>
      </w:r>
      <w:r>
        <w:t xml:space="preserve">in 1928. The report proposed dominion status for India, a largely unitary (rather than strongly federal) constitutional structure, and — significantly —</w:t>
      </w:r>
      <w:r>
        <w:t xml:space="preserve"> </w:t>
      </w:r>
      <w:r>
        <w:rPr>
          <w:bCs/>
          <w:b/>
        </w:rPr>
        <w:t xml:space="preserve">joint electorates</w:t>
      </w:r>
      <w:r>
        <w:t xml:space="preserve"> </w:t>
      </w:r>
      <w:r>
        <w:t xml:space="preserve">rather than separate electorates, on the grounds that separate electorates entrenched communal division. Many Muslim political leaders, including a significant section that had previously been willing to compromise, regarded the report as inadequate for Muslim political safeguards, particularly its rejection of separate electorates and its comparatively centralised, unitary constitutional vision, which offered less provincial autonomy than many Muslim-majority provinces wanted.</w:t>
      </w:r>
    </w:p>
    <w:p>
      <w:pPr>
        <w:pStyle w:val="BodyText"/>
      </w:pPr>
      <w:r>
        <w:rPr>
          <w:bCs/>
          <w:b/>
        </w:rPr>
        <w:t xml:space="preserve">Jinnah’s Fourteen Points.</w:t>
      </w:r>
      <w:r>
        <w:t xml:space="preserve"> </w:t>
      </w:r>
      <w:r>
        <w:t xml:space="preserve">Muhammad Ali Jinnah responded in March 1929 with a formal statement of Muslim constitutional demands, subsequently known as the</w:t>
      </w:r>
      <w:r>
        <w:t xml:space="preserve"> </w:t>
      </w:r>
      <w:r>
        <w:rPr>
          <w:bCs/>
          <w:b/>
        </w:rPr>
        <w:t xml:space="preserve">Fourteen Points</w:t>
      </w:r>
      <w:r>
        <w:t xml:space="preserve">, restating and consolidating the safeguards Muslim political opinion regarded as essential in any future constitutional settlement. The core demands included: a genuinely federal constitution with residuary powers vested in the provinces; provincial autonomy; adequate and effective representation of minorities in every province without reducing any province’s majority into a minority; representation of communities in services and self-governing bodies; one-third Muslim representation in the central legislature; separate electorates to continue unless communities mutually agreed otherwise; no constitutional amendment without the concurrence of the states constituting the federation; protection of Muslim religious, cultural and personal-law rights; and the constitution of new Muslim-majority provinces, including the separation of Sindh from the Bombay Presidency and constitutional reforms for the North-West Frontier Province and Balochistan. Read carefully, the Fourteen Points show that, as of 1929, Jinnah and the Muslim League were still seeking robust safeguards</w:t>
      </w:r>
      <w:r>
        <w:t xml:space="preserve"> </w:t>
      </w:r>
      <w:r>
        <w:rPr>
          <w:iCs/>
          <w:i/>
        </w:rPr>
        <w:t xml:space="preserve">within</w:t>
      </w:r>
      <w:r>
        <w:t xml:space="preserve"> </w:t>
      </w:r>
      <w:r>
        <w:t xml:space="preserve">a united, federal India — not yet demanding a separate sovereign state, which would only emerge as League policy over a decade later (Topic 5).</w:t>
      </w:r>
    </w:p>
    <w:bookmarkEnd w:id="69"/>
    <w:bookmarkStart w:id="70" w:name="key-terms-and-concepts-3"/>
    <w:p>
      <w:pPr>
        <w:pStyle w:val="Heading2"/>
      </w:pPr>
      <w:r>
        <w:t xml:space="preserve">Key Terms and Concepts</w:t>
      </w:r>
    </w:p>
    <w:p>
      <w:pPr>
        <w:numPr>
          <w:ilvl w:val="0"/>
          <w:numId w:val="1030"/>
        </w:numPr>
        <w:pStyle w:val="Compact"/>
      </w:pPr>
      <w:r>
        <w:rPr>
          <w:bCs/>
          <w:b/>
        </w:rPr>
        <w:t xml:space="preserve">Aligarh Movement:</w:t>
      </w:r>
      <w:r>
        <w:t xml:space="preserve"> </w:t>
      </w:r>
      <w:r>
        <w:t xml:space="preserve">The broader educational, social and literary reform movement centred on Sir Syed Ahmad Khan’s Muhammadan Anglo-Oriental College at Aligarh (founded 1875).</w:t>
      </w:r>
    </w:p>
    <w:p>
      <w:pPr>
        <w:numPr>
          <w:ilvl w:val="0"/>
          <w:numId w:val="1030"/>
        </w:numPr>
        <w:pStyle w:val="Compact"/>
      </w:pPr>
      <w:r>
        <w:rPr>
          <w:bCs/>
          <w:b/>
        </w:rPr>
        <w:t xml:space="preserve">Simla Deputation:</w:t>
      </w:r>
      <w:r>
        <w:t xml:space="preserve"> </w:t>
      </w:r>
      <w:r>
        <w:t xml:space="preserve">The 1906 delegation of Muslim leaders that petitioned Viceroy Minto for separate representation, generally regarded as paving the way for the 1909 reforms.</w:t>
      </w:r>
    </w:p>
    <w:p>
      <w:pPr>
        <w:numPr>
          <w:ilvl w:val="0"/>
          <w:numId w:val="1030"/>
        </w:numPr>
        <w:pStyle w:val="Compact"/>
      </w:pPr>
      <w:r>
        <w:rPr>
          <w:bCs/>
          <w:b/>
        </w:rPr>
        <w:t xml:space="preserve">Khilafat Movement:</w:t>
      </w:r>
      <w:r>
        <w:t xml:space="preserve"> </w:t>
      </w:r>
      <w:r>
        <w:t xml:space="preserve">The 1919–1924 mass movement defending the Ottoman Caliphate, temporarily allied with Gandhi’s Non-Cooperation Movement.</w:t>
      </w:r>
    </w:p>
    <w:p>
      <w:pPr>
        <w:numPr>
          <w:ilvl w:val="0"/>
          <w:numId w:val="1030"/>
        </w:numPr>
        <w:pStyle w:val="Compact"/>
      </w:pPr>
      <w:r>
        <w:rPr>
          <w:bCs/>
          <w:b/>
        </w:rPr>
        <w:t xml:space="preserve">Nehru Report:</w:t>
      </w:r>
      <w:r>
        <w:t xml:space="preserve"> </w:t>
      </w:r>
      <w:r>
        <w:t xml:space="preserve">The 1928 all-parties committee report (chaired by Motilal Nehru) proposing dominion status and joint electorates, widely regarded by Muslim leaders as inadequate for minority safeguards.</w:t>
      </w:r>
    </w:p>
    <w:p>
      <w:pPr>
        <w:numPr>
          <w:ilvl w:val="0"/>
          <w:numId w:val="1030"/>
        </w:numPr>
        <w:pStyle w:val="Compact"/>
      </w:pPr>
      <w:r>
        <w:rPr>
          <w:bCs/>
          <w:b/>
        </w:rPr>
        <w:t xml:space="preserve">Fourteen Points:</w:t>
      </w:r>
      <w:r>
        <w:t xml:space="preserve"> </w:t>
      </w:r>
      <w:r>
        <w:t xml:space="preserve">Jinnah’s March 1929 restatement of Muslim constitutional demands, seeking robust federal safeguards within a united India.</w:t>
      </w:r>
    </w:p>
    <w:bookmarkEnd w:id="70"/>
    <w:bookmarkStart w:id="71" w:name="X2fb90446e6d649c8f056f9c60569b4eee1d7d82"/>
    <w:p>
      <w:pPr>
        <w:pStyle w:val="Heading2"/>
      </w:pPr>
      <w:r>
        <w:t xml:space="preserve">Comparing Four Figures: Problem, Method, Achievement, Limitation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Figure</w:t>
            </w:r>
          </w:p>
        </w:tc>
        <w:tc>
          <w:tcPr/>
          <w:p>
            <w:pPr>
              <w:pStyle w:val="Compact"/>
              <w:jc w:val="left"/>
            </w:pPr>
            <w:r>
              <w:t xml:space="preserve">Era / context</w:t>
            </w:r>
          </w:p>
        </w:tc>
        <w:tc>
          <w:tcPr/>
          <w:p>
            <w:pPr>
              <w:pStyle w:val="Compact"/>
              <w:jc w:val="left"/>
            </w:pPr>
            <w:r>
              <w:t xml:space="preserve">Problem identified</w:t>
            </w:r>
          </w:p>
        </w:tc>
        <w:tc>
          <w:tcPr/>
          <w:p>
            <w:pPr>
              <w:pStyle w:val="Compact"/>
              <w:jc w:val="left"/>
            </w:pPr>
            <w:r>
              <w:t xml:space="preserve">Method</w:t>
            </w:r>
          </w:p>
        </w:tc>
        <w:tc>
          <w:tcPr/>
          <w:p>
            <w:pPr>
              <w:pStyle w:val="Compact"/>
              <w:jc w:val="left"/>
            </w:pPr>
            <w:r>
              <w:t xml:space="preserve">Achievement</w:t>
            </w:r>
          </w:p>
        </w:tc>
        <w:tc>
          <w:tcPr/>
          <w:p>
            <w:pPr>
              <w:pStyle w:val="Compact"/>
              <w:jc w:val="left"/>
            </w:pPr>
            <w:r>
              <w:t xml:space="preserve">Limitation</w:t>
            </w:r>
          </w:p>
        </w:tc>
      </w:tr>
      <w:tr>
        <w:tc>
          <w:tcPr/>
          <w:p>
            <w:pPr>
              <w:pStyle w:val="Compact"/>
              <w:jc w:val="left"/>
            </w:pPr>
            <w:r>
              <w:t xml:space="preserve">Shah Waliullah</w:t>
            </w:r>
          </w:p>
        </w:tc>
        <w:tc>
          <w:tcPr/>
          <w:p>
            <w:pPr>
              <w:pStyle w:val="Compact"/>
              <w:jc w:val="left"/>
            </w:pPr>
            <w:r>
              <w:t xml:space="preserve">Mid-18th century Mughal decline</w:t>
            </w:r>
          </w:p>
        </w:tc>
        <w:tc>
          <w:tcPr/>
          <w:p>
            <w:pPr>
              <w:pStyle w:val="Compact"/>
              <w:jc w:val="left"/>
            </w:pPr>
            <w:r>
              <w:t xml:space="preserve">Moral and religious decay underlying political weakness</w:t>
            </w:r>
          </w:p>
        </w:tc>
        <w:tc>
          <w:tcPr/>
          <w:p>
            <w:pPr>
              <w:pStyle w:val="Compact"/>
              <w:jc w:val="left"/>
            </w:pPr>
            <w:r>
              <w:t xml:space="preserve">Religious scholarship, Quranic translation, synthesis of legal schools</w:t>
            </w:r>
          </w:p>
        </w:tc>
        <w:tc>
          <w:tcPr/>
          <w:p>
            <w:pPr>
              <w:pStyle w:val="Compact"/>
              <w:jc w:val="left"/>
            </w:pPr>
            <w:r>
              <w:t xml:space="preserve">Long-lasting intellectual influence on subsequent scholarship</w:t>
            </w:r>
          </w:p>
        </w:tc>
        <w:tc>
          <w:tcPr/>
          <w:p>
            <w:pPr>
              <w:pStyle w:val="Compact"/>
              <w:jc w:val="left"/>
            </w:pPr>
            <w:r>
              <w:t xml:space="preserve">Did not, and could not by itself, reverse political-military decline</w:t>
            </w:r>
          </w:p>
        </w:tc>
      </w:tr>
      <w:tr>
        <w:tc>
          <w:tcPr/>
          <w:p>
            <w:pPr>
              <w:pStyle w:val="Compact"/>
              <w:jc w:val="left"/>
            </w:pPr>
            <w:r>
              <w:t xml:space="preserve">Syed Ahmad Shaheed</w:t>
            </w:r>
          </w:p>
        </w:tc>
        <w:tc>
          <w:tcPr/>
          <w:p>
            <w:pPr>
              <w:pStyle w:val="Compact"/>
              <w:jc w:val="left"/>
            </w:pPr>
            <w:r>
              <w:t xml:space="preserve">Early 19th century, Sikh rule in Punjab</w:t>
            </w:r>
          </w:p>
        </w:tc>
        <w:tc>
          <w:tcPr/>
          <w:p>
            <w:pPr>
              <w:pStyle w:val="Compact"/>
              <w:jc w:val="left"/>
            </w:pPr>
            <w:r>
              <w:t xml:space="preserve">Direct political subjugation under non-Muslim rule</w:t>
            </w:r>
          </w:p>
        </w:tc>
        <w:tc>
          <w:tcPr/>
          <w:p>
            <w:pPr>
              <w:pStyle w:val="Compact"/>
              <w:jc w:val="left"/>
            </w:pPr>
            <w:r>
              <w:t xml:space="preserve">Religious reform combined with organised armed struggle</w:t>
            </w:r>
          </w:p>
        </w:tc>
        <w:tc>
          <w:tcPr/>
          <w:p>
            <w:pPr>
              <w:pStyle w:val="Compact"/>
              <w:jc w:val="left"/>
            </w:pPr>
            <w:r>
              <w:t xml:space="preserve">Brief local political-military success</w:t>
            </w:r>
          </w:p>
        </w:tc>
        <w:tc>
          <w:tcPr/>
          <w:p>
            <w:pPr>
              <w:pStyle w:val="Compact"/>
              <w:jc w:val="left"/>
            </w:pPr>
            <w:r>
              <w:t xml:space="preserve">Defeated and killed at Balakot (1831); movement did not survive</w:t>
            </w:r>
          </w:p>
        </w:tc>
      </w:tr>
      <w:tr>
        <w:tc>
          <w:tcPr/>
          <w:p>
            <w:pPr>
              <w:pStyle w:val="Compact"/>
              <w:jc w:val="left"/>
            </w:pPr>
            <w:r>
              <w:t xml:space="preserve">Sir Syed Ahmad Khan</w:t>
            </w:r>
          </w:p>
        </w:tc>
        <w:tc>
          <w:tcPr/>
          <w:p>
            <w:pPr>
              <w:pStyle w:val="Compact"/>
              <w:jc w:val="left"/>
            </w:pPr>
            <w:r>
              <w:t xml:space="preserve">Post-1857 colonial India</w:t>
            </w:r>
          </w:p>
        </w:tc>
        <w:tc>
          <w:tcPr/>
          <w:p>
            <w:pPr>
              <w:pStyle w:val="Compact"/>
              <w:jc w:val="left"/>
            </w:pPr>
            <w:r>
              <w:t xml:space="preserve">British suspicion of Muslims; Muslim educational backwardness relative to Hindus</w:t>
            </w:r>
          </w:p>
        </w:tc>
        <w:tc>
          <w:tcPr/>
          <w:p>
            <w:pPr>
              <w:pStyle w:val="Compact"/>
              <w:jc w:val="left"/>
            </w:pPr>
            <w:r>
              <w:t xml:space="preserve">Political reconciliation with Britain; modern English-medium education (Aligarh, 1875)</w:t>
            </w:r>
          </w:p>
        </w:tc>
        <w:tc>
          <w:tcPr/>
          <w:p>
            <w:pPr>
              <w:pStyle w:val="Compact"/>
              <w:jc w:val="left"/>
            </w:pPr>
            <w:r>
              <w:t xml:space="preserve">Produced first generation of modern Muslim professional-political leadership</w:t>
            </w:r>
          </w:p>
        </w:tc>
        <w:tc>
          <w:tcPr/>
          <w:p>
            <w:pPr>
              <w:pStyle w:val="Compact"/>
              <w:jc w:val="left"/>
            </w:pPr>
            <w:r>
              <w:t xml:space="preserve">Elite-focused; opposed mass nationalist politics; limited women’s education</w:t>
            </w:r>
          </w:p>
        </w:tc>
      </w:tr>
      <w:tr>
        <w:tc>
          <w:tcPr/>
          <w:p>
            <w:pPr>
              <w:pStyle w:val="Compact"/>
              <w:jc w:val="left"/>
            </w:pPr>
            <w:r>
              <w:t xml:space="preserve">Muhammad Ali Jinnah (to 1929)</w:t>
            </w:r>
          </w:p>
        </w:tc>
        <w:tc>
          <w:tcPr/>
          <w:p>
            <w:pPr>
              <w:pStyle w:val="Compact"/>
              <w:jc w:val="left"/>
            </w:pPr>
            <w:r>
              <w:t xml:space="preserve">Interwar constitutional negotiation</w:t>
            </w:r>
          </w:p>
        </w:tc>
        <w:tc>
          <w:tcPr/>
          <w:p>
            <w:pPr>
              <w:pStyle w:val="Compact"/>
              <w:jc w:val="left"/>
            </w:pPr>
            <w:r>
              <w:t xml:space="preserve">Insufficient safeguards for Muslims under majority rule in a unitary or weakly federal India</w:t>
            </w:r>
          </w:p>
        </w:tc>
        <w:tc>
          <w:tcPr/>
          <w:p>
            <w:pPr>
              <w:pStyle w:val="Compact"/>
              <w:jc w:val="left"/>
            </w:pPr>
            <w:r>
              <w:t xml:space="preserve">Formal constitutional demands (Fourteen Points) within a united, federal India</w:t>
            </w:r>
          </w:p>
        </w:tc>
        <w:tc>
          <w:tcPr/>
          <w:p>
            <w:pPr>
              <w:pStyle w:val="Compact"/>
              <w:jc w:val="left"/>
            </w:pPr>
            <w:r>
              <w:t xml:space="preserve">Consolidated and clarified Muslim constitutional demands ahead of the 1930s</w:t>
            </w:r>
          </w:p>
        </w:tc>
        <w:tc>
          <w:tcPr/>
          <w:p>
            <w:pPr>
              <w:pStyle w:val="Compact"/>
              <w:jc w:val="left"/>
            </w:pPr>
            <w:r>
              <w:t xml:space="preserve">Did not yet resolve the underlying disagreement with Congress; safeguards, not separation, remained the goal at this stage</w:t>
            </w:r>
          </w:p>
        </w:tc>
      </w:tr>
    </w:tbl>
    <w:bookmarkEnd w:id="71"/>
    <w:bookmarkStart w:id="72" w:name="Xc9b90adf92258a3c4ed78740bdd33ca60d21249"/>
    <w:p>
      <w:pPr>
        <w:pStyle w:val="Heading2"/>
      </w:pPr>
      <w:r>
        <w:t xml:space="preserve">Historiographical Debates: Was There a Straight Line to Pakistan?</w:t>
      </w:r>
    </w:p>
    <w:p>
      <w:pPr>
        <w:pStyle w:val="FirstParagraph"/>
      </w:pPr>
      <w:r>
        <w:t xml:space="preserve">The single most important historiographical caution for this topic is against</w:t>
      </w:r>
      <w:r>
        <w:t xml:space="preserve"> </w:t>
      </w:r>
      <w:r>
        <w:rPr>
          <w:bCs/>
          <w:b/>
        </w:rPr>
        <w:t xml:space="preserve">teleological reading</w:t>
      </w:r>
      <w:r>
        <w:t xml:space="preserve"> </w:t>
      </w:r>
      <w:r>
        <w:t xml:space="preserve">— interpreting every event from Shah Waliullah onward as if it were consciously building toward the 1947 creation of Pakistan. Professional historians generally reject this reading for good reason: none of the four figures compared above proposed, or could have anticipated, a separate sovereign Muslim state; each was responding to the specific political problem of his own moment.</w:t>
      </w:r>
    </w:p>
    <w:p>
      <w:pPr>
        <w:pStyle w:val="BodyText"/>
      </w:pPr>
      <w:r>
        <w:t xml:space="preserve">A related and more specific debate concerns Jinnah’s own intentions in the following decade. The historian Ayesha Jalal, in her influential study</w:t>
      </w:r>
      <w:r>
        <w:t xml:space="preserve"> </w:t>
      </w:r>
      <w:r>
        <w:rPr>
          <w:iCs/>
          <w:i/>
        </w:rPr>
        <w:t xml:space="preserve">The Sole Spokesman</w:t>
      </w:r>
      <w:r>
        <w:t xml:space="preserve"> </w:t>
      </w:r>
      <w:r>
        <w:t xml:space="preserve">(1985), argues that even after the 1940 Lahore Resolution (Topic 5), Jinnah’s central strategy was to use the demand for Pakistan primarily as a bargaining position to secure a strong, autonomous position for Muslim-majority provinces within a loosely federated, united India, rather than pursuing outright partition as a fixed goal from the start — and that partition became the actual outcome only when this bargaining strategy failed in the specific negotiations of 1946–47 (covered in Topic 5). This interpretation remains debated among historians, some of whom argue for a more consistent, earlier Muslim League commitment to full separation; but Jalal’s work is widely cited precisely because it demonstrates, using the very documents summarised in this topic (including the Fourteen Points), that the Muslim League’s demands evolved significantly and were not fixed on partition from an early date. Being able to reference this debate — rather than assuming Pakistan’s creation was inevitable from Sir Syed onward — is itself a marker of strong historical understanding at this level.</w:t>
      </w:r>
    </w:p>
    <w:bookmarkEnd w:id="72"/>
    <w:bookmarkStart w:id="73" w:name="preparation-toolkit-3"/>
    <w:p>
      <w:pPr>
        <w:pStyle w:val="Heading2"/>
      </w:pPr>
      <w:r>
        <w:t xml:space="preserve">Preparation Toolkit</w:t>
      </w:r>
    </w:p>
    <w:p>
      <w:pPr>
        <w:pStyle w:val="FirstParagraph"/>
      </w:pPr>
      <w:r>
        <w:rPr>
          <w:bCs/>
          <w:b/>
        </w:rPr>
        <w:t xml:space="preserve">Preparation Checklist</w:t>
      </w:r>
    </w:p>
    <w:p>
      <w:pPr>
        <w:numPr>
          <w:ilvl w:val="0"/>
          <w:numId w:val="1031"/>
        </w:numPr>
        <w:pStyle w:val="Compact"/>
      </w:pPr>
      <w:r>
        <w:t xml:space="preserve">Do not mix all four figures together into one undifferentiated narrative; prepare each in</w:t>
      </w:r>
      <w:r>
        <w:t xml:space="preserve"> </w:t>
      </w:r>
      <w:r>
        <w:t xml:space="preserve">“</w:t>
      </w:r>
      <w:r>
        <w:t xml:space="preserve">problem identified → method adopted → achievement → limitation → significance</w:t>
      </w:r>
      <w:r>
        <w:t xml:space="preserve">”</w:t>
      </w:r>
      <w:r>
        <w:t xml:space="preserve"> </w:t>
      </w:r>
      <w:r>
        <w:t xml:space="preserve">form, exactly as structured above.</w:t>
      </w:r>
    </w:p>
    <w:p>
      <w:pPr>
        <w:numPr>
          <w:ilvl w:val="0"/>
          <w:numId w:val="1031"/>
        </w:numPr>
        <w:pStyle w:val="Compact"/>
      </w:pPr>
      <w:r>
        <w:t xml:space="preserve">For political events from 1905 onward, build a single timeline and track how Hindu-Muslim constitutional bargaining changed at each stage (Partition of Bengal → Simla Deputation → League founding → Lucknow Pact → Khilafat collapse → Nehru Report → Fourteen Points).</w:t>
      </w:r>
    </w:p>
    <w:p>
      <w:pPr>
        <w:numPr>
          <w:ilvl w:val="0"/>
          <w:numId w:val="1031"/>
        </w:numPr>
        <w:pStyle w:val="Compact"/>
      </w:pPr>
      <w:r>
        <w:t xml:space="preserve">Keep an evidence bank: Aligarh College founding (1875), Partition of Bengal (1905) and its annulment (1911), Simla Deputation and League founding (1906), Lucknow Pact (1916), Khilafat Movement (1919–1924) and abolition of the Caliphate (1924), Nehru Report (1928), Fourteen Points (1929).</w:t>
      </w:r>
    </w:p>
    <w:p>
      <w:pPr>
        <w:numPr>
          <w:ilvl w:val="0"/>
          <w:numId w:val="1031"/>
        </w:numPr>
        <w:pStyle w:val="Compact"/>
      </w:pPr>
      <w:r>
        <w:t xml:space="preserve">Practice one analytical outline answering:</w:t>
      </w:r>
      <w:r>
        <w:t xml:space="preserve"> </w:t>
      </w:r>
      <w:r>
        <w:t xml:space="preserve">“</w:t>
      </w:r>
      <w:r>
        <w:t xml:space="preserve">How did Muslim political demands change between the Simla Deputation (1906) and Jinnah’s Fourteen Points (1929)? Were these demands aimed at safeguards within a united India, or separation from it?</w:t>
      </w:r>
      <w:r>
        <w:t xml:space="preserve">”</w:t>
      </w:r>
    </w:p>
    <w:p>
      <w:pPr>
        <w:pStyle w:val="FirstParagraph"/>
      </w:pPr>
      <w:r>
        <w:rPr>
          <w:bCs/>
          <w:b/>
        </w:rPr>
        <w:t xml:space="preserve">Common Confusions to Avoid</w:t>
      </w:r>
    </w:p>
    <w:p>
      <w:pPr>
        <w:numPr>
          <w:ilvl w:val="0"/>
          <w:numId w:val="1032"/>
        </w:numPr>
        <w:pStyle w:val="Compact"/>
      </w:pPr>
      <w:r>
        <w:t xml:space="preserve">Do not treat Shah Waliullah, Syed Ahmad Shaheed, Sir Syed and Jinnah as if they were pursuing the same political programme; they lived in different eras and pursued different, context-specific methods and goals.</w:t>
      </w:r>
    </w:p>
    <w:p>
      <w:pPr>
        <w:numPr>
          <w:ilvl w:val="0"/>
          <w:numId w:val="1032"/>
        </w:numPr>
        <w:pStyle w:val="Compact"/>
      </w:pPr>
      <w:r>
        <w:t xml:space="preserve">Do not reduce the Aligarh Movement to the founding of one college; it involved an entire network of educational, literary, and social reform initiatives.</w:t>
      </w:r>
    </w:p>
    <w:p>
      <w:pPr>
        <w:numPr>
          <w:ilvl w:val="0"/>
          <w:numId w:val="1032"/>
        </w:numPr>
        <w:pStyle w:val="Compact"/>
      </w:pPr>
      <w:r>
        <w:t xml:space="preserve">Do not present the Lucknow Pact as evidence of permanent Hindu-Muslim political unity; it was a specific, negotiated agreement between two organisations’ leaderships that did not prevent later, serious disagreement.</w:t>
      </w:r>
    </w:p>
    <w:p>
      <w:pPr>
        <w:numPr>
          <w:ilvl w:val="0"/>
          <w:numId w:val="1032"/>
        </w:numPr>
        <w:pStyle w:val="Compact"/>
      </w:pPr>
      <w:r>
        <w:t xml:space="preserve">Do not read the Fourteen Points as an early demand for Pakistan; as of 1929, the explicit goal remained safeguards within a united, federal India.</w:t>
      </w:r>
    </w:p>
    <w:p>
      <w:pPr>
        <w:pStyle w:val="FirstParagraph"/>
      </w:pPr>
      <w:r>
        <w:rPr>
          <w:bCs/>
          <w:b/>
        </w:rPr>
        <w:t xml:space="preserve">Easy Revision Points</w:t>
      </w:r>
    </w:p>
    <w:p>
      <w:pPr>
        <w:numPr>
          <w:ilvl w:val="0"/>
          <w:numId w:val="1033"/>
        </w:numPr>
        <w:pStyle w:val="Compact"/>
      </w:pPr>
      <w:r>
        <w:t xml:space="preserve">Sir Syed Ahmad Khan promoted modern education and founded the Muhammadan Anglo-Oriental College at Aligarh in 1875; it later became Aligarh Muslim University.</w:t>
      </w:r>
    </w:p>
    <w:p>
      <w:pPr>
        <w:numPr>
          <w:ilvl w:val="0"/>
          <w:numId w:val="1033"/>
        </w:numPr>
        <w:pStyle w:val="Compact"/>
      </w:pPr>
      <w:r>
        <w:t xml:space="preserve">The Partition of Bengal took effect in 1905 and was annulled in 1911.</w:t>
      </w:r>
    </w:p>
    <w:p>
      <w:pPr>
        <w:numPr>
          <w:ilvl w:val="0"/>
          <w:numId w:val="1033"/>
        </w:numPr>
        <w:pStyle w:val="Compact"/>
      </w:pPr>
      <w:r>
        <w:t xml:space="preserve">The Simla Deputation met Viceroy Lord Minto in 1906; the All-India Muslim League was founded later that year at Dacca.</w:t>
      </w:r>
    </w:p>
    <w:p>
      <w:pPr>
        <w:numPr>
          <w:ilvl w:val="0"/>
          <w:numId w:val="1033"/>
        </w:numPr>
        <w:pStyle w:val="Compact"/>
      </w:pPr>
      <w:r>
        <w:t xml:space="preserve">The Lucknow Pact of 1916 represented an important Congress–League agreement on constitutional demands, including Congress’s acceptance of separate electorates.</w:t>
      </w:r>
    </w:p>
    <w:p>
      <w:pPr>
        <w:numPr>
          <w:ilvl w:val="0"/>
          <w:numId w:val="1033"/>
        </w:numPr>
        <w:pStyle w:val="Compact"/>
      </w:pPr>
      <w:r>
        <w:t xml:space="preserve">The Khilafat Movement became a major mass movement after the First World War, temporarily overlapped with Congress’s Non-Cooperation Movement, and collapsed after Atatürk abolished the Caliphate in 1924.</w:t>
      </w:r>
    </w:p>
    <w:p>
      <w:pPr>
        <w:numPr>
          <w:ilvl w:val="0"/>
          <w:numId w:val="1033"/>
        </w:numPr>
        <w:pStyle w:val="Compact"/>
      </w:pPr>
      <w:r>
        <w:t xml:space="preserve">The Nehru Report appeared in 1928; Jinnah’s Fourteen Points of 1929 responded with a restated set of federal, provincial-autonomy and representation demands still framed within a united India.</w:t>
      </w:r>
    </w:p>
    <w:bookmarkEnd w:id="73"/>
    <w:bookmarkStart w:id="74" w:name="key-takeaways-3"/>
    <w:p>
      <w:pPr>
        <w:pStyle w:val="Heading2"/>
      </w:pPr>
      <w:r>
        <w:t xml:space="preserve">Key Takeaways</w:t>
      </w:r>
    </w:p>
    <w:p>
      <w:pPr>
        <w:numPr>
          <w:ilvl w:val="0"/>
          <w:numId w:val="1034"/>
        </w:numPr>
        <w:pStyle w:val="Compact"/>
      </w:pPr>
      <w:r>
        <w:t xml:space="preserve">This topic is best understood as an evolution of method and goal — religious-intellectual reform (Shah Waliullah), religious-military resistance (Syed Ahmad Shaheed), educational-political reconciliation (Sir Syed), and finally organised constitutional bargaining (the Muslim League, culminating in the Fourteen Points) — not as a single, unchanging Muslim political programme.</w:t>
      </w:r>
    </w:p>
    <w:p>
      <w:pPr>
        <w:numPr>
          <w:ilvl w:val="0"/>
          <w:numId w:val="1034"/>
        </w:numPr>
        <w:pStyle w:val="Compact"/>
      </w:pPr>
      <w:r>
        <w:t xml:space="preserve">The idea that simple majority rule could structurally disadvantage a minority community, first clearly articulated by Sir Syed in opposing Muslim participation in Congress, recurs throughout the rest of this topic and becomes the central justification for every subsequent Muslim safeguard demand, from separate electorates to the Fourteen Points.</w:t>
      </w:r>
    </w:p>
    <w:p>
      <w:pPr>
        <w:numPr>
          <w:ilvl w:val="0"/>
          <w:numId w:val="1034"/>
        </w:numPr>
        <w:pStyle w:val="Compact"/>
      </w:pPr>
      <w:r>
        <w:t xml:space="preserve">The Lucknow Pact and the Khilafat Movement both demonstrate that substantial Hindu-Muslim political cooperation was achievable at specific moments — and that such cooperation could also collapse quickly when its specific basis (a negotiated pact, a shared external cause) disappeared.</w:t>
      </w:r>
    </w:p>
    <w:p>
      <w:pPr>
        <w:numPr>
          <w:ilvl w:val="0"/>
          <w:numId w:val="1034"/>
        </w:numPr>
        <w:pStyle w:val="Compact"/>
      </w:pPr>
      <w:r>
        <w:t xml:space="preserve">As of Jinnah’s Fourteen Points (1929), Muslim political demands were still framed as safeguards within a united, federal India, not as a demand for a separate state — a crucial baseline for correctly explaining the further shift covered in Topic 5.</w:t>
      </w:r>
    </w:p>
    <w:p>
      <w:pPr>
        <w:numPr>
          <w:ilvl w:val="0"/>
          <w:numId w:val="1034"/>
        </w:numPr>
        <w:pStyle w:val="Compact"/>
      </w:pPr>
      <w:r>
        <w:t xml:space="preserve">Historians, notably Ayesha Jalal, debate how far Jinnah’s later Pakistan demand represented a fixed goal versus a negotiating strategy — a genuinely open historiographical question rather than a settled fact, and awareness of this debate strengthens any answer connecting this topic to the next.</w:t>
      </w:r>
    </w:p>
    <w:bookmarkEnd w:id="74"/>
    <w:bookmarkEnd w:id="75"/>
    <w:bookmarkStart w:id="90" w:name="pakistan-movement"/>
    <w:p>
      <w:pPr>
        <w:pStyle w:val="Heading1"/>
        <w:pageBreakBefore/>
      </w:pPr>
      <w:r>
        <w:t xml:space="preserve">5. Pakistan Movement</w:t>
      </w:r>
    </w:p>
    <w:bookmarkStart w:id="76" w:name="why-this-topic-matters-4"/>
    <w:p>
      <w:pPr>
        <w:pStyle w:val="Heading2"/>
      </w:pPr>
      <w:r>
        <w:t xml:space="preserve">Why This Topic Matters</w:t>
      </w:r>
    </w:p>
    <w:p>
      <w:pPr>
        <w:pStyle w:val="FirstParagraph"/>
      </w:pPr>
      <w:r>
        <w:t xml:space="preserve">This is the hinge topic of the entire syllabus: it explains how a demand for constitutional safeguards within a united India (where Topic 4 left off, with the 1929 Fourteen Points) became, within roughly a decade, the demand for a separate sovereign state, and how that demand was actually achieved through a specific, contingent sequence of failed negotiations between 1940 and 1947. The most valuable habit for this topic is treating each mission or plan as a negotiation with three distinct parties — the Muslim League, the Congress, and the British — each with its own objective, and asking why each attempt at compromise specifically failed, rather than treating partition as an outcome that was somehow always going to happen.</w:t>
      </w:r>
    </w:p>
    <w:bookmarkEnd w:id="76"/>
    <w:bookmarkStart w:id="77" w:name="Xd75946ab385b0e07f72cceaada1714abc9284cf"/>
    <w:p>
      <w:pPr>
        <w:pStyle w:val="Heading2"/>
      </w:pPr>
      <w:r>
        <w:t xml:space="preserve">Background: From Safeguards to a New Demand</w:t>
      </w:r>
    </w:p>
    <w:p>
      <w:pPr>
        <w:pStyle w:val="FirstParagraph"/>
      </w:pPr>
      <w:r>
        <w:t xml:space="preserve">By the early 1930s, several developments had made the</w:t>
      </w:r>
      <w:r>
        <w:t xml:space="preserve"> </w:t>
      </w:r>
      <w:r>
        <w:t xml:space="preserve">“</w:t>
      </w:r>
      <w:r>
        <w:t xml:space="preserve">safeguards within a united India</w:t>
      </w:r>
      <w:r>
        <w:t xml:space="preserve">”</w:t>
      </w:r>
      <w:r>
        <w:t xml:space="preserve"> </w:t>
      </w:r>
      <w:r>
        <w:t xml:space="preserve">position (Topic 4) look increasingly fragile to a growing section of Muslim political opinion: the failure of the Nehru Report to satisfy Muslim demands, continuing communal tension following the Khilafat Movement’s collapse, and, most importantly, growing anxiety about what majority rule would actually mean in practice once real provincial self-government arrived under a future constitutional settlement. It is against this backdrop that Muhammad Iqbal, the philosopher-poet whose intellectual stature within Muslim political thought was second only to Jinnah’s political leadership, delivered his historically pivotal address at the annual Muslim League session at Allahabad.</w:t>
      </w:r>
    </w:p>
    <w:bookmarkEnd w:id="77"/>
    <w:bookmarkStart w:id="78" w:name="iqbals-allahabad-address-1930"/>
    <w:p>
      <w:pPr>
        <w:pStyle w:val="Heading2"/>
      </w:pPr>
      <w:r>
        <w:t xml:space="preserve">Iqbal’s Allahabad Address (1930)</w:t>
      </w:r>
    </w:p>
    <w:p>
      <w:pPr>
        <w:pStyle w:val="FirstParagraph"/>
      </w:pPr>
      <w:r>
        <w:t xml:space="preserve">In his presidential address to the Muslim League session at Allahabad in December 1930, Iqbal argued for the consolidation of Punjab, the North-West Frontier Province, Sindh and Balochistan into a single, self-governing unit within the British Empire (or possibly, he suggested, outside it), as what he considered the</w:t>
      </w:r>
      <w:r>
        <w:t xml:space="preserve"> </w:t>
      </w:r>
      <w:r>
        <w:t xml:space="preserve">“</w:t>
      </w:r>
      <w:r>
        <w:t xml:space="preserve">final destiny</w:t>
      </w:r>
      <w:r>
        <w:t xml:space="preserve">”</w:t>
      </w:r>
      <w:r>
        <w:t xml:space="preserve"> </w:t>
      </w:r>
      <w:r>
        <w:t xml:space="preserve">of Muslims at least in north-western India. This is a genuinely important and easily misread text. Iqbal did not use the word</w:t>
      </w:r>
      <w:r>
        <w:t xml:space="preserve"> </w:t>
      </w:r>
      <w:r>
        <w:t xml:space="preserve">“</w:t>
      </w:r>
      <w:r>
        <w:t xml:space="preserve">Pakistan</w:t>
      </w:r>
      <w:r>
        <w:t xml:space="preserve">”</w:t>
      </w:r>
      <w:r>
        <w:t xml:space="preserve"> </w:t>
      </w:r>
      <w:r>
        <w:t xml:space="preserve">(which entered political usage only later, from around 1933, associated initially with a pamphlet by Choudhary Rahmat Ali proposing the name as an acronym), and he was addressing the specific constitutional debate of 1930 — anticipating what form of self-government north-western Muslim-majority India should have within the wider constitutional settlement then under discussion at the Round Table Conferences, not issuing a fully worked-out blueprint for a sovereign nation-state as it eventually emerged in 1947. Reading the address in its own 1930 constitutional context, rather than reducing it to a simple, modern-sounding one-line slogan about</w:t>
      </w:r>
      <w:r>
        <w:t xml:space="preserve"> </w:t>
      </w:r>
      <w:r>
        <w:t xml:space="preserve">“</w:t>
      </w:r>
      <w:r>
        <w:t xml:space="preserve">the idea of Pakistan,</w:t>
      </w:r>
      <w:r>
        <w:t xml:space="preserve">”</w:t>
      </w:r>
      <w:r>
        <w:t xml:space="preserve"> </w:t>
      </w:r>
      <w:r>
        <w:t xml:space="preserve">is essential for an accurate answer.</w:t>
      </w:r>
    </w:p>
    <w:bookmarkEnd w:id="78"/>
    <w:bookmarkStart w:id="79" w:name="the-round-table-conferences-19301932"/>
    <w:p>
      <w:pPr>
        <w:pStyle w:val="Heading2"/>
      </w:pPr>
      <w:r>
        <w:t xml:space="preserve">The Round Table Conferences (1930–1932)</w:t>
      </w:r>
    </w:p>
    <w:p>
      <w:pPr>
        <w:pStyle w:val="FirstParagraph"/>
      </w:pPr>
      <w:r>
        <w:t xml:space="preserve">Three Round Table Conferences were held in London between 1930 and 1932, bringing together British officials and representatives of various Indian political and communal interests (Congress notably boycotted the first conference, participating only in the second, represented by Gandhi following the Gandhi-Irwin Pact of 1931 which had temporarily suspended the Civil Disobedience Movement) to negotiate the shape of the next constitutional reform. The conferences exposed, rather than resolved, deep disagreement over the fundamental shape of any future federal structure, over minority representation (leading eventually to the Communal Award discussed in Topic 3), and over the pace and extent of self-government — disagreement significant enough that the resulting Government of India Act 1935 (Topic 3) ultimately abandoned the fully worked federal scheme these conferences had debated, retaining only the provincial-autonomy provisions.</w:t>
      </w:r>
    </w:p>
    <w:bookmarkEnd w:id="79"/>
    <w:bookmarkStart w:id="80" w:name="X9c6ff8afbf16e1b7410615308700c3422734d00"/>
    <w:p>
      <w:pPr>
        <w:pStyle w:val="Heading2"/>
      </w:pPr>
      <w:r>
        <w:t xml:space="preserve">The 1935 Act, the 1937 Elections, and Congress Ministries</w:t>
      </w:r>
    </w:p>
    <w:p>
      <w:pPr>
        <w:pStyle w:val="FirstParagraph"/>
      </w:pPr>
      <w:r>
        <w:t xml:space="preserve">Provincial elections held in 1937 under the newly implemented provincial-autonomy provisions of the 1935 Act produced a result of major long-term significance: the Indian National Congress won outright majorities or formed governments in a majority of provinces, while the Muslim League performed relatively poorly even in several Muslim-majority provinces, where regional Muslim parties (such as the Unionist Party in Punjab) often outperformed the League. The two-year period of Congress provincial government (1937–1939) that followed became</w:t>
      </w:r>
      <w:r>
        <w:t xml:space="preserve"> </w:t>
      </w:r>
      <w:r>
        <w:rPr>
          <w:bCs/>
          <w:b/>
        </w:rPr>
        <w:t xml:space="preserve">critically important to Muslim League politics</w:t>
      </w:r>
      <w:r>
        <w:t xml:space="preserve">, not primarily because of any single policy, but because League leaders — and Jinnah in particular — argued that Congress ministries’ conduct (in matters such as the treatment of Urdu, the observance of Congress symbols and songs in schools, and what League propaganda characterised as insensitivity to Muslim religious and cultural concerns) demonstrated exactly the danger Sir Syed had warned of decades earlier: that Muslim interests would not be adequately protected under governments elected by, and primarily accountable to, a Hindu-majority electorate. Whether or not every specific complaint about the Congress ministries’ record was fully justified (historians differ on this point), the political effect was decisive: the League used this record extensively in a mass campaign to reposition itself, over the following years, as the sole authentic representative of Indian Muslims — directly setting up its later claim, from 1940 onward, to be the exclusive voice of Muslim political opinion.</w:t>
      </w:r>
    </w:p>
    <w:p>
      <w:pPr>
        <w:pStyle w:val="BodyText"/>
      </w:pPr>
      <w:r>
        <w:t xml:space="preserve">Congress provincial ministries resigned in 1939 in protest at the Viceroy’s decision to declare India at war (as part of the British Empire) without any prior consultation of Indian political opinion — itself a further illustration of the underlying constitutional problem this whole topic addresses: how much genuine self-government had provincial autonomy actually delivered, if the empire’s most consequential decision (war) could still be made in London without Indian political consultation?</w:t>
      </w:r>
    </w:p>
    <w:bookmarkEnd w:id="80"/>
    <w:bookmarkStart w:id="81" w:name="the-lahore-resolution-1940"/>
    <w:p>
      <w:pPr>
        <w:pStyle w:val="Heading2"/>
      </w:pPr>
      <w:r>
        <w:t xml:space="preserve">The Lahore Resolution (1940)</w:t>
      </w:r>
    </w:p>
    <w:p>
      <w:pPr>
        <w:pStyle w:val="FirstParagraph"/>
      </w:pPr>
      <w:r>
        <w:t xml:space="preserve">At its annual session in Lahore in March 1940, the Muslim League adopted what became known as the</w:t>
      </w:r>
      <w:r>
        <w:t xml:space="preserve"> </w:t>
      </w:r>
      <w:r>
        <w:rPr>
          <w:bCs/>
          <w:b/>
        </w:rPr>
        <w:t xml:space="preserve">Lahore Resolution</w:t>
      </w:r>
      <w:r>
        <w:t xml:space="preserve"> </w:t>
      </w:r>
      <w:r>
        <w:t xml:space="preserve">(sometimes later called, especially by opponents, the</w:t>
      </w:r>
      <w:r>
        <w:t xml:space="preserve"> </w:t>
      </w:r>
      <w:r>
        <w:t xml:space="preserve">“</w:t>
      </w:r>
      <w:r>
        <w:t xml:space="preserve">Pakistan Resolution,</w:t>
      </w:r>
      <w:r>
        <w:t xml:space="preserve">”</w:t>
      </w:r>
      <w:r>
        <w:t xml:space="preserve"> </w:t>
      </w:r>
      <w:r>
        <w:t xml:space="preserve">though that specific word does not appear in the resolution’s original text). The resolution demanded that geographically contiguous units in which Muslims were numerically in a majority — specifically identifying the north-western and eastern zones of British India — should be grouped to constitute</w:t>
      </w:r>
      <w:r>
        <w:t xml:space="preserve"> </w:t>
      </w:r>
      <w:r>
        <w:rPr>
          <w:bCs/>
          <w:b/>
        </w:rPr>
        <w:t xml:space="preserve">“</w:t>
      </w:r>
      <w:r>
        <w:rPr>
          <w:bCs/>
          <w:b/>
        </w:rPr>
        <w:t xml:space="preserve">independent States</w:t>
      </w:r>
      <w:r>
        <w:rPr>
          <w:bCs/>
          <w:b/>
        </w:rPr>
        <w:t xml:space="preserve">”</w:t>
      </w:r>
      <w:r>
        <w:t xml:space="preserve"> </w:t>
      </w:r>
      <w:r>
        <w:t xml:space="preserve">in which the constituent units would be autonomous and sovereign. This is a genuinely decisive turning point: for the first time, official Muslim League policy moved beyond safeguards within a united constitutional framework toward the explicit demand for separate, sovereign political units.</w:t>
      </w:r>
    </w:p>
    <w:p>
      <w:pPr>
        <w:pStyle w:val="BodyText"/>
      </w:pPr>
      <w:r>
        <w:t xml:space="preserve">Two points deserve careful attention here, since they are frequently tested and frequently misunderstood. First, the original resolution’s wording refers to</w:t>
      </w:r>
      <w:r>
        <w:t xml:space="preserve"> </w:t>
      </w:r>
      <w:r>
        <w:t xml:space="preserve">“</w:t>
      </w:r>
      <w:r>
        <w:t xml:space="preserve">States</w:t>
      </w:r>
      <w:r>
        <w:t xml:space="preserve">”</w:t>
      </w:r>
      <w:r>
        <w:t xml:space="preserve"> </w:t>
      </w:r>
      <w:r>
        <w:t xml:space="preserve">in the plural, and later League interpretation and propaganda increasingly read this as pointing toward a single unified state called Pakistan, even though the exact relationship between the eastern and western Muslim-majority zones was left genuinely ambiguous in 1940 (an ambiguity that would resurface, with catastrophic consequences, in the geographic separation underlying the 1971 crisis covered in Topic 8). Second, as the historiographical debate discussed at the end of Topic 4 emphasises, adopting this resolution as formal League policy is not the same as Jinnah having irrevocably committed, from 1940 onward, to accepting nothing less than full sovereign partition — subsequent negotiations through 1946 show the League still willing, under the right conditions, to consider a looser federal arrangement for a united India, a point developed further below.</w:t>
      </w:r>
    </w:p>
    <w:bookmarkEnd w:id="81"/>
    <w:bookmarkStart w:id="82" w:name="X42c320492cb9e8ad1f53e05b9973dedd084d7b2"/>
    <w:p>
      <w:pPr>
        <w:pStyle w:val="Heading2"/>
      </w:pPr>
      <w:r>
        <w:t xml:space="preserve">Wartime Negotiations: Cripps Mission, Quit India, and the Simla Conference</w:t>
      </w:r>
    </w:p>
    <w:p>
      <w:pPr>
        <w:pStyle w:val="FirstParagraph"/>
      </w:pPr>
      <w:r>
        <w:rPr>
          <w:bCs/>
          <w:b/>
        </w:rPr>
        <w:t xml:space="preserve">The Cripps Mission (1942).</w:t>
      </w:r>
      <w:r>
        <w:t xml:space="preserve"> </w:t>
      </w:r>
      <w:r>
        <w:t xml:space="preserve">With Japanese forces advancing toward India’s eastern borders during the Second World War, the British government sent Sir Stafford Cripps to offer a proposal for full dominion status after the war, together with a provision allowing any province to opt out of the proposed Indian union — a provision widely read as an implicit acknowledgment of the possibility of Pakistan, since it would have allowed Muslim-majority provinces to remain separate if they chose. The mission failed: Congress rejected the proposal chiefly because it offered no immediate transfer of power during the war itself, and the League regarded the proposed opt-out mechanism as insufficiently clear and guaranteed. Gandhi is reported to have described the offer as</w:t>
      </w:r>
      <w:r>
        <w:t xml:space="preserve"> </w:t>
      </w:r>
      <w:r>
        <w:t xml:space="preserve">“</w:t>
      </w:r>
      <w:r>
        <w:t xml:space="preserve">a post-dated cheque on a crashing bank</w:t>
      </w:r>
      <w:r>
        <w:t xml:space="preserve">”</w:t>
      </w:r>
      <w:r>
        <w:t xml:space="preserve"> </w:t>
      </w:r>
      <w:r>
        <w:t xml:space="preserve">— a memorable phrase capturing Congress’s core objection that the promise, however framed, was deferred beyond the point of practical trust.</w:t>
      </w:r>
    </w:p>
    <w:p>
      <w:pPr>
        <w:pStyle w:val="BodyText"/>
      </w:pPr>
      <w:r>
        <w:rPr>
          <w:bCs/>
          <w:b/>
        </w:rPr>
        <w:t xml:space="preserve">Quit India (1942) and the Simla Conference (1945).</w:t>
      </w:r>
      <w:r>
        <w:t xml:space="preserve"> </w:t>
      </w:r>
      <w:r>
        <w:t xml:space="preserve">Congress’s subsequent Quit India Movement (already introduced in Topic 3) led to the mass arrest of virtually the entire Congress leadership for the remainder of the war, while the Muslim League, having largely stayed out of the movement, was able to consolidate and expand its own organisational strength relatively unimpeded during this period — an important, often overlooked factor in explaining the League’s markedly stronger electoral position by 1945–46 compared with 1937. As the war drew to a close, Viceroy Lord Wavell convened the</w:t>
      </w:r>
      <w:r>
        <w:t xml:space="preserve"> </w:t>
      </w:r>
      <w:r>
        <w:rPr>
          <w:bCs/>
          <w:b/>
        </w:rPr>
        <w:t xml:space="preserve">Simla Conference</w:t>
      </w:r>
      <w:r>
        <w:t xml:space="preserve"> </w:t>
      </w:r>
      <w:r>
        <w:t xml:space="preserve">in 1945, attempting to form a new, more representative interim central executive council with Indian members. The conference broke down primarily over Jinnah’s insistence that the Muslim League alone should have the exclusive right to nominate all Muslim members of the council — a claim Congress, which itself included Muslim members and rejected any single party’s exclusive claim to represent an entire religious community, refused to accept.</w:t>
      </w:r>
    </w:p>
    <w:bookmarkEnd w:id="82"/>
    <w:bookmarkStart w:id="83" w:name="X177bec0e6b21b5be31d9a0ef2061cdccf5c6960"/>
    <w:p>
      <w:pPr>
        <w:pStyle w:val="Heading2"/>
      </w:pPr>
      <w:r>
        <w:t xml:space="preserve">The 1945–46 Elections and the Cabinet Mission Plan</w:t>
      </w:r>
    </w:p>
    <w:p>
      <w:pPr>
        <w:pStyle w:val="FirstParagraph"/>
      </w:pPr>
      <w:r>
        <w:rPr>
          <w:bCs/>
          <w:b/>
        </w:rPr>
        <w:t xml:space="preserve">Elections.</w:t>
      </w:r>
      <w:r>
        <w:t xml:space="preserve"> </w:t>
      </w:r>
      <w:r>
        <w:t xml:space="preserve">Provincial and central elections held in the winter of 1945–46 produced a result confirming the shift in Muslim political opinion since 1937: the Muslim League won an overwhelming majority of Muslim seats (though the precise translation of seats won into a claim to represent</w:t>
      </w:r>
      <w:r>
        <w:t xml:space="preserve"> </w:t>
      </w:r>
      <w:r>
        <w:t xml:space="preserve">“</w:t>
      </w:r>
      <w:r>
        <w:t xml:space="preserve">all</w:t>
      </w:r>
      <w:r>
        <w:t xml:space="preserve">”</w:t>
      </w:r>
      <w:r>
        <w:t xml:space="preserve"> </w:t>
      </w:r>
      <w:r>
        <w:t xml:space="preserve">Indian Muslims remains, again, a matter some historians treat more critically than others), substantially strengthening Jinnah’s claim to be the authoritative voice of Indian Muslim political opinion in subsequent negotiations.</w:t>
      </w:r>
    </w:p>
    <w:p>
      <w:pPr>
        <w:pStyle w:val="BodyText"/>
      </w:pPr>
      <w:r>
        <w:rPr>
          <w:bCs/>
          <w:b/>
        </w:rPr>
        <w:t xml:space="preserve">The Cabinet Mission Plan (1946).</w:t>
      </w:r>
      <w:r>
        <w:t xml:space="preserve"> </w:t>
      </w:r>
      <w:r>
        <w:t xml:space="preserve">A British Cabinet delegation — the Cabinet Mission — arrived in 1946 with what many historians regard as the most serious and carefully constructed final attempt to preserve a united India while still addressing Muslim safeguard concerns. The plan proposed a three-tier structure: a weak central union government controlling only defence, foreign affairs and communications; provinces grouped into three sections (one predominantly Hindu-majority, and two predominantly Muslim-majority, covering the north-west and the Bengal-Assam region respectively) with the power to determine their own group-level constitutions; and a right for any province, after an initial period, to reconsider its position. Crucially, the plan proposed</w:t>
      </w:r>
      <w:r>
        <w:t xml:space="preserve"> </w:t>
      </w:r>
      <w:r>
        <w:rPr>
          <w:bCs/>
          <w:b/>
        </w:rPr>
        <w:t xml:space="preserve">no partition</w:t>
      </w:r>
      <w:r>
        <w:t xml:space="preserve"> </w:t>
      </w:r>
      <w:r>
        <w:t xml:space="preserve">of India — it sought to secure Muslim safeguards through provincial grouping and a weak centre rather than through separate sovereignty.</w:t>
      </w:r>
    </w:p>
    <w:p>
      <w:pPr>
        <w:pStyle w:val="BodyText"/>
      </w:pPr>
      <w:r>
        <w:t xml:space="preserve">Both the League and Congress initially accepted the plan, but the agreement collapsed over a fundamental interpretive disagreement: Congress interpreted the provincial grouping provisions as optional for individual provinces (meaning a province could decline to join its assigned group), while the League interpreted the grouping as compulsory (an interpretation more consistent with the safeguards the League sought). When Congress leader Jawaharlal Nehru publicly stated, in July 1946, that Congress would enter the interim central government free to modify the plan’s provisions in the future through the constituent assembly process, the League concluded that Congress was not honouring the plan in the spirit intended and withdrew its own acceptance. The historian Ayesha Jalal’s argument (introduced in Topic 4) is particularly relevant here: she reads the Cabinet Mission Plan’s collapse as the specific moment at which Jinnah’s long-standing strategy of using the Pakistan demand as leverage for a strong, autonomous Muslim position within a loosely federated united India finally and irreversibly failed, making outright partition — which the League had previously used mainly as a negotiating threat rather than a fixed objective — the only remaining live option.</w:t>
      </w:r>
    </w:p>
    <w:p>
      <w:pPr>
        <w:pStyle w:val="BodyText"/>
      </w:pPr>
      <w:r>
        <w:rPr>
          <w:bCs/>
          <w:b/>
        </w:rPr>
        <w:t xml:space="preserve">Direct Action Day (August 1946).</w:t>
      </w:r>
      <w:r>
        <w:t xml:space="preserve"> </w:t>
      </w:r>
      <w:r>
        <w:t xml:space="preserve">Following the collapse of the Cabinet Mission negotiations, the Muslim League called for a</w:t>
      </w:r>
      <w:r>
        <w:t xml:space="preserve"> </w:t>
      </w:r>
      <w:r>
        <w:t xml:space="preserve">“</w:t>
      </w:r>
      <w:r>
        <w:t xml:space="preserve">Direct Action Day</w:t>
      </w:r>
      <w:r>
        <w:t xml:space="preserve">”</w:t>
      </w:r>
      <w:r>
        <w:t xml:space="preserve"> </w:t>
      </w:r>
      <w:r>
        <w:t xml:space="preserve">on 16 August 1946 to press its demand for Pakistan, which triggered severe communal violence in Calcutta (often called the</w:t>
      </w:r>
      <w:r>
        <w:t xml:space="preserve"> </w:t>
      </w:r>
      <w:r>
        <w:t xml:space="preserve">“</w:t>
      </w:r>
      <w:r>
        <w:t xml:space="preserve">Great Calcutta Killings</w:t>
      </w:r>
      <w:r>
        <w:t xml:space="preserve">”</w:t>
      </w:r>
      <w:r>
        <w:t xml:space="preserve">) and subsequently spread to other regions including Bihar and, later, Punjab. This violence marked a serious deterioration from constitutional negotiation toward large-scale communal conflict, and it forms an essential part of the context for understanding why the final transfer of power, discussed next, was accelerated and handled with what many historians regard as insufficient preparation for the human consequences involved.</w:t>
      </w:r>
    </w:p>
    <w:bookmarkEnd w:id="83"/>
    <w:bookmarkStart w:id="84" w:name="X771f342ca245b1acf27b8535048ec7c5b3e64ac"/>
    <w:p>
      <w:pPr>
        <w:pStyle w:val="Heading2"/>
      </w:pPr>
      <w:r>
        <w:t xml:space="preserve">Breakdown and the 3 June Plan: Partition and Independence</w:t>
      </w:r>
    </w:p>
    <w:p>
      <w:pPr>
        <w:pStyle w:val="FirstParagraph"/>
      </w:pPr>
      <w:r>
        <w:t xml:space="preserve">By early 1947, several forces converged to make partition, previously one option among several, the only remaining practical path to a transfer of power: continuing and escalating communal violence, mounting British domestic and financial pressure to end the increasingly costly and difficult commitment in India, the appointment of Lord Mountbatten as the final Viceroy with an explicit mandate to arrange a transfer of power by June 1948 (a deadline he subsequently, controversially, moved forward), and the accumulated failure of every previous formula for a united, federally safeguarded India.</w:t>
      </w:r>
    </w:p>
    <w:p>
      <w:pPr>
        <w:pStyle w:val="BodyText"/>
      </w:pPr>
      <w:r>
        <w:t xml:space="preserve">Mountbatten’s</w:t>
      </w:r>
      <w:r>
        <w:t xml:space="preserve"> </w:t>
      </w:r>
      <w:r>
        <w:rPr>
          <w:bCs/>
          <w:b/>
        </w:rPr>
        <w:t xml:space="preserve">3 June Plan</w:t>
      </w:r>
      <w:r>
        <w:t xml:space="preserve"> </w:t>
      </w:r>
      <w:r>
        <w:t xml:space="preserve">(1947) proposed partitioning British India into two independent dominions, India and Pakistan, with the two Muslim-majority provinces of Punjab and Bengal themselves to be partitioned (rather than transferred whole to Pakistan), since each contained substantial non-Muslim-majority districts. Boundary Commissions, chaired by the British judge Sir Cyril Radcliffe, were tasked with drawing the actual dividing lines within an extremely compressed timeframe of only a few weeks, working from data on population, religion and other factors that were, in several contested areas, genuinely close and difficult to adjudicate fairly within the time allowed. The</w:t>
      </w:r>
      <w:r>
        <w:t xml:space="preserve"> </w:t>
      </w:r>
      <w:r>
        <w:rPr>
          <w:bCs/>
          <w:b/>
        </w:rPr>
        <w:t xml:space="preserve">Indian Independence Act 1947</w:t>
      </w:r>
      <w:r>
        <w:t xml:space="preserve">, passed by the British Parliament, gave legal effect to this plan, and Pakistan and India became independent dominions on</w:t>
      </w:r>
      <w:r>
        <w:t xml:space="preserve"> </w:t>
      </w:r>
      <w:r>
        <w:rPr>
          <w:bCs/>
          <w:b/>
        </w:rPr>
        <w:t xml:space="preserve">14 and 15 August 1947</w:t>
      </w:r>
      <w:r>
        <w:t xml:space="preserve"> </w:t>
      </w:r>
      <w:r>
        <w:t xml:space="preserve">respectively.</w:t>
      </w:r>
    </w:p>
    <w:p>
      <w:pPr>
        <w:pStyle w:val="BodyText"/>
      </w:pPr>
      <w:r>
        <w:t xml:space="preserve">The human consequences of the resulting partition of Punjab and Bengal were catastrophic and should not be treated as a mere administrative footnote to the constitutional narrative: an estimated ten to fifteen million people were displaced across the new borders in one of the largest mass migrations in human history, and communal violence during this migration killed what most careful historical estimates place at several hundred thousand to over a million people (precise figures remain genuinely disputed and are unlikely ever to be settled with certainty, given the chaos of the period and the absence of any single reliable contemporary count). Princely states, whose position had been left constitutionally unresolved by both the Cabinet Mission Plan and the 3 June Plan (since paramountcy over the princely states was to lapse with the transfer of power, leaving each state technically free to accede to either dominion or, in principle, remain independent), became an immediate and urgent problem the moment independence took effect — most acceded relatively smoothly, but a small number of contested cases, most importantly Jammu and Kashmir, produced disputes with consequences extending directly into Topic 10’s account of Pakistan’s foreign policy and security concerns.</w:t>
      </w:r>
    </w:p>
    <w:bookmarkEnd w:id="84"/>
    <w:bookmarkStart w:id="85" w:name="key-terms-and-concepts-4"/>
    <w:p>
      <w:pPr>
        <w:pStyle w:val="Heading2"/>
      </w:pPr>
      <w:r>
        <w:t xml:space="preserve">Key Terms and Concepts</w:t>
      </w:r>
    </w:p>
    <w:p>
      <w:pPr>
        <w:numPr>
          <w:ilvl w:val="0"/>
          <w:numId w:val="1035"/>
        </w:numPr>
        <w:pStyle w:val="Compact"/>
      </w:pPr>
      <w:r>
        <w:rPr>
          <w:bCs/>
          <w:b/>
        </w:rPr>
        <w:t xml:space="preserve">Lahore Resolution (1940):</w:t>
      </w:r>
      <w:r>
        <w:t xml:space="preserve"> </w:t>
      </w:r>
      <w:r>
        <w:t xml:space="preserve">The Muslim League’s formal demand for autonomous, sovereign Muslim-majority</w:t>
      </w:r>
      <w:r>
        <w:t xml:space="preserve"> </w:t>
      </w:r>
      <w:r>
        <w:t xml:space="preserve">“</w:t>
      </w:r>
      <w:r>
        <w:t xml:space="preserve">States,</w:t>
      </w:r>
      <w:r>
        <w:t xml:space="preserve">”</w:t>
      </w:r>
      <w:r>
        <w:t xml:space="preserve"> </w:t>
      </w:r>
      <w:r>
        <w:t xml:space="preserve">conventionally regarded as the founding constitutional moment of the demand that became Pakistan.</w:t>
      </w:r>
    </w:p>
    <w:p>
      <w:pPr>
        <w:numPr>
          <w:ilvl w:val="0"/>
          <w:numId w:val="1035"/>
        </w:numPr>
        <w:pStyle w:val="Compact"/>
      </w:pPr>
      <w:r>
        <w:rPr>
          <w:bCs/>
          <w:b/>
        </w:rPr>
        <w:t xml:space="preserve">Cabinet Mission Plan (1946):</w:t>
      </w:r>
      <w:r>
        <w:t xml:space="preserve"> </w:t>
      </w:r>
      <w:r>
        <w:t xml:space="preserve">The British proposal for a united India with a weak centre and grouped provinces, seeking Muslim safeguards without partition; its collapse over the compulsory-versus-optional grouping dispute is widely regarded as the point of no return.</w:t>
      </w:r>
    </w:p>
    <w:p>
      <w:pPr>
        <w:numPr>
          <w:ilvl w:val="0"/>
          <w:numId w:val="1035"/>
        </w:numPr>
        <w:pStyle w:val="Compact"/>
      </w:pPr>
      <w:r>
        <w:rPr>
          <w:bCs/>
          <w:b/>
        </w:rPr>
        <w:t xml:space="preserve">3 June Plan (1947):</w:t>
      </w:r>
      <w:r>
        <w:t xml:space="preserve"> </w:t>
      </w:r>
      <w:r>
        <w:t xml:space="preserve">Mountbatten’s final plan partitioning British India into the dominions of India and Pakistan, including the partition of Punjab and Bengal themselves.</w:t>
      </w:r>
    </w:p>
    <w:p>
      <w:pPr>
        <w:numPr>
          <w:ilvl w:val="0"/>
          <w:numId w:val="1035"/>
        </w:numPr>
        <w:pStyle w:val="Compact"/>
      </w:pPr>
      <w:r>
        <w:rPr>
          <w:bCs/>
          <w:b/>
        </w:rPr>
        <w:t xml:space="preserve">Radcliffe Line:</w:t>
      </w:r>
      <w:r>
        <w:t xml:space="preserve"> </w:t>
      </w:r>
      <w:r>
        <w:t xml:space="preserve">The boundary drawn by Sir Cyril Radcliffe’s Boundary Commissions dividing Punjab and Bengal between the two new dominions.</w:t>
      </w:r>
    </w:p>
    <w:p>
      <w:pPr>
        <w:numPr>
          <w:ilvl w:val="0"/>
          <w:numId w:val="1035"/>
        </w:numPr>
        <w:pStyle w:val="Compact"/>
      </w:pPr>
      <w:r>
        <w:rPr>
          <w:bCs/>
          <w:b/>
        </w:rPr>
        <w:t xml:space="preserve">Paramountcy (lapse of):</w:t>
      </w:r>
      <w:r>
        <w:t xml:space="preserve"> </w:t>
      </w:r>
      <w:r>
        <w:t xml:space="preserve">The end, on independence, of the British Crown’s overarching authority over princely states, leaving each state to decide its own accession.</w:t>
      </w:r>
    </w:p>
    <w:bookmarkEnd w:id="85"/>
    <w:bookmarkStart w:id="86" w:name="Xc29b84dabf04ef803b46d4eb7d3d46ed18c6280"/>
    <w:p>
      <w:pPr>
        <w:pStyle w:val="Heading2"/>
      </w:pPr>
      <w:r>
        <w:t xml:space="preserve">Comparing the Major Missions and Plans, 1942–1947</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Mission / Plan</w:t>
            </w:r>
          </w:p>
        </w:tc>
        <w:tc>
          <w:tcPr/>
          <w:p>
            <w:pPr>
              <w:pStyle w:val="Compact"/>
              <w:jc w:val="left"/>
            </w:pPr>
            <w:r>
              <w:t xml:space="preserve">Core proposal</w:t>
            </w:r>
          </w:p>
        </w:tc>
        <w:tc>
          <w:tcPr/>
          <w:p>
            <w:pPr>
              <w:pStyle w:val="Compact"/>
              <w:jc w:val="left"/>
            </w:pPr>
            <w:r>
              <w:t xml:space="preserve">League position</w:t>
            </w:r>
          </w:p>
        </w:tc>
        <w:tc>
          <w:tcPr/>
          <w:p>
            <w:pPr>
              <w:pStyle w:val="Compact"/>
              <w:jc w:val="left"/>
            </w:pPr>
            <w:r>
              <w:t xml:space="preserve">Congress position</w:t>
            </w:r>
          </w:p>
        </w:tc>
        <w:tc>
          <w:tcPr/>
          <w:p>
            <w:pPr>
              <w:pStyle w:val="Compact"/>
              <w:jc w:val="left"/>
            </w:pPr>
            <w:r>
              <w:t xml:space="preserve">Outcome</w:t>
            </w:r>
          </w:p>
        </w:tc>
      </w:tr>
      <w:tr>
        <w:tc>
          <w:tcPr/>
          <w:p>
            <w:pPr>
              <w:pStyle w:val="Compact"/>
              <w:jc w:val="left"/>
            </w:pPr>
            <w:r>
              <w:t xml:space="preserve">Cripps Mission (1942)</w:t>
            </w:r>
          </w:p>
        </w:tc>
        <w:tc>
          <w:tcPr/>
          <w:p>
            <w:pPr>
              <w:pStyle w:val="Compact"/>
              <w:jc w:val="left"/>
            </w:pPr>
            <w:r>
              <w:t xml:space="preserve">Dominion status after the war; provincial opt-out</w:t>
            </w:r>
          </w:p>
        </w:tc>
        <w:tc>
          <w:tcPr/>
          <w:p>
            <w:pPr>
              <w:pStyle w:val="Compact"/>
              <w:jc w:val="left"/>
            </w:pPr>
            <w:r>
              <w:t xml:space="preserve">Opt-out mechanism seen as insufficiently guaranteed</w:t>
            </w:r>
          </w:p>
        </w:tc>
        <w:tc>
          <w:tcPr/>
          <w:p>
            <w:pPr>
              <w:pStyle w:val="Compact"/>
              <w:jc w:val="left"/>
            </w:pPr>
            <w:r>
              <w:t xml:space="preserve">Rejected due to no immediate transfer of power during the war</w:t>
            </w:r>
          </w:p>
        </w:tc>
        <w:tc>
          <w:tcPr/>
          <w:p>
            <w:pPr>
              <w:pStyle w:val="Compact"/>
              <w:jc w:val="left"/>
            </w:pPr>
            <w:r>
              <w:t xml:space="preserve">Failed</w:t>
            </w:r>
          </w:p>
        </w:tc>
      </w:tr>
      <w:tr>
        <w:tc>
          <w:tcPr/>
          <w:p>
            <w:pPr>
              <w:pStyle w:val="Compact"/>
              <w:jc w:val="left"/>
            </w:pPr>
            <w:r>
              <w:t xml:space="preserve">Simla Conference (1945)</w:t>
            </w:r>
          </w:p>
        </w:tc>
        <w:tc>
          <w:tcPr/>
          <w:p>
            <w:pPr>
              <w:pStyle w:val="Compact"/>
              <w:jc w:val="left"/>
            </w:pPr>
            <w:r>
              <w:t xml:space="preserve">New representative interim executive council</w:t>
            </w:r>
          </w:p>
        </w:tc>
        <w:tc>
          <w:tcPr/>
          <w:p>
            <w:pPr>
              <w:pStyle w:val="Compact"/>
              <w:jc w:val="left"/>
            </w:pPr>
            <w:r>
              <w:t xml:space="preserve">Insisted on exclusive right to nominate all Muslim members</w:t>
            </w:r>
          </w:p>
        </w:tc>
        <w:tc>
          <w:tcPr/>
          <w:p>
            <w:pPr>
              <w:pStyle w:val="Compact"/>
              <w:jc w:val="left"/>
            </w:pPr>
            <w:r>
              <w:t xml:space="preserve">Rejected exclusive League claim to represent all Muslims</w:t>
            </w:r>
          </w:p>
        </w:tc>
        <w:tc>
          <w:tcPr/>
          <w:p>
            <w:pPr>
              <w:pStyle w:val="Compact"/>
              <w:jc w:val="left"/>
            </w:pPr>
            <w:r>
              <w:t xml:space="preserve">Broke down</w:t>
            </w:r>
          </w:p>
        </w:tc>
      </w:tr>
      <w:tr>
        <w:tc>
          <w:tcPr/>
          <w:p>
            <w:pPr>
              <w:pStyle w:val="Compact"/>
              <w:jc w:val="left"/>
            </w:pPr>
            <w:r>
              <w:t xml:space="preserve">Cabinet Mission Plan (1946)</w:t>
            </w:r>
          </w:p>
        </w:tc>
        <w:tc>
          <w:tcPr/>
          <w:p>
            <w:pPr>
              <w:pStyle w:val="Compact"/>
              <w:jc w:val="left"/>
            </w:pPr>
            <w:r>
              <w:t xml:space="preserve">Weak union centre; provinces grouped into three sections; no partition</w:t>
            </w:r>
          </w:p>
        </w:tc>
        <w:tc>
          <w:tcPr/>
          <w:p>
            <w:pPr>
              <w:pStyle w:val="Compact"/>
              <w:jc w:val="left"/>
            </w:pPr>
            <w:r>
              <w:t xml:space="preserve">Interpreted provincial grouping as compulsory</w:t>
            </w:r>
          </w:p>
        </w:tc>
        <w:tc>
          <w:tcPr/>
          <w:p>
            <w:pPr>
              <w:pStyle w:val="Compact"/>
              <w:jc w:val="left"/>
            </w:pPr>
            <w:r>
              <w:t xml:space="preserve">Interpreted provincial grouping as optional</w:t>
            </w:r>
          </w:p>
        </w:tc>
        <w:tc>
          <w:tcPr/>
          <w:p>
            <w:pPr>
              <w:pStyle w:val="Compact"/>
              <w:jc w:val="left"/>
            </w:pPr>
            <w:r>
              <w:t xml:space="preserve">Collapsed over interpretation; both sides withdrew acceptance</w:t>
            </w:r>
          </w:p>
        </w:tc>
      </w:tr>
      <w:tr>
        <w:tc>
          <w:tcPr/>
          <w:p>
            <w:pPr>
              <w:pStyle w:val="Compact"/>
              <w:jc w:val="left"/>
            </w:pPr>
            <w:r>
              <w:t xml:space="preserve">3 June Plan (1947)</w:t>
            </w:r>
          </w:p>
        </w:tc>
        <w:tc>
          <w:tcPr/>
          <w:p>
            <w:pPr>
              <w:pStyle w:val="Compact"/>
              <w:jc w:val="left"/>
            </w:pPr>
            <w:r>
              <w:t xml:space="preserve">Partition into two dominions; partition of Punjab and Bengal</w:t>
            </w:r>
          </w:p>
        </w:tc>
        <w:tc>
          <w:tcPr/>
          <w:p>
            <w:pPr>
              <w:pStyle w:val="Compact"/>
              <w:jc w:val="left"/>
            </w:pPr>
            <w:r>
              <w:t xml:space="preserve">Accepted, as the only remaining route to a Muslim-majority state</w:t>
            </w:r>
          </w:p>
        </w:tc>
        <w:tc>
          <w:tcPr/>
          <w:p>
            <w:pPr>
              <w:pStyle w:val="Compact"/>
              <w:jc w:val="left"/>
            </w:pPr>
            <w:r>
              <w:t xml:space="preserve">Accepted, as the only remaining route to a transfer of power</w:t>
            </w:r>
          </w:p>
        </w:tc>
        <w:tc>
          <w:tcPr/>
          <w:p>
            <w:pPr>
              <w:pStyle w:val="Compact"/>
              <w:jc w:val="left"/>
            </w:pPr>
            <w:r>
              <w:t xml:space="preserve">Implemented; independence 14–15 August 1947</w:t>
            </w:r>
          </w:p>
        </w:tc>
      </w:tr>
    </w:tbl>
    <w:bookmarkEnd w:id="86"/>
    <w:bookmarkStart w:id="87" w:name="X2e24367f414e99881ae92d0371a70d342dd1957"/>
    <w:p>
      <w:pPr>
        <w:pStyle w:val="Heading2"/>
      </w:pPr>
      <w:r>
        <w:t xml:space="preserve">Historiographical Debates: Was Partition Inevitable?</w:t>
      </w:r>
    </w:p>
    <w:p>
      <w:pPr>
        <w:pStyle w:val="FirstParagraph"/>
      </w:pPr>
      <w:r>
        <w:t xml:space="preserve">This is one of the most consequential debates in all of South Asian history, and it connects directly to the Ayesha Jalal thesis introduced in Topic 4.</w:t>
      </w:r>
    </w:p>
    <w:p>
      <w:pPr>
        <w:numPr>
          <w:ilvl w:val="0"/>
          <w:numId w:val="1036"/>
        </w:numPr>
        <w:pStyle w:val="Compact"/>
      </w:pPr>
      <w:r>
        <w:rPr>
          <w:bCs/>
          <w:b/>
        </w:rPr>
        <w:t xml:space="preserve">The</w:t>
      </w:r>
      <w:r>
        <w:rPr>
          <w:bCs/>
          <w:b/>
        </w:rPr>
        <w:t xml:space="preserve"> </w:t>
      </w:r>
      <w:r>
        <w:rPr>
          <w:bCs/>
          <w:b/>
        </w:rPr>
        <w:t xml:space="preserve">“</w:t>
      </w:r>
      <w:r>
        <w:rPr>
          <w:bCs/>
          <w:b/>
        </w:rPr>
        <w:t xml:space="preserve">inevitability</w:t>
      </w:r>
      <w:r>
        <w:rPr>
          <w:bCs/>
          <w:b/>
        </w:rPr>
        <w:t xml:space="preserve">”</w:t>
      </w:r>
      <w:r>
        <w:rPr>
          <w:bCs/>
          <w:b/>
        </w:rPr>
        <w:t xml:space="preserve"> </w:t>
      </w:r>
      <w:r>
        <w:rPr>
          <w:bCs/>
          <w:b/>
        </w:rPr>
        <w:t xml:space="preserve">reading</w:t>
      </w:r>
      <w:r>
        <w:t xml:space="preserve">, more common in older nationalist historiography on both the Indian and Pakistani sides (though for different reasons), tends to treat the sequence from the Lahore Resolution (1940) to partition (1947) as the working-out of a demand that was, in substance, already settled by 1940.</w:t>
      </w:r>
    </w:p>
    <w:p>
      <w:pPr>
        <w:numPr>
          <w:ilvl w:val="0"/>
          <w:numId w:val="1036"/>
        </w:numPr>
        <w:pStyle w:val="Compact"/>
      </w:pPr>
      <w:r>
        <w:rPr>
          <w:bCs/>
          <w:b/>
        </w:rPr>
        <w:t xml:space="preserve">Jalal’s</w:t>
      </w:r>
      <w:r>
        <w:rPr>
          <w:bCs/>
          <w:b/>
        </w:rPr>
        <w:t xml:space="preserve"> </w:t>
      </w:r>
      <w:r>
        <w:rPr>
          <w:bCs/>
          <w:b/>
        </w:rPr>
        <w:t xml:space="preserve">“</w:t>
      </w:r>
      <w:r>
        <w:rPr>
          <w:bCs/>
          <w:b/>
        </w:rPr>
        <w:t xml:space="preserve">bargaining counter</w:t>
      </w:r>
      <w:r>
        <w:rPr>
          <w:bCs/>
          <w:b/>
        </w:rPr>
        <w:t xml:space="preserve">”</w:t>
      </w:r>
      <w:r>
        <w:rPr>
          <w:bCs/>
          <w:b/>
        </w:rPr>
        <w:t xml:space="preserve"> </w:t>
      </w:r>
      <w:r>
        <w:rPr>
          <w:bCs/>
          <w:b/>
        </w:rPr>
        <w:t xml:space="preserve">reading</w:t>
      </w:r>
      <w:r>
        <w:t xml:space="preserve"> </w:t>
      </w:r>
      <w:r>
        <w:t xml:space="preserve">argues instead that Jinnah’s central and consistent strategy throughout the 1940s was to use the threat of partition to extract a strong, effectively autonomous position for Muslim-majority provinces within a loosely federated united India — and that the Cabinet Mission Plan’s collapse in 1946, specifically over the compulsory-versus-optional grouping dispute, is the moment this strategy demonstrably failed, making full partition, previously a fallback threat, the only remaining live option. On this reading, partition was a contingent outcome of a specific negotiation failure in 1946, not a fixed destination since 1940.</w:t>
      </w:r>
    </w:p>
    <w:p>
      <w:pPr>
        <w:numPr>
          <w:ilvl w:val="0"/>
          <w:numId w:val="1036"/>
        </w:numPr>
        <w:pStyle w:val="Compact"/>
      </w:pPr>
      <w:r>
        <w:rPr>
          <w:bCs/>
          <w:b/>
        </w:rPr>
        <w:t xml:space="preserve">A related debate concerns British responsibility.</w:t>
      </w:r>
      <w:r>
        <w:t xml:space="preserve"> </w:t>
      </w:r>
      <w:r>
        <w:t xml:space="preserve">Some historians and much popular memory in the subcontinent has emphasised a</w:t>
      </w:r>
      <w:r>
        <w:t xml:space="preserve"> </w:t>
      </w:r>
      <w:r>
        <w:t xml:space="preserve">“</w:t>
      </w:r>
      <w:r>
        <w:t xml:space="preserve">divide and quit</w:t>
      </w:r>
      <w:r>
        <w:t xml:space="preserve">”</w:t>
      </w:r>
      <w:r>
        <w:t xml:space="preserve"> </w:t>
      </w:r>
      <w:r>
        <w:t xml:space="preserve">narrative, attributing partition significantly to deliberate British manipulation of communal division to facilitate an orderly, low-cost exit. Other historians place more emphasis on the structural failure of the Congress–League negotiations themselves (the compulsory-versus-optional grouping dispute, and the deeper disagreement over what</w:t>
      </w:r>
      <w:r>
        <w:t xml:space="preserve"> </w:t>
      </w:r>
      <w:r>
        <w:t xml:space="preserve">“</w:t>
      </w:r>
      <w:r>
        <w:t xml:space="preserve">safeguards</w:t>
      </w:r>
      <w:r>
        <w:t xml:space="preserve">”</w:t>
      </w:r>
      <w:r>
        <w:t xml:space="preserve"> </w:t>
      </w:r>
      <w:r>
        <w:t xml:space="preserve">for a minority within a democratic system could realistically mean), with British policy in the final months (particularly Mountbatten’s compressed timetable and Radcliffe’s rushed boundary-drawing) treated as a serious contributing failure of implementation rather than the primary underlying cause.</w:t>
      </w:r>
    </w:p>
    <w:p>
      <w:pPr>
        <w:pStyle w:val="FirstParagraph"/>
      </w:pPr>
      <w:r>
        <w:t xml:space="preserve">A strong exam answer on</w:t>
      </w:r>
      <w:r>
        <w:t xml:space="preserve"> </w:t>
      </w:r>
      <w:r>
        <w:t xml:space="preserve">“</w:t>
      </w:r>
      <w:r>
        <w:t xml:space="preserve">was partition inevitable?</w:t>
      </w:r>
      <w:r>
        <w:t xml:space="preserve">”</w:t>
      </w:r>
      <w:r>
        <w:t xml:space="preserve"> </w:t>
      </w:r>
      <w:r>
        <w:t xml:space="preserve">should engage with the Cabinet Mission Plan specifically as the test case — since it is the one serious, detailed proposal that both major parties initially accepted and that would have avoided partition — and explain concretely why its collapse, rather than any single earlier moment, is where most careful historians locate the point after which partition became effectively unavoidable.</w:t>
      </w:r>
    </w:p>
    <w:bookmarkEnd w:id="87"/>
    <w:bookmarkStart w:id="88" w:name="preparation-toolkit-4"/>
    <w:p>
      <w:pPr>
        <w:pStyle w:val="Heading2"/>
      </w:pPr>
      <w:r>
        <w:t xml:space="preserve">Preparation Toolkit</w:t>
      </w:r>
    </w:p>
    <w:p>
      <w:pPr>
        <w:pStyle w:val="FirstParagraph"/>
      </w:pPr>
      <w:r>
        <w:rPr>
          <w:bCs/>
          <w:b/>
        </w:rPr>
        <w:t xml:space="preserve">Preparation Checklist</w:t>
      </w:r>
    </w:p>
    <w:p>
      <w:pPr>
        <w:numPr>
          <w:ilvl w:val="0"/>
          <w:numId w:val="1037"/>
        </w:numPr>
        <w:pStyle w:val="Compact"/>
      </w:pPr>
      <w:r>
        <w:t xml:space="preserve">Prepare a single 1930–1947 timeline. For every mission or plan, write down: the proposal, the League’s position, the Congress position, the British objective, and the specific reason for failure or success — the comparison table above is a model for this.</w:t>
      </w:r>
    </w:p>
    <w:p>
      <w:pPr>
        <w:numPr>
          <w:ilvl w:val="0"/>
          <w:numId w:val="1037"/>
        </w:numPr>
        <w:pStyle w:val="Compact"/>
      </w:pPr>
      <w:r>
        <w:t xml:space="preserve">Treat the Lahore Resolution (1940) and the Cabinet Mission Plan’s collapse (1946) as the two most important turning points in the topic, and be ready to explain precisely why each mattered.</w:t>
      </w:r>
    </w:p>
    <w:p>
      <w:pPr>
        <w:numPr>
          <w:ilvl w:val="0"/>
          <w:numId w:val="1037"/>
        </w:numPr>
        <w:pStyle w:val="Compact"/>
      </w:pPr>
      <w:r>
        <w:t xml:space="preserve">Keep an evidence bank: Allahabad Address (December 1930), Round Table Conferences (1930–1932), 1937 elections and Congress ministries (1937–1939), Lahore Resolution (March 1940), Cripps Mission (1942), Simla Conference (1945), 1945–46 elections, Cabinet Mission Plan (1946), Direct Action Day (August 1946), 3 June Plan (1947), independence (14–15 August 1947).</w:t>
      </w:r>
    </w:p>
    <w:p>
      <w:pPr>
        <w:numPr>
          <w:ilvl w:val="0"/>
          <w:numId w:val="1037"/>
        </w:numPr>
        <w:pStyle w:val="Compact"/>
      </w:pPr>
      <w:r>
        <w:t xml:space="preserve">Practice one analytical outline answering:</w:t>
      </w:r>
      <w:r>
        <w:t xml:space="preserve"> </w:t>
      </w:r>
      <w:r>
        <w:t xml:space="preserve">“</w:t>
      </w:r>
      <w:r>
        <w:t xml:space="preserve">Why did the Cabinet Mission Plan fail, and why is its failure often treated as the point after which partition became unavoidable?</w:t>
      </w:r>
      <w:r>
        <w:t xml:space="preserve">”</w:t>
      </w:r>
    </w:p>
    <w:p>
      <w:pPr>
        <w:pStyle w:val="FirstParagraph"/>
      </w:pPr>
      <w:r>
        <w:rPr>
          <w:bCs/>
          <w:b/>
        </w:rPr>
        <w:t xml:space="preserve">Common Confusions to Avoid</w:t>
      </w:r>
    </w:p>
    <w:p>
      <w:pPr>
        <w:numPr>
          <w:ilvl w:val="0"/>
          <w:numId w:val="1038"/>
        </w:numPr>
        <w:pStyle w:val="Compact"/>
      </w:pPr>
      <w:r>
        <w:t xml:space="preserve">Do not say the Pakistan demand appeared suddenly and fully formed in 1940; explain the earlier history of constitutional safeguards traced in Topic 4, and note that even after 1940 the League continued negotiating for safeguards within a united India until 1946.</w:t>
      </w:r>
    </w:p>
    <w:p>
      <w:pPr>
        <w:numPr>
          <w:ilvl w:val="0"/>
          <w:numId w:val="1038"/>
        </w:numPr>
        <w:pStyle w:val="Compact"/>
      </w:pPr>
      <w:r>
        <w:t xml:space="preserve">Do not describe every pre-1947 Muslim political leader, or Jinnah himself at every stage, as advocating the identical territorial solution at the same time; positions evolved substantially between 1929, 1930, 1940 and 1946.</w:t>
      </w:r>
    </w:p>
    <w:p>
      <w:pPr>
        <w:numPr>
          <w:ilvl w:val="0"/>
          <w:numId w:val="1038"/>
        </w:numPr>
        <w:pStyle w:val="Compact"/>
      </w:pPr>
      <w:r>
        <w:t xml:space="preserve">Do not study missions and plans only by date; for each one, know the proposal, League response, Congress response, British purpose, and the precise reason it failed or succeeded.</w:t>
      </w:r>
    </w:p>
    <w:p>
      <w:pPr>
        <w:numPr>
          <w:ilvl w:val="0"/>
          <w:numId w:val="1038"/>
        </w:numPr>
        <w:pStyle w:val="Compact"/>
      </w:pPr>
      <w:r>
        <w:t xml:space="preserve">Do not treat the human cost of partition (mass migration and communal violence in Punjab and Bengal) as a separate topic from the constitutional negotiation; the two are directly connected, since the compressed timetable and rushed boundary-drawing of 1947 are themselves widely cited causes of the scale of the violence.</w:t>
      </w:r>
    </w:p>
    <w:p>
      <w:pPr>
        <w:pStyle w:val="FirstParagraph"/>
      </w:pPr>
      <w:r>
        <w:rPr>
          <w:bCs/>
          <w:b/>
        </w:rPr>
        <w:t xml:space="preserve">Easy Revision Points</w:t>
      </w:r>
    </w:p>
    <w:p>
      <w:pPr>
        <w:numPr>
          <w:ilvl w:val="0"/>
          <w:numId w:val="1039"/>
        </w:numPr>
        <w:pStyle w:val="Compact"/>
      </w:pPr>
      <w:r>
        <w:t xml:space="preserve">Iqbal delivered his Allahabad Address in December 1930, addressing the constitutional future of Muslim-majority north-western regions within the debate of that specific moment, not proposing a fully formed sovereign state.</w:t>
      </w:r>
    </w:p>
    <w:p>
      <w:pPr>
        <w:numPr>
          <w:ilvl w:val="0"/>
          <w:numId w:val="1039"/>
        </w:numPr>
        <w:pStyle w:val="Compact"/>
      </w:pPr>
      <w:r>
        <w:t xml:space="preserve">The Round Table Conferences were held in London between 1930 and 1932.</w:t>
      </w:r>
    </w:p>
    <w:p>
      <w:pPr>
        <w:numPr>
          <w:ilvl w:val="0"/>
          <w:numId w:val="1039"/>
        </w:numPr>
        <w:pStyle w:val="Compact"/>
      </w:pPr>
      <w:r>
        <w:t xml:space="preserve">Congress ministries governed several provinces after the 1937 elections and resigned in 1939 following the outbreak of the Second World War.</w:t>
      </w:r>
    </w:p>
    <w:p>
      <w:pPr>
        <w:numPr>
          <w:ilvl w:val="0"/>
          <w:numId w:val="1039"/>
        </w:numPr>
        <w:pStyle w:val="Compact"/>
      </w:pPr>
      <w:r>
        <w:t xml:space="preserve">The Lahore Resolution was adopted by the Muslim League in March 1940; its original wording referred to</w:t>
      </w:r>
      <w:r>
        <w:t xml:space="preserve"> </w:t>
      </w:r>
      <w:r>
        <w:t xml:space="preserve">“</w:t>
      </w:r>
      <w:r>
        <w:t xml:space="preserve">independent States,</w:t>
      </w:r>
      <w:r>
        <w:t xml:space="preserve">”</w:t>
      </w:r>
      <w:r>
        <w:t xml:space="preserve"> </w:t>
      </w:r>
      <w:r>
        <w:t xml:space="preserve">plural, in Muslim-majority zones.</w:t>
      </w:r>
    </w:p>
    <w:p>
      <w:pPr>
        <w:numPr>
          <w:ilvl w:val="0"/>
          <w:numId w:val="1039"/>
        </w:numPr>
        <w:pStyle w:val="Compact"/>
      </w:pPr>
      <w:r>
        <w:t xml:space="preserve">The Cripps Mission came in 1942, the Simla Conference was held in 1945, and the Cabinet Mission arrived in 1946; the Cabinet Mission Plan’s collapse over the compulsory-versus-optional grouping dispute is widely regarded as the point after which partition became effectively unavoidable.</w:t>
      </w:r>
    </w:p>
    <w:p>
      <w:pPr>
        <w:numPr>
          <w:ilvl w:val="0"/>
          <w:numId w:val="1039"/>
        </w:numPr>
        <w:pStyle w:val="Compact"/>
      </w:pPr>
      <w:r>
        <w:t xml:space="preserve">The 3 June Plan of 1947 provided the framework for partition and transfer of power; Pakistan and India became independent dominions on 14 and 15 August 1947, at a human cost — mass displacement and communal violence — that remains historically significant in its own right.</w:t>
      </w:r>
    </w:p>
    <w:bookmarkEnd w:id="88"/>
    <w:bookmarkStart w:id="89" w:name="key-takeaways-4"/>
    <w:p>
      <w:pPr>
        <w:pStyle w:val="Heading2"/>
      </w:pPr>
      <w:r>
        <w:t xml:space="preserve">Key Takeaways</w:t>
      </w:r>
    </w:p>
    <w:p>
      <w:pPr>
        <w:numPr>
          <w:ilvl w:val="0"/>
          <w:numId w:val="1040"/>
        </w:numPr>
        <w:pStyle w:val="Compact"/>
      </w:pPr>
      <w:r>
        <w:t xml:space="preserve">The Muslim political demand moved from safeguards within a united India (Topic 4, through 1929) to a demand for separate, sovereign Muslim-majority</w:t>
      </w:r>
      <w:r>
        <w:t xml:space="preserve"> </w:t>
      </w:r>
      <w:r>
        <w:t xml:space="preserve">“</w:t>
      </w:r>
      <w:r>
        <w:t xml:space="preserve">States</w:t>
      </w:r>
      <w:r>
        <w:t xml:space="preserve">”</w:t>
      </w:r>
      <w:r>
        <w:t xml:space="preserve"> </w:t>
      </w:r>
      <w:r>
        <w:t xml:space="preserve">only at the 1940 Lahore Resolution, and even after 1940 the League continued to negotiate seriously for safeguards within a united India until as late as 1946.</w:t>
      </w:r>
    </w:p>
    <w:p>
      <w:pPr>
        <w:numPr>
          <w:ilvl w:val="0"/>
          <w:numId w:val="1040"/>
        </w:numPr>
        <w:pStyle w:val="Compact"/>
      </w:pPr>
      <w:r>
        <w:t xml:space="preserve">The Cabinet Mission Plan (1946) is the pivotal case: it is the one detailed, serious proposal that both major parties initially accepted, and its collapse over the compulsory-versus-optional interpretation of provincial grouping is where most historians locate the point after which partition became effectively the only remaining option.</w:t>
      </w:r>
    </w:p>
    <w:p>
      <w:pPr>
        <w:numPr>
          <w:ilvl w:val="0"/>
          <w:numId w:val="1040"/>
        </w:numPr>
        <w:pStyle w:val="Compact"/>
      </w:pPr>
      <w:r>
        <w:t xml:space="preserve">Every mission or plan in this period should be analysed from three angles at once — League objective, Congress objective, British objective — since no single-party explanation for any mission’s failure survives close examination.</w:t>
      </w:r>
    </w:p>
    <w:p>
      <w:pPr>
        <w:numPr>
          <w:ilvl w:val="0"/>
          <w:numId w:val="1040"/>
        </w:numPr>
        <w:pStyle w:val="Compact"/>
      </w:pPr>
      <w:r>
        <w:t xml:space="preserve">The human cost of partition (mass migration and communal violence in Punjab and Bengal) is directly connected to, not separate from, the compressed and rushed final negotiation and boundary-drawing process of 1947, and deserves serious treatment rather than a footnote.</w:t>
      </w:r>
    </w:p>
    <w:p>
      <w:pPr>
        <w:numPr>
          <w:ilvl w:val="0"/>
          <w:numId w:val="1040"/>
        </w:numPr>
        <w:pStyle w:val="Compact"/>
      </w:pPr>
      <w:r>
        <w:t xml:space="preserve">Whether partition was</w:t>
      </w:r>
      <w:r>
        <w:t xml:space="preserve"> </w:t>
      </w:r>
      <w:r>
        <w:t xml:space="preserve">“</w:t>
      </w:r>
      <w:r>
        <w:t xml:space="preserve">inevitable</w:t>
      </w:r>
      <w:r>
        <w:t xml:space="preserve">”</w:t>
      </w:r>
      <w:r>
        <w:t xml:space="preserve"> </w:t>
      </w:r>
      <w:r>
        <w:t xml:space="preserve">remains a genuinely open historiographical question; Ayesha Jalal’s influential argument that it resulted from the specific failure of a bargaining strategy in 1946, rather than being fixed since 1940, is worth citing explicitly in any strong answer on this question.</w:t>
      </w:r>
    </w:p>
    <w:bookmarkEnd w:id="89"/>
    <w:bookmarkEnd w:id="90"/>
    <w:bookmarkStart w:id="103" w:name="Xa42b68aae647b8ff54377366cc52e02000cf4ee"/>
    <w:p>
      <w:pPr>
        <w:pStyle w:val="Heading1"/>
        <w:pageBreakBefore/>
      </w:pPr>
      <w:r>
        <w:t xml:space="preserve">6. History of Pakistan (1947–to date): Early Challenges and Constitutional Development</w:t>
      </w:r>
    </w:p>
    <w:bookmarkStart w:id="91" w:name="why-this-topic-matters-5"/>
    <w:p>
      <w:pPr>
        <w:pStyle w:val="Heading2"/>
      </w:pPr>
      <w:r>
        <w:t xml:space="preserve">Why This Topic Matters</w:t>
      </w:r>
    </w:p>
    <w:p>
      <w:pPr>
        <w:pStyle w:val="FirstParagraph"/>
      </w:pPr>
      <w:r>
        <w:t xml:space="preserve">This topic does two things at once: it explains the extraordinary difficulty of building a functioning state from nothing in 1947, and it traces the search for a stable constitutional order that Pakistan has pursued, with repeated interruption, ever since. Every later topic in this subject — military intervention (Topic 7), the loss of East Pakistan (Topic 8), the quality of democracy (Topic 9), and even foreign policy (Topic 10) — is easier to explain once the constitutional and institutional starting conditions described here are understood clearly.</w:t>
      </w:r>
    </w:p>
    <w:bookmarkEnd w:id="91"/>
    <w:bookmarkStart w:id="92" w:name="the-state-building-crisis-of-1947"/>
    <w:p>
      <w:pPr>
        <w:pStyle w:val="Heading2"/>
      </w:pPr>
      <w:r>
        <w:t xml:space="preserve">The State-Building Crisis of 1947</w:t>
      </w:r>
    </w:p>
    <w:p>
      <w:pPr>
        <w:pStyle w:val="FirstParagraph"/>
      </w:pPr>
      <w:r>
        <w:t xml:space="preserve">Pakistan came into existence on 14 August 1947 facing a set of simultaneous emergencies that a more gradual transfer of power might have allowed a new state to address one at a time. Refugee movement in both directions across the new Punjab and Bengal borders (introduced in Topic 5) placed enormous strain on a government that did not yet have functioning administrative machinery in many areas — Pakistan inherited a substantially smaller share of the trained bureaucratic, military and technical personnel of undivided British India than its share of population and territory would have suggested, since many of the most experienced administrative cadres, and the bulk of undivided India’s existing military production and financial institutions, were concentrated in what became India. Disputes over the physical division of financial assets (including the share of the undivided government’s cash balances owed to Pakistan, famously requiring Gandhi’s personal intervention and a fast to press the Indian government to release funds it was initially withholding) and of military stores and equipment further complicated the first months of the new state’s existence.</w:t>
      </w:r>
    </w:p>
    <w:bookmarkEnd w:id="92"/>
    <w:bookmarkStart w:id="93" w:name="X723e35c7bb64cd65acdc0dba60f98f6405ec4ee"/>
    <w:p>
      <w:pPr>
        <w:pStyle w:val="Heading2"/>
      </w:pPr>
      <w:r>
        <w:t xml:space="preserve">Kashmir: An Immediate and Enduring Security Question</w:t>
      </w:r>
    </w:p>
    <w:p>
      <w:pPr>
        <w:pStyle w:val="FirstParagraph"/>
      </w:pPr>
      <w:r>
        <w:t xml:space="preserve">The princely state of Jammu and Kashmir occupied a uniquely difficult position at independence: it had a Muslim-majority population but was ruled by a Hindu maharaja, Hari Singh, who initially sought to remain independent of both new dominions. Following incursions by tribal fighters from Pakistan’s frontier regions in October 1947, Hari Singh acceded to India in exchange for military assistance, a decision Pakistan has long disputed on the grounds that it did not reflect the wishes of the state’s Muslim-majority population. The resulting first India-Pakistan war (1947–48) ended with a United Nations-brokered ceasefire in January 1949, establishing a ceasefire line that divided the state into Indian- and Pakistani-administered portions — a division that has persisted, with periodic further conflict, ever since, and that reappears directly in Topic 10’s account of Pakistan’s foreign policy and security orientation. Kashmir should be understood from the outset as one of the two or three most consequential unresolved legacies of partition, not as a peripheral or merely diplomatic issue.</w:t>
      </w:r>
    </w:p>
    <w:bookmarkEnd w:id="93"/>
    <w:bookmarkStart w:id="94" w:name="leadership-and-institutional-fragility"/>
    <w:p>
      <w:pPr>
        <w:pStyle w:val="Heading2"/>
      </w:pPr>
      <w:r>
        <w:t xml:space="preserve">Leadership and Institutional Fragility</w:t>
      </w:r>
    </w:p>
    <w:p>
      <w:pPr>
        <w:pStyle w:val="FirstParagraph"/>
      </w:pPr>
      <w:r>
        <w:t xml:space="preserve">Muhammad Ali Jinnah, as the founding Governor-General, set an important early tone in his 11 August 1947 address to the Constituent Assembly, in which he spoke of equal citizenship for all communities regardless of religion — a statement whose relationship to the eventual constitutional character of the state (discussed below) has itself become a subject of extensive later debate. Jinnah’s death on 11 September 1948, barely a year after independence, removed the single most authoritative figure in the new state’s politics at an early and formative moment. Prime Minister Liaquat Ali Khan’s assassination in October 1951 removed a second central leader in similarly short order. The loss of both founding leaders so early — combined with the fact that political parties and parliamentary conventions remained far less institutionally developed than the permanent civil bureaucracy and the military, both of which had inherited well-established colonial-era organisational structures and professional cadres — created a persistent imbalance between weak elected political institutions and comparatively strong, well-organised unelected state institutions. This imbalance is one of the most important explanatory threads running through the rest of Pakistan’s constitutional and political history, and it connects directly to the analysis of military intervention in Topic 7.</w:t>
      </w:r>
    </w:p>
    <w:bookmarkEnd w:id="94"/>
    <w:bookmarkStart w:id="95" w:name="Xd92171ecbc39d76aaf546da3d1c250ed3cafaf4"/>
    <w:p>
      <w:pPr>
        <w:pStyle w:val="Heading2"/>
      </w:pPr>
      <w:r>
        <w:t xml:space="preserve">Constitution-Making: Why It Took Nine Years</w:t>
      </w:r>
    </w:p>
    <w:p>
      <w:pPr>
        <w:pStyle w:val="FirstParagraph"/>
      </w:pPr>
      <w:r>
        <w:t xml:space="preserve">The</w:t>
      </w:r>
      <w:r>
        <w:t xml:space="preserve"> </w:t>
      </w:r>
      <w:r>
        <w:rPr>
          <w:bCs/>
          <w:b/>
        </w:rPr>
        <w:t xml:space="preserve">Objectives Resolution</w:t>
      </w:r>
      <w:r>
        <w:t xml:space="preserve">, adopted by the Constituent Assembly in March 1949 under Liaquat Ali Khan’s leadership, laid down the guiding principles for Pakistan’s future constitution: sovereignty over the entire universe belongs to Allah alone, and the authority delegated to the state of Pakistan is to be exercised through its people within limits prescribed by Him, while the resolution simultaneously guaranteed fundamental rights, minority rights, and an independent judiciary. It represented an attempt to reconcile an explicitly Islamic constitutional identity with liberal-democratic constitutional forms, and it was adopted with some non-Muslim members of the Assembly voting against or abstaining, on the grounds that its language was insufficiently precise about how Islamic principles and equal citizenship for non-Muslims would in practice be reconciled — a tension that has recurred, in various forms, throughout subsequent constitutional history rather than being resolved once and for all in 1949.</w:t>
      </w:r>
    </w:p>
    <w:p>
      <w:pPr>
        <w:pStyle w:val="BodyText"/>
      </w:pPr>
      <w:r>
        <w:t xml:space="preserve">Actual constitution-making, however, took far longer than the Objectives Resolution’s adoption might suggest — the first constitution was not completed until 1956, nine years after independence. The central obstacle was the unresolved question of representation between Pakistan’s two wings: East Pakistan (present-day Bangladesh) contained a clear majority of the new state’s total population, but political and military leadership was concentrated overwhelmingly in West Pakistan. Any constitutional formula based on straightforward population-based representation would have given East Pakistan a permanent majority in the national legislature — an outcome West Pakistani political and military leadership was reluctant to accept. The eventual solution, incorporated into the 1956 Constitution, was</w:t>
      </w:r>
      <w:r>
        <w:t xml:space="preserve"> </w:t>
      </w:r>
      <w:r>
        <w:rPr>
          <w:bCs/>
          <w:b/>
        </w:rPr>
        <w:t xml:space="preserve">parity</w:t>
      </w:r>
      <w:r>
        <w:t xml:space="preserve">: West Pakistan’s several provinces were merged into a single administrative unit (the</w:t>
      </w:r>
      <w:r>
        <w:t xml:space="preserve"> </w:t>
      </w:r>
      <w:r>
        <w:t xml:space="preserve">“</w:t>
      </w:r>
      <w:r>
        <w:t xml:space="preserve">One Unit</w:t>
      </w:r>
      <w:r>
        <w:t xml:space="preserve">”</w:t>
      </w:r>
      <w:r>
        <w:t xml:space="preserve"> </w:t>
      </w:r>
      <w:r>
        <w:t xml:space="preserve">scheme) so that West and East Pakistan could be treated as two equal halves for representation purposes, each holding an equal number of national assembly seats regardless of the population difference between them. This resolved the immediate constitutional deadlock but created a deep and lasting East Pakistani grievance about unequal treatment of the wing with the larger population — a grievance that runs directly, and heavily, into the causes of the 1971 crisis analysed in Topic 8.</w:t>
      </w:r>
    </w:p>
    <w:bookmarkEnd w:id="95"/>
    <w:bookmarkStart w:id="96" w:name="the-1956-and-1962-constitutions"/>
    <w:p>
      <w:pPr>
        <w:pStyle w:val="Heading2"/>
      </w:pPr>
      <w:r>
        <w:t xml:space="preserve">The 1956 and 1962 Constitutions</w:t>
      </w:r>
    </w:p>
    <w:p>
      <w:pPr>
        <w:pStyle w:val="FirstParagraph"/>
      </w:pPr>
      <w:r>
        <w:t xml:space="preserve">The</w:t>
      </w:r>
      <w:r>
        <w:t xml:space="preserve"> </w:t>
      </w:r>
      <w:r>
        <w:rPr>
          <w:bCs/>
          <w:b/>
        </w:rPr>
        <w:t xml:space="preserve">1956 Constitution</w:t>
      </w:r>
      <w:r>
        <w:t xml:space="preserve"> </w:t>
      </w:r>
      <w:r>
        <w:t xml:space="preserve">established Pakistan as a parliamentary federal republic (formally, the</w:t>
      </w:r>
      <w:r>
        <w:t xml:space="preserve"> </w:t>
      </w:r>
      <w:r>
        <w:t xml:space="preserve">“</w:t>
      </w:r>
      <w:r>
        <w:t xml:space="preserve">Islamic Republic of Pakistan</w:t>
      </w:r>
      <w:r>
        <w:t xml:space="preserve">”</w:t>
      </w:r>
      <w:r>
        <w:t xml:space="preserve">), incorporating the Objectives Resolution as a preamble and providing for a bicameral-in-effect parity arrangement between the two wings under the One Unit scheme. It survived barely two years: President Iskander Mirza abrogated it in October 1958, and General Ayub Khan’s subsequent assumption of full power (Topic 7) ended Pakistan’s first, brief experiment with a working constitution before it had produced a single completed general election under its own terms.</w:t>
      </w:r>
    </w:p>
    <w:p>
      <w:pPr>
        <w:pStyle w:val="BodyText"/>
      </w:pPr>
      <w:r>
        <w:t xml:space="preserve">The</w:t>
      </w:r>
      <w:r>
        <w:t xml:space="preserve"> </w:t>
      </w:r>
      <w:r>
        <w:rPr>
          <w:bCs/>
          <w:b/>
        </w:rPr>
        <w:t xml:space="preserve">1962 Constitution</w:t>
      </w:r>
      <w:r>
        <w:t xml:space="preserve">, introduced by Ayub Khan, replaced the parliamentary system with a</w:t>
      </w:r>
      <w:r>
        <w:t xml:space="preserve"> </w:t>
      </w:r>
      <w:r>
        <w:rPr>
          <w:bCs/>
          <w:b/>
        </w:rPr>
        <w:t xml:space="preserve">presidential system</w:t>
      </w:r>
      <w:r>
        <w:t xml:space="preserve">, under which the president was elected indirectly through an electoral college of</w:t>
      </w:r>
      <w:r>
        <w:t xml:space="preserve"> </w:t>
      </w:r>
      <w:r>
        <w:t xml:space="preserve">“</w:t>
      </w:r>
      <w:r>
        <w:t xml:space="preserve">Basic Democrats</w:t>
      </w:r>
      <w:r>
        <w:t xml:space="preserve">”</w:t>
      </w:r>
      <w:r>
        <w:t xml:space="preserve"> </w:t>
      </w:r>
      <w:r>
        <w:t xml:space="preserve">(locally elected councillors) rather than by direct popular vote, and executive authority was concentrated heavily in the presidency rather than a cabinet responsible to a directly elected legislature. This system is examined more closely, alongside Ayub Khan’s broader rule, in Topic 7.</w:t>
      </w:r>
    </w:p>
    <w:bookmarkEnd w:id="96"/>
    <w:bookmarkStart w:id="97" w:name="X8a935b84a77425fff8160bed0f0ed3c52d84b6d"/>
    <w:p>
      <w:pPr>
        <w:pStyle w:val="Heading2"/>
      </w:pPr>
      <w:r>
        <w:t xml:space="preserve">The 1973 Constitution: Pakistan’s Enduring Framework</w:t>
      </w:r>
    </w:p>
    <w:p>
      <w:pPr>
        <w:pStyle w:val="FirstParagraph"/>
      </w:pPr>
      <w:r>
        <w:t xml:space="preserve">Following the trauma of the 1971 crisis and the loss of East Pakistan (Topic 8), an elected Constituent Assembly under the leadership of Prime Minister Zulfikar Ali Bhutto produced the</w:t>
      </w:r>
      <w:r>
        <w:t xml:space="preserve"> </w:t>
      </w:r>
      <w:r>
        <w:rPr>
          <w:bCs/>
          <w:b/>
        </w:rPr>
        <w:t xml:space="preserve">1973 Constitution</w:t>
      </w:r>
      <w:r>
        <w:t xml:space="preserve">, which restored a</w:t>
      </w:r>
      <w:r>
        <w:t xml:space="preserve"> </w:t>
      </w:r>
      <w:r>
        <w:rPr>
          <w:bCs/>
          <w:b/>
        </w:rPr>
        <w:t xml:space="preserve">federal parliamentary system</w:t>
      </w:r>
      <w:r>
        <w:t xml:space="preserve"> </w:t>
      </w:r>
      <w:r>
        <w:t xml:space="preserve">— executive authority resting with a prime minister responsible to a directly elected National Assembly, with the president serving a largely ceremonial role (subject to important later amendments discussed below). The 1973 Constitution was passed with an unusually broad degree of political consensus for its time and remains, in amended form, Pakistan’s basic constitutional document to this day — a point of real institutional continuity worth emphasising, since so much of the surrounding political history has been marked by rupture rather than continuity.</w:t>
      </w:r>
    </w:p>
    <w:bookmarkEnd w:id="97"/>
    <w:bookmarkStart w:id="98" w:name="X729efc95903b04d08f2193b72163c328f7b49ba"/>
    <w:p>
      <w:pPr>
        <w:pStyle w:val="Heading2"/>
      </w:pPr>
      <w:r>
        <w:t xml:space="preserve">Amendments and the Changing Institutional Balance</w:t>
      </w:r>
    </w:p>
    <w:p>
      <w:pPr>
        <w:pStyle w:val="FirstParagraph"/>
      </w:pPr>
      <w:r>
        <w:t xml:space="preserve">Reading the 1973 Constitution’s amendment history is really reading a history of the shifting balance between president and prime minister, between the centre and the provinces, and between elected institutions and other organs of the state:</w:t>
      </w:r>
    </w:p>
    <w:p>
      <w:pPr>
        <w:numPr>
          <w:ilvl w:val="0"/>
          <w:numId w:val="1041"/>
        </w:numPr>
        <w:pStyle w:val="Compact"/>
      </w:pPr>
      <w:r>
        <w:t xml:space="preserve">The</w:t>
      </w:r>
      <w:r>
        <w:t xml:space="preserve"> </w:t>
      </w:r>
      <w:r>
        <w:rPr>
          <w:bCs/>
          <w:b/>
        </w:rPr>
        <w:t xml:space="preserve">Eighth Amendment (1985)</w:t>
      </w:r>
      <w:r>
        <w:t xml:space="preserve">, passed during General Zia-ul-Haq’s rule (Topic 7), inserted Article 58(2)(b), granting the president the power to dissolve the National Assembly (and, with it, dismiss the government) under specified circumstances — a power subsequently used to dismiss several elected governments during the 1988–1999 period discussed in Topic 9.</w:t>
      </w:r>
    </w:p>
    <w:p>
      <w:pPr>
        <w:numPr>
          <w:ilvl w:val="0"/>
          <w:numId w:val="1041"/>
        </w:numPr>
        <w:pStyle w:val="Compact"/>
      </w:pPr>
      <w:r>
        <w:t xml:space="preserve">The</w:t>
      </w:r>
      <w:r>
        <w:t xml:space="preserve"> </w:t>
      </w:r>
      <w:r>
        <w:rPr>
          <w:bCs/>
          <w:b/>
        </w:rPr>
        <w:t xml:space="preserve">Thirteenth Amendment (1997)</w:t>
      </w:r>
      <w:r>
        <w:t xml:space="preserve">, passed under Prime Minister Nawaz Sharif, repealed the president’s Article 58(2)(b) dissolution power, restoring stronger parliamentary supremacy relative to the presidency.</w:t>
      </w:r>
    </w:p>
    <w:p>
      <w:pPr>
        <w:numPr>
          <w:ilvl w:val="0"/>
          <w:numId w:val="1041"/>
        </w:numPr>
        <w:pStyle w:val="Compact"/>
      </w:pPr>
      <w:r>
        <w:t xml:space="preserve">The</w:t>
      </w:r>
      <w:r>
        <w:t xml:space="preserve"> </w:t>
      </w:r>
      <w:r>
        <w:rPr>
          <w:bCs/>
          <w:b/>
        </w:rPr>
        <w:t xml:space="preserve">Seventeenth Amendment (2003)</w:t>
      </w:r>
      <w:r>
        <w:t xml:space="preserve">, passed during General Pervez Musharraf’s rule (Topic 7), restored a version of presidential dissolution power and provided constitutional cover for several actions taken during Musharraf’s earlier period of extra-constitutional rule.</w:t>
      </w:r>
    </w:p>
    <w:p>
      <w:pPr>
        <w:numPr>
          <w:ilvl w:val="0"/>
          <w:numId w:val="1041"/>
        </w:numPr>
        <w:pStyle w:val="Compact"/>
      </w:pPr>
      <w:r>
        <w:t xml:space="preserve">The</w:t>
      </w:r>
      <w:r>
        <w:t xml:space="preserve"> </w:t>
      </w:r>
      <w:r>
        <w:rPr>
          <w:bCs/>
          <w:b/>
        </w:rPr>
        <w:t xml:space="preserve">Eighteenth Amendment (2010)</w:t>
      </w:r>
      <w:r>
        <w:t xml:space="preserve">, passed under a coalition government following the 2008 election (Topic 9), is generally regarded as the most significant single amendment since 1973: it permanently removed the president’s discretionary dissolution power, substantially devolved authority from the federal government to the provinces (transferring a wide range of subjects previously on the concurrent legislative list to exclusive provincial control), renamed the North-West Frontier Province as Khyber Pakhtunkhwa, and revised the mechanisms for appointing judges and the Election Commission.</w:t>
      </w:r>
    </w:p>
    <w:p>
      <w:pPr>
        <w:numPr>
          <w:ilvl w:val="0"/>
          <w:numId w:val="1041"/>
        </w:numPr>
        <w:pStyle w:val="Compact"/>
      </w:pPr>
      <w:r>
        <w:t xml:space="preserve">More recently, the</w:t>
      </w:r>
      <w:r>
        <w:t xml:space="preserve"> </w:t>
      </w:r>
      <w:r>
        <w:rPr>
          <w:bCs/>
          <w:b/>
        </w:rPr>
        <w:t xml:space="preserve">Twenty-Sixth Amendment Act, 2024</w:t>
      </w:r>
      <w:r>
        <w:t xml:space="preserve"> </w:t>
      </w:r>
      <w:r>
        <w:t xml:space="preserve">made substantial changes to judicial appointments and procedure — including reconstituting the Judicial Commission of Pakistan’s role in appointing judges, capping the Chief Justice of Pakistan’s tenure at three years, removing the Supreme Court’s</w:t>
      </w:r>
      <w:r>
        <w:t xml:space="preserve"> </w:t>
      </w:r>
      <w:r>
        <w:rPr>
          <w:iCs/>
          <w:i/>
        </w:rPr>
        <w:t xml:space="preserve">suo motu</w:t>
      </w:r>
      <w:r>
        <w:t xml:space="preserve"> </w:t>
      </w:r>
      <w:r>
        <w:t xml:space="preserve">(self-initiated) jurisdiction, and creating dedicated constitutional benches — alongside the insertion of a new fundamental right to a clean and sustainable environment (Article 9-A) and a provision on eliminating</w:t>
      </w:r>
      <w:r>
        <w:t xml:space="preserve"> </w:t>
      </w:r>
      <w:r>
        <w:rPr>
          <w:iCs/>
          <w:i/>
        </w:rPr>
        <w:t xml:space="preserve">riba</w:t>
      </w:r>
      <w:r>
        <w:t xml:space="preserve"> </w:t>
      </w:r>
      <w:r>
        <w:t xml:space="preserve">(interest) from the economy by 2028. The</w:t>
      </w:r>
      <w:r>
        <w:t xml:space="preserve"> </w:t>
      </w:r>
      <w:r>
        <w:rPr>
          <w:bCs/>
          <w:b/>
        </w:rPr>
        <w:t xml:space="preserve">Twenty-Seventh Amendment Act, 2025</w:t>
      </w:r>
      <w:r>
        <w:t xml:space="preserve">, passed in November 2025 under Prime Minister Shehbaz Sharif’s government, created a new Federal Constitutional Court, changed procedures for the transfer of judges, amended provisions relating to command of the armed forces, and revisited aspects of federal-provincial fiscal and administrative arrangements; the amendment was contested at the time of its passage, with opposition parties and a number of legal commentators arguing that it weakened provincial autonomy and judicial independence, while the governing coalition presented it as a modernisation of governance and national-security structures. As with any very recent legislative development, candidates should verify the current, precise text of these amendments from the official National Assembly record before an examination, since interpretation and even further amendment can follow quickly.</w:t>
      </w:r>
    </w:p>
    <w:bookmarkEnd w:id="98"/>
    <w:bookmarkStart w:id="99" w:name="key-terms-and-concepts-5"/>
    <w:p>
      <w:pPr>
        <w:pStyle w:val="Heading2"/>
      </w:pPr>
      <w:r>
        <w:t xml:space="preserve">Key Terms and Concepts</w:t>
      </w:r>
    </w:p>
    <w:p>
      <w:pPr>
        <w:numPr>
          <w:ilvl w:val="0"/>
          <w:numId w:val="1042"/>
        </w:numPr>
        <w:pStyle w:val="Compact"/>
      </w:pPr>
      <w:r>
        <w:rPr>
          <w:bCs/>
          <w:b/>
        </w:rPr>
        <w:t xml:space="preserve">Objectives Resolution (1949):</w:t>
      </w:r>
      <w:r>
        <w:t xml:space="preserve"> </w:t>
      </w:r>
      <w:r>
        <w:t xml:space="preserve">The Constituent Assembly’s statement of guiding constitutional principles, attempting to reconcile Islamic sovereignty language with fundamental rights and minority protection.</w:t>
      </w:r>
    </w:p>
    <w:p>
      <w:pPr>
        <w:numPr>
          <w:ilvl w:val="0"/>
          <w:numId w:val="1042"/>
        </w:numPr>
        <w:pStyle w:val="Compact"/>
      </w:pPr>
      <w:r>
        <w:rPr>
          <w:bCs/>
          <w:b/>
        </w:rPr>
        <w:t xml:space="preserve">One Unit scheme:</w:t>
      </w:r>
      <w:r>
        <w:t xml:space="preserve"> </w:t>
      </w:r>
      <w:r>
        <w:t xml:space="preserve">The 1955 merger of West Pakistan’s provinces into a single administrative unit, enabling a</w:t>
      </w:r>
      <w:r>
        <w:t xml:space="preserve"> </w:t>
      </w:r>
      <w:r>
        <w:t xml:space="preserve">“</w:t>
      </w:r>
      <w:r>
        <w:t xml:space="preserve">parity</w:t>
      </w:r>
      <w:r>
        <w:t xml:space="preserve">”</w:t>
      </w:r>
      <w:r>
        <w:t xml:space="preserve"> </w:t>
      </w:r>
      <w:r>
        <w:t xml:space="preserve">formula of equal representation between West and East Pakistan despite their population difference.</w:t>
      </w:r>
    </w:p>
    <w:p>
      <w:pPr>
        <w:numPr>
          <w:ilvl w:val="0"/>
          <w:numId w:val="1042"/>
        </w:numPr>
        <w:pStyle w:val="Compact"/>
      </w:pPr>
      <w:r>
        <w:rPr>
          <w:bCs/>
          <w:b/>
        </w:rPr>
        <w:t xml:space="preserve">Parity:</w:t>
      </w:r>
      <w:r>
        <w:t xml:space="preserve"> </w:t>
      </w:r>
      <w:r>
        <w:t xml:space="preserve">The principle, embedded in the 1956 Constitution, of treating West and East Pakistan as two equal halves for legislative representation regardless of population.</w:t>
      </w:r>
    </w:p>
    <w:p>
      <w:pPr>
        <w:numPr>
          <w:ilvl w:val="0"/>
          <w:numId w:val="1042"/>
        </w:numPr>
        <w:pStyle w:val="Compact"/>
      </w:pPr>
      <w:r>
        <w:rPr>
          <w:bCs/>
          <w:b/>
        </w:rPr>
        <w:t xml:space="preserve">Basic Democracies:</w:t>
      </w:r>
      <w:r>
        <w:t xml:space="preserve"> </w:t>
      </w:r>
      <w:r>
        <w:t xml:space="preserve">Ayub Khan’s system of indirectly elected local councillors who, under the 1962 Constitution, formed the electoral college for the presidency.</w:t>
      </w:r>
    </w:p>
    <w:p>
      <w:pPr>
        <w:numPr>
          <w:ilvl w:val="0"/>
          <w:numId w:val="1042"/>
        </w:numPr>
        <w:pStyle w:val="Compact"/>
      </w:pPr>
      <w:r>
        <w:rPr>
          <w:bCs/>
          <w:b/>
        </w:rPr>
        <w:t xml:space="preserve">Article 58(2)(b):</w:t>
      </w:r>
      <w:r>
        <w:t xml:space="preserve"> </w:t>
      </w:r>
      <w:r>
        <w:t xml:space="preserve">The Eighth Amendment provision (1985–1997, then 2003–2010) allowing presidential dissolution of the National Assembly, repeatedly added and removed as the civil-military and centre-presidency balance shifted.</w:t>
      </w:r>
    </w:p>
    <w:bookmarkEnd w:id="99"/>
    <w:bookmarkStart w:id="100" w:name="comparing-pakistans-three-constitutions"/>
    <w:p>
      <w:pPr>
        <w:pStyle w:val="Heading2"/>
      </w:pPr>
      <w:r>
        <w:t xml:space="preserve">Comparing Pakistan’s Three Constitutions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1956 Constitution</w:t>
            </w:r>
          </w:p>
        </w:tc>
        <w:tc>
          <w:tcPr/>
          <w:p>
            <w:pPr>
              <w:pStyle w:val="Compact"/>
              <w:jc w:val="left"/>
            </w:pPr>
            <w:r>
              <w:t xml:space="preserve">1962 Constitution</w:t>
            </w:r>
          </w:p>
        </w:tc>
        <w:tc>
          <w:tcPr/>
          <w:p>
            <w:pPr>
              <w:pStyle w:val="Compact"/>
              <w:jc w:val="left"/>
            </w:pPr>
            <w:r>
              <w:t xml:space="preserve">1973 Constitution (as amended)</w:t>
            </w:r>
          </w:p>
        </w:tc>
      </w:tr>
      <w:tr>
        <w:tc>
          <w:tcPr/>
          <w:p>
            <w:pPr>
              <w:pStyle w:val="Compact"/>
              <w:jc w:val="left"/>
            </w:pPr>
            <w:r>
              <w:t xml:space="preserve">Form of government</w:t>
            </w:r>
          </w:p>
        </w:tc>
        <w:tc>
          <w:tcPr/>
          <w:p>
            <w:pPr>
              <w:pStyle w:val="Compact"/>
              <w:jc w:val="left"/>
            </w:pPr>
            <w:r>
              <w:t xml:space="preserve">Parliamentary</w:t>
            </w:r>
          </w:p>
        </w:tc>
        <w:tc>
          <w:tcPr/>
          <w:p>
            <w:pPr>
              <w:pStyle w:val="Compact"/>
              <w:jc w:val="left"/>
            </w:pPr>
            <w:r>
              <w:t xml:space="preserve">Presidential</w:t>
            </w:r>
          </w:p>
        </w:tc>
        <w:tc>
          <w:tcPr/>
          <w:p>
            <w:pPr>
              <w:pStyle w:val="Compact"/>
              <w:jc w:val="left"/>
            </w:pPr>
            <w:r>
              <w:t xml:space="preserve">Parliamentary</w:t>
            </w:r>
          </w:p>
        </w:tc>
      </w:tr>
      <w:tr>
        <w:tc>
          <w:tcPr/>
          <w:p>
            <w:pPr>
              <w:pStyle w:val="Compact"/>
              <w:jc w:val="left"/>
            </w:pPr>
            <w:r>
              <w:t xml:space="preserve">Head of government’s basis of authority</w:t>
            </w:r>
          </w:p>
        </w:tc>
        <w:tc>
          <w:tcPr/>
          <w:p>
            <w:pPr>
              <w:pStyle w:val="Compact"/>
              <w:jc w:val="left"/>
            </w:pPr>
            <w:r>
              <w:t xml:space="preserve">Prime minister, responsible to National Assembly</w:t>
            </w:r>
          </w:p>
        </w:tc>
        <w:tc>
          <w:tcPr/>
          <w:p>
            <w:pPr>
              <w:pStyle w:val="Compact"/>
              <w:jc w:val="left"/>
            </w:pPr>
            <w:r>
              <w:t xml:space="preserve">President, elected via Basic Democracies electoral college</w:t>
            </w:r>
          </w:p>
        </w:tc>
        <w:tc>
          <w:tcPr/>
          <w:p>
            <w:pPr>
              <w:pStyle w:val="Compact"/>
              <w:jc w:val="left"/>
            </w:pPr>
            <w:r>
              <w:t xml:space="preserve">Prime minister, responsible to National Assembly</w:t>
            </w:r>
          </w:p>
        </w:tc>
      </w:tr>
      <w:tr>
        <w:tc>
          <w:tcPr/>
          <w:p>
            <w:pPr>
              <w:pStyle w:val="Compact"/>
              <w:jc w:val="left"/>
            </w:pPr>
            <w:r>
              <w:t xml:space="preserve">East-West representation formula</w:t>
            </w:r>
          </w:p>
        </w:tc>
        <w:tc>
          <w:tcPr/>
          <w:p>
            <w:pPr>
              <w:pStyle w:val="Compact"/>
              <w:jc w:val="left"/>
            </w:pPr>
            <w:r>
              <w:t xml:space="preserve">Parity (One Unit vs East Pakistan)</w:t>
            </w:r>
          </w:p>
        </w:tc>
        <w:tc>
          <w:tcPr/>
          <w:p>
            <w:pPr>
              <w:pStyle w:val="Compact"/>
              <w:jc w:val="left"/>
            </w:pPr>
            <w:r>
              <w:t xml:space="preserve">Parity continued under Basic Democracies</w:t>
            </w:r>
          </w:p>
        </w:tc>
        <w:tc>
          <w:tcPr/>
          <w:p>
            <w:pPr>
              <w:pStyle w:val="Compact"/>
              <w:jc w:val="left"/>
            </w:pPr>
            <w:r>
              <w:t xml:space="preserve">Not applicable after 1971 separation; based on population within remaining provinces</w:t>
            </w:r>
          </w:p>
        </w:tc>
      </w:tr>
      <w:tr>
        <w:tc>
          <w:tcPr/>
          <w:p>
            <w:pPr>
              <w:pStyle w:val="Compact"/>
              <w:jc w:val="left"/>
            </w:pPr>
            <w:r>
              <w:t xml:space="preserve">Duration in effective operation</w:t>
            </w:r>
          </w:p>
        </w:tc>
        <w:tc>
          <w:tcPr/>
          <w:p>
            <w:pPr>
              <w:pStyle w:val="Compact"/>
              <w:jc w:val="left"/>
            </w:pPr>
            <w:r>
              <w:t xml:space="preserve">c. 1956–1958 (abrogated before a general election was held under it)</w:t>
            </w:r>
          </w:p>
        </w:tc>
        <w:tc>
          <w:tcPr/>
          <w:p>
            <w:pPr>
              <w:pStyle w:val="Compact"/>
              <w:jc w:val="left"/>
            </w:pPr>
            <w:r>
              <w:t xml:space="preserve">c. 1962–1969</w:t>
            </w:r>
          </w:p>
        </w:tc>
        <w:tc>
          <w:tcPr/>
          <w:p>
            <w:pPr>
              <w:pStyle w:val="Compact"/>
              <w:jc w:val="left"/>
            </w:pPr>
            <w:r>
              <w:t xml:space="preserve">1973–present (amended repeatedly)</w:t>
            </w:r>
          </w:p>
        </w:tc>
      </w:tr>
      <w:tr>
        <w:tc>
          <w:tcPr/>
          <w:p>
            <w:pPr>
              <w:pStyle w:val="Compact"/>
              <w:jc w:val="left"/>
            </w:pPr>
            <w:r>
              <w:t xml:space="preserve">Islamic provisions</w:t>
            </w:r>
          </w:p>
        </w:tc>
        <w:tc>
          <w:tcPr/>
          <w:p>
            <w:pPr>
              <w:pStyle w:val="Compact"/>
              <w:jc w:val="left"/>
            </w:pPr>
            <w:r>
              <w:t xml:space="preserve">Objectives Resolution as preamble; Islamic Republic of Pakistan</w:t>
            </w:r>
          </w:p>
        </w:tc>
        <w:tc>
          <w:tcPr/>
          <w:p>
            <w:pPr>
              <w:pStyle w:val="Compact"/>
              <w:jc w:val="left"/>
            </w:pPr>
            <w:r>
              <w:t xml:space="preserve">Continued Islamic provisions, somewhat reduced emphasis initially</w:t>
            </w:r>
          </w:p>
        </w:tc>
        <w:tc>
          <w:tcPr/>
          <w:p>
            <w:pPr>
              <w:pStyle w:val="Compact"/>
              <w:jc w:val="left"/>
            </w:pPr>
            <w:r>
              <w:t xml:space="preserve">Objectives Resolution later made a substantive part of the constitution (1985)</w:t>
            </w:r>
          </w:p>
        </w:tc>
      </w:tr>
    </w:tbl>
    <w:bookmarkEnd w:id="100"/>
    <w:bookmarkStart w:id="101" w:name="preparation-toolkit-5"/>
    <w:p>
      <w:pPr>
        <w:pStyle w:val="Heading2"/>
      </w:pPr>
      <w:r>
        <w:t xml:space="preserve">Preparation Toolkit</w:t>
      </w:r>
    </w:p>
    <w:p>
      <w:pPr>
        <w:pStyle w:val="FirstParagraph"/>
      </w:pPr>
      <w:r>
        <w:rPr>
          <w:bCs/>
          <w:b/>
        </w:rPr>
        <w:t xml:space="preserve">Preparation Checklist</w:t>
      </w:r>
    </w:p>
    <w:p>
      <w:pPr>
        <w:numPr>
          <w:ilvl w:val="0"/>
          <w:numId w:val="1043"/>
        </w:numPr>
        <w:pStyle w:val="Compact"/>
      </w:pPr>
      <w:r>
        <w:t xml:space="preserve">Build two parallel timelines: one tracking governments and political crises, and a separate one tracking constitutional documents and amendments. Keeping these separate prevents the common error of treating a change of government as a constitutional change, or vice versa.</w:t>
      </w:r>
    </w:p>
    <w:p>
      <w:pPr>
        <w:numPr>
          <w:ilvl w:val="0"/>
          <w:numId w:val="1043"/>
        </w:numPr>
        <w:pStyle w:val="Compact"/>
      </w:pPr>
      <w:r>
        <w:t xml:space="preserve">For each of the three constitutions, compare form of government, federal structure, legislature, executive, judiciary, Islamic provisions, and amendment process directly against each other.</w:t>
      </w:r>
    </w:p>
    <w:p>
      <w:pPr>
        <w:numPr>
          <w:ilvl w:val="0"/>
          <w:numId w:val="1043"/>
        </w:numPr>
        <w:pStyle w:val="Compact"/>
      </w:pPr>
      <w:r>
        <w:t xml:space="preserve">Treat the</w:t>
      </w:r>
      <w:r>
        <w:t xml:space="preserve"> </w:t>
      </w:r>
      <w:r>
        <w:t xml:space="preserve">“</w:t>
      </w:r>
      <w:r>
        <w:t xml:space="preserve">why did constitution-making take nine years</w:t>
      </w:r>
      <w:r>
        <w:t xml:space="preserve">”</w:t>
      </w:r>
      <w:r>
        <w:t xml:space="preserve"> </w:t>
      </w:r>
      <w:r>
        <w:t xml:space="preserve">question as a case study in the East-West representation problem specifically — this single issue explains most of the delay and connects directly to Topic 8.</w:t>
      </w:r>
    </w:p>
    <w:p>
      <w:pPr>
        <w:numPr>
          <w:ilvl w:val="0"/>
          <w:numId w:val="1043"/>
        </w:numPr>
        <w:pStyle w:val="Compact"/>
      </w:pPr>
      <w:r>
        <w:t xml:space="preserve">Keep an evidence bank: Jinnah’s death (1948), Objectives Resolution (1949), Liaquat Ali Khan’s assassination (1951), One Unit scheme (1955), 1956 Constitution, 1958 abrogation, 1962 Constitution, 1973 Constitution, Eighth Amendment (1985), Thirteenth Amendment (1997), Seventeenth Amendment (2003), Eighteenth Amendment (2010), Twenty-Sixth Amendment (2024), Twenty-Seventh Amendment (2025).</w:t>
      </w:r>
    </w:p>
    <w:p>
      <w:pPr>
        <w:numPr>
          <w:ilvl w:val="0"/>
          <w:numId w:val="1043"/>
        </w:numPr>
        <w:pStyle w:val="Compact"/>
      </w:pPr>
      <w:r>
        <w:t xml:space="preserve">Practice one analytical outline answering:</w:t>
      </w:r>
      <w:r>
        <w:t xml:space="preserve"> </w:t>
      </w:r>
      <w:r>
        <w:t xml:space="preserve">“</w:t>
      </w:r>
      <w:r>
        <w:t xml:space="preserve">Why did the parity formula, designed to solve Pakistan’s early constitutional deadlock, become one of the long-term causes of the 1971 crisis?</w:t>
      </w:r>
      <w:r>
        <w:t xml:space="preserve">”</w:t>
      </w:r>
    </w:p>
    <w:p>
      <w:pPr>
        <w:pStyle w:val="FirstParagraph"/>
      </w:pPr>
      <w:r>
        <w:rPr>
          <w:bCs/>
          <w:b/>
        </w:rPr>
        <w:t xml:space="preserve">Common Confusions to Avoid</w:t>
      </w:r>
    </w:p>
    <w:p>
      <w:pPr>
        <w:numPr>
          <w:ilvl w:val="0"/>
          <w:numId w:val="1044"/>
        </w:numPr>
        <w:pStyle w:val="Compact"/>
      </w:pPr>
      <w:r>
        <w:t xml:space="preserve">Do not mix constitution-making with ordinary changes of government; the state can change governments (through election, resignation, dismissal, or coup) without any change to the constitutional document itself, and vice versa.</w:t>
      </w:r>
    </w:p>
    <w:p>
      <w:pPr>
        <w:numPr>
          <w:ilvl w:val="0"/>
          <w:numId w:val="1044"/>
        </w:numPr>
        <w:pStyle w:val="Compact"/>
      </w:pPr>
      <w:r>
        <w:t xml:space="preserve">Do not describe the 1956, 1962 and 1973 Constitutions as minor variations of one another; they adopted significantly different executive arrangements (parliamentary, presidential, parliamentary again).</w:t>
      </w:r>
    </w:p>
    <w:p>
      <w:pPr>
        <w:numPr>
          <w:ilvl w:val="0"/>
          <w:numId w:val="1044"/>
        </w:numPr>
        <w:pStyle w:val="Compact"/>
      </w:pPr>
      <w:r>
        <w:t xml:space="preserve">Do not treat the parity formula as a minor technical arrangement; it directly reflects, and later deepened, the core East-West political tension that runs through this entire section of the syllabus.</w:t>
      </w:r>
    </w:p>
    <w:p>
      <w:pPr>
        <w:numPr>
          <w:ilvl w:val="0"/>
          <w:numId w:val="1044"/>
        </w:numPr>
        <w:pStyle w:val="Compact"/>
      </w:pPr>
      <w:r>
        <w:t xml:space="preserve">Do not rely on outdated notes for recent constitutional amendments (particularly the Twenty-Sixth and Twenty-Seventh Amendments); verify current constitutional text from the official National Assembly record close to the date of any examination.</w:t>
      </w:r>
    </w:p>
    <w:p>
      <w:pPr>
        <w:pStyle w:val="FirstParagraph"/>
      </w:pPr>
      <w:r>
        <w:rPr>
          <w:bCs/>
          <w:b/>
        </w:rPr>
        <w:t xml:space="preserve">Easy Revision Points</w:t>
      </w:r>
    </w:p>
    <w:p>
      <w:pPr>
        <w:numPr>
          <w:ilvl w:val="0"/>
          <w:numId w:val="1045"/>
        </w:numPr>
        <w:pStyle w:val="Compact"/>
      </w:pPr>
      <w:r>
        <w:t xml:space="preserve">Muhammad Ali Jinnah became Pakistan’s first Governor-General and died on 11 September 1948; Liaquat Ali Khan was assassinated in October 1951.</w:t>
      </w:r>
    </w:p>
    <w:p>
      <w:pPr>
        <w:numPr>
          <w:ilvl w:val="0"/>
          <w:numId w:val="1045"/>
        </w:numPr>
        <w:pStyle w:val="Compact"/>
      </w:pPr>
      <w:r>
        <w:t xml:space="preserve">The Objectives Resolution was adopted by the Constituent Assembly in March 1949 and became a lasting constitutional reference point, later made a substantive part of the constitution through the Eighth Amendment (1985).</w:t>
      </w:r>
    </w:p>
    <w:p>
      <w:pPr>
        <w:numPr>
          <w:ilvl w:val="0"/>
          <w:numId w:val="1045"/>
        </w:numPr>
        <w:pStyle w:val="Compact"/>
      </w:pPr>
      <w:r>
        <w:t xml:space="preserve">Pakistan’s first constitution came into force in 1956, built around the parity formula and the One Unit scheme, and was abrogated after the 1958 military takeover.</w:t>
      </w:r>
    </w:p>
    <w:p>
      <w:pPr>
        <w:numPr>
          <w:ilvl w:val="0"/>
          <w:numId w:val="1045"/>
        </w:numPr>
        <w:pStyle w:val="Compact"/>
      </w:pPr>
      <w:r>
        <w:t xml:space="preserve">The 1962 Constitution created a presidential system under Ayub Khan, with the president elected through the indirect Basic Democracies system.</w:t>
      </w:r>
    </w:p>
    <w:p>
      <w:pPr>
        <w:numPr>
          <w:ilvl w:val="0"/>
          <w:numId w:val="1045"/>
        </w:numPr>
        <w:pStyle w:val="Compact"/>
      </w:pPr>
      <w:r>
        <w:t xml:space="preserve">The 1973 Constitution established a federal parliamentary system and remains the basic constitutional framework, though amended many times, including the Eighth (1985), Thirteenth (1997), Seventeenth (2003), Eighteenth (2010), Twenty-Sixth (2024) and Twenty-Seventh (2025) Amendments.</w:t>
      </w:r>
    </w:p>
    <w:p>
      <w:pPr>
        <w:numPr>
          <w:ilvl w:val="0"/>
          <w:numId w:val="1045"/>
        </w:numPr>
        <w:pStyle w:val="Compact"/>
      </w:pPr>
      <w:r>
        <w:t xml:space="preserve">Recent constitutional history should be verified from official legislative records rather than relying on older textbooks, since amendment activity has continued into 2025.</w:t>
      </w:r>
    </w:p>
    <w:bookmarkEnd w:id="101"/>
    <w:bookmarkStart w:id="102" w:name="key-takeaways-5"/>
    <w:p>
      <w:pPr>
        <w:pStyle w:val="Heading2"/>
      </w:pPr>
      <w:r>
        <w:t xml:space="preserve">Key Takeaways</w:t>
      </w:r>
    </w:p>
    <w:p>
      <w:pPr>
        <w:numPr>
          <w:ilvl w:val="0"/>
          <w:numId w:val="1046"/>
        </w:numPr>
        <w:pStyle w:val="Compact"/>
      </w:pPr>
      <w:r>
        <w:t xml:space="preserve">Pakistan’s state-building crisis in 1947 (refugee movement, asset division, administrative shortages, and the immediate Kashmir dispute) occurred simultaneously with, and directly delayed, the process of constitution-making.</w:t>
      </w:r>
    </w:p>
    <w:p>
      <w:pPr>
        <w:numPr>
          <w:ilvl w:val="0"/>
          <w:numId w:val="1046"/>
        </w:numPr>
        <w:pStyle w:val="Compact"/>
      </w:pPr>
      <w:r>
        <w:t xml:space="preserve">The early loss of both Jinnah (1948) and Liaquat Ali Khan (1951) left political institutions comparatively weak relative to the more established civil bureaucracy and military — an imbalance that is essential background for Topic 7.</w:t>
      </w:r>
    </w:p>
    <w:p>
      <w:pPr>
        <w:numPr>
          <w:ilvl w:val="0"/>
          <w:numId w:val="1046"/>
        </w:numPr>
        <w:pStyle w:val="Compact"/>
      </w:pPr>
      <w:r>
        <w:t xml:space="preserve">The nine-year delay in producing a first constitution is best explained by the unresolved East-West representation problem, ultimately addressed (not solved) through the parity formula and One Unit scheme in the 1956 Constitution — an arrangement whose long-term political cost becomes clear in Topic 8.</w:t>
      </w:r>
    </w:p>
    <w:p>
      <w:pPr>
        <w:numPr>
          <w:ilvl w:val="0"/>
          <w:numId w:val="1046"/>
        </w:numPr>
        <w:pStyle w:val="Compact"/>
      </w:pPr>
      <w:r>
        <w:t xml:space="preserve">Pakistan’s three constitutions (1956, 1962, 1973) adopted substantially different executive models, and the 1973 Constitution’s long amendment history is best read as a continuing negotiation over the balance between president and prime minister, centre and provinces, and elected and unelected institutions.</w:t>
      </w:r>
    </w:p>
    <w:p>
      <w:pPr>
        <w:numPr>
          <w:ilvl w:val="0"/>
          <w:numId w:val="1046"/>
        </w:numPr>
        <w:pStyle w:val="Compact"/>
      </w:pPr>
      <w:r>
        <w:t xml:space="preserve">Very recent constitutional developments (the 2024 and 2025 amendments) should always be checked against current official sources, since this is an area where legislative change continues to occur close to, and potentially after, any given examination date.</w:t>
      </w:r>
    </w:p>
    <w:bookmarkEnd w:id="102"/>
    <w:bookmarkEnd w:id="103"/>
    <w:bookmarkStart w:id="115" w:name="Xe2da6afaeb127c1e4c7723cb4747bae06950f75"/>
    <w:p>
      <w:pPr>
        <w:pStyle w:val="Heading1"/>
        <w:pageBreakBefore/>
      </w:pPr>
      <w:r>
        <w:t xml:space="preserve">7. Military in Politics and Civil-Military Relations</w:t>
      </w:r>
    </w:p>
    <w:bookmarkStart w:id="104" w:name="why-this-topic-matters-6"/>
    <w:p>
      <w:pPr>
        <w:pStyle w:val="Heading2"/>
      </w:pPr>
      <w:r>
        <w:t xml:space="preserve">Why This Topic Matters</w:t>
      </w:r>
    </w:p>
    <w:p>
      <w:pPr>
        <w:pStyle w:val="FirstParagraph"/>
      </w:pPr>
      <w:r>
        <w:t xml:space="preserve">Four of Pakistan’s rulers between 1958 and 2008 came to power through direct military takeover, and the military’s influence on politics, security policy and even the economy extends well beyond these four episodes of formal martial law. This topic asks a genuinely structural question — why has the military repeatedly become the decisive political actor, and what has each period of military rule changed institutionally — rather than simply asking for four separate biographies. Treating it as four biographies, without a comparative and structural argument connecting them, is the single most common way candidates lose marks on this topic.</w:t>
      </w:r>
    </w:p>
    <w:bookmarkEnd w:id="104"/>
    <w:bookmarkStart w:id="105" w:name="X2cf2483844932df14b10cd18da7879f8db506a4"/>
    <w:p>
      <w:pPr>
        <w:pStyle w:val="Heading2"/>
      </w:pPr>
      <w:r>
        <w:t xml:space="preserve">Why Military Intervention Became Possible: Structural Explanations</w:t>
      </w:r>
    </w:p>
    <w:p>
      <w:pPr>
        <w:pStyle w:val="FirstParagraph"/>
      </w:pPr>
      <w:r>
        <w:t xml:space="preserve">Before studying the four individual rulers, it is worth establishing the structural conditions that made repeated intervention possible, since no single ruler’s personal ambition is a sufficient explanation on its own:</w:t>
      </w:r>
    </w:p>
    <w:p>
      <w:pPr>
        <w:numPr>
          <w:ilvl w:val="0"/>
          <w:numId w:val="1047"/>
        </w:numPr>
        <w:pStyle w:val="Compact"/>
      </w:pPr>
      <w:r>
        <w:rPr>
          <w:bCs/>
          <w:b/>
        </w:rPr>
        <w:t xml:space="preserve">Institutional imbalance inherited from 1947.</w:t>
      </w:r>
      <w:r>
        <w:t xml:space="preserve"> </w:t>
      </w:r>
      <w:r>
        <w:t xml:space="preserve">As established in Topic 6, Pakistan inherited a comparatively small and inexperienced political-party apparatus alongside a well-organised, professionally trained civil bureaucracy and military, both carrying over strong institutional traditions from the colonial period. This imbalance meant that, from the very beginning, the state’s most organisationally capable institutions were not the elected ones.</w:t>
      </w:r>
    </w:p>
    <w:p>
      <w:pPr>
        <w:numPr>
          <w:ilvl w:val="0"/>
          <w:numId w:val="1047"/>
        </w:numPr>
        <w:pStyle w:val="Compact"/>
      </w:pPr>
      <w:r>
        <w:rPr>
          <w:bCs/>
          <w:b/>
        </w:rPr>
        <w:t xml:space="preserve">Weak party institutionalisation.</w:t>
      </w:r>
      <w:r>
        <w:t xml:space="preserve"> </w:t>
      </w:r>
      <w:r>
        <w:t xml:space="preserve">Pakistani political parties in the 1950s were frequently built around individual personalities and shifting factional alliances rather than durable organisational structures or mass membership bases, making elected governments comparatively fragile and prone to defection-driven collapse.</w:t>
      </w:r>
    </w:p>
    <w:p>
      <w:pPr>
        <w:numPr>
          <w:ilvl w:val="0"/>
          <w:numId w:val="1047"/>
        </w:numPr>
        <w:pStyle w:val="Compact"/>
      </w:pPr>
      <w:r>
        <w:rPr>
          <w:bCs/>
          <w:b/>
        </w:rPr>
        <w:t xml:space="preserve">Constitutional delay and instability</w:t>
      </w:r>
      <w:r>
        <w:t xml:space="preserve">, discussed in Topic 6, meant that Pakistan spent its first decade without a working, tested constitutional framework — a vacuum military and bureaucratic actors were well positioned to fill.</w:t>
      </w:r>
    </w:p>
    <w:p>
      <w:pPr>
        <w:numPr>
          <w:ilvl w:val="0"/>
          <w:numId w:val="1047"/>
        </w:numPr>
        <w:pStyle w:val="Compact"/>
      </w:pPr>
      <w:r>
        <w:rPr>
          <w:bCs/>
          <w:b/>
        </w:rPr>
        <w:t xml:space="preserve">External security pressure and alliance patronage.</w:t>
      </w:r>
      <w:r>
        <w:t xml:space="preserve"> </w:t>
      </w:r>
      <w:r>
        <w:t xml:space="preserve">Pakistan’s Cold War-era alliances (SEATO, the Baghdad Pact/CENTO, and close bilateral defence cooperation with the United States, examined fully in Topic 10) channelled substantial military assistance and training directly to the armed forces, strengthening the military’s organisational capacity and international standing relative to civilian institutions.</w:t>
      </w:r>
    </w:p>
    <w:p>
      <w:pPr>
        <w:numPr>
          <w:ilvl w:val="0"/>
          <w:numId w:val="1047"/>
        </w:numPr>
        <w:pStyle w:val="Compact"/>
      </w:pPr>
      <w:r>
        <w:rPr>
          <w:bCs/>
          <w:b/>
        </w:rPr>
        <w:t xml:space="preserve">A self-reinforcing pattern.</w:t>
      </w:r>
      <w:r>
        <w:t xml:space="preserve"> </w:t>
      </w:r>
      <w:r>
        <w:t xml:space="preserve">Each period of military rule, once established, further weakened civilian institutions (by co-opting, marginalising or outlasting political parties), making it harder for the next elected government to build durable institutional strength before the next crisis — a dynamic some analysts describe as a</w:t>
      </w:r>
      <w:r>
        <w:t xml:space="preserve"> </w:t>
      </w:r>
      <w:r>
        <w:t xml:space="preserve">“</w:t>
      </w:r>
      <w:r>
        <w:t xml:space="preserve">hybrid</w:t>
      </w:r>
      <w:r>
        <w:t xml:space="preserve">”</w:t>
      </w:r>
      <w:r>
        <w:t xml:space="preserve"> </w:t>
      </w:r>
      <w:r>
        <w:t xml:space="preserve">or path-dependent civil-military equilibrium rather than a series of unconnected, one-off coups.</w:t>
      </w:r>
    </w:p>
    <w:p>
      <w:pPr>
        <w:pStyle w:val="FirstParagraph"/>
      </w:pPr>
      <w:r>
        <w:t xml:space="preserve">No single factor above is sufficient by itself; a strong answer explains the interaction among institutional imbalance, weak parties, constitutional instability, and external patronage, rather than picking one as</w:t>
      </w:r>
      <w:r>
        <w:t xml:space="preserve"> </w:t>
      </w:r>
      <w:r>
        <w:t xml:space="preserve">“</w:t>
      </w:r>
      <w:r>
        <w:t xml:space="preserve">the</w:t>
      </w:r>
      <w:r>
        <w:t xml:space="preserve">”</w:t>
      </w:r>
      <w:r>
        <w:t xml:space="preserve"> </w:t>
      </w:r>
      <w:r>
        <w:t xml:space="preserve">cause.</w:t>
      </w:r>
    </w:p>
    <w:bookmarkEnd w:id="105"/>
    <w:bookmarkStart w:id="106" w:name="ayub-khan-19581969"/>
    <w:p>
      <w:pPr>
        <w:pStyle w:val="Heading2"/>
      </w:pPr>
      <w:r>
        <w:t xml:space="preserve">Ayub Khan (1958–1969)</w:t>
      </w:r>
    </w:p>
    <w:p>
      <w:pPr>
        <w:pStyle w:val="FirstParagraph"/>
      </w:pPr>
      <w:r>
        <w:t xml:space="preserve">General Ayub Khan’s takeover in October 1958, formally initiated by President Iskander Mirza’s declaration of martial law (Mirza was himself removed by Ayub within weeks, illustrating how quickly the military became the dominant actor once martial law was declared), ended the 1956 constitutional order and Pakistan’s first parliamentary experiment. Ayub subsequently introduced the 1962 Constitution (Topic 6), establishing a presidential system legitimated through the indirect Basic Democracies electoral structure. His government pursued an ambitious economic development strategy — often summarised as the</w:t>
      </w:r>
      <w:r>
        <w:t xml:space="preserve"> </w:t>
      </w:r>
      <w:r>
        <w:t xml:space="preserve">“</w:t>
      </w:r>
      <w:r>
        <w:t xml:space="preserve">Decade of Development</w:t>
      </w:r>
      <w:r>
        <w:t xml:space="preserve">”</w:t>
      </w:r>
      <w:r>
        <w:t xml:space="preserve"> </w:t>
      </w:r>
      <w:r>
        <w:t xml:space="preserve">— emphasising industrialisation, the Green Revolution in agriculture, and close alignment with the United States and Western development assistance (Topic 10). Politically, Ayub’s rule combined administrative centralisation with growing regional and political opposition, particularly in East Pakistan (where Basic Democracies and centralised economic planning were widely perceived as favouring West Pakistan) and among urban political and student movements protesting limited political participation and rising inequality. Mass protests in 1968–1969 forced Ayub’s resignation in March 1969, and he handed power not to a civilian successor but to the army commander, General Yahya Khan — itself a telling indication of how thoroughly the military, rather than any civilian institution, had become the de facto final arbiter of political transition.</w:t>
      </w:r>
    </w:p>
    <w:bookmarkEnd w:id="106"/>
    <w:bookmarkStart w:id="107" w:name="yahya-khan-19691971"/>
    <w:p>
      <w:pPr>
        <w:pStyle w:val="Heading2"/>
      </w:pPr>
      <w:r>
        <w:t xml:space="preserve">Yahya Khan (1969–1971)</w:t>
      </w:r>
    </w:p>
    <w:p>
      <w:pPr>
        <w:pStyle w:val="FirstParagraph"/>
      </w:pPr>
      <w:r>
        <w:t xml:space="preserve">General Yahya Khan’s brief period in power is dominated by two connected developments, both discussed at length elsewhere in this subject. He abolished the One Unit scheme (restoring West Pakistan’s separate provinces) and issued the Legal Framework Order of 1970, providing rules for Pakistan’s first general election held on the basis of direct adult franchise (Topic 6 and Topic 9 both refer back to this election as a genuine milestone in Pakistan’s electoral history). That December 1970 election produced a decisive Awami League majority based overwhelmingly on East Pakistani votes — and Yahya’s government’s failure to convene the National Assembly and transfer power to the resulting majority became the immediate political trigger for the crisis analysed in full in Topic 8, culminating in military action, civil war, and the loss of East Pakistan in December 1971. Yahya’s period in power should therefore be read less as a self-contained episode of military rule and more as the hinge connecting the parity-based constitutional structure of Topic 6 to the breakup analysed in Topic 8.</w:t>
      </w:r>
    </w:p>
    <w:bookmarkEnd w:id="107"/>
    <w:bookmarkStart w:id="108" w:name="zia-ul-haq-19771988"/>
    <w:p>
      <w:pPr>
        <w:pStyle w:val="Heading2"/>
      </w:pPr>
      <w:r>
        <w:t xml:space="preserve">Zia-ul-Haq (1977–1988)</w:t>
      </w:r>
    </w:p>
    <w:p>
      <w:pPr>
        <w:pStyle w:val="FirstParagraph"/>
      </w:pPr>
      <w:r>
        <w:t xml:space="preserve">General Zia-ul-Haq’s coup in July 1977 removed the elected government of Zulfikar Ali Bhutto (Topic 9), following months of opposition protest over allegations of electoral rigging in the March 1977 election. Zia’s eleven-year rule is distinguished from the other three military periods by several specific features:</w:t>
      </w:r>
    </w:p>
    <w:p>
      <w:pPr>
        <w:numPr>
          <w:ilvl w:val="0"/>
          <w:numId w:val="1048"/>
        </w:numPr>
        <w:pStyle w:val="Compact"/>
      </w:pPr>
      <w:r>
        <w:rPr>
          <w:bCs/>
          <w:b/>
        </w:rPr>
        <w:t xml:space="preserve">Islamization measures</w:t>
      </w:r>
      <w:r>
        <w:t xml:space="preserve">, including changes to criminal law (the Hudood Ordinances of 1979), the introduction of Zakat and Ushr collection systems, and broader efforts to align legal and educational institutions more closely with Zia’s interpretation of Islamic principles — measures with substantial and long-debated social and legal consequences that outlasted his own rule.</w:t>
      </w:r>
    </w:p>
    <w:p>
      <w:pPr>
        <w:numPr>
          <w:ilvl w:val="0"/>
          <w:numId w:val="1048"/>
        </w:numPr>
        <w:pStyle w:val="Compact"/>
      </w:pPr>
      <w:r>
        <w:rPr>
          <w:bCs/>
          <w:b/>
        </w:rPr>
        <w:t xml:space="preserve">Non-party political arrangements</w:t>
      </w:r>
      <w:r>
        <w:t xml:space="preserve">, including a non-party basis for the 1985 general election, intended to weaken established political parties (particularly the Pakistan People’s Party) while still providing some appearance of electoral legitimacy.</w:t>
      </w:r>
    </w:p>
    <w:p>
      <w:pPr>
        <w:numPr>
          <w:ilvl w:val="0"/>
          <w:numId w:val="1048"/>
        </w:numPr>
        <w:pStyle w:val="Compact"/>
      </w:pPr>
      <w:r>
        <w:rPr>
          <w:bCs/>
          <w:b/>
        </w:rPr>
        <w:t xml:space="preserve">Deep involvement in the Afghan war.</w:t>
      </w:r>
      <w:r>
        <w:t xml:space="preserve"> </w:t>
      </w:r>
      <w:r>
        <w:t xml:space="preserve">Following the Soviet Union’s 1979 military intervention in Afghanistan, Pakistan under Zia became the principal frontline state channelling substantial American and Saudi-financed support to Afghan resistance fighters (the mujahideen) — a role examined fully in Topic 10 for its foreign-policy dimension, but relevant here for its profound domestic consequences: an influx of weapons, a large refugee population, and the growth of a militant and sectarian infrastructure whose long-term security effects have persisted for decades after Zia’s own rule ended.</w:t>
      </w:r>
    </w:p>
    <w:p>
      <w:pPr>
        <w:numPr>
          <w:ilvl w:val="0"/>
          <w:numId w:val="1048"/>
        </w:numPr>
        <w:pStyle w:val="Compact"/>
      </w:pPr>
      <w:r>
        <w:t xml:space="preserve">Zia governed under martial law for several years before restoring a nominally civilian constitutional framework via the Eighth Amendment (Topic 6), which he used to retain substantial presidential authority even after the formal end of martial law. He died in a plane crash in August 1988, shortly before a scheduled general election.</w:t>
      </w:r>
    </w:p>
    <w:bookmarkEnd w:id="108"/>
    <w:bookmarkStart w:id="109" w:name="pervez-musharraf-19992008"/>
    <w:p>
      <w:pPr>
        <w:pStyle w:val="Heading2"/>
      </w:pPr>
      <w:r>
        <w:t xml:space="preserve">Pervez Musharraf (1999–2008)</w:t>
      </w:r>
    </w:p>
    <w:p>
      <w:pPr>
        <w:pStyle w:val="FirstParagraph"/>
      </w:pPr>
      <w:r>
        <w:t xml:space="preserve">General Pervez Musharraf’s takeover in October 1999 removed the elected government of Nawaz Sharif, following a period of acute tension between Sharif’s government and the military leadership over the conduct of the 1999 Kargil conflict with India (Topic 10) and Sharif’s attempt to remove Musharraf as army chief. Musharraf initially governed as Chief Executive before later combining the presidency with continued leadership of the army, a dual role he retained for several years despite its constitutional and political controversy. His government introduced local-government reforms (a devolution plan intended to strengthen elected local bodies, though its long-term institutional legacy remains debated) and pursued a broadly market-oriented economic policy. Following the 11 September 2001 attacks in the United States, Musharraf’s government became a major partner in the American-led</w:t>
      </w:r>
      <w:r>
        <w:t xml:space="preserve"> </w:t>
      </w:r>
      <w:r>
        <w:t xml:space="preserve">“</w:t>
      </w:r>
      <w:r>
        <w:t xml:space="preserve">War on Terror</w:t>
      </w:r>
      <w:r>
        <w:t xml:space="preserve">”</w:t>
      </w:r>
      <w:r>
        <w:t xml:space="preserve"> </w:t>
      </w:r>
      <w:r>
        <w:t xml:space="preserve">(Topic 10), reversing Pakistan’s earlier direct support for the Afghan Taliban regime and receiving substantial renewed American aid and diplomatic support in return. Musharraf’s later years in power were marked by escalating conflict with the judiciary (particularly his 2007 suspension and later dismissal of Chief Justice Iftikhar Muhammad Chaudhry, which provoked a sustained and ultimately successful lawyers’ movement demanding judicial independence) and with political parties, culminating in his resignation in August 2008 under the threat of impeachment by a newly elected civilian parliament.</w:t>
      </w:r>
    </w:p>
    <w:bookmarkEnd w:id="109"/>
    <w:bookmarkStart w:id="110" w:name="X74e160338ad4088e3b8b825b9f4bf672f9342c4"/>
    <w:p>
      <w:pPr>
        <w:pStyle w:val="Heading2"/>
      </w:pPr>
      <w:r>
        <w:t xml:space="preserve">Civil-Military Relations Beyond Formal Coups</w:t>
      </w:r>
    </w:p>
    <w:p>
      <w:pPr>
        <w:pStyle w:val="FirstParagraph"/>
      </w:pPr>
      <w:r>
        <w:t xml:space="preserve">Restricting this topic to the four periods of formal martial law significantly understates its true scope. Civil-military relations in Pakistan also encompass:</w:t>
      </w:r>
    </w:p>
    <w:p>
      <w:pPr>
        <w:numPr>
          <w:ilvl w:val="0"/>
          <w:numId w:val="1049"/>
        </w:numPr>
        <w:pStyle w:val="Compact"/>
      </w:pPr>
      <w:r>
        <w:rPr>
          <w:bCs/>
          <w:b/>
        </w:rPr>
        <w:t xml:space="preserve">Defence and national-security decision-making</w:t>
      </w:r>
      <w:r>
        <w:t xml:space="preserve">, where the military’s institutional expertise, information advantages, and direct control of the country’s nuclear weapons programme (Topic 10) have given it substantial influence over policy even during periods of civilian government.</w:t>
      </w:r>
    </w:p>
    <w:p>
      <w:pPr>
        <w:numPr>
          <w:ilvl w:val="0"/>
          <w:numId w:val="1049"/>
        </w:numPr>
        <w:pStyle w:val="Compact"/>
      </w:pPr>
      <w:r>
        <w:rPr>
          <w:bCs/>
          <w:b/>
        </w:rPr>
        <w:t xml:space="preserve">Intelligence institutions</w:t>
      </w:r>
      <w:r>
        <w:t xml:space="preserve">, particularly the Inter-Services Intelligence directorate (ISI), whose role in domestic politics as well as external security and intelligence operations has been the subject of extensive analysis and controversy, including during periods of civilian rule.</w:t>
      </w:r>
    </w:p>
    <w:p>
      <w:pPr>
        <w:numPr>
          <w:ilvl w:val="0"/>
          <w:numId w:val="1049"/>
        </w:numPr>
        <w:pStyle w:val="Compact"/>
      </w:pPr>
      <w:r>
        <w:rPr>
          <w:bCs/>
          <w:b/>
        </w:rPr>
        <w:t xml:space="preserve">The military’s economic footprint.</w:t>
      </w:r>
      <w:r>
        <w:t xml:space="preserve"> </w:t>
      </w:r>
      <w:r>
        <w:t xml:space="preserve">The scholar Ayesha Siddiqa’s influential study</w:t>
      </w:r>
      <w:r>
        <w:t xml:space="preserve"> </w:t>
      </w:r>
      <w:r>
        <w:rPr>
          <w:iCs/>
          <w:i/>
        </w:rPr>
        <w:t xml:space="preserve">Military Inc.</w:t>
      </w:r>
      <w:r>
        <w:t xml:space="preserve"> </w:t>
      </w:r>
      <w:r>
        <w:t xml:space="preserve">(2007) documented the scale of the Pakistani military’s involvement in commercial enterprises — a phenomenon she terms</w:t>
      </w:r>
      <w:r>
        <w:t xml:space="preserve"> </w:t>
      </w:r>
      <w:r>
        <w:t xml:space="preserve">“</w:t>
      </w:r>
      <w:r>
        <w:t xml:space="preserve">Milbus</w:t>
      </w:r>
      <w:r>
        <w:t xml:space="preserve">”</w:t>
      </w:r>
      <w:r>
        <w:t xml:space="preserve"> </w:t>
      </w:r>
      <w:r>
        <w:t xml:space="preserve">(military business), covering welfare foundations, real estate, and a range of commercial ventures operated by or for the benefit of military personnel and institutions — arguing that this economic footprint gives the military an institutional stake in political influence that extends well beyond formal governmental power. This remains a debated and actively researched area of Pakistan’s political economy.</w:t>
      </w:r>
    </w:p>
    <w:p>
      <w:pPr>
        <w:numPr>
          <w:ilvl w:val="0"/>
          <w:numId w:val="1049"/>
        </w:numPr>
        <w:pStyle w:val="Compact"/>
      </w:pPr>
      <w:r>
        <w:rPr>
          <w:bCs/>
          <w:b/>
        </w:rPr>
        <w:t xml:space="preserve">Civilian institutional capacity itself</w:t>
      </w:r>
      <w:r>
        <w:t xml:space="preserve">, which theorists of civil-military relations (drawing on the broader comparative political science of scholars such as Samuel Huntington, who distinguished</w:t>
      </w:r>
      <w:r>
        <w:t xml:space="preserve"> </w:t>
      </w:r>
      <w:r>
        <w:t xml:space="preserve">“</w:t>
      </w:r>
      <w:r>
        <w:t xml:space="preserve">objective</w:t>
      </w:r>
      <w:r>
        <w:t xml:space="preserve">”</w:t>
      </w:r>
      <w:r>
        <w:t xml:space="preserve"> </w:t>
      </w:r>
      <w:r>
        <w:t xml:space="preserve">civilian control — a professionalised military that stays out of politics as a matter of institutional norm — from</w:t>
      </w:r>
      <w:r>
        <w:t xml:space="preserve"> </w:t>
      </w:r>
      <w:r>
        <w:t xml:space="preserve">“</w:t>
      </w:r>
      <w:r>
        <w:t xml:space="preserve">subjective</w:t>
      </w:r>
      <w:r>
        <w:t xml:space="preserve">”</w:t>
      </w:r>
      <w:r>
        <w:t xml:space="preserve"> </w:t>
      </w:r>
      <w:r>
        <w:t xml:space="preserve">civilian control achieved through political co-optation of the military) generally treat as the other half of the explanation: civil-military imbalance results from weakness on the civilian side as much as strength or ambition on the military side, and studying only the military’s actions while treating civilian institutions as a passive, unchanging backdrop produces an incomplete analysis.</w:t>
      </w:r>
    </w:p>
    <w:bookmarkEnd w:id="110"/>
    <w:bookmarkStart w:id="111" w:name="key-terms-and-concepts-6"/>
    <w:p>
      <w:pPr>
        <w:pStyle w:val="Heading2"/>
      </w:pPr>
      <w:r>
        <w:t xml:space="preserve">Key Terms and Concepts</w:t>
      </w:r>
    </w:p>
    <w:p>
      <w:pPr>
        <w:numPr>
          <w:ilvl w:val="0"/>
          <w:numId w:val="1050"/>
        </w:numPr>
        <w:pStyle w:val="Compact"/>
      </w:pPr>
      <w:r>
        <w:rPr>
          <w:bCs/>
          <w:b/>
        </w:rPr>
        <w:t xml:space="preserve">Legal Framework Order (1970):</w:t>
      </w:r>
      <w:r>
        <w:t xml:space="preserve"> </w:t>
      </w:r>
      <w:r>
        <w:t xml:space="preserve">Yahya Khan’s framework governing Pakistan’s first direct-franchise general election.</w:t>
      </w:r>
    </w:p>
    <w:p>
      <w:pPr>
        <w:numPr>
          <w:ilvl w:val="0"/>
          <w:numId w:val="1050"/>
        </w:numPr>
        <w:pStyle w:val="Compact"/>
      </w:pPr>
      <w:r>
        <w:rPr>
          <w:bCs/>
          <w:b/>
        </w:rPr>
        <w:t xml:space="preserve">Hudood Ordinances (1979):</w:t>
      </w:r>
      <w:r>
        <w:t xml:space="preserve"> </w:t>
      </w:r>
      <w:r>
        <w:t xml:space="preserve">Zia-ul-Haq’s Islamization-era criminal law reforms, among the most consequential and most debated legal changes of the military-rule period.</w:t>
      </w:r>
    </w:p>
    <w:p>
      <w:pPr>
        <w:numPr>
          <w:ilvl w:val="0"/>
          <w:numId w:val="1050"/>
        </w:numPr>
        <w:pStyle w:val="Compact"/>
      </w:pPr>
      <w:r>
        <w:rPr>
          <w:bCs/>
          <w:b/>
        </w:rPr>
        <w:t xml:space="preserve">Milbus:</w:t>
      </w:r>
      <w:r>
        <w:t xml:space="preserve"> </w:t>
      </w:r>
      <w:r>
        <w:t xml:space="preserve">Ayesha Siddiqa’s term for the Pakistani military’s commercial and economic enterprises, extending its institutional interests beyond formal governmental power.</w:t>
      </w:r>
    </w:p>
    <w:p>
      <w:pPr>
        <w:numPr>
          <w:ilvl w:val="0"/>
          <w:numId w:val="1050"/>
        </w:numPr>
        <w:pStyle w:val="Compact"/>
      </w:pPr>
      <w:r>
        <w:rPr>
          <w:bCs/>
          <w:b/>
        </w:rPr>
        <w:t xml:space="preserve">Objective vs. subjective civilian control:</w:t>
      </w:r>
      <w:r>
        <w:t xml:space="preserve"> </w:t>
      </w:r>
      <w:r>
        <w:t xml:space="preserve">Samuel Huntington’s distinction between professionalised military non-interference as an institutional norm, versus civilian control achieved through political co-optation of the military.</w:t>
      </w:r>
    </w:p>
    <w:bookmarkEnd w:id="111"/>
    <w:bookmarkStart w:id="112" w:name="X233d37ab5bd9ab311eac695cad77910b9107579"/>
    <w:p>
      <w:pPr>
        <w:pStyle w:val="Heading2"/>
      </w:pPr>
      <w:r>
        <w:t xml:space="preserve">Comparing the Four Periods of Military Rule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Ruler</w:t>
            </w:r>
          </w:p>
        </w:tc>
        <w:tc>
          <w:tcPr/>
          <w:p>
            <w:pPr>
              <w:pStyle w:val="Compact"/>
              <w:jc w:val="left"/>
            </w:pPr>
            <w:r>
              <w:t xml:space="preserve">Takeover and stated justification</w:t>
            </w:r>
          </w:p>
        </w:tc>
        <w:tc>
          <w:tcPr/>
          <w:p>
            <w:pPr>
              <w:pStyle w:val="Compact"/>
              <w:jc w:val="left"/>
            </w:pPr>
            <w:r>
              <w:t xml:space="preserve">Key institutional changes</w:t>
            </w:r>
          </w:p>
        </w:tc>
        <w:tc>
          <w:tcPr/>
          <w:p>
            <w:pPr>
              <w:pStyle w:val="Compact"/>
              <w:jc w:val="left"/>
            </w:pPr>
            <w:r>
              <w:t xml:space="preserve">Major policy outcomes</w:t>
            </w:r>
          </w:p>
        </w:tc>
        <w:tc>
          <w:tcPr/>
          <w:p>
            <w:pPr>
              <w:pStyle w:val="Compact"/>
              <w:jc w:val="left"/>
            </w:pPr>
            <w:r>
              <w:t xml:space="preserve">Exit and legacy</w:t>
            </w:r>
          </w:p>
        </w:tc>
      </w:tr>
      <w:tr>
        <w:tc>
          <w:tcPr/>
          <w:p>
            <w:pPr>
              <w:pStyle w:val="Compact"/>
              <w:jc w:val="left"/>
            </w:pPr>
            <w:r>
              <w:t xml:space="preserve">Ayub Khan (1958–1969)</w:t>
            </w:r>
          </w:p>
        </w:tc>
        <w:tc>
          <w:tcPr/>
          <w:p>
            <w:pPr>
              <w:pStyle w:val="Compact"/>
              <w:jc w:val="left"/>
            </w:pPr>
            <w:r>
              <w:t xml:space="preserve">Martial law amid constitutional and political instability; ended the 1956 order</w:t>
            </w:r>
          </w:p>
        </w:tc>
        <w:tc>
          <w:tcPr/>
          <w:p>
            <w:pPr>
              <w:pStyle w:val="Compact"/>
              <w:jc w:val="left"/>
            </w:pPr>
            <w:r>
              <w:t xml:space="preserve">1962 presidential Constitution; Basic Democracies</w:t>
            </w:r>
          </w:p>
        </w:tc>
        <w:tc>
          <w:tcPr/>
          <w:p>
            <w:pPr>
              <w:pStyle w:val="Compact"/>
              <w:jc w:val="left"/>
            </w:pPr>
            <w:r>
              <w:t xml:space="preserve">Economic development strategy; close US alignment</w:t>
            </w:r>
          </w:p>
        </w:tc>
        <w:tc>
          <w:tcPr/>
          <w:p>
            <w:pPr>
              <w:pStyle w:val="Compact"/>
              <w:jc w:val="left"/>
            </w:pPr>
            <w:r>
              <w:t xml:space="preserve">Resignation under mass protest (1969); handed power to the army, not a civilian</w:t>
            </w:r>
          </w:p>
        </w:tc>
      </w:tr>
      <w:tr>
        <w:tc>
          <w:tcPr/>
          <w:p>
            <w:pPr>
              <w:pStyle w:val="Compact"/>
              <w:jc w:val="left"/>
            </w:pPr>
            <w:r>
              <w:t xml:space="preserve">Yahya Khan (1969–1971)</w:t>
            </w:r>
          </w:p>
        </w:tc>
        <w:tc>
          <w:tcPr/>
          <w:p>
            <w:pPr>
              <w:pStyle w:val="Compact"/>
              <w:jc w:val="left"/>
            </w:pPr>
            <w:r>
              <w:t xml:space="preserve">Succeeded Ayub as army chief</w:t>
            </w:r>
          </w:p>
        </w:tc>
        <w:tc>
          <w:tcPr/>
          <w:p>
            <w:pPr>
              <w:pStyle w:val="Compact"/>
              <w:jc w:val="left"/>
            </w:pPr>
            <w:r>
              <w:t xml:space="preserve">Abolished One Unit; Legal Framework Order; held 1970 election</w:t>
            </w:r>
          </w:p>
        </w:tc>
        <w:tc>
          <w:tcPr/>
          <w:p>
            <w:pPr>
              <w:pStyle w:val="Compact"/>
              <w:jc w:val="left"/>
            </w:pPr>
            <w:r>
              <w:t xml:space="preserve">First direct-franchise national election</w:t>
            </w:r>
          </w:p>
        </w:tc>
        <w:tc>
          <w:tcPr/>
          <w:p>
            <w:pPr>
              <w:pStyle w:val="Compact"/>
              <w:jc w:val="left"/>
            </w:pPr>
            <w:r>
              <w:t xml:space="preserve">Failed to transfer power to the elected Awami League majority; presided over the 1971 breakup</w:t>
            </w:r>
          </w:p>
        </w:tc>
      </w:tr>
      <w:tr>
        <w:tc>
          <w:tcPr/>
          <w:p>
            <w:pPr>
              <w:pStyle w:val="Compact"/>
              <w:jc w:val="left"/>
            </w:pPr>
            <w:r>
              <w:t xml:space="preserve">Zia-ul-Haq (1977–1988)</w:t>
            </w:r>
          </w:p>
        </w:tc>
        <w:tc>
          <w:tcPr/>
          <w:p>
            <w:pPr>
              <w:pStyle w:val="Compact"/>
              <w:jc w:val="left"/>
            </w:pPr>
            <w:r>
              <w:t xml:space="preserve">Coup amid post-election political crisis</w:t>
            </w:r>
          </w:p>
        </w:tc>
        <w:tc>
          <w:tcPr/>
          <w:p>
            <w:pPr>
              <w:pStyle w:val="Compact"/>
              <w:jc w:val="left"/>
            </w:pPr>
            <w:r>
              <w:t xml:space="preserve">Islamization measures (Hudood Ordinances); non-party politics; Eighth Amendment</w:t>
            </w:r>
          </w:p>
        </w:tc>
        <w:tc>
          <w:tcPr/>
          <w:p>
            <w:pPr>
              <w:pStyle w:val="Compact"/>
              <w:jc w:val="left"/>
            </w:pPr>
            <w:r>
              <w:t xml:space="preserve">Frontline role in the Afghan war against Soviet intervention</w:t>
            </w:r>
          </w:p>
        </w:tc>
        <w:tc>
          <w:tcPr/>
          <w:p>
            <w:pPr>
              <w:pStyle w:val="Compact"/>
              <w:jc w:val="left"/>
            </w:pPr>
            <w:r>
              <w:t xml:space="preserve">Died in office (1988); long-term social, legal and security legacy of Islamization and the Afghan war</w:t>
            </w:r>
          </w:p>
        </w:tc>
      </w:tr>
      <w:tr>
        <w:tc>
          <w:tcPr/>
          <w:p>
            <w:pPr>
              <w:pStyle w:val="Compact"/>
              <w:jc w:val="left"/>
            </w:pPr>
            <w:r>
              <w:t xml:space="preserve">Pervez Musharraf (1999–2008)</w:t>
            </w:r>
          </w:p>
        </w:tc>
        <w:tc>
          <w:tcPr/>
          <w:p>
            <w:pPr>
              <w:pStyle w:val="Compact"/>
              <w:jc w:val="left"/>
            </w:pPr>
            <w:r>
              <w:t xml:space="preserve">Coup amid civil-military tension over Kargil and the army-chief dismissal attempt</w:t>
            </w:r>
          </w:p>
        </w:tc>
        <w:tc>
          <w:tcPr/>
          <w:p>
            <w:pPr>
              <w:pStyle w:val="Compact"/>
              <w:jc w:val="left"/>
            </w:pPr>
            <w:r>
              <w:t xml:space="preserve">Combined presidency with army command; local-government devolution</w:t>
            </w:r>
          </w:p>
        </w:tc>
        <w:tc>
          <w:tcPr/>
          <w:p>
            <w:pPr>
              <w:pStyle w:val="Compact"/>
              <w:jc w:val="left"/>
            </w:pPr>
            <w:r>
              <w:t xml:space="preserve">Major partner in the post-9/11</w:t>
            </w:r>
            <w:r>
              <w:t xml:space="preserve"> </w:t>
            </w:r>
            <w:r>
              <w:t xml:space="preserve">“</w:t>
            </w:r>
            <w:r>
              <w:t xml:space="preserve">War on Terror</w:t>
            </w:r>
            <w:r>
              <w:t xml:space="preserve">”</w:t>
            </w:r>
            <w:r>
              <w:t xml:space="preserve">; renewed US alignment</w:t>
            </w:r>
          </w:p>
        </w:tc>
        <w:tc>
          <w:tcPr/>
          <w:p>
            <w:pPr>
              <w:pStyle w:val="Compact"/>
              <w:jc w:val="left"/>
            </w:pPr>
            <w:r>
              <w:t xml:space="preserve">Resigned under threat of impeachment (2008) after conflict with the judiciary and political parties</w:t>
            </w:r>
          </w:p>
        </w:tc>
      </w:tr>
    </w:tbl>
    <w:bookmarkEnd w:id="112"/>
    <w:bookmarkStart w:id="113" w:name="preparation-toolkit-6"/>
    <w:p>
      <w:pPr>
        <w:pStyle w:val="Heading2"/>
      </w:pPr>
      <w:r>
        <w:t xml:space="preserve">Preparation Toolkit</w:t>
      </w:r>
    </w:p>
    <w:p>
      <w:pPr>
        <w:pStyle w:val="FirstParagraph"/>
      </w:pPr>
      <w:r>
        <w:rPr>
          <w:bCs/>
          <w:b/>
        </w:rPr>
        <w:t xml:space="preserve">Preparation Checklist</w:t>
      </w:r>
    </w:p>
    <w:p>
      <w:pPr>
        <w:numPr>
          <w:ilvl w:val="0"/>
          <w:numId w:val="1051"/>
        </w:numPr>
        <w:pStyle w:val="Compact"/>
      </w:pPr>
      <w:r>
        <w:t xml:space="preserve">Use the four-column comparison above as your core revision structure: takeover and justification; institutional changes; major policies and outcomes; exit and legacy.</w:t>
      </w:r>
    </w:p>
    <w:p>
      <w:pPr>
        <w:numPr>
          <w:ilvl w:val="0"/>
          <w:numId w:val="1051"/>
        </w:numPr>
        <w:pStyle w:val="Compact"/>
      </w:pPr>
      <w:r>
        <w:t xml:space="preserve">Prepare the structural explanations (weak parties, bureaucratic-military inheritance, constitutional instability, external patronage) as a separate, freestanding argument you can deploy in any</w:t>
      </w:r>
      <w:r>
        <w:t xml:space="preserve"> </w:t>
      </w:r>
      <w:r>
        <w:t xml:space="preserve">“</w:t>
      </w:r>
      <w:r>
        <w:t xml:space="preserve">why has the military intervened repeatedly</w:t>
      </w:r>
      <w:r>
        <w:t xml:space="preserve">”</w:t>
      </w:r>
      <w:r>
        <w:t xml:space="preserve"> </w:t>
      </w:r>
      <w:r>
        <w:t xml:space="preserve">question, independent of any single ruler’s biography.</w:t>
      </w:r>
    </w:p>
    <w:p>
      <w:pPr>
        <w:numPr>
          <w:ilvl w:val="0"/>
          <w:numId w:val="1051"/>
        </w:numPr>
        <w:pStyle w:val="Compact"/>
      </w:pPr>
      <w:r>
        <w:t xml:space="preserve">Connect Yahya Khan’s period explicitly to Topic 8 (the 1971 crisis) and Zia’s and Musharraf’s periods explicitly to Topic 10 (the Afghan war and the War on Terror respectively) — this topic is deliberately woven into the rest of the subject, not self-contained.</w:t>
      </w:r>
    </w:p>
    <w:p>
      <w:pPr>
        <w:numPr>
          <w:ilvl w:val="0"/>
          <w:numId w:val="1051"/>
        </w:numPr>
        <w:pStyle w:val="Compact"/>
      </w:pPr>
      <w:r>
        <w:t xml:space="preserve">Keep an evidence bank: 1958 and 1977 and 1999 coups, the 1962 Constitution, the 1970 election under the Legal Framework Order, the Hudood Ordinances (1979), Musharraf’s dual office and the 2007 judicial crisis.</w:t>
      </w:r>
    </w:p>
    <w:p>
      <w:pPr>
        <w:numPr>
          <w:ilvl w:val="0"/>
          <w:numId w:val="1051"/>
        </w:numPr>
        <w:pStyle w:val="Compact"/>
      </w:pPr>
      <w:r>
        <w:t xml:space="preserve">Practice one analytical outline answering:</w:t>
      </w:r>
      <w:r>
        <w:t xml:space="preserve"> </w:t>
      </w:r>
      <w:r>
        <w:t xml:space="preserve">“</w:t>
      </w:r>
      <w:r>
        <w:t xml:space="preserve">Compare the causes and long-term consequences of any two military takeovers in Pakistan’s history.</w:t>
      </w:r>
      <w:r>
        <w:t xml:space="preserve">”</w:t>
      </w:r>
    </w:p>
    <w:p>
      <w:pPr>
        <w:pStyle w:val="FirstParagraph"/>
      </w:pPr>
      <w:r>
        <w:rPr>
          <w:bCs/>
          <w:b/>
        </w:rPr>
        <w:t xml:space="preserve">Common Confusions to Avoid</w:t>
      </w:r>
    </w:p>
    <w:p>
      <w:pPr>
        <w:numPr>
          <w:ilvl w:val="0"/>
          <w:numId w:val="1052"/>
        </w:numPr>
        <w:pStyle w:val="Compact"/>
      </w:pPr>
      <w:r>
        <w:t xml:space="preserve">Do not write four separate biographies and call it civil-military analysis; compare the causes, mechanisms and institutional effects of each period against each other, and against the structural explanations set out at the start of this topic.</w:t>
      </w:r>
    </w:p>
    <w:p>
      <w:pPr>
        <w:numPr>
          <w:ilvl w:val="0"/>
          <w:numId w:val="1052"/>
        </w:numPr>
        <w:pStyle w:val="Compact"/>
      </w:pPr>
      <w:r>
        <w:t xml:space="preserve">Do not assume all four military governments pursued an identical constitutional or political strategy; each developed distinct legal and institutional arrangements (compare the 1962 Constitution with Zia’s Eighth Amendment and Musharraf’s combined presidency-and-army-command arrangement, for instance).</w:t>
      </w:r>
    </w:p>
    <w:p>
      <w:pPr>
        <w:numPr>
          <w:ilvl w:val="0"/>
          <w:numId w:val="1052"/>
        </w:numPr>
        <w:pStyle w:val="Compact"/>
      </w:pPr>
      <w:r>
        <w:t xml:space="preserve">Do not treat civilian institutions as a passive, unchanging backdrop; their organisational strength, legitimacy and internal cohesion varied significantly across different periods and are themselves part of the explanation for military intervention.</w:t>
      </w:r>
    </w:p>
    <w:p>
      <w:pPr>
        <w:numPr>
          <w:ilvl w:val="0"/>
          <w:numId w:val="1052"/>
        </w:numPr>
        <w:pStyle w:val="Compact"/>
      </w:pPr>
      <w:r>
        <w:t xml:space="preserve">Do not confine civil-military relations to the four periods of formal martial law; defence policy, intelligence institutions, and the military’s economic role remain relevant during civilian rule as well.</w:t>
      </w:r>
    </w:p>
    <w:p>
      <w:pPr>
        <w:pStyle w:val="FirstParagraph"/>
      </w:pPr>
      <w:r>
        <w:rPr>
          <w:bCs/>
          <w:b/>
        </w:rPr>
        <w:t xml:space="preserve">Easy Revision Points</w:t>
      </w:r>
    </w:p>
    <w:p>
      <w:pPr>
        <w:numPr>
          <w:ilvl w:val="0"/>
          <w:numId w:val="1053"/>
        </w:numPr>
        <w:pStyle w:val="Compact"/>
      </w:pPr>
      <w:r>
        <w:t xml:space="preserve">Ayub Khan emerged as the dominant ruler after the 1958 martial-law takeover and later introduced the 1962 Constitution and the Basic Democracies system.</w:t>
      </w:r>
    </w:p>
    <w:p>
      <w:pPr>
        <w:numPr>
          <w:ilvl w:val="0"/>
          <w:numId w:val="1053"/>
        </w:numPr>
        <w:pStyle w:val="Compact"/>
      </w:pPr>
      <w:r>
        <w:t xml:space="preserve">Yahya Khan took power in 1969, held Pakistan’s first nationwide general election on direct adult franchise in 1970, and presided over the crisis that led to the 1971 breakup of Pakistan.</w:t>
      </w:r>
    </w:p>
    <w:p>
      <w:pPr>
        <w:numPr>
          <w:ilvl w:val="0"/>
          <w:numId w:val="1053"/>
        </w:numPr>
        <w:pStyle w:val="Compact"/>
      </w:pPr>
      <w:r>
        <w:t xml:space="preserve">Zia-ul-Haq seized power in 1977; his rule was shaped by Islamization policies (including the 1979 Hudood Ordinances) and by Pakistan’s frontline role in the Soviet-Afghan war after 1979.</w:t>
      </w:r>
    </w:p>
    <w:p>
      <w:pPr>
        <w:numPr>
          <w:ilvl w:val="0"/>
          <w:numId w:val="1053"/>
        </w:numPr>
        <w:pStyle w:val="Compact"/>
      </w:pPr>
      <w:r>
        <w:t xml:space="preserve">Pervez Musharraf took power in 1999 after a crisis with the elected government over Kargil and the army-chief dismissal attempt; his government later became a central partner in the post-9/11</w:t>
      </w:r>
      <w:r>
        <w:t xml:space="preserve"> </w:t>
      </w:r>
      <w:r>
        <w:t xml:space="preserve">“</w:t>
      </w:r>
      <w:r>
        <w:t xml:space="preserve">War on Terror.</w:t>
      </w:r>
      <w:r>
        <w:t xml:space="preserve">”</w:t>
      </w:r>
    </w:p>
    <w:p>
      <w:pPr>
        <w:numPr>
          <w:ilvl w:val="0"/>
          <w:numId w:val="1053"/>
        </w:numPr>
        <w:pStyle w:val="Compact"/>
      </w:pPr>
      <w:r>
        <w:t xml:space="preserve">Civil-military relations cannot be explained by personalities alone; institutional strength, security environment, and political competition are equally important, and the military’s economic and intelligence-related influence extends beyond formal periods of martial law.</w:t>
      </w:r>
    </w:p>
    <w:bookmarkEnd w:id="113"/>
    <w:bookmarkStart w:id="114" w:name="key-takeaways-6"/>
    <w:p>
      <w:pPr>
        <w:pStyle w:val="Heading2"/>
      </w:pPr>
      <w:r>
        <w:t xml:space="preserve">Key Takeaways</w:t>
      </w:r>
    </w:p>
    <w:p>
      <w:pPr>
        <w:numPr>
          <w:ilvl w:val="0"/>
          <w:numId w:val="1054"/>
        </w:numPr>
        <w:pStyle w:val="Compact"/>
      </w:pPr>
      <w:r>
        <w:t xml:space="preserve">Military intervention in Pakistan is best explained structurally — through institutional imbalance inherited from 1947, weak party institutionalisation, constitutional instability, and external alliance patronage — rather than as four unrelated instances of individual ambition.</w:t>
      </w:r>
    </w:p>
    <w:p>
      <w:pPr>
        <w:numPr>
          <w:ilvl w:val="0"/>
          <w:numId w:val="1054"/>
        </w:numPr>
        <w:pStyle w:val="Compact"/>
      </w:pPr>
      <w:r>
        <w:t xml:space="preserve">Each period of military rule produced distinct institutional changes (the 1962 Constitution, the Eighth Amendment, Musharraf’s dual office) that should be compared directly rather than treated as interchangeable.</w:t>
      </w:r>
    </w:p>
    <w:p>
      <w:pPr>
        <w:numPr>
          <w:ilvl w:val="0"/>
          <w:numId w:val="1054"/>
        </w:numPr>
        <w:pStyle w:val="Compact"/>
      </w:pPr>
      <w:r>
        <w:t xml:space="preserve">Yahya Khan’s period connects directly to Topic 8, and Zia’s and Musharraf’s periods connect directly to Topic 10; this topic cannot be fully understood in isolation from the rest of the subject.</w:t>
      </w:r>
    </w:p>
    <w:p>
      <w:pPr>
        <w:numPr>
          <w:ilvl w:val="0"/>
          <w:numId w:val="1054"/>
        </w:numPr>
        <w:pStyle w:val="Compact"/>
      </w:pPr>
      <w:r>
        <w:t xml:space="preserve">Civil-military relations extend well beyond formal martial law into defence policy, intelligence institutions, and the military’s documented economic interests (Ayesha Siddiqa’s concept of</w:t>
      </w:r>
      <w:r>
        <w:t xml:space="preserve"> </w:t>
      </w:r>
      <w:r>
        <w:t xml:space="preserve">“</w:t>
      </w:r>
      <w:r>
        <w:t xml:space="preserve">Milbus</w:t>
      </w:r>
      <w:r>
        <w:t xml:space="preserve">”</w:t>
      </w:r>
      <w:r>
        <w:t xml:space="preserve">), and a complete answer addresses this wider scope.</w:t>
      </w:r>
    </w:p>
    <w:p>
      <w:pPr>
        <w:numPr>
          <w:ilvl w:val="0"/>
          <w:numId w:val="1054"/>
        </w:numPr>
        <w:pStyle w:val="Compact"/>
      </w:pPr>
      <w:r>
        <w:t xml:space="preserve">Civilian institutional weakness is as much a part of the explanation for repeated military intervention as any strength or ambition on the military’s part — a balanced analytical framework, not a one-sided one, is what distinguishes a strong answer.</w:t>
      </w:r>
    </w:p>
    <w:bookmarkEnd w:id="114"/>
    <w:bookmarkEnd w:id="115"/>
    <w:bookmarkStart w:id="127" w:name="separation-of-east-pakistan-1971"/>
    <w:p>
      <w:pPr>
        <w:pStyle w:val="Heading1"/>
        <w:pageBreakBefore/>
      </w:pPr>
      <w:r>
        <w:t xml:space="preserve">8. Separation of East Pakistan (1971)</w:t>
      </w:r>
    </w:p>
    <w:bookmarkStart w:id="116" w:name="why-this-topic-matters-7"/>
    <w:p>
      <w:pPr>
        <w:pStyle w:val="Heading2"/>
      </w:pPr>
      <w:r>
        <w:t xml:space="preserve">Why This Topic Matters</w:t>
      </w:r>
    </w:p>
    <w:p>
      <w:pPr>
        <w:pStyle w:val="FirstParagraph"/>
      </w:pPr>
      <w:r>
        <w:t xml:space="preserve">This is the most sensitive and, in several respects, the most difficult topic in the syllabus, precisely because it combines a contested political-historical narrative with genuine human tragedy on a large scale. It rewards careful, multi-causal explanation and honest acknowledgment of what is disputed (particularly casualty figures) far more than it rewards a confident, single-cause story or an unsupported numerical claim presented as settled fact. This resource treats the human suffering involved as historically serious in its own right, not merely as a backdrop to constitutional analysis.</w:t>
      </w:r>
    </w:p>
    <w:bookmarkEnd w:id="116"/>
    <w:bookmarkStart w:id="117" w:name="X8fac492391aef8d32dbb1a249e0218d3c8fb884"/>
    <w:p>
      <w:pPr>
        <w:pStyle w:val="Heading2"/>
      </w:pPr>
      <w:r>
        <w:t xml:space="preserve">Geographic and Demographic Structure: A Built-In Structural Problem</w:t>
      </w:r>
    </w:p>
    <w:p>
      <w:pPr>
        <w:pStyle w:val="FirstParagraph"/>
      </w:pPr>
      <w:r>
        <w:t xml:space="preserve">Pakistan’s two wings, West and East Pakistan, were separated by more than a thousand kilometres of Indian territory — an unusual, and in retrospect highly precarious, national geography. East Pakistan (present-day Bangladesh) contained a majority of the new state’s total population from the very beginning, yet political, military and administrative power was concentrated overwhelmingly in West Pakistan, particularly Punjab. This geographic and demographic structure created inherent, structural difficulty for defence (the two wings could not easily reinforce each other), for administration, and — as Topic 6 explained — for constitutional representation, ultimately addressed through the parity formula and One Unit scheme rather than genuinely resolved.</w:t>
      </w:r>
    </w:p>
    <w:bookmarkEnd w:id="117"/>
    <w:bookmarkStart w:id="118" w:name="X64f192795cc43b1b0dd5eb99cad43ccc62338b5"/>
    <w:p>
      <w:pPr>
        <w:pStyle w:val="Heading2"/>
      </w:pPr>
      <w:r>
        <w:t xml:space="preserve">Language and Identity: The Bengali Language Movement</w:t>
      </w:r>
    </w:p>
    <w:p>
      <w:pPr>
        <w:pStyle w:val="FirstParagraph"/>
      </w:pPr>
      <w:r>
        <w:t xml:space="preserve">One of the earliest and most symbolically significant grievances concerned language. In 1948, the central government’s declaration that Urdu alone would be the state language of Pakistan, despite Bengali being the mother tongue of a clear majority of the country’s total population, provoked immediate protest in East Pakistan. Student-led protests culminated in police firing on demonstrators at Dhaka University on 21 February 1952, killing several students — an event commemorated ever since in Bangladesh as Language Martyrs’ Day (and internationally, since 2000, as UNESCO’s International Mother Language Day). Bengali was eventually recognised as a state language alongside Urdu in the 1956 Constitution, but the episode had already established language as a potent symbol of a much broader grievance: whether the new state would recognise and accommodate the linguistic, cultural and political identity of its numerically largest population, or treat West Pakistani (and specifically Punjabi and Urdu-speaking) political and cultural norms as the unmarked national default.</w:t>
      </w:r>
    </w:p>
    <w:bookmarkEnd w:id="118"/>
    <w:bookmarkStart w:id="119" w:name="Xc70f9aae68dfd56e5fae6dfaa519578902c0938"/>
    <w:p>
      <w:pPr>
        <w:pStyle w:val="Heading2"/>
      </w:pPr>
      <w:r>
        <w:t xml:space="preserve">Economic Grievances: Disputed Numbers, Real Perceptions</w:t>
      </w:r>
    </w:p>
    <w:p>
      <w:pPr>
        <w:pStyle w:val="FirstParagraph"/>
      </w:pPr>
      <w:r>
        <w:t xml:space="preserve">East Pakistani political leaders and economists argued throughout the 1950s and 1960s that the state’s economic policy systematically disadvantaged East Pakistan: foreign-exchange earnings from East Pakistani exports (chiefly jute) were argued to be disproportionately spent on development and industrial investment concentrated in West Pakistan; the bulk of central government employment, defence spending, and foreign aid allocation was seen as favouring the western wing; and East Pakistan’s lower per-capita development spending, despite its larger population, became a recurring and increasingly potent political grievance, developed in particular by economists associated with the</w:t>
      </w:r>
      <w:r>
        <w:t xml:space="preserve"> </w:t>
      </w:r>
      <w:r>
        <w:t xml:space="preserve">“</w:t>
      </w:r>
      <w:r>
        <w:t xml:space="preserve">two-economies</w:t>
      </w:r>
      <w:r>
        <w:t xml:space="preserve">”</w:t>
      </w:r>
      <w:r>
        <w:t xml:space="preserve"> </w:t>
      </w:r>
      <w:r>
        <w:t xml:space="preserve">thesis (arguing that East and West Pakistan functioned, in practice, as two structurally distinct economies unified only by a shared central government). The precise scale of this disparity was, and remains, debated by economists working from imperfect and incomplete historical statistics, but the political significance of the perception itself — widely and deeply held across East Pakistani society regardless of the exact figures — became a driving force in East Pakistani politics fully independent of how any single economic dispute might ultimately be resolved by later scholarship.</w:t>
      </w:r>
    </w:p>
    <w:bookmarkEnd w:id="119"/>
    <w:bookmarkStart w:id="120" w:name="autonomy-and-the-six-points"/>
    <w:p>
      <w:pPr>
        <w:pStyle w:val="Heading2"/>
      </w:pPr>
      <w:r>
        <w:t xml:space="preserve">Autonomy and the Six Points</w:t>
      </w:r>
    </w:p>
    <w:p>
      <w:pPr>
        <w:pStyle w:val="FirstParagraph"/>
      </w:pPr>
      <w:r>
        <w:t xml:space="preserve">Sheikh Mujibur Rahman, leader of the Awami League, presented his</w:t>
      </w:r>
      <w:r>
        <w:t xml:space="preserve"> </w:t>
      </w:r>
      <w:r>
        <w:rPr>
          <w:bCs/>
          <w:b/>
        </w:rPr>
        <w:t xml:space="preserve">Six Points</w:t>
      </w:r>
      <w:r>
        <w:t xml:space="preserve"> </w:t>
      </w:r>
      <w:r>
        <w:t xml:space="preserve">programme in 1966, calling for a far-reaching restructuring of the federation: a parliamentary federal government with a legislature elected on the basis of population (rather than parity); federal government control limited essentially to defence and foreign affairs; separate currencies or, alternatively, effective mechanisms to prevent the flight of capital between the two wings; the power of taxation to rest primarily with federating units rather than the centre; separate foreign-exchange accounts for the two wings; and the right of each federating unit to maintain its own paramilitary or militia force for internal security. West Pakistani political and military leadership generally viewed the Six Points as a programme that would, if implemented, leave the central government too weak to function as a meaningful national state — effectively a demand for confederation rather than a genuinely stronger federation — and Mujib was subsequently arrested and charged in the 1968</w:t>
      </w:r>
      <w:r>
        <w:t xml:space="preserve"> </w:t>
      </w:r>
      <w:r>
        <w:rPr>
          <w:bCs/>
          <w:b/>
        </w:rPr>
        <w:t xml:space="preserve">Agartala Conspiracy Case</w:t>
      </w:r>
      <w:r>
        <w:t xml:space="preserve">, accused of conspiring with India to achieve East Pakistani secession. Mass protests against the case, combining with the broader anti-Ayub agitation of 1968–69 (Topic 7), forced the government to withdraw the charges and release Mujib in 1969, substantially strengthening his political standing heading into the decisive 1970 election.</w:t>
      </w:r>
    </w:p>
    <w:bookmarkEnd w:id="120"/>
    <w:bookmarkStart w:id="121" w:name="X11d14f7657d8c00eeba43a92b5ca4f5684dfb81"/>
    <w:p>
      <w:pPr>
        <w:pStyle w:val="Heading2"/>
      </w:pPr>
      <w:r>
        <w:t xml:space="preserve">The 1970 Election and the Failure to Transfer Power</w:t>
      </w:r>
    </w:p>
    <w:p>
      <w:pPr>
        <w:pStyle w:val="FirstParagraph"/>
      </w:pPr>
      <w:r>
        <w:t xml:space="preserve">Pakistan’s first general election held on direct adult franchise, conducted in December 1970 under Yahya Khan’s Legal Framework Order (Topic 7), produced a result whose constitutional implications proved impossible for the existing political system to absorb. The Awami League won 160 of 162 East Pakistani seats in the National Assembly, giving it, on the strength of East Pakistan’s larger population, an</w:t>
      </w:r>
      <w:r>
        <w:t xml:space="preserve"> </w:t>
      </w:r>
      <w:r>
        <w:rPr>
          <w:bCs/>
          <w:b/>
        </w:rPr>
        <w:t xml:space="preserve">absolute majority in the National Assembly as a whole</w:t>
      </w:r>
      <w:r>
        <w:t xml:space="preserve"> </w:t>
      </w:r>
      <w:r>
        <w:t xml:space="preserve">— enough, in ordinary parliamentary terms, to form the national government outright. Zulfikar Ali Bhutto’s Pakistan People’s Party won a majority of West Pakistani seats but had no meaningful support in East Pakistan.</w:t>
      </w:r>
    </w:p>
    <w:p>
      <w:pPr>
        <w:pStyle w:val="BodyText"/>
      </w:pPr>
      <w:r>
        <w:t xml:space="preserve">This left Yahya Khan’s government facing an unprecedented situation: a party representing East Pakistani autonomy demands (the Six Points) had won the constitutional right to form the central government. Negotiations between Yahya, Mujib and Bhutto over the terms of a transfer of power, and specifically over how far the Awami League’s Six Points would shape the new constitution, made little real progress through the early months of 1971. On 1 March 1971, Yahya postponed the scheduled convening of the National Assembly — a decision widely, and reasonably, interpreted in East Pakistan as evidence that West Pakistani political and military leadership did not intend to accept the legitimate outcome of a free election. Mass protest, a general strike, and an escalating campaign of civil non-cooperation followed across East Pakistan through March 1971, effectively paralysing the central government’s administrative authority in the province even before any military action began.</w:t>
      </w:r>
    </w:p>
    <w:bookmarkEnd w:id="121"/>
    <w:bookmarkStart w:id="122" w:name="operation-searchlight-and-civil-conflict"/>
    <w:p>
      <w:pPr>
        <w:pStyle w:val="Heading2"/>
      </w:pPr>
      <w:r>
        <w:t xml:space="preserve">Operation Searchlight and Civil Conflict</w:t>
      </w:r>
    </w:p>
    <w:p>
      <w:pPr>
        <w:pStyle w:val="FirstParagraph"/>
      </w:pPr>
      <w:r>
        <w:t xml:space="preserve">On the night of 25–26 March 1971, the Pakistan Army launched</w:t>
      </w:r>
      <w:r>
        <w:t xml:space="preserve"> </w:t>
      </w:r>
      <w:r>
        <w:rPr>
          <w:bCs/>
          <w:b/>
        </w:rPr>
        <w:t xml:space="preserve">Operation Searchlight</w:t>
      </w:r>
      <w:r>
        <w:t xml:space="preserve">, a military crackdown intended to suppress the non-cooperation movement and Awami League political organisation by force, including the arrest of Mujibur Rahman (who was flown to West Pakistan and imprisoned for the remainder of the crisis) and targeted operations against political activists, students, and, in several documented instances, the East Pakistani Hindu minority community. Widespread violence, displacement and, according to extensive testimony and documentation, serious atrocities followed over the following months, as the Pakistan Army sought to reassert control against increasingly organised Bengali resistance forces (the</w:t>
      </w:r>
      <w:r>
        <w:t xml:space="preserve"> </w:t>
      </w:r>
      <w:r>
        <w:rPr>
          <w:bCs/>
          <w:b/>
        </w:rPr>
        <w:t xml:space="preserve">Mukti Bahini</w:t>
      </w:r>
      <w:r>
        <w:t xml:space="preserve">, operating with growing Indian logistical, training and eventually direct military support).</w:t>
      </w:r>
    </w:p>
    <w:p>
      <w:pPr>
        <w:pStyle w:val="BodyText"/>
      </w:pPr>
      <w:r>
        <w:rPr>
          <w:bCs/>
          <w:b/>
        </w:rPr>
        <w:t xml:space="preserve">On casualty figures, responsibly stated.</w:t>
      </w:r>
      <w:r>
        <w:t xml:space="preserve"> </w:t>
      </w:r>
      <w:r>
        <w:t xml:space="preserve">This is the point at which this resource must be especially careful, exactly as the original crash-course notes cautioned. Casualty estimates for the 1971 conflict vary enormously depending on source and methodology: the Bangladeshi government and much Bangladeshi and Indian historiography have long cited a figure of approximately three million killed, based substantially on early, methodologically contested estimates; independent demographic and conflict-mortality researchers (for example the political scientist R. J. Rummel, working from comparative genocide-and-mass-killing datasets) have offered substantially lower figures, in the range of one to one-and-a-half million; and the historian Sarmila Bose’s 2011 book</w:t>
      </w:r>
      <w:r>
        <w:t xml:space="preserve"> </w:t>
      </w:r>
      <w:r>
        <w:rPr>
          <w:iCs/>
          <w:i/>
        </w:rPr>
        <w:t xml:space="preserve">Dead Reckoning: Memories of the 1971 Bangladesh War</w:t>
      </w:r>
      <w:r>
        <w:t xml:space="preserve"> </w:t>
      </w:r>
      <w:r>
        <w:t xml:space="preserve">argued for far lower casualty figures still and challenged aspects of the standard narrative of systematic, centrally directed genocide — a book that has itself been extensively and often sharply criticised by many other historians and researchers on grounds of source selection and methodology. What is not seriously disputed by any responsible historian is that large-scale killing, sexual violence, and displacement did occur on a substantial scale during 1971, that these events caused immense human suffering, and that responsibility for specific atrocities has been documented through extensive testimony, journalistic reporting from the period (including by international correspondents), and later inquiry. A responsible exam answer states plainly that serious atrocities occurred and caused mass suffering and displacement, while explicitly noting that precise casualty figures remain genuinely disputed among historians and should never be cited as a single settled number without acknowledging that dispute.</w:t>
      </w:r>
    </w:p>
    <w:p>
      <w:pPr>
        <w:pStyle w:val="BodyText"/>
      </w:pPr>
      <w:r>
        <w:rPr>
          <w:bCs/>
          <w:b/>
        </w:rPr>
        <w:t xml:space="preserve">Pakistan’s own official inquiry.</w:t>
      </w:r>
      <w:r>
        <w:t xml:space="preserve"> </w:t>
      </w:r>
      <w:r>
        <w:t xml:space="preserve">After the war, the Pakistani government itself established the</w:t>
      </w:r>
      <w:r>
        <w:t xml:space="preserve"> </w:t>
      </w:r>
      <w:r>
        <w:rPr>
          <w:bCs/>
          <w:b/>
        </w:rPr>
        <w:t xml:space="preserve">Hamoodur Rahman Commission</w:t>
      </w:r>
      <w:r>
        <w:t xml:space="preserve">, headed by the Chief Justice of Pakistan, to investigate the causes of the military and political failures leading to the loss of East Pakistan. The Commission’s findings, portions of which were only made public many years later (after being leaked to the Indian press in 2000, with a fuller version later released by the Pakistani government), documented serious military and administrative failures and included findings regarding conduct by Pakistani forces during the conflict — a significant, if belated, instance of Pakistan’s own state institutions formally examining aspects of this history, and a useful example candidates can cite of internal, official acknowledgment rather than relying solely on external or adversarial sources.</w:t>
      </w:r>
    </w:p>
    <w:bookmarkEnd w:id="122"/>
    <w:bookmarkStart w:id="123" w:name="indias-role-and-the-december-war"/>
    <w:p>
      <w:pPr>
        <w:pStyle w:val="Heading2"/>
      </w:pPr>
      <w:r>
        <w:t xml:space="preserve">India’s Role and the December War</w:t>
      </w:r>
    </w:p>
    <w:p>
      <w:pPr>
        <w:pStyle w:val="FirstParagraph"/>
      </w:pPr>
      <w:r>
        <w:t xml:space="preserve">Approximately ten million refugees crossed from East Pakistan into India during 1971, placing an enormous humanitarian and political burden on the Indian government and providing a further important dimension — humanitarian, financial and diplomatic — to India’s growing involvement in the crisis beyond its direct support for the Mukti Bahini. Following months of border skirmishes and mounting tension, full-scale war between India and Pakistan began in early December 1971, fought simultaneously on the eastern front (where Indian forces, together with the Mukti Bahini, rapidly advanced against Pakistani positions) and on the western front (where fighting was more evenly matched and inconclusive). Pakistani forces in the east surrendered at Dhaka on</w:t>
      </w:r>
      <w:r>
        <w:t xml:space="preserve"> </w:t>
      </w:r>
      <w:r>
        <w:rPr>
          <w:bCs/>
          <w:b/>
        </w:rPr>
        <w:t xml:space="preserve">16 December 1971</w:t>
      </w:r>
      <w:r>
        <w:t xml:space="preserve">, in what remains one of the largest single military surrenders since the Second World War (approximately 93,000 Pakistani military and civilian personnel were taken as prisoners of war), and Bangladesh emerged as an independent state under Mujibur Rahman’s leadership (released from prison and returning to a newly independent Bangladesh in January 1972). The subsequent</w:t>
      </w:r>
      <w:r>
        <w:t xml:space="preserve"> </w:t>
      </w:r>
      <w:r>
        <w:rPr>
          <w:bCs/>
          <w:b/>
        </w:rPr>
        <w:t xml:space="preserve">Simla Agreement</w:t>
      </w:r>
      <w:r>
        <w:t xml:space="preserve">, signed by Pakistan and India in 1972, established a bilateral framework for managing India-Pakistan relations going forward (examined further in Topic 10) and provided for the eventual repatriation of prisoners of war, though the underlying Kashmir dispute (Topic 6 and Topic 10) remained unresolved.</w:t>
      </w:r>
    </w:p>
    <w:bookmarkEnd w:id="123"/>
    <w:bookmarkStart w:id="124" w:name="key-terms-and-concepts-7"/>
    <w:p>
      <w:pPr>
        <w:pStyle w:val="Heading2"/>
      </w:pPr>
      <w:r>
        <w:t xml:space="preserve">Key Terms and Concepts</w:t>
      </w:r>
    </w:p>
    <w:p>
      <w:pPr>
        <w:numPr>
          <w:ilvl w:val="0"/>
          <w:numId w:val="1055"/>
        </w:numPr>
        <w:pStyle w:val="Compact"/>
      </w:pPr>
      <w:r>
        <w:rPr>
          <w:bCs/>
          <w:b/>
        </w:rPr>
        <w:t xml:space="preserve">Six Points (1966):</w:t>
      </w:r>
      <w:r>
        <w:t xml:space="preserve"> </w:t>
      </w:r>
      <w:r>
        <w:t xml:space="preserve">Sheikh Mujibur Rahman’s programme for far-reaching provincial autonomy, widely regarded by West Pakistani leadership as tantamount to confederation.</w:t>
      </w:r>
    </w:p>
    <w:p>
      <w:pPr>
        <w:numPr>
          <w:ilvl w:val="0"/>
          <w:numId w:val="1055"/>
        </w:numPr>
        <w:pStyle w:val="Compact"/>
      </w:pPr>
      <w:r>
        <w:rPr>
          <w:bCs/>
          <w:b/>
        </w:rPr>
        <w:t xml:space="preserve">Agartala Conspiracy Case (1968):</w:t>
      </w:r>
      <w:r>
        <w:t xml:space="preserve"> </w:t>
      </w:r>
      <w:r>
        <w:t xml:space="preserve">The government’s prosecution of Mujib and others on charges of conspiring with India, withdrawn after mass protest, which substantially strengthened Mujib’s political standing.</w:t>
      </w:r>
    </w:p>
    <w:p>
      <w:pPr>
        <w:numPr>
          <w:ilvl w:val="0"/>
          <w:numId w:val="1055"/>
        </w:numPr>
        <w:pStyle w:val="Compact"/>
      </w:pPr>
      <w:r>
        <w:rPr>
          <w:bCs/>
          <w:b/>
        </w:rPr>
        <w:t xml:space="preserve">Operation Searchlight (March 1971):</w:t>
      </w:r>
      <w:r>
        <w:t xml:space="preserve"> </w:t>
      </w:r>
      <w:r>
        <w:t xml:space="preserve">The Pakistan Army’s military crackdown against the East Pakistani non-cooperation movement, marking the transition from political crisis to armed conflict.</w:t>
      </w:r>
    </w:p>
    <w:p>
      <w:pPr>
        <w:numPr>
          <w:ilvl w:val="0"/>
          <w:numId w:val="1055"/>
        </w:numPr>
        <w:pStyle w:val="Compact"/>
      </w:pPr>
      <w:r>
        <w:rPr>
          <w:bCs/>
          <w:b/>
        </w:rPr>
        <w:t xml:space="preserve">Mukti Bahini:</w:t>
      </w:r>
      <w:r>
        <w:t xml:space="preserve"> </w:t>
      </w:r>
      <w:r>
        <w:t xml:space="preserve">The Bengali resistance and guerrilla force that fought against Pakistani forces during 1971, with growing Indian support.</w:t>
      </w:r>
    </w:p>
    <w:p>
      <w:pPr>
        <w:numPr>
          <w:ilvl w:val="0"/>
          <w:numId w:val="1055"/>
        </w:numPr>
        <w:pStyle w:val="Compact"/>
      </w:pPr>
      <w:r>
        <w:rPr>
          <w:bCs/>
          <w:b/>
        </w:rPr>
        <w:t xml:space="preserve">Hamoodur Rahman Commission:</w:t>
      </w:r>
      <w:r>
        <w:t xml:space="preserve"> </w:t>
      </w:r>
      <w:r>
        <w:t xml:space="preserve">Pakistan’s own official post-war inquiry into the military and political causes of the 1971 defeat, portions of which documented serious failures and were only made public years later.</w:t>
      </w:r>
    </w:p>
    <w:bookmarkEnd w:id="124"/>
    <w:bookmarkStart w:id="125" w:name="preparation-toolkit-7"/>
    <w:p>
      <w:pPr>
        <w:pStyle w:val="Heading2"/>
      </w:pPr>
      <w:r>
        <w:t xml:space="preserve">Preparation Toolkit</w:t>
      </w:r>
    </w:p>
    <w:p>
      <w:pPr>
        <w:pStyle w:val="FirstParagraph"/>
      </w:pPr>
      <w:r>
        <w:rPr>
          <w:bCs/>
          <w:b/>
        </w:rPr>
        <w:t xml:space="preserve">Preparation Checklist</w:t>
      </w:r>
    </w:p>
    <w:p>
      <w:pPr>
        <w:numPr>
          <w:ilvl w:val="0"/>
          <w:numId w:val="1056"/>
        </w:numPr>
        <w:pStyle w:val="Compact"/>
      </w:pPr>
      <w:r>
        <w:t xml:space="preserve">Prepare causes under clearly separated headings: geographic-structural, linguistic-cultural, economic, constitutional-political, and military, and build a month-by-month timeline for the critical period from the December 1970 election through the December 1971 surrender.</w:t>
      </w:r>
    </w:p>
    <w:p>
      <w:pPr>
        <w:numPr>
          <w:ilvl w:val="0"/>
          <w:numId w:val="1056"/>
        </w:numPr>
        <w:pStyle w:val="Compact"/>
      </w:pPr>
      <w:r>
        <w:t xml:space="preserve">Prepare the casualty-figures question specifically as its own exam-ready point: name the range of estimates, name at least one source on each side of the range, and state plainly that the precise figure remains disputed while the scale of suffering is not.</w:t>
      </w:r>
    </w:p>
    <w:p>
      <w:pPr>
        <w:numPr>
          <w:ilvl w:val="0"/>
          <w:numId w:val="1056"/>
        </w:numPr>
        <w:pStyle w:val="Compact"/>
      </w:pPr>
      <w:r>
        <w:t xml:space="preserve">Cite the Hamoodur Rahman Commission specifically when asked about accountability or Pakistan’s own reckoning with this history — it demonstrates that official Pakistani inquiry, not only external criticism, documented serious failures.</w:t>
      </w:r>
    </w:p>
    <w:p>
      <w:pPr>
        <w:numPr>
          <w:ilvl w:val="0"/>
          <w:numId w:val="1056"/>
        </w:numPr>
        <w:pStyle w:val="Compact"/>
      </w:pPr>
      <w:r>
        <w:t xml:space="preserve">Keep an evidence bank: the 1952 Language Movement, the Six Points (1966), the Agartala Conspiracy Case (1968), the December 1970 election results, the 1 March 1971 postponement, Operation Searchlight (25–26 March 1971), the December 1971 war, the Dhaka surrender (16 December 1971), and the Simla Agreement (1972).</w:t>
      </w:r>
    </w:p>
    <w:p>
      <w:pPr>
        <w:numPr>
          <w:ilvl w:val="0"/>
          <w:numId w:val="1056"/>
        </w:numPr>
        <w:pStyle w:val="Compact"/>
      </w:pPr>
      <w:r>
        <w:t xml:space="preserve">Practice one analytical outline answering:</w:t>
      </w:r>
      <w:r>
        <w:t xml:space="preserve"> </w:t>
      </w:r>
      <w:r>
        <w:t xml:space="preserve">“</w:t>
      </w:r>
      <w:r>
        <w:t xml:space="preserve">Was the 1971 crisis primarily a failure of constitutional representation, a consequence of economic disparity, or a result of military miscalculation? Explain using evidence from more than one dimension.</w:t>
      </w:r>
      <w:r>
        <w:t xml:space="preserve">”</w:t>
      </w:r>
    </w:p>
    <w:p>
      <w:pPr>
        <w:pStyle w:val="FirstParagraph"/>
      </w:pPr>
      <w:r>
        <w:rPr>
          <w:bCs/>
          <w:b/>
        </w:rPr>
        <w:t xml:space="preserve">Common Confusions to Avoid</w:t>
      </w:r>
    </w:p>
    <w:p>
      <w:pPr>
        <w:numPr>
          <w:ilvl w:val="0"/>
          <w:numId w:val="1057"/>
        </w:numPr>
        <w:pStyle w:val="Compact"/>
      </w:pPr>
      <w:r>
        <w:t xml:space="preserve">Do not explain 1971 only through Indian intervention; the internal political crisis — rooted in language, economic grievance, autonomy demands, and the failed transfer of power after a free election — preceded and substantially shaped the final interstate war.</w:t>
      </w:r>
    </w:p>
    <w:p>
      <w:pPr>
        <w:numPr>
          <w:ilvl w:val="0"/>
          <w:numId w:val="1057"/>
        </w:numPr>
        <w:pStyle w:val="Compact"/>
      </w:pPr>
      <w:r>
        <w:t xml:space="preserve">Do not explain it only through economic grievances either; language, representation, military action and failed political bargaining were equally significant, and the immediate trigger was specifically the failure to convene the National Assembly after the 1970 election.</w:t>
      </w:r>
    </w:p>
    <w:p>
      <w:pPr>
        <w:numPr>
          <w:ilvl w:val="0"/>
          <w:numId w:val="1057"/>
        </w:numPr>
        <w:pStyle w:val="Compact"/>
      </w:pPr>
      <w:r>
        <w:t xml:space="preserve">Do not cite any single casualty figure as an agreed, settled fact; identify the range of estimates, name the sources of disagreement, and acknowledge the scale of suffering without asserting numerical certainty the historical record does not support.</w:t>
      </w:r>
    </w:p>
    <w:p>
      <w:pPr>
        <w:numPr>
          <w:ilvl w:val="0"/>
          <w:numId w:val="1057"/>
        </w:numPr>
        <w:pStyle w:val="Compact"/>
      </w:pPr>
      <w:r>
        <w:t xml:space="preserve">Do not omit the Hamoodur Rahman Commission when discussing accountability; it is Pakistan’s own official acknowledgment of serious failures, and a strong, balanced answer engages with it directly.</w:t>
      </w:r>
    </w:p>
    <w:p>
      <w:pPr>
        <w:pStyle w:val="FirstParagraph"/>
      </w:pPr>
      <w:r>
        <w:rPr>
          <w:bCs/>
          <w:b/>
        </w:rPr>
        <w:t xml:space="preserve">Easy Revision Points</w:t>
      </w:r>
    </w:p>
    <w:p>
      <w:pPr>
        <w:numPr>
          <w:ilvl w:val="0"/>
          <w:numId w:val="1058"/>
        </w:numPr>
        <w:pStyle w:val="Compact"/>
      </w:pPr>
      <w:r>
        <w:t xml:space="preserve">East Pakistan was geographically separated from West Pakistan by Indian territory and had a larger population than the western wing, creating structural difficulties for both defence and representation.</w:t>
      </w:r>
    </w:p>
    <w:p>
      <w:pPr>
        <w:numPr>
          <w:ilvl w:val="0"/>
          <w:numId w:val="1058"/>
        </w:numPr>
        <w:pStyle w:val="Compact"/>
      </w:pPr>
      <w:r>
        <w:t xml:space="preserve">The 1952 Bengali Language Movement, commemorated as Language Martyrs’ Day and internationally as UNESCO’s International Mother Language Day, became an early and enduring symbol of East Pakistani political and cultural grievance.</w:t>
      </w:r>
    </w:p>
    <w:p>
      <w:pPr>
        <w:numPr>
          <w:ilvl w:val="0"/>
          <w:numId w:val="1058"/>
        </w:numPr>
        <w:pStyle w:val="Compact"/>
      </w:pPr>
      <w:r>
        <w:t xml:space="preserve">Sheikh Mujibur Rahman’s Six Points (1966) called for far-reaching provincial autonomy; the 1968 Agartala Conspiracy Case against him was withdrawn after mass protest.</w:t>
      </w:r>
    </w:p>
    <w:p>
      <w:pPr>
        <w:numPr>
          <w:ilvl w:val="0"/>
          <w:numId w:val="1058"/>
        </w:numPr>
        <w:pStyle w:val="Compact"/>
      </w:pPr>
      <w:r>
        <w:t xml:space="preserve">The Awami League won an absolute majority in Pakistan’s National Assembly in the December 1970 general election, based on its overwhelming sweep of East Pakistani seats.</w:t>
      </w:r>
    </w:p>
    <w:p>
      <w:pPr>
        <w:numPr>
          <w:ilvl w:val="0"/>
          <w:numId w:val="1058"/>
        </w:numPr>
        <w:pStyle w:val="Compact"/>
      </w:pPr>
      <w:r>
        <w:t xml:space="preserve">The postponement of the National Assembly’s convening in March 1971, followed by Operation Searchlight, escalated the crisis from political deadlock into armed conflict; India’s direct military involvement began in December 1971, leading to Pakistan’s surrender at Dhaka on 16 December 1971 and the emergence of independent Bangladesh.</w:t>
      </w:r>
    </w:p>
    <w:p>
      <w:pPr>
        <w:numPr>
          <w:ilvl w:val="0"/>
          <w:numId w:val="1058"/>
        </w:numPr>
        <w:pStyle w:val="Compact"/>
      </w:pPr>
      <w:r>
        <w:t xml:space="preserve">Casualty figures for the 1971 conflict remain genuinely disputed among historians, ranging from roughly one million to three million depending on source and methodology; Pakistan’s own Hamoodur Rahman Commission documented serious military and political failures, with fuller findings made public only years after the war.</w:t>
      </w:r>
    </w:p>
    <w:bookmarkEnd w:id="125"/>
    <w:bookmarkStart w:id="126" w:name="key-takeaways-7"/>
    <w:p>
      <w:pPr>
        <w:pStyle w:val="Heading2"/>
      </w:pPr>
      <w:r>
        <w:t xml:space="preserve">Key Takeaways</w:t>
      </w:r>
    </w:p>
    <w:p>
      <w:pPr>
        <w:numPr>
          <w:ilvl w:val="0"/>
          <w:numId w:val="1059"/>
        </w:numPr>
        <w:pStyle w:val="Compact"/>
      </w:pPr>
      <w:r>
        <w:t xml:space="preserve">The 1971 crisis requires a genuinely layered explanation combining geographic-structural weakness, language and identity grievance, disputed but politically powerful economic-inequality perceptions, the specific autonomy demands of the Six Points, and the concrete political failure to transfer power after a free and fair election — never a single-cause story.</w:t>
      </w:r>
    </w:p>
    <w:p>
      <w:pPr>
        <w:numPr>
          <w:ilvl w:val="0"/>
          <w:numId w:val="1059"/>
        </w:numPr>
        <w:pStyle w:val="Compact"/>
      </w:pPr>
      <w:r>
        <w:t xml:space="preserve">The December 1970 election and its aftermath (the 1 March 1971 postponement, followed by Operation Searchlight) mark the specific, identifiable turning point from long-standing grievance into armed conflict, and should anchor any strong chronological answer.</w:t>
      </w:r>
    </w:p>
    <w:p>
      <w:pPr>
        <w:numPr>
          <w:ilvl w:val="0"/>
          <w:numId w:val="1059"/>
        </w:numPr>
        <w:pStyle w:val="Compact"/>
      </w:pPr>
      <w:r>
        <w:t xml:space="preserve">Casualty figures remain one of the most historically and politically sensitive open questions in the entire syllabus; the responsible approach is to state the range of scholarly estimates, note genuine methodological disagreement (including controversy over Sarmila Bose’s much-criticised lower estimates), and affirm the scale of human suffering without asserting a false numerical certainty.</w:t>
      </w:r>
    </w:p>
    <w:p>
      <w:pPr>
        <w:numPr>
          <w:ilvl w:val="0"/>
          <w:numId w:val="1059"/>
        </w:numPr>
        <w:pStyle w:val="Compact"/>
      </w:pPr>
      <w:r>
        <w:t xml:space="preserve">Pakistan’s own Hamoodur Rahman Commission provides an important, internally generated acknowledgment of serious military and political failure, and should be cited directly in any answer addressing accountability for the events of 1971.</w:t>
      </w:r>
    </w:p>
    <w:p>
      <w:pPr>
        <w:numPr>
          <w:ilvl w:val="0"/>
          <w:numId w:val="1059"/>
        </w:numPr>
        <w:pStyle w:val="Compact"/>
      </w:pPr>
      <w:r>
        <w:t xml:space="preserve">India’s role evolved from humanitarian response to the refugee crisis, through support for the Mukti Bahini, to direct military intervention in December 1971 — a sequence best explained as escalating involvement in an already-existing internal crisis, not as the original cause of that crisis.</w:t>
      </w:r>
    </w:p>
    <w:bookmarkEnd w:id="126"/>
    <w:bookmarkEnd w:id="127"/>
    <w:bookmarkStart w:id="139" w:name="X6bc917e6c32f27adc91b20564f79b427b6166e8"/>
    <w:p>
      <w:pPr>
        <w:pStyle w:val="Heading1"/>
        <w:pageBreakBefore/>
      </w:pPr>
      <w:r>
        <w:t xml:space="preserve">9. Democracy, Political Parties and Constitutional Politics in Pakistan</w:t>
      </w:r>
    </w:p>
    <w:bookmarkStart w:id="128" w:name="why-this-topic-matters-8"/>
    <w:p>
      <w:pPr>
        <w:pStyle w:val="Heading2"/>
      </w:pPr>
      <w:r>
        <w:t xml:space="preserve">Why This Topic Matters</w:t>
      </w:r>
    </w:p>
    <w:p>
      <w:pPr>
        <w:pStyle w:val="FirstParagraph"/>
      </w:pPr>
      <w:r>
        <w:t xml:space="preserve">This topic asks candidates to evaluate, not merely narrate, the quality of Pakistan’s democratic experience. A list of prime ministers and election dates, however accurate, answers a different and much weaker question than the one usually asked: has elected government in Pakistan become institutionally stable, and if not, why not? This topic pulls together threads from Topics 6 and 7 (constitutional structure and military intervention) and applies them specifically to the record of party politics and elections since 1947.</w:t>
      </w:r>
    </w:p>
    <w:bookmarkEnd w:id="128"/>
    <w:bookmarkStart w:id="129" w:name="the-early-parliamentary-phase-19471958"/>
    <w:p>
      <w:pPr>
        <w:pStyle w:val="Heading2"/>
      </w:pPr>
      <w:r>
        <w:t xml:space="preserve">The Early Parliamentary Phase (1947–1958)</w:t>
      </w:r>
    </w:p>
    <w:p>
      <w:pPr>
        <w:pStyle w:val="FirstParagraph"/>
      </w:pPr>
      <w:r>
        <w:t xml:space="preserve">As Topic 6 explained in detail, Pakistan’s first parliamentary experiment suffered from constitutional delay, weak party organisation, and growing bureaucratic and gubernatorial intervention in political processes, ending with the 1958 military takeover before the country had held a single general election under its own completed constitution. This period is best treated in this topic as the baseline against which every later phase of Pakistani democracy should be measured — not as a fully separate story, since its causes (institutional imbalance, weak parties) are the same structural causes examined at length in Topic 7.</w:t>
      </w:r>
    </w:p>
    <w:bookmarkEnd w:id="129"/>
    <w:bookmarkStart w:id="130" w:name="the-bhutto-period-19711977"/>
    <w:p>
      <w:pPr>
        <w:pStyle w:val="Heading2"/>
      </w:pPr>
      <w:r>
        <w:t xml:space="preserve">The Bhutto Period (1971–1977)</w:t>
      </w:r>
    </w:p>
    <w:p>
      <w:pPr>
        <w:pStyle w:val="FirstParagraph"/>
      </w:pPr>
      <w:r>
        <w:t xml:space="preserve">Zulfikar Ali Bhutto’s government, formed after the 1971 crisis (Topic 8) and operating under the newly adopted 1973 Constitution (Topic 6), restored parliamentary, civilian-led politics after over a decade of military and quasi-military rule. Bhutto’s Pakistan People’s Party pursued a broadly populist and left-leaning domestic programme, including nationalisation of major industries, banks and educational institutions, alongside land reforms aimed at reducing large landholdings. At the same time, Bhutto’s period was also marked by increasing political centralisation, harsh treatment of political opposition in several instances, and growing controversy — most consequentially, allegations of large-scale rigging in the March 1977 general election, which the Pakistan National Alliance (an opposition coalition) rejected, launching a sustained protest movement that created the political crisis General Zia-ul-Haq’s July 1977 coup (Topic 7) then exploited to remove Bhutto’s government entirely. Bhutto was subsequently tried and, controversially, executed in 1979 following a murder conviction that many observers, then and since, have regarded as politically motivated — itself a further illustration of how thoroughly institutional and judicial processes could become entangled with military-political power during this period.</w:t>
      </w:r>
    </w:p>
    <w:bookmarkEnd w:id="130"/>
    <w:bookmarkStart w:id="131" w:name="X3b6ebe5b76c68b94c896e70f16a43fe6019695a"/>
    <w:p>
      <w:pPr>
        <w:pStyle w:val="Heading2"/>
      </w:pPr>
      <w:r>
        <w:t xml:space="preserve">Democratic Revival, 1988–1999: A Decade of Alternation and Dismissal</w:t>
      </w:r>
    </w:p>
    <w:p>
      <w:pPr>
        <w:pStyle w:val="FirstParagraph"/>
      </w:pPr>
      <w:r>
        <w:t xml:space="preserve">Following Zia’s death in 1988, Pakistan returned to an eleven-year period of elected civilian government — but one marked by remarkable political instability, with</w:t>
      </w:r>
      <w:r>
        <w:t xml:space="preserve"> </w:t>
      </w:r>
      <w:r>
        <w:rPr>
          <w:bCs/>
          <w:b/>
        </w:rPr>
        <w:t xml:space="preserve">no elected government completing its full constitutional term</w:t>
      </w:r>
      <w:r>
        <w:t xml:space="preserve"> </w:t>
      </w:r>
      <w:r>
        <w:t xml:space="preserve">during this entire period. Benazir Bhutto (Pakistan People’s Party) and Nawaz Sharif (Pakistan Muslim League-N) alternated in office, each serving two non-consecutive terms:</w:t>
      </w:r>
    </w:p>
    <w:p>
      <w:pPr>
        <w:numPr>
          <w:ilvl w:val="0"/>
          <w:numId w:val="1060"/>
        </w:numPr>
        <w:pStyle w:val="Compact"/>
      </w:pPr>
      <w:r>
        <w:t xml:space="preserve">Benazir Bhutto became prime minister in 1988 (the first woman to lead the government of a Muslim-majority country) but was dismissed by President Ghulam Ishaq Khan in 1990 using the Eighth Amendment’s Article 58(2)(b) dissolution power (Topic 6), amid allegations of corruption and mismanagement.</w:t>
      </w:r>
    </w:p>
    <w:p>
      <w:pPr>
        <w:numPr>
          <w:ilvl w:val="0"/>
          <w:numId w:val="1060"/>
        </w:numPr>
        <w:pStyle w:val="Compact"/>
      </w:pPr>
      <w:r>
        <w:t xml:space="preserve">Nawaz Sharif’s first government (1990–1993) was similarly dismissed by presidential order, though the dismissal was briefly reversed by the Supreme Court before Sharif ultimately agreed to resign amid continuing political and civil-military tension.</w:t>
      </w:r>
    </w:p>
    <w:p>
      <w:pPr>
        <w:numPr>
          <w:ilvl w:val="0"/>
          <w:numId w:val="1060"/>
        </w:numPr>
        <w:pStyle w:val="Compact"/>
      </w:pPr>
      <w:r>
        <w:t xml:space="preserve">Benazir Bhutto’s second government (1993–1996) was dismissed by President Farooq Leghari in 1996, again invoking Article 58(2)(b), amid corruption allegations and the controversial extrajudicial killing of her brother Murtaza Bhutto.</w:t>
      </w:r>
    </w:p>
    <w:p>
      <w:pPr>
        <w:numPr>
          <w:ilvl w:val="0"/>
          <w:numId w:val="1060"/>
        </w:numPr>
        <w:pStyle w:val="Compact"/>
      </w:pPr>
      <w:r>
        <w:t xml:space="preserve">Nawaz Sharif’s second government (1997–1999), elected with a strong parliamentary majority that allowed him to pass the Thirteenth Amendment repealing Article 58(2)(b) (Topic 6), was ultimately removed not by presidential dismissal but by General Musharraf’s October 1999 military coup (Topic 7), following the Kargil conflict crisis and Sharif’s attempt to dismiss Musharraf as army chief.</w:t>
      </w:r>
    </w:p>
    <w:p>
      <w:pPr>
        <w:pStyle w:val="FirstParagraph"/>
      </w:pPr>
      <w:r>
        <w:t xml:space="preserve">This decade illustrates a recurring pattern worth stating explicitly: repeated presidential dismissals under Article 58(2)(b), civil-military tension, and unstable party competition together prevented any single elected government from consolidating power over a full term, even though regular elections were, in a narrow sense, being held throughout the period — an important reminder that holding elections and achieving democratic consolidation are related but distinct achievements.</w:t>
      </w:r>
    </w:p>
    <w:bookmarkEnd w:id="131"/>
    <w:bookmarkStart w:id="132" w:name="X37efc59e303c1021fa3487183c7b813a228df28"/>
    <w:p>
      <w:pPr>
        <w:pStyle w:val="Heading2"/>
      </w:pPr>
      <w:r>
        <w:t xml:space="preserve">The Post-2008 Parliamentary Era: Greater Continuity, Continuing Strain</w:t>
      </w:r>
    </w:p>
    <w:p>
      <w:pPr>
        <w:pStyle w:val="FirstParagraph"/>
      </w:pPr>
      <w:r>
        <w:t xml:space="preserve">Following Musharraf’s resignation in 2008 (Topic 7), Pakistan entered a period of markedly greater, though still imperfect, constitutional continuity:</w:t>
      </w:r>
    </w:p>
    <w:p>
      <w:pPr>
        <w:numPr>
          <w:ilvl w:val="0"/>
          <w:numId w:val="1061"/>
        </w:numPr>
        <w:pStyle w:val="Compact"/>
      </w:pPr>
      <w:r>
        <w:t xml:space="preserve">The</w:t>
      </w:r>
      <w:r>
        <w:t xml:space="preserve"> </w:t>
      </w:r>
      <w:r>
        <w:rPr>
          <w:bCs/>
          <w:b/>
        </w:rPr>
        <w:t xml:space="preserve">2008 election</w:t>
      </w:r>
      <w:r>
        <w:t xml:space="preserve">, held shortly after the assassination of Benazir Bhutto in December 2007, brought the Pakistan People’s Party (under Asif Ali Zardari) to government in coalition, and this government became the first in Pakistan’s history to complete a full five-year constitutional term.</w:t>
      </w:r>
    </w:p>
    <w:p>
      <w:pPr>
        <w:numPr>
          <w:ilvl w:val="0"/>
          <w:numId w:val="1061"/>
        </w:numPr>
        <w:pStyle w:val="Compact"/>
      </w:pPr>
      <w:r>
        <w:t xml:space="preserve">The</w:t>
      </w:r>
      <w:r>
        <w:t xml:space="preserve"> </w:t>
      </w:r>
      <w:r>
        <w:rPr>
          <w:bCs/>
          <w:b/>
        </w:rPr>
        <w:t xml:space="preserve">Eighteenth Amendment (2010)</w:t>
      </w:r>
      <w:r>
        <w:t xml:space="preserve"> </w:t>
      </w:r>
      <w:r>
        <w:t xml:space="preserve">(Topic 6), reducing presidential power and substantially expanding provincial autonomy, is widely regarded as a landmark achievement of this parliament, reflecting a rare degree of cross-party consensus on strengthening parliamentary and provincial institutions.</w:t>
      </w:r>
    </w:p>
    <w:p>
      <w:pPr>
        <w:numPr>
          <w:ilvl w:val="0"/>
          <w:numId w:val="1061"/>
        </w:numPr>
        <w:pStyle w:val="Compact"/>
      </w:pPr>
      <w:r>
        <w:t xml:space="preserve">The</w:t>
      </w:r>
      <w:r>
        <w:t xml:space="preserve"> </w:t>
      </w:r>
      <w:r>
        <w:rPr>
          <w:bCs/>
          <w:b/>
        </w:rPr>
        <w:t xml:space="preserve">2013 election</w:t>
      </w:r>
      <w:r>
        <w:t xml:space="preserve"> </w:t>
      </w:r>
      <w:r>
        <w:t xml:space="preserve">produced Pakistan’s first-ever transfer of power from one democratically elected civilian government that had completed a full term (the PPP) to another elected civilian government (Nawaz Sharif’s PML-N) — a genuine institutional milestone, even though Sharif’s own government was later removed from office in 2017 following a Supreme Court disqualification arising from the</w:t>
      </w:r>
      <w:r>
        <w:t xml:space="preserve"> </w:t>
      </w:r>
      <w:r>
        <w:t xml:space="preserve">“</w:t>
      </w:r>
      <w:r>
        <w:t xml:space="preserve">Panama Papers</w:t>
      </w:r>
      <w:r>
        <w:t xml:space="preserve">”</w:t>
      </w:r>
      <w:r>
        <w:t xml:space="preserve"> </w:t>
      </w:r>
      <w:r>
        <w:t xml:space="preserve">corruption investigation, rather than completing its own full term without incident.</w:t>
      </w:r>
    </w:p>
    <w:p>
      <w:pPr>
        <w:numPr>
          <w:ilvl w:val="0"/>
          <w:numId w:val="1061"/>
        </w:numPr>
        <w:pStyle w:val="Compact"/>
      </w:pPr>
      <w:r>
        <w:t xml:space="preserve">The</w:t>
      </w:r>
      <w:r>
        <w:t xml:space="preserve"> </w:t>
      </w:r>
      <w:r>
        <w:rPr>
          <w:bCs/>
          <w:b/>
        </w:rPr>
        <w:t xml:space="preserve">2018 election</w:t>
      </w:r>
      <w:r>
        <w:t xml:space="preserve"> </w:t>
      </w:r>
      <w:r>
        <w:t xml:space="preserve">brought Imran Khan and his Pakistan Tehreek-e-Insaf party to power. Khan’s government was removed in</w:t>
      </w:r>
      <w:r>
        <w:t xml:space="preserve"> </w:t>
      </w:r>
      <w:r>
        <w:rPr>
          <w:bCs/>
          <w:b/>
        </w:rPr>
        <w:t xml:space="preserve">April 2022</w:t>
      </w:r>
      <w:r>
        <w:t xml:space="preserve"> </w:t>
      </w:r>
      <w:r>
        <w:t xml:space="preserve">through a successful parliamentary vote of no confidence — itself a notable, if contested, institutional event, since it marked the first time in Pakistan’s history that a sitting prime minister was removed through this specific parliamentary mechanism rather than through presidential dismissal, judicial disqualification, or military intervention. Khan and his supporters characterised the vote as the product of external and military interference; his opponents characterised it as a legitimate exercise of parliamentary accountability following the loss of his governing coalition’s majority. Both characterisations remain part of an active and contested political debate in Pakistan rather than a matter on which this resource should take a side.</w:t>
      </w:r>
    </w:p>
    <w:p>
      <w:pPr>
        <w:numPr>
          <w:ilvl w:val="0"/>
          <w:numId w:val="1061"/>
        </w:numPr>
        <w:pStyle w:val="Compact"/>
      </w:pPr>
      <w:r>
        <w:t xml:space="preserve">Shehbaz Sharif led a coalition government from April 2022 until the</w:t>
      </w:r>
      <w:r>
        <w:t xml:space="preserve"> </w:t>
      </w:r>
      <w:r>
        <w:rPr>
          <w:bCs/>
          <w:b/>
        </w:rPr>
        <w:t xml:space="preserve">2024 general election</w:t>
      </w:r>
      <w:r>
        <w:t xml:space="preserve">, after which he was elected prime minister by the National Assembly on 3 March 2024, again as the head of a coalition government. The conduct and outcome of the 2024 election, including the treatment of PTI-affiliated candidates who contested as independents, remained a subject of significant domestic political dispute and international commentary; candidates preparing very recent material should consult current, dated sources rather than relying on any single characterisation as settled historical fact, given how recent and contested this period remains.</w:t>
      </w:r>
    </w:p>
    <w:bookmarkEnd w:id="132"/>
    <w:bookmarkStart w:id="133" w:name="X4a010015cf6328504b9cb894a3a8d81f18238f8"/>
    <w:p>
      <w:pPr>
        <w:pStyle w:val="Heading2"/>
      </w:pPr>
      <w:r>
        <w:t xml:space="preserve">Political Parties: Structure and Persistent Weaknesses</w:t>
      </w:r>
    </w:p>
    <w:p>
      <w:pPr>
        <w:pStyle w:val="FirstParagraph"/>
      </w:pPr>
      <w:r>
        <w:t xml:space="preserve">Pakistan’s major political parties mobilise voters, aggregate and represent regional and social interests, and connect society to the state — the core functions any democracy requires of its party system. At the same time, several structural weaknesses recur across the party system as a whole and are frequently the subject of exam questions asking candidates to</w:t>
      </w:r>
      <w:r>
        <w:t xml:space="preserve"> </w:t>
      </w:r>
      <w:r>
        <w:t xml:space="preserve">“</w:t>
      </w:r>
      <w:r>
        <w:t xml:space="preserve">evaluate</w:t>
      </w:r>
      <w:r>
        <w:t xml:space="preserve">”</w:t>
      </w:r>
      <w:r>
        <w:t xml:space="preserve"> </w:t>
      </w:r>
      <w:r>
        <w:t xml:space="preserve">rather than simply describe Pakistani democracy:</w:t>
      </w:r>
    </w:p>
    <w:p>
      <w:pPr>
        <w:numPr>
          <w:ilvl w:val="0"/>
          <w:numId w:val="1062"/>
        </w:numPr>
        <w:pStyle w:val="Compact"/>
      </w:pPr>
      <w:r>
        <w:rPr>
          <w:bCs/>
          <w:b/>
        </w:rPr>
        <w:t xml:space="preserve">Dynastic leadership.</w:t>
      </w:r>
      <w:r>
        <w:t xml:space="preserve"> </w:t>
      </w:r>
      <w:r>
        <w:t xml:space="preserve">Pakistan’s two largest and most historically durable parties have both been led, for most of their history, by members of a single founding family — the Bhutto family in the Pakistan People’s Party, and the Sharif family in the Pakistan Muslim League-N — raising persistent questions about internal party democracy and leadership succession.</w:t>
      </w:r>
    </w:p>
    <w:p>
      <w:pPr>
        <w:numPr>
          <w:ilvl w:val="0"/>
          <w:numId w:val="1062"/>
        </w:numPr>
        <w:pStyle w:val="Compact"/>
      </w:pPr>
      <w:r>
        <w:rPr>
          <w:bCs/>
          <w:b/>
        </w:rPr>
        <w:t xml:space="preserve">Patronage networks and weak local organisation.</w:t>
      </w:r>
      <w:r>
        <w:t xml:space="preserve"> </w:t>
      </w:r>
      <w:r>
        <w:t xml:space="preserve">Candidate selection in many parties has often depended heavily on local patronage networks (particularly influential landowning or</w:t>
      </w:r>
      <w:r>
        <w:t xml:space="preserve"> </w:t>
      </w:r>
      <w:r>
        <w:t xml:space="preserve">“</w:t>
      </w:r>
      <w:r>
        <w:t xml:space="preserve">electable</w:t>
      </w:r>
      <w:r>
        <w:t xml:space="preserve">”</w:t>
      </w:r>
      <w:r>
        <w:t xml:space="preserve"> </w:t>
      </w:r>
      <w:r>
        <w:t xml:space="preserve">local notables) rather than on programmatic party membership or grassroots organisational structures, weakening parties’ ability to enforce internal discipline or maintain consistent policy positions between elections.</w:t>
      </w:r>
    </w:p>
    <w:p>
      <w:pPr>
        <w:numPr>
          <w:ilvl w:val="0"/>
          <w:numId w:val="1062"/>
        </w:numPr>
        <w:pStyle w:val="Compact"/>
      </w:pPr>
      <w:r>
        <w:rPr>
          <w:bCs/>
          <w:b/>
        </w:rPr>
        <w:t xml:space="preserve">Regional and ethnic parties.</w:t>
      </w:r>
      <w:r>
        <w:t xml:space="preserve"> </w:t>
      </w:r>
      <w:r>
        <w:t xml:space="preserve">Beyond the two dominant national parties, regionally based parties — the Muttahida Qaumi Movement in urban Sindh (particularly Karachi), the Awami National Party in Khyber Pakhtunkhwa, and various nationalist parties in Balochistan and interior Sindh — play a significant role in provincial politics and in shaping federal coalition arithmetic, reflecting Pakistan’s real ethnic and regional diversity in ways the two dominant national parties do not fully capture on their own.</w:t>
      </w:r>
    </w:p>
    <w:bookmarkEnd w:id="133"/>
    <w:bookmarkStart w:id="134" w:name="Xff3993a793d3f730fc6b3a5944a125dca1ce019"/>
    <w:p>
      <w:pPr>
        <w:pStyle w:val="Heading2"/>
      </w:pPr>
      <w:r>
        <w:t xml:space="preserve">Institutional Balance: Beyond Elections Alone</w:t>
      </w:r>
    </w:p>
    <w:p>
      <w:pPr>
        <w:pStyle w:val="FirstParagraph"/>
      </w:pPr>
      <w:r>
        <w:t xml:space="preserve">A complete evaluation of Pakistani democracy has to look beyond the electoral cycle itself to the surrounding institutional environment:</w:t>
      </w:r>
    </w:p>
    <w:p>
      <w:pPr>
        <w:numPr>
          <w:ilvl w:val="0"/>
          <w:numId w:val="1063"/>
        </w:numPr>
        <w:pStyle w:val="Compact"/>
      </w:pPr>
      <w:r>
        <w:rPr>
          <w:bCs/>
          <w:b/>
        </w:rPr>
        <w:t xml:space="preserve">The judiciary</w:t>
      </w:r>
      <w:r>
        <w:t xml:space="preserve"> </w:t>
      </w:r>
      <w:r>
        <w:t xml:space="preserve">became a significantly more assertive institutional actor from the mid-2000s onward, especially following the 2007 lawyers’ movement in defence of judicial independence (Topic 7) and a subsequent period of expanded judicial activism, including high-profile disqualifications of sitting prime ministers — a development some analysts view as a welcome check on executive impunity, and others view as a form of unelected institutional overreach into matters more appropriately settled through the electoral process.</w:t>
      </w:r>
    </w:p>
    <w:p>
      <w:pPr>
        <w:numPr>
          <w:ilvl w:val="0"/>
          <w:numId w:val="1063"/>
        </w:numPr>
        <w:pStyle w:val="Compact"/>
      </w:pPr>
      <w:r>
        <w:rPr>
          <w:bCs/>
          <w:b/>
        </w:rPr>
        <w:t xml:space="preserve">The Election Commission of Pakistan’s</w:t>
      </w:r>
      <w:r>
        <w:t xml:space="preserve"> </w:t>
      </w:r>
      <w:r>
        <w:t xml:space="preserve">independence and administrative capacity has been a recurring subject of political dispute across virtually every recent election cycle, with losing parties frequently alleging irregularities and the Commission’s own institutional strengthening (partly addressed by the Eighteenth Amendment’s revised appointment mechanism) remaining an area of ongoing political negotiation.</w:t>
      </w:r>
    </w:p>
    <w:p>
      <w:pPr>
        <w:numPr>
          <w:ilvl w:val="0"/>
          <w:numId w:val="1063"/>
        </w:numPr>
        <w:pStyle w:val="Compact"/>
      </w:pPr>
      <w:r>
        <w:rPr>
          <w:bCs/>
          <w:b/>
        </w:rPr>
        <w:t xml:space="preserve">The military’s continuing informal influence</w:t>
      </w:r>
      <w:r>
        <w:t xml:space="preserve"> </w:t>
      </w:r>
      <w:r>
        <w:t xml:space="preserve">over major national-security and, at times, broader political questions, discussed at length in Topic 7, means that formal electoral outcomes do not by themselves fully determine the practical distribution of power — an important qualification to any answer that measures democratic quality by election results alone.</w:t>
      </w:r>
    </w:p>
    <w:bookmarkEnd w:id="134"/>
    <w:bookmarkStart w:id="135" w:name="X5dc7528989c11fc3e4f166ceffc6c1a69d91d9a"/>
    <w:p>
      <w:pPr>
        <w:pStyle w:val="Heading2"/>
      </w:pPr>
      <w:r>
        <w:t xml:space="preserve">How to Judge Democratic Quality: A Framework, Not a Checklist</w:t>
      </w:r>
    </w:p>
    <w:p>
      <w:pPr>
        <w:pStyle w:val="FirstParagraph"/>
      </w:pPr>
      <w:r>
        <w:t xml:space="preserve">Political scientists generally evaluate democratic quality along several distinct dimensions rather than a single yes/no criterion: the fairness and competitiveness of elections; the degree of constitutional continuity and predictable, peaceful transfer of power; the strength and independence of parliament relative to the executive and other unelected institutions; the protection of civil liberties and rights; the degree of genuine internal democracy and programmatic coherence within political parties; the functioning of federalism and centre-province relations; and the quality of governance outcomes actually delivered to citizens. Applying this multi-dimensional framework to Pakistan’s post-2008 record produces a genuinely mixed picture — meaningful gains in constitutional continuity and civilian-to-civilian transfers of power, alongside continuing weaknesses in party institutionalisation, judicial-executive balance, and the military’s informal influence — and a strong exam answer should reflect this mixed picture rather than reaching for either an uncritically positive or uncritically negative single verdict.</w:t>
      </w:r>
    </w:p>
    <w:bookmarkEnd w:id="135"/>
    <w:bookmarkStart w:id="136" w:name="key-terms-and-concepts-8"/>
    <w:p>
      <w:pPr>
        <w:pStyle w:val="Heading2"/>
      </w:pPr>
      <w:r>
        <w:t xml:space="preserve">Key Terms and Concepts</w:t>
      </w:r>
    </w:p>
    <w:p>
      <w:pPr>
        <w:numPr>
          <w:ilvl w:val="0"/>
          <w:numId w:val="1064"/>
        </w:numPr>
        <w:pStyle w:val="Compact"/>
      </w:pPr>
      <w:r>
        <w:rPr>
          <w:bCs/>
          <w:b/>
        </w:rPr>
        <w:t xml:space="preserve">Article 58(2)(b):</w:t>
      </w:r>
      <w:r>
        <w:t xml:space="preserve"> </w:t>
      </w:r>
      <w:r>
        <w:t xml:space="preserve">The Eighth Amendment provision used to dismiss three elected governments during the 1988–1999 period before its repeal (1997) and later, differently framed, partial restoration (2003) and permanent removal (2010) — see Topic 6.</w:t>
      </w:r>
    </w:p>
    <w:p>
      <w:pPr>
        <w:numPr>
          <w:ilvl w:val="0"/>
          <w:numId w:val="1064"/>
        </w:numPr>
        <w:pStyle w:val="Compact"/>
      </w:pPr>
      <w:r>
        <w:rPr>
          <w:bCs/>
          <w:b/>
        </w:rPr>
        <w:t xml:space="preserve">Panama Papers case:</w:t>
      </w:r>
      <w:r>
        <w:t xml:space="preserve"> </w:t>
      </w:r>
      <w:r>
        <w:t xml:space="preserve">The 2016–2017 investigation and subsequent Supreme Court disqualification of Nawaz Sharif from office, an important instance of judicial-executive interaction in this period.</w:t>
      </w:r>
    </w:p>
    <w:p>
      <w:pPr>
        <w:numPr>
          <w:ilvl w:val="0"/>
          <w:numId w:val="1064"/>
        </w:numPr>
        <w:pStyle w:val="Compact"/>
      </w:pPr>
      <w:r>
        <w:rPr>
          <w:bCs/>
          <w:b/>
        </w:rPr>
        <w:t xml:space="preserve">Vote of no confidence (2022):</w:t>
      </w:r>
      <w:r>
        <w:t xml:space="preserve"> </w:t>
      </w:r>
      <w:r>
        <w:t xml:space="preserve">The parliamentary procedure used to remove Prime Minister Imran Khan in April 2022, the first successful use of this specific mechanism against a sitting Pakistani prime minister.</w:t>
      </w:r>
    </w:p>
    <w:p>
      <w:pPr>
        <w:numPr>
          <w:ilvl w:val="0"/>
          <w:numId w:val="1064"/>
        </w:numPr>
        <w:pStyle w:val="Compact"/>
      </w:pPr>
      <w:r>
        <w:rPr>
          <w:bCs/>
          <w:b/>
        </w:rPr>
        <w:t xml:space="preserve">Dynastic party leadership:</w:t>
      </w:r>
      <w:r>
        <w:t xml:space="preserve"> </w:t>
      </w:r>
      <w:r>
        <w:t xml:space="preserve">The pattern, common to Pakistan’s two largest parties, of leadership concentrated within a single founding family across multiple generations.</w:t>
      </w:r>
    </w:p>
    <w:bookmarkEnd w:id="136"/>
    <w:bookmarkStart w:id="137" w:name="preparation-toolkit-8"/>
    <w:p>
      <w:pPr>
        <w:pStyle w:val="Heading2"/>
      </w:pPr>
      <w:r>
        <w:t xml:space="preserve">Preparation Toolkit</w:t>
      </w:r>
    </w:p>
    <w:p>
      <w:pPr>
        <w:pStyle w:val="FirstParagraph"/>
      </w:pPr>
      <w:r>
        <w:rPr>
          <w:bCs/>
          <w:b/>
        </w:rPr>
        <w:t xml:space="preserve">Preparation Checklist</w:t>
      </w:r>
    </w:p>
    <w:p>
      <w:pPr>
        <w:numPr>
          <w:ilvl w:val="0"/>
          <w:numId w:val="1065"/>
        </w:numPr>
        <w:pStyle w:val="Compact"/>
      </w:pPr>
      <w:r>
        <w:t xml:space="preserve">Prepare democratic periods as labelled phases (1947–58; 1971–77; 1988–99; 2008–present) rather than as an undifferentiated list of prime ministers, and for each phase ask: what did elections change, how strong were parliament and parties, what role did the presidency, judiciary or military play, and what constitutional reforms occurred?</w:t>
      </w:r>
    </w:p>
    <w:p>
      <w:pPr>
        <w:numPr>
          <w:ilvl w:val="0"/>
          <w:numId w:val="1065"/>
        </w:numPr>
        <w:pStyle w:val="Compact"/>
      </w:pPr>
      <w:r>
        <w:t xml:space="preserve">Prepare the 1988–1999 period specifically as a case study in</w:t>
      </w:r>
      <w:r>
        <w:t xml:space="preserve"> </w:t>
      </w:r>
      <w:r>
        <w:t xml:space="preserve">“</w:t>
      </w:r>
      <w:r>
        <w:t xml:space="preserve">elections without consolidation,</w:t>
      </w:r>
      <w:r>
        <w:t xml:space="preserve">”</w:t>
      </w:r>
      <w:r>
        <w:t xml:space="preserve"> </w:t>
      </w:r>
      <w:r>
        <w:t xml:space="preserve">using the four dismissals as your core evidence.</w:t>
      </w:r>
    </w:p>
    <w:p>
      <w:pPr>
        <w:numPr>
          <w:ilvl w:val="0"/>
          <w:numId w:val="1065"/>
        </w:numPr>
        <w:pStyle w:val="Compact"/>
      </w:pPr>
      <w:r>
        <w:t xml:space="preserve">Prepare the post-2008 period as a case study in gradual, still-incomplete consolidation, citing the 2013 civilian-to-civilian transfer and the Eighteenth Amendment as the strongest positive evidence, and the 2022 no-confidence vote and continuing judicial-executive tension as evidence of continuing strain.</w:t>
      </w:r>
    </w:p>
    <w:p>
      <w:pPr>
        <w:numPr>
          <w:ilvl w:val="0"/>
          <w:numId w:val="1065"/>
        </w:numPr>
        <w:pStyle w:val="Compact"/>
      </w:pPr>
      <w:r>
        <w:t xml:space="preserve">Keep an evidence bank: the 1977 election crisis and Bhutto’s execution (1979), the four dismissals of 1990–1999, the 2008 and 2013 elections, the Eighteenth Amendment (2010), the Panama Papers disqualification (2017), and the 2022 no-confidence vote.</w:t>
      </w:r>
    </w:p>
    <w:p>
      <w:pPr>
        <w:numPr>
          <w:ilvl w:val="0"/>
          <w:numId w:val="1065"/>
        </w:numPr>
        <w:pStyle w:val="Compact"/>
      </w:pPr>
      <w:r>
        <w:t xml:space="preserve">Practice one analytical outline answering:</w:t>
      </w:r>
      <w:r>
        <w:t xml:space="preserve"> </w:t>
      </w:r>
      <w:r>
        <w:t xml:space="preserve">“</w:t>
      </w:r>
      <w:r>
        <w:t xml:space="preserve">Has Pakistani democracy become more institutionally stable since 2008? Use evidence for and against before reaching a judgment.</w:t>
      </w:r>
      <w:r>
        <w:t xml:space="preserve">”</w:t>
      </w:r>
    </w:p>
    <w:p>
      <w:pPr>
        <w:pStyle w:val="FirstParagraph"/>
      </w:pPr>
      <w:r>
        <w:rPr>
          <w:bCs/>
          <w:b/>
        </w:rPr>
        <w:t xml:space="preserve">Common Confusions to Avoid</w:t>
      </w:r>
    </w:p>
    <w:p>
      <w:pPr>
        <w:numPr>
          <w:ilvl w:val="0"/>
          <w:numId w:val="1066"/>
        </w:numPr>
        <w:pStyle w:val="Compact"/>
      </w:pPr>
      <w:r>
        <w:t xml:space="preserve">Do not use</w:t>
      </w:r>
      <w:r>
        <w:t xml:space="preserve"> </w:t>
      </w:r>
      <w:r>
        <w:t xml:space="preserve">“</w:t>
      </w:r>
      <w:r>
        <w:t xml:space="preserve">democracy</w:t>
      </w:r>
      <w:r>
        <w:t xml:space="preserve">”</w:t>
      </w:r>
      <w:r>
        <w:t xml:space="preserve"> </w:t>
      </w:r>
      <w:r>
        <w:t xml:space="preserve">as a synonym for elections alone; apply the multi-dimensional framework (constitutional continuity, party institutionalisation, judicial-executive balance, civil liberties, federalism, governance outcomes) set out above.</w:t>
      </w:r>
    </w:p>
    <w:p>
      <w:pPr>
        <w:numPr>
          <w:ilvl w:val="0"/>
          <w:numId w:val="1066"/>
        </w:numPr>
        <w:pStyle w:val="Compact"/>
      </w:pPr>
      <w:r>
        <w:t xml:space="preserve">Do not write a list of prime ministers without evaluating institutions and constitutional change; examiners specifically reward evaluative structure over narrative listing on this topic.</w:t>
      </w:r>
    </w:p>
    <w:p>
      <w:pPr>
        <w:numPr>
          <w:ilvl w:val="0"/>
          <w:numId w:val="1066"/>
        </w:numPr>
        <w:pStyle w:val="Compact"/>
      </w:pPr>
      <w:r>
        <w:t xml:space="preserve">Do not assume every transfer of power is equally democratic in character; carefully distinguish elections, parliamentary votes of no confidence, presidential dismissals, judicial disqualifications, and military interventions from one another.</w:t>
      </w:r>
    </w:p>
    <w:p>
      <w:pPr>
        <w:numPr>
          <w:ilvl w:val="0"/>
          <w:numId w:val="1066"/>
        </w:numPr>
        <w:pStyle w:val="Compact"/>
      </w:pPr>
      <w:r>
        <w:t xml:space="preserve">Do not take a partisan position on contested recent events (such as the circumstances of the 2022 no-confidence vote or the 2024 election); present the competing characterisations fairly and note that they remain actively disputed.</w:t>
      </w:r>
    </w:p>
    <w:p>
      <w:pPr>
        <w:pStyle w:val="FirstParagraph"/>
      </w:pPr>
      <w:r>
        <w:rPr>
          <w:bCs/>
          <w:b/>
        </w:rPr>
        <w:t xml:space="preserve">Easy Revision Points</w:t>
      </w:r>
    </w:p>
    <w:p>
      <w:pPr>
        <w:numPr>
          <w:ilvl w:val="0"/>
          <w:numId w:val="1067"/>
        </w:numPr>
        <w:pStyle w:val="Compact"/>
      </w:pPr>
      <w:r>
        <w:t xml:space="preserve">Pakistan experienced repeated interruptions of elected civilian rule between 1947 and 2008, making democratic consolidation a long-term institutional challenge rather than a single achieved milestone.</w:t>
      </w:r>
    </w:p>
    <w:p>
      <w:pPr>
        <w:numPr>
          <w:ilvl w:val="0"/>
          <w:numId w:val="1067"/>
        </w:numPr>
        <w:pStyle w:val="Compact"/>
      </w:pPr>
      <w:r>
        <w:t xml:space="preserve">No elected government completed a full constitutional term during the 1988–1999 period; all four governments were dismissed or removed before completing their terms.</w:t>
      </w:r>
    </w:p>
    <w:p>
      <w:pPr>
        <w:numPr>
          <w:ilvl w:val="0"/>
          <w:numId w:val="1067"/>
        </w:numPr>
        <w:pStyle w:val="Compact"/>
      </w:pPr>
      <w:r>
        <w:t xml:space="preserve">The Eighteenth Constitutional Amendment of 2010 strengthened parliamentary arrangements and substantially expanded provincial autonomy.</w:t>
      </w:r>
    </w:p>
    <w:p>
      <w:pPr>
        <w:numPr>
          <w:ilvl w:val="0"/>
          <w:numId w:val="1067"/>
        </w:numPr>
        <w:pStyle w:val="Compact"/>
      </w:pPr>
      <w:r>
        <w:t xml:space="preserve">The 2013 election produced Pakistan’s first transfer of power from one elected civilian government completing a full term to another elected civilian government.</w:t>
      </w:r>
    </w:p>
    <w:p>
      <w:pPr>
        <w:numPr>
          <w:ilvl w:val="0"/>
          <w:numId w:val="1067"/>
        </w:numPr>
        <w:pStyle w:val="Compact"/>
      </w:pPr>
      <w:r>
        <w:t xml:space="preserve">Imran Khan became prime minister after the 2018 election and was removed through a parliamentary vote of no confidence in April 2022, the first successful use of this mechanism in Pakistan’s history.</w:t>
      </w:r>
    </w:p>
    <w:p>
      <w:pPr>
        <w:numPr>
          <w:ilvl w:val="0"/>
          <w:numId w:val="1067"/>
        </w:numPr>
        <w:pStyle w:val="Compact"/>
      </w:pPr>
      <w:r>
        <w:t xml:space="preserve">Following the 2024 general election, Shehbaz Sharif was elected prime minister by the National Assembly on 3 March 2024; the conduct of this election remained a subject of significant domestic and international dispute.</w:t>
      </w:r>
    </w:p>
    <w:bookmarkEnd w:id="137"/>
    <w:bookmarkStart w:id="138" w:name="key-takeaways-8"/>
    <w:p>
      <w:pPr>
        <w:pStyle w:val="Heading2"/>
      </w:pPr>
      <w:r>
        <w:t xml:space="preserve">Key Takeaways</w:t>
      </w:r>
    </w:p>
    <w:p>
      <w:pPr>
        <w:numPr>
          <w:ilvl w:val="0"/>
          <w:numId w:val="1068"/>
        </w:numPr>
        <w:pStyle w:val="Compact"/>
      </w:pPr>
      <w:r>
        <w:t xml:space="preserve">Evaluating Pakistani democracy requires a multi-dimensional framework — elections, constitutional continuity, party institutionalisation, judicial-executive balance, civil liberties, federalism, and governance outcomes — rather than treating regular elections alone as sufficient evidence of democratic consolidation.</w:t>
      </w:r>
    </w:p>
    <w:p>
      <w:pPr>
        <w:numPr>
          <w:ilvl w:val="0"/>
          <w:numId w:val="1068"/>
        </w:numPr>
        <w:pStyle w:val="Compact"/>
      </w:pPr>
      <w:r>
        <w:t xml:space="preserve">The 1988–1999 period is best understood as a case study in</w:t>
      </w:r>
      <w:r>
        <w:t xml:space="preserve"> </w:t>
      </w:r>
      <w:r>
        <w:t xml:space="preserve">“</w:t>
      </w:r>
      <w:r>
        <w:t xml:space="preserve">elections without consolidation</w:t>
      </w:r>
      <w:r>
        <w:t xml:space="preserve">”</w:t>
      </w:r>
      <w:r>
        <w:t xml:space="preserve">: regular elections occurred, but no government completed a full term, largely due to the interaction of Article 58(2)(b), civil-military tension, and unstable party competition.</w:t>
      </w:r>
    </w:p>
    <w:p>
      <w:pPr>
        <w:numPr>
          <w:ilvl w:val="0"/>
          <w:numId w:val="1068"/>
        </w:numPr>
        <w:pStyle w:val="Compact"/>
      </w:pPr>
      <w:r>
        <w:t xml:space="preserve">The post-2008 period shows genuine, if incomplete, progress toward constitutional continuity — most clearly demonstrated by the 2013 civilian-to-civilian transfer of power and the consensus-based Eighteenth Amendment — alongside continuing strain from judicial-executive tension, contested elections, and the military’s informal influence.</w:t>
      </w:r>
    </w:p>
    <w:p>
      <w:pPr>
        <w:numPr>
          <w:ilvl w:val="0"/>
          <w:numId w:val="1068"/>
        </w:numPr>
        <w:pStyle w:val="Compact"/>
      </w:pPr>
      <w:r>
        <w:t xml:space="preserve">Pakistan’s major parties remain marked by dynastic leadership and patronage-based organisation, a structural weakness distinct from, but related to, the institutional instability examined elsewhere in this topic and in Topic 7.</w:t>
      </w:r>
    </w:p>
    <w:p>
      <w:pPr>
        <w:numPr>
          <w:ilvl w:val="0"/>
          <w:numId w:val="1068"/>
        </w:numPr>
        <w:pStyle w:val="Compact"/>
      </w:pPr>
      <w:r>
        <w:t xml:space="preserve">Recent and highly contested events (the 2022 no-confidence vote, the 2024 election) should be presented with both sides of the political dispute fairly represented, since they remain live, actively contested matters rather than settled historical fact.</w:t>
      </w:r>
    </w:p>
    <w:bookmarkEnd w:id="138"/>
    <w:bookmarkEnd w:id="139"/>
    <w:bookmarkStart w:id="153" w:name="foreign-policy-of-pakistan-19471999"/>
    <w:p>
      <w:pPr>
        <w:pStyle w:val="Heading1"/>
        <w:pageBreakBefore/>
      </w:pPr>
      <w:r>
        <w:t xml:space="preserve">10. Foreign Policy of Pakistan (1947–1999)</w:t>
      </w:r>
    </w:p>
    <w:bookmarkStart w:id="140" w:name="why-this-topic-matters-9"/>
    <w:p>
      <w:pPr>
        <w:pStyle w:val="Heading2"/>
      </w:pPr>
      <w:r>
        <w:t xml:space="preserve">Why This Topic Matters</w:t>
      </w:r>
    </w:p>
    <w:p>
      <w:pPr>
        <w:pStyle w:val="FirstParagraph"/>
      </w:pPr>
      <w:r>
        <w:t xml:space="preserve">Pakistan’s foreign policy in this period cannot be explained as a fixed ideological commitment to any single bloc or partner; it changed substantially from decade to decade in response to a fairly consistent underlying security logic. Learning this topic as a decade-by-decade sequence of shifting alignments, each explainable by a specific combination of threat perception, economic need and available international partners, will serve candidates far better than learning it as a list of treaties and dates without an underlying argument connecting them.</w:t>
      </w:r>
    </w:p>
    <w:bookmarkEnd w:id="140"/>
    <w:bookmarkStart w:id="141" w:name="the-early-security-environment-19471953"/>
    <w:p>
      <w:pPr>
        <w:pStyle w:val="Heading2"/>
      </w:pPr>
      <w:r>
        <w:t xml:space="preserve">The Early Security Environment (1947–1953)</w:t>
      </w:r>
    </w:p>
    <w:p>
      <w:pPr>
        <w:pStyle w:val="FirstParagraph"/>
      </w:pPr>
      <w:r>
        <w:t xml:space="preserve">Pakistan emerged from partition (Topics 5 and 6) with a set of security anxieties that shaped its foreign policy for decades afterward: an unresolved and militarily contested dispute over Kashmir with India (Topic 6); a comparatively small, under-resourced military inherited from the unequal division of undivided India’s defence assets; and an urgent need for development finance and international diplomatic recognition as a newly independent state. These conditions pushed Pakistani policymakers, from the very beginning, toward an active search for external partners capable of providing security guarantees, military assistance and economic support — a search that would define the pattern of shifting alliances examined below.</w:t>
      </w:r>
    </w:p>
    <w:bookmarkEnd w:id="141"/>
    <w:bookmarkStart w:id="142" w:name="western-alliances-in-the-1950s"/>
    <w:p>
      <w:pPr>
        <w:pStyle w:val="Heading2"/>
      </w:pPr>
      <w:r>
        <w:t xml:space="preserve">Western Alliances in the 1950s</w:t>
      </w:r>
    </w:p>
    <w:p>
      <w:pPr>
        <w:pStyle w:val="FirstParagraph"/>
      </w:pPr>
      <w:r>
        <w:t xml:space="preserve">Pakistan formalised close security ties with the United States over the course of the 1950s, joining the</w:t>
      </w:r>
      <w:r>
        <w:t xml:space="preserve"> </w:t>
      </w:r>
      <w:r>
        <w:rPr>
          <w:bCs/>
          <w:b/>
        </w:rPr>
        <w:t xml:space="preserve">South East Asia Treaty Organisation (SEATO)</w:t>
      </w:r>
      <w:r>
        <w:t xml:space="preserve"> </w:t>
      </w:r>
      <w:r>
        <w:t xml:space="preserve">in 1954 and the</w:t>
      </w:r>
      <w:r>
        <w:t xml:space="preserve"> </w:t>
      </w:r>
      <w:r>
        <w:rPr>
          <w:bCs/>
          <w:b/>
        </w:rPr>
        <w:t xml:space="preserve">Baghdad Pact</w:t>
      </w:r>
      <w:r>
        <w:t xml:space="preserve"> </w:t>
      </w:r>
      <w:r>
        <w:t xml:space="preserve">in 1955 (which, after Iraq’s withdrawal following its 1958 revolution, was reconstituted as the</w:t>
      </w:r>
      <w:r>
        <w:t xml:space="preserve"> </w:t>
      </w:r>
      <w:r>
        <w:rPr>
          <w:bCs/>
          <w:b/>
        </w:rPr>
        <w:t xml:space="preserve">Central Treaty Organisation, CENTO</w:t>
      </w:r>
      <w:r>
        <w:t xml:space="preserve">), alongside a bilateral Mutual Defense Assistance Agreement with the United States in 1954. These arrangements brought Pakistan substantial military hardware, training and economic assistance through the decade. It is important to note a persistent mismatch in underlying motivation that many analysts of this period have identified: Pakistani policymakers primarily sought security assistance and diplomatic backing against the perceived threat from India, while Washington viewed Pakistan chiefly through the lens of global Cold War containment strategy against Soviet and, later, Chinese communist expansion — objectives that overlapped enough to sustain the alliance for a period, but that were never fully identical, and this underlying mismatch helps explain why the alliance later proved less reliable than Pakistani policymakers had initially hoped, particularly during and after the 1965 war with India (below).</w:t>
      </w:r>
    </w:p>
    <w:bookmarkEnd w:id="142"/>
    <w:bookmarkStart w:id="143" w:name="china-and-the-search-for-diversification"/>
    <w:p>
      <w:pPr>
        <w:pStyle w:val="Heading2"/>
      </w:pPr>
      <w:r>
        <w:t xml:space="preserve">China and the Search for Diversification</w:t>
      </w:r>
    </w:p>
    <w:p>
      <w:pPr>
        <w:pStyle w:val="FirstParagraph"/>
      </w:pPr>
      <w:r>
        <w:t xml:space="preserve">Pakistan-China relations improved significantly during the 1960s, in a shift best explained by changing regional alignments rather than any single ideological affinity. Following the 1962 Sino-Indian border war (which sharply worsened China’s relations with India), Pakistan and China found converging strategic interest in balancing against India, leading to the</w:t>
      </w:r>
      <w:r>
        <w:t xml:space="preserve"> </w:t>
      </w:r>
      <w:r>
        <w:rPr>
          <w:bCs/>
          <w:b/>
        </w:rPr>
        <w:t xml:space="preserve">1963 Sino-Pakistan Frontier Agreement</w:t>
      </w:r>
      <w:r>
        <w:t xml:space="preserve">, which settled a boundary dispute in the Kashmir-adjacent Karakoram region and is generally regarded as the foundation of what has since become described, on both sides, as an</w:t>
      </w:r>
      <w:r>
        <w:t xml:space="preserve"> </w:t>
      </w:r>
      <w:r>
        <w:t xml:space="preserve">“</w:t>
      </w:r>
      <w:r>
        <w:t xml:space="preserve">all-weather</w:t>
      </w:r>
      <w:r>
        <w:t xml:space="preserve">”</w:t>
      </w:r>
      <w:r>
        <w:t xml:space="preserve"> </w:t>
      </w:r>
      <w:r>
        <w:t xml:space="preserve">bilateral friendship. Pakistan’s improving relationship with China also proved diplomatically valuable in an unrelated but historically significant way: Pakistan quietly facilitated early contacts between the United States and China in the early 1970s, contributing a supporting role to the diplomatic opening associated with Henry Kissinger’s secret 1971 visit to Beijing, a useful illustration of how Pakistan’s foreign relationships, once established, could generate further diplomatic value beyond their original strategic purpose.</w:t>
      </w:r>
    </w:p>
    <w:bookmarkEnd w:id="143"/>
    <w:bookmarkStart w:id="144" w:name="wars-with-india-and-the-kashmir-dispute"/>
    <w:p>
      <w:pPr>
        <w:pStyle w:val="Heading2"/>
      </w:pPr>
      <w:r>
        <w:t xml:space="preserve">Wars with India and the Kashmir Dispute</w:t>
      </w:r>
    </w:p>
    <w:p>
      <w:pPr>
        <w:pStyle w:val="FirstParagraph"/>
      </w:pPr>
      <w:r>
        <w:t xml:space="preserve">Beyond the 1947–48 war already discussed in Topic 6, the</w:t>
      </w:r>
      <w:r>
        <w:t xml:space="preserve"> </w:t>
      </w:r>
      <w:r>
        <w:rPr>
          <w:bCs/>
          <w:b/>
        </w:rPr>
        <w:t xml:space="preserve">1965 war</w:t>
      </w:r>
      <w:r>
        <w:t xml:space="preserve"> </w:t>
      </w:r>
      <w:r>
        <w:t xml:space="preserve">originated in Pakistani efforts (Operation Gibraltar) to infiltrate forces into Indian-administered Kashmir with the aim of provoking a local uprising against Indian control, which instead escalated into a full conventional war along the international border as well as in Kashmir. The war ended largely inconclusively on the battlefield and was followed by the</w:t>
      </w:r>
      <w:r>
        <w:t xml:space="preserve"> </w:t>
      </w:r>
      <w:r>
        <w:rPr>
          <w:bCs/>
          <w:b/>
        </w:rPr>
        <w:t xml:space="preserve">Tashkent Declaration (1966)</w:t>
      </w:r>
      <w:r>
        <w:t xml:space="preserve">, mediated by the Soviet Union, restoring the pre-war status quo — a notable instance of Soviet, rather than Western, diplomatic involvement in South Asian security affairs during this period, and evidence against reading Pakistan’s foreign relationships as fixed along strict Cold War bloc lines. The</w:t>
      </w:r>
      <w:r>
        <w:t xml:space="preserve"> </w:t>
      </w:r>
      <w:r>
        <w:rPr>
          <w:bCs/>
          <w:b/>
        </w:rPr>
        <w:t xml:space="preserve">1971 war</w:t>
      </w:r>
      <w:r>
        <w:t xml:space="preserve">, examined fully in Topic 8, resulted in Pakistan’s most severe strategic defeat of the period, the loss of East Pakistan, and the subsequent</w:t>
      </w:r>
      <w:r>
        <w:t xml:space="preserve"> </w:t>
      </w:r>
      <w:r>
        <w:rPr>
          <w:bCs/>
          <w:b/>
        </w:rPr>
        <w:t xml:space="preserve">Simla Agreement (1972)</w:t>
      </w:r>
      <w:r>
        <w:t xml:space="preserve">, which established a bilateral framework for managing India-Pakistan relations (including the renaming of the 1949 ceasefire line as the</w:t>
      </w:r>
      <w:r>
        <w:t xml:space="preserve"> </w:t>
      </w:r>
      <w:r>
        <w:t xml:space="preserve">“</w:t>
      </w:r>
      <w:r>
        <w:t xml:space="preserve">Line of Control</w:t>
      </w:r>
      <w:r>
        <w:t xml:space="preserve">”</w:t>
      </w:r>
      <w:r>
        <w:t xml:space="preserve">) without resolving the underlying Kashmir dispute itself, which has remained a central determinant of Pakistani security policy throughout the entire period covered by this topic.</w:t>
      </w:r>
    </w:p>
    <w:bookmarkEnd w:id="144"/>
    <w:bookmarkStart w:id="145" w:name="the-muslim-world-and-regional-diplomacy"/>
    <w:p>
      <w:pPr>
        <w:pStyle w:val="Heading2"/>
      </w:pPr>
      <w:r>
        <w:t xml:space="preserve">The Muslim World and Regional Diplomacy</w:t>
      </w:r>
    </w:p>
    <w:p>
      <w:pPr>
        <w:pStyle w:val="FirstParagraph"/>
      </w:pPr>
      <w:r>
        <w:t xml:space="preserve">Pakistan cultivated close relationships across the Muslim-majority world throughout this period, reflecting both religious-cultural affinity and concrete strategic and economic interests. Pakistan was a founding member of the</w:t>
      </w:r>
      <w:r>
        <w:t xml:space="preserve"> </w:t>
      </w:r>
      <w:r>
        <w:rPr>
          <w:bCs/>
          <w:b/>
        </w:rPr>
        <w:t xml:space="preserve">Organisation of Islamic Cooperation (OIC)</w:t>
      </w:r>
      <w:r>
        <w:t xml:space="preserve">, established in 1969, and developed particularly important relationships with</w:t>
      </w:r>
      <w:r>
        <w:t xml:space="preserve"> </w:t>
      </w:r>
      <w:r>
        <w:rPr>
          <w:bCs/>
          <w:b/>
        </w:rPr>
        <w:t xml:space="preserve">Saudi Arabia</w:t>
      </w:r>
      <w:r>
        <w:t xml:space="preserve"> </w:t>
      </w:r>
      <w:r>
        <w:t xml:space="preserve">(encompassing military training cooperation, substantial economic assistance, and — increasingly from the 1970s oil boom onward — large-scale labour migration and worker remittances that became economically significant for Pakistan) and, before Iran’s 1979 revolution, with the</w:t>
      </w:r>
      <w:r>
        <w:t xml:space="preserve"> </w:t>
      </w:r>
      <w:r>
        <w:rPr>
          <w:bCs/>
          <w:b/>
        </w:rPr>
        <w:t xml:space="preserve">Shah’s Iran</w:t>
      </w:r>
      <w:r>
        <w:t xml:space="preserve"> </w:t>
      </w:r>
      <w:r>
        <w:t xml:space="preserve">(including through the</w:t>
      </w:r>
      <w:r>
        <w:t xml:space="preserve"> </w:t>
      </w:r>
      <w:r>
        <w:rPr>
          <w:bCs/>
          <w:b/>
        </w:rPr>
        <w:t xml:space="preserve">Regional Cooperation for Development</w:t>
      </w:r>
      <w:r>
        <w:t xml:space="preserve">, a regional economic organisation founded in 1964 by Pakistan, Iran and Turkey). These relationships demonstrate that Pakistani foreign policy in this period operated simultaneously along at least two distinct axes — a Western/Cold War security axis and a parallel Muslim-world diplomatic and economic axis — that require separate, explicit treatment rather than being folded into a single undifferentiated account of</w:t>
      </w:r>
      <w:r>
        <w:t xml:space="preserve"> </w:t>
      </w:r>
      <w:r>
        <w:t xml:space="preserve">“</w:t>
      </w:r>
      <w:r>
        <w:t xml:space="preserve">alliances.</w:t>
      </w:r>
      <w:r>
        <w:t xml:space="preserve">”</w:t>
      </w:r>
    </w:p>
    <w:bookmarkEnd w:id="145"/>
    <w:bookmarkStart w:id="146" w:name="Xceffc5453638e5815a61325c0a023c9d2f0a61a"/>
    <w:p>
      <w:pPr>
        <w:pStyle w:val="Heading2"/>
      </w:pPr>
      <w:r>
        <w:t xml:space="preserve">Afghanistan and the 1980s: Pakistan as a Frontline State</w:t>
      </w:r>
    </w:p>
    <w:p>
      <w:pPr>
        <w:pStyle w:val="FirstParagraph"/>
      </w:pPr>
      <w:r>
        <w:t xml:space="preserve">The Soviet Union’s military intervention in Afghanistan in December 1979 transformed Pakistan’s strategic position dramatically. Under General Zia-ul-Haq (Topic 7), Pakistan became the principal</w:t>
      </w:r>
      <w:r>
        <w:t xml:space="preserve"> </w:t>
      </w:r>
      <w:r>
        <w:rPr>
          <w:bCs/>
          <w:b/>
        </w:rPr>
        <w:t xml:space="preserve">frontline state</w:t>
      </w:r>
      <w:r>
        <w:t xml:space="preserve"> </w:t>
      </w:r>
      <w:r>
        <w:t xml:space="preserve">channelling substantial American and Saudi-financed military and financial support — organised significantly through Pakistan’s Inter-Services Intelligence directorate — to Afghan resistance forces (the mujahideen) fighting the Soviet-backed government in Kabul. This role restored close US-Pakistan strategic cooperation (after a period of strained relations in the 1970s, discussed below) and brought substantial renewed American aid, but it also produced serious and long-lasting domestic consequences examined in Topic 7: a massive Afghan refugee population inside Pakistan, an influx of weapons and an associated growth in armed non-state actors, and a strengthened militant and sectarian organisational infrastructure whose effects persisted for decades. Soviet forces withdrew from Afghanistan by 1989 following the</w:t>
      </w:r>
      <w:r>
        <w:t xml:space="preserve"> </w:t>
      </w:r>
      <w:r>
        <w:rPr>
          <w:bCs/>
          <w:b/>
        </w:rPr>
        <w:t xml:space="preserve">Geneva Accords (1988)</w:t>
      </w:r>
      <w:r>
        <w:t xml:space="preserve">, but the civil conflict inside Afghanistan continued for years afterward, and Pakistan subsequently developed close ties, from the mid-1990s, with the Taliban movement that eventually took control of most of Afghanistan in 1996 — a relationship whose long-term regional security consequences would become especially significant in the period following the 1999 endpoint of this specific topic.</w:t>
      </w:r>
    </w:p>
    <w:bookmarkEnd w:id="146"/>
    <w:bookmarkStart w:id="147" w:name="nuclear-policy-and-the-1998-tests"/>
    <w:p>
      <w:pPr>
        <w:pStyle w:val="Heading2"/>
      </w:pPr>
      <w:r>
        <w:t xml:space="preserve">Nuclear Policy and the 1998 Tests</w:t>
      </w:r>
    </w:p>
    <w:p>
      <w:pPr>
        <w:pStyle w:val="FirstParagraph"/>
      </w:pPr>
      <w:r>
        <w:t xml:space="preserve">Pakistan’s nuclear weapons programme developed over roughly a quarter-century in direct response to the evolving India-Pakistan security competition. India’s 1974 underground nuclear test (described by the Indian government at the time as a</w:t>
      </w:r>
      <w:r>
        <w:t xml:space="preserve"> </w:t>
      </w:r>
      <w:r>
        <w:t xml:space="preserve">“</w:t>
      </w:r>
      <w:r>
        <w:t xml:space="preserve">peaceful nuclear explosion</w:t>
      </w:r>
      <w:r>
        <w:t xml:space="preserve">”</w:t>
      </w:r>
      <w:r>
        <w:t xml:space="preserve">) is widely regarded as the immediate trigger for a determined Pakistani decision, under Prime Minister Zulfikar Ali Bhutto, to pursue an independent nuclear weapons capability, developed over the following decades substantially through a uranium-enrichment programme associated with the scientist Abdul Qadeer Khan. Through the 1980s and much of the 1990s, Pakistan (like India) maintained a position of deliberate ambiguity about the exact state of its nuclear capability, a policy sometimes described as</w:t>
      </w:r>
      <w:r>
        <w:t xml:space="preserve"> </w:t>
      </w:r>
      <w:r>
        <w:t xml:space="preserve">“</w:t>
      </w:r>
      <w:r>
        <w:t xml:space="preserve">nuclear opacity,</w:t>
      </w:r>
      <w:r>
        <w:t xml:space="preserve">”</w:t>
      </w:r>
      <w:r>
        <w:t xml:space="preserve"> </w:t>
      </w:r>
      <w:r>
        <w:t xml:space="preserve">rather than openly declaring itself a nuclear weapons state. This period also saw a significant strain in US-Pakistan relations: the</w:t>
      </w:r>
      <w:r>
        <w:t xml:space="preserve"> </w:t>
      </w:r>
      <w:r>
        <w:rPr>
          <w:bCs/>
          <w:b/>
        </w:rPr>
        <w:t xml:space="preserve">Pressler Amendment</w:t>
      </w:r>
      <w:r>
        <w:t xml:space="preserve">, US legislation requiring an annual presidential certification that Pakistan did not possess a nuclear explosive device as a condition for continued American aid, led to a cutoff of most US military and economic assistance from 1990 onward once this certification could no longer be credibly made — illustrating concretely how nuclear proliferation concerns could disrupt even a previously close bilateral security relationship, and reinforcing the broader theme running through this entire topic that alliance relationships were never as fixed or unconditional as they might first appear.</w:t>
      </w:r>
    </w:p>
    <w:p>
      <w:pPr>
        <w:pStyle w:val="BodyText"/>
      </w:pPr>
      <w:r>
        <w:t xml:space="preserve">India’s decision to conduct a further round of nuclear tests in May 1998 (Pokhran-II) prompted Pakistan, under Prime Minister Nawaz Sharif, to respond with its own nuclear tests at Chagai in Balochistan later the same month, making both countries’ nuclear weapons capabilities explicit and overt for the first time and fundamentally altering the strategic character of South Asian security competition — the two states now faced each other as declared, rather than merely suspected, nuclear-armed adversaries, a transformation whose long-term regional and international implications extend well beyond the 1999 chronological endpoint of this specific syllabus topic.</w:t>
      </w:r>
    </w:p>
    <w:bookmarkEnd w:id="147"/>
    <w:bookmarkStart w:id="148" w:name="key-terms-and-concepts-9"/>
    <w:p>
      <w:pPr>
        <w:pStyle w:val="Heading2"/>
      </w:pPr>
      <w:r>
        <w:t xml:space="preserve">Key Terms and Concepts</w:t>
      </w:r>
    </w:p>
    <w:p>
      <w:pPr>
        <w:numPr>
          <w:ilvl w:val="0"/>
          <w:numId w:val="1069"/>
        </w:numPr>
        <w:pStyle w:val="Compact"/>
      </w:pPr>
      <w:r>
        <w:rPr>
          <w:bCs/>
          <w:b/>
        </w:rPr>
        <w:t xml:space="preserve">SEATO / Baghdad Pact–CENTO:</w:t>
      </w:r>
      <w:r>
        <w:t xml:space="preserve"> </w:t>
      </w:r>
      <w:r>
        <w:t xml:space="preserve">Pakistan’s 1950s Western security alliances, providing military assistance in exchange for alignment with US-led Cold War containment strategy.</w:t>
      </w:r>
    </w:p>
    <w:p>
      <w:pPr>
        <w:numPr>
          <w:ilvl w:val="0"/>
          <w:numId w:val="1069"/>
        </w:numPr>
        <w:pStyle w:val="Compact"/>
      </w:pPr>
      <w:r>
        <w:rPr>
          <w:bCs/>
          <w:b/>
        </w:rPr>
        <w:t xml:space="preserve">Sino-Pakistan Frontier Agreement (1963):</w:t>
      </w:r>
      <w:r>
        <w:t xml:space="preserve"> </w:t>
      </w:r>
      <w:r>
        <w:t xml:space="preserve">The boundary settlement that laid the foundation for Pakistan’s close and enduring relationship with China.</w:t>
      </w:r>
    </w:p>
    <w:p>
      <w:pPr>
        <w:numPr>
          <w:ilvl w:val="0"/>
          <w:numId w:val="1069"/>
        </w:numPr>
        <w:pStyle w:val="Compact"/>
      </w:pPr>
      <w:r>
        <w:rPr>
          <w:bCs/>
          <w:b/>
        </w:rPr>
        <w:t xml:space="preserve">Simla Agreement (1972):</w:t>
      </w:r>
      <w:r>
        <w:t xml:space="preserve"> </w:t>
      </w:r>
      <w:r>
        <w:t xml:space="preserve">The post-1971 bilateral framework for India-Pakistan relations, including the renaming of the ceasefire line as the Line of Control.</w:t>
      </w:r>
    </w:p>
    <w:p>
      <w:pPr>
        <w:numPr>
          <w:ilvl w:val="0"/>
          <w:numId w:val="1069"/>
        </w:numPr>
        <w:pStyle w:val="Compact"/>
      </w:pPr>
      <w:r>
        <w:rPr>
          <w:bCs/>
          <w:b/>
        </w:rPr>
        <w:t xml:space="preserve">Pressler Amendment:</w:t>
      </w:r>
      <w:r>
        <w:t xml:space="preserve"> </w:t>
      </w:r>
      <w:r>
        <w:t xml:space="preserve">US legislation conditioning aid on non-possession of nuclear weapons, leading to a substantial aid cutoff to Pakistan from 1990.</w:t>
      </w:r>
    </w:p>
    <w:p>
      <w:pPr>
        <w:numPr>
          <w:ilvl w:val="0"/>
          <w:numId w:val="1069"/>
        </w:numPr>
        <w:pStyle w:val="Compact"/>
      </w:pPr>
      <w:r>
        <w:rPr>
          <w:bCs/>
          <w:b/>
        </w:rPr>
        <w:t xml:space="preserve">Nuclear opacity:</w:t>
      </w:r>
      <w:r>
        <w:t xml:space="preserve"> </w:t>
      </w:r>
      <w:r>
        <w:t xml:space="preserve">The deliberate policy of ambiguity about nuclear weapons capability maintained by Pakistan (and India) for roughly two decades before the overt 1998 tests.</w:t>
      </w:r>
    </w:p>
    <w:bookmarkEnd w:id="148"/>
    <w:bookmarkStart w:id="149" w:name="foreign-policy-by-decade"/>
    <w:p>
      <w:pPr>
        <w:pStyle w:val="Heading2"/>
      </w:pPr>
      <w:r>
        <w:t xml:space="preserve">Foreign Policy by Decade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Period</w:t>
            </w:r>
          </w:p>
        </w:tc>
        <w:tc>
          <w:tcPr/>
          <w:p>
            <w:pPr>
              <w:pStyle w:val="Compact"/>
              <w:jc w:val="left"/>
            </w:pPr>
            <w:r>
              <w:t xml:space="preserve">Main threat perception</w:t>
            </w:r>
          </w:p>
        </w:tc>
        <w:tc>
          <w:tcPr/>
          <w:p>
            <w:pPr>
              <w:pStyle w:val="Compact"/>
              <w:jc w:val="left"/>
            </w:pPr>
            <w:r>
              <w:t xml:space="preserve">Principal external partners</w:t>
            </w:r>
          </w:p>
        </w:tc>
        <w:tc>
          <w:tcPr/>
          <w:p>
            <w:pPr>
              <w:pStyle w:val="Compact"/>
              <w:jc w:val="left"/>
            </w:pPr>
            <w:r>
              <w:t xml:space="preserve">Major agreement or crisis</w:t>
            </w:r>
          </w:p>
        </w:tc>
        <w:tc>
          <w:tcPr/>
          <w:p>
            <w:pPr>
              <w:pStyle w:val="Compact"/>
              <w:jc w:val="left"/>
            </w:pPr>
            <w:r>
              <w:t xml:space="preserve">Broad outcome</w:t>
            </w:r>
          </w:p>
        </w:tc>
      </w:tr>
      <w:tr>
        <w:tc>
          <w:tcPr/>
          <w:p>
            <w:pPr>
              <w:pStyle w:val="Compact"/>
              <w:jc w:val="left"/>
            </w:pPr>
            <w:r>
              <w:t xml:space="preserve">1947–1953</w:t>
            </w:r>
          </w:p>
        </w:tc>
        <w:tc>
          <w:tcPr/>
          <w:p>
            <w:pPr>
              <w:pStyle w:val="Compact"/>
              <w:jc w:val="left"/>
            </w:pPr>
            <w:r>
              <w:t xml:space="preserve">India (Kashmir); state-building insecurity</w:t>
            </w:r>
          </w:p>
        </w:tc>
        <w:tc>
          <w:tcPr/>
          <w:p>
            <w:pPr>
              <w:pStyle w:val="Compact"/>
              <w:jc w:val="left"/>
            </w:pPr>
            <w:r>
              <w:t xml:space="preserve">Seeking any available partner for recognition and assistance</w:t>
            </w:r>
          </w:p>
        </w:tc>
        <w:tc>
          <w:tcPr/>
          <w:p>
            <w:pPr>
              <w:pStyle w:val="Compact"/>
              <w:jc w:val="left"/>
            </w:pPr>
            <w:r>
              <w:t xml:space="preserve">First Kashmir war (1947–48); UN ceasefire (1949)</w:t>
            </w:r>
          </w:p>
        </w:tc>
        <w:tc>
          <w:tcPr/>
          <w:p>
            <w:pPr>
              <w:pStyle w:val="Compact"/>
              <w:jc w:val="left"/>
            </w:pPr>
            <w:r>
              <w:t xml:space="preserve">Established the enduring centrality of the Kashmir dispute</w:t>
            </w:r>
          </w:p>
        </w:tc>
      </w:tr>
      <w:tr>
        <w:tc>
          <w:tcPr/>
          <w:p>
            <w:pPr>
              <w:pStyle w:val="Compact"/>
              <w:jc w:val="left"/>
            </w:pPr>
            <w:r>
              <w:t xml:space="preserve">1950s</w:t>
            </w:r>
          </w:p>
        </w:tc>
        <w:tc>
          <w:tcPr/>
          <w:p>
            <w:pPr>
              <w:pStyle w:val="Compact"/>
              <w:jc w:val="left"/>
            </w:pPr>
            <w:r>
              <w:t xml:space="preserve">India; Cold War containment framework adopted by the US</w:t>
            </w:r>
          </w:p>
        </w:tc>
        <w:tc>
          <w:tcPr/>
          <w:p>
            <w:pPr>
              <w:pStyle w:val="Compact"/>
              <w:jc w:val="left"/>
            </w:pPr>
            <w:r>
              <w:t xml:space="preserve">United States (SEATO, Baghdad Pact/CENTO)</w:t>
            </w:r>
          </w:p>
        </w:tc>
        <w:tc>
          <w:tcPr/>
          <w:p>
            <w:pPr>
              <w:pStyle w:val="Compact"/>
              <w:jc w:val="left"/>
            </w:pPr>
            <w:r>
              <w:t xml:space="preserve">Bilateral defence agreement (1954)</w:t>
            </w:r>
          </w:p>
        </w:tc>
        <w:tc>
          <w:tcPr/>
          <w:p>
            <w:pPr>
              <w:pStyle w:val="Compact"/>
              <w:jc w:val="left"/>
            </w:pPr>
            <w:r>
              <w:t xml:space="preserve">Substantial military assistance; underlying threat-perception mismatch with Washington</w:t>
            </w:r>
          </w:p>
        </w:tc>
      </w:tr>
      <w:tr>
        <w:tc>
          <w:tcPr/>
          <w:p>
            <w:pPr>
              <w:pStyle w:val="Compact"/>
              <w:jc w:val="left"/>
            </w:pPr>
            <w:r>
              <w:t xml:space="preserve">1960s</w:t>
            </w:r>
          </w:p>
        </w:tc>
        <w:tc>
          <w:tcPr/>
          <w:p>
            <w:pPr>
              <w:pStyle w:val="Compact"/>
              <w:jc w:val="left"/>
            </w:pPr>
            <w:r>
              <w:t xml:space="preserve">India; recalibration after 1962 Sino-Indian war</w:t>
            </w:r>
          </w:p>
        </w:tc>
        <w:tc>
          <w:tcPr/>
          <w:p>
            <w:pPr>
              <w:pStyle w:val="Compact"/>
              <w:jc w:val="left"/>
            </w:pPr>
            <w:r>
              <w:t xml:space="preserve">China (new); US relationship strained after 1965 war</w:t>
            </w:r>
          </w:p>
        </w:tc>
        <w:tc>
          <w:tcPr/>
          <w:p>
            <w:pPr>
              <w:pStyle w:val="Compact"/>
              <w:jc w:val="left"/>
            </w:pPr>
            <w:r>
              <w:t xml:space="preserve">Sino-Pakistan Frontier Agreement (1963); 1965 war and Tashkent Declaration (1966)</w:t>
            </w:r>
          </w:p>
        </w:tc>
        <w:tc>
          <w:tcPr/>
          <w:p>
            <w:pPr>
              <w:pStyle w:val="Compact"/>
              <w:jc w:val="left"/>
            </w:pPr>
            <w:r>
              <w:t xml:space="preserve">Diversification away from sole reliance on the US; China relationship established</w:t>
            </w:r>
          </w:p>
        </w:tc>
      </w:tr>
      <w:tr>
        <w:tc>
          <w:tcPr/>
          <w:p>
            <w:pPr>
              <w:pStyle w:val="Compact"/>
              <w:jc w:val="left"/>
            </w:pPr>
            <w:r>
              <w:t xml:space="preserve">1970s</w:t>
            </w:r>
          </w:p>
        </w:tc>
        <w:tc>
          <w:tcPr/>
          <w:p>
            <w:pPr>
              <w:pStyle w:val="Compact"/>
              <w:jc w:val="left"/>
            </w:pPr>
            <w:r>
              <w:t xml:space="preserve">India (after 1971 defeat); nuclear insecurity begins</w:t>
            </w:r>
          </w:p>
        </w:tc>
        <w:tc>
          <w:tcPr/>
          <w:p>
            <w:pPr>
              <w:pStyle w:val="Compact"/>
              <w:jc w:val="left"/>
            </w:pPr>
            <w:r>
              <w:t xml:space="preserve">Muslim-majority states (OIC, 1969); nuclear programme initiated</w:t>
            </w:r>
          </w:p>
        </w:tc>
        <w:tc>
          <w:tcPr/>
          <w:p>
            <w:pPr>
              <w:pStyle w:val="Compact"/>
              <w:jc w:val="left"/>
            </w:pPr>
            <w:r>
              <w:t xml:space="preserve">1971 war and Simla Agreement (1972); nuclear programme begun after India’s 1974 test</w:t>
            </w:r>
          </w:p>
        </w:tc>
        <w:tc>
          <w:tcPr/>
          <w:p>
            <w:pPr>
              <w:pStyle w:val="Compact"/>
              <w:jc w:val="left"/>
            </w:pPr>
            <w:r>
              <w:t xml:space="preserve">Post-1971 strategic recalibration; long-term nuclear trajectory set in motion</w:t>
            </w:r>
          </w:p>
        </w:tc>
      </w:tr>
      <w:tr>
        <w:tc>
          <w:tcPr/>
          <w:p>
            <w:pPr>
              <w:pStyle w:val="Compact"/>
              <w:jc w:val="left"/>
            </w:pPr>
            <w:r>
              <w:t xml:space="preserve">1980s</w:t>
            </w:r>
          </w:p>
        </w:tc>
        <w:tc>
          <w:tcPr/>
          <w:p>
            <w:pPr>
              <w:pStyle w:val="Compact"/>
              <w:jc w:val="left"/>
            </w:pPr>
            <w:r>
              <w:t xml:space="preserve">Soviet presence in Afghanistan; India</w:t>
            </w:r>
          </w:p>
        </w:tc>
        <w:tc>
          <w:tcPr/>
          <w:p>
            <w:pPr>
              <w:pStyle w:val="Compact"/>
              <w:jc w:val="left"/>
            </w:pPr>
            <w:r>
              <w:t xml:space="preserve">United States and Saudi Arabia (frontline-state role)</w:t>
            </w:r>
          </w:p>
        </w:tc>
        <w:tc>
          <w:tcPr/>
          <w:p>
            <w:pPr>
              <w:pStyle w:val="Compact"/>
              <w:jc w:val="left"/>
            </w:pPr>
            <w:r>
              <w:t xml:space="preserve">Soviet intervention in Afghanistan (1979); Geneva Accords (1988)</w:t>
            </w:r>
          </w:p>
        </w:tc>
        <w:tc>
          <w:tcPr/>
          <w:p>
            <w:pPr>
              <w:pStyle w:val="Compact"/>
              <w:jc w:val="left"/>
            </w:pPr>
            <w:r>
              <w:t xml:space="preserve">Renewed close US alignment; major long-term domestic security consequences</w:t>
            </w:r>
          </w:p>
        </w:tc>
      </w:tr>
      <w:tr>
        <w:tc>
          <w:tcPr/>
          <w:p>
            <w:pPr>
              <w:pStyle w:val="Compact"/>
              <w:jc w:val="left"/>
            </w:pPr>
            <w:r>
              <w:t xml:space="preserve">1990s</w:t>
            </w:r>
          </w:p>
        </w:tc>
        <w:tc>
          <w:tcPr/>
          <w:p>
            <w:pPr>
              <w:pStyle w:val="Compact"/>
              <w:jc w:val="left"/>
            </w:pPr>
            <w:r>
              <w:t xml:space="preserve">India (nuclear); post-Cold War aid conditionality</w:t>
            </w:r>
          </w:p>
        </w:tc>
        <w:tc>
          <w:tcPr/>
          <w:p>
            <w:pPr>
              <w:pStyle w:val="Compact"/>
              <w:jc w:val="left"/>
            </w:pPr>
            <w:r>
              <w:t xml:space="preserve">Reduced US engagement after the Pressler Amendment (1990)</w:t>
            </w:r>
          </w:p>
        </w:tc>
        <w:tc>
          <w:tcPr/>
          <w:p>
            <w:pPr>
              <w:pStyle w:val="Compact"/>
              <w:jc w:val="left"/>
            </w:pPr>
            <w:r>
              <w:t xml:space="preserve">India’s and Pakistan’s 1998 nuclear tests</w:t>
            </w:r>
          </w:p>
        </w:tc>
        <w:tc>
          <w:tcPr/>
          <w:p>
            <w:pPr>
              <w:pStyle w:val="Compact"/>
              <w:jc w:val="left"/>
            </w:pPr>
            <w:r>
              <w:t xml:space="preserve">Overt, declared nuclear rivalry established in South Asia</w:t>
            </w:r>
          </w:p>
        </w:tc>
      </w:tr>
    </w:tbl>
    <w:bookmarkEnd w:id="149"/>
    <w:bookmarkStart w:id="150" w:name="X8c37474e946e58a690be921034a4568bee984d6"/>
    <w:p>
      <w:pPr>
        <w:pStyle w:val="Heading2"/>
      </w:pPr>
      <w:r>
        <w:t xml:space="preserve">Analytical Frameworks: What Actually Drives Pakistani Foreign Policy?</w:t>
      </w:r>
    </w:p>
    <w:p>
      <w:pPr>
        <w:pStyle w:val="FirstParagraph"/>
      </w:pPr>
      <w:r>
        <w:t xml:space="preserve">Scholars offer at least three distinct, non-exclusive explanatory frameworks for the pattern traced above, and a strong answer can draw on more than one:</w:t>
      </w:r>
    </w:p>
    <w:p>
      <w:pPr>
        <w:numPr>
          <w:ilvl w:val="0"/>
          <w:numId w:val="1070"/>
        </w:numPr>
        <w:pStyle w:val="Compact"/>
      </w:pPr>
      <w:r>
        <w:rPr>
          <w:bCs/>
          <w:b/>
        </w:rPr>
        <w:t xml:space="preserve">The realist, India-centric security framework</w:t>
      </w:r>
      <w:r>
        <w:t xml:space="preserve"> </w:t>
      </w:r>
      <w:r>
        <w:t xml:space="preserve">(associated with much of the standard diplomatic-historical literature, including works such as S. M. Burke’s and Hasan-Askari Rizvi’s studies of Pakistani foreign policy) explains the shifting alliance pattern primarily as a rational response to a persistent, unresolved security competition with a much larger neighbour, with each successive partnership (US, China, Saudi Arabia, the US again in the 1980s) explained mainly by which partner could best help balance against Indian power at that particular moment.</w:t>
      </w:r>
    </w:p>
    <w:p>
      <w:pPr>
        <w:numPr>
          <w:ilvl w:val="0"/>
          <w:numId w:val="1070"/>
        </w:numPr>
        <w:pStyle w:val="Compact"/>
      </w:pPr>
      <w:r>
        <w:rPr>
          <w:bCs/>
          <w:b/>
        </w:rPr>
        <w:t xml:space="preserve">A domestic political-economy framework</w:t>
      </w:r>
      <w:r>
        <w:t xml:space="preserve">, connecting directly to Hamza Alavi’s</w:t>
      </w:r>
      <w:r>
        <w:t xml:space="preserve"> </w:t>
      </w:r>
      <w:r>
        <w:t xml:space="preserve">“</w:t>
      </w:r>
      <w:r>
        <w:t xml:space="preserve">overdeveloped state</w:t>
      </w:r>
      <w:r>
        <w:t xml:space="preserve">”</w:t>
      </w:r>
      <w:r>
        <w:t xml:space="preserve"> </w:t>
      </w:r>
      <w:r>
        <w:t xml:space="preserve">thesis (introduced in Topic 1’s bibliography) and to Topic 7’s discussion of the military’s institutional interests, suggests that Pakistan’s recurring pursuit of external alliance relationships also reflects the material interests of a powerful military-bureaucratic establishment that benefits directly from the resources — arms, aid, training, international standing — that such alliances generate, creating an institutional incentive toward alliance-seeking somewhat independent of the specific external security environment at any given moment.</w:t>
      </w:r>
    </w:p>
    <w:p>
      <w:pPr>
        <w:numPr>
          <w:ilvl w:val="0"/>
          <w:numId w:val="1070"/>
        </w:numPr>
        <w:pStyle w:val="Compact"/>
      </w:pPr>
      <w:r>
        <w:rPr>
          <w:bCs/>
          <w:b/>
        </w:rPr>
        <w:t xml:space="preserve">An ideational or identity-based framework</w:t>
      </w:r>
      <w:r>
        <w:t xml:space="preserve"> </w:t>
      </w:r>
      <w:r>
        <w:t xml:space="preserve">points to the role of Pakistan’s self-conception as a Muslim-majority state in shaping its parallel and largely separate diplomatic engagement with the wider Muslim world (OIC membership, relationships with Saudi Arabia and Iran, and later solidarity-based support for the Afghan resistance partly framed in religious terms), a dimension the purely security-competition framework above does not fully capture on its own.</w:t>
      </w:r>
    </w:p>
    <w:p>
      <w:pPr>
        <w:pStyle w:val="FirstParagraph"/>
      </w:pPr>
      <w:r>
        <w:t xml:space="preserve">A genuinely strong answer to a broad</w:t>
      </w:r>
      <w:r>
        <w:t xml:space="preserve"> </w:t>
      </w:r>
      <w:r>
        <w:t xml:space="preserve">“</w:t>
      </w:r>
      <w:r>
        <w:t xml:space="preserve">explain Pakistan’s foreign policy in this period</w:t>
      </w:r>
      <w:r>
        <w:t xml:space="preserve">”</w:t>
      </w:r>
      <w:r>
        <w:t xml:space="preserve"> </w:t>
      </w:r>
      <w:r>
        <w:t xml:space="preserve">question will typically combine the security-competition explanation (which does most of the descriptive work) with an awareness of these additional institutional and ideational dimensions, rather than relying on the security framework alone.</w:t>
      </w:r>
    </w:p>
    <w:bookmarkEnd w:id="150"/>
    <w:bookmarkStart w:id="151" w:name="preparation-toolkit-9"/>
    <w:p>
      <w:pPr>
        <w:pStyle w:val="Heading2"/>
      </w:pPr>
      <w:r>
        <w:t xml:space="preserve">Preparation Toolkit</w:t>
      </w:r>
    </w:p>
    <w:p>
      <w:pPr>
        <w:pStyle w:val="FirstParagraph"/>
      </w:pPr>
      <w:r>
        <w:rPr>
          <w:bCs/>
          <w:b/>
        </w:rPr>
        <w:t xml:space="preserve">Preparation Checklist</w:t>
      </w:r>
    </w:p>
    <w:p>
      <w:pPr>
        <w:numPr>
          <w:ilvl w:val="0"/>
          <w:numId w:val="1071"/>
        </w:numPr>
        <w:pStyle w:val="Compact"/>
      </w:pPr>
      <w:r>
        <w:t xml:space="preserve">Build a decade-by-decade chart using the table above as a model: main threat perception, principal partner(s), major agreement or crisis, and outcome for each decade from the 1950s through the 1990s.</w:t>
      </w:r>
    </w:p>
    <w:p>
      <w:pPr>
        <w:numPr>
          <w:ilvl w:val="0"/>
          <w:numId w:val="1071"/>
        </w:numPr>
        <w:pStyle w:val="Compact"/>
      </w:pPr>
      <w:r>
        <w:t xml:space="preserve">Explicitly separate interest from outcome in every case — what Pakistani policymakers intended from a given alliance versus what that alliance actually delivered (the SEATO/CENTO threat-perception mismatch and the Pressler Amendment aid cutoff are the two clearest examples of intended and actual outcomes diverging).</w:t>
      </w:r>
    </w:p>
    <w:p>
      <w:pPr>
        <w:numPr>
          <w:ilvl w:val="0"/>
          <w:numId w:val="1071"/>
        </w:numPr>
        <w:pStyle w:val="Compact"/>
      </w:pPr>
      <w:r>
        <w:t xml:space="preserve">Keep an evidence bank: SEATO (1954) and the Baghdad Pact (1955), the Sino-Pakistan Frontier Agreement (1963), the 1965 war and Tashkent Declaration (1966), the OIC’s founding (1969), the Simla Agreement (1972), the Soviet intervention in Afghanistan (1979) and the Geneva Accords (1988), the Pressler Amendment (1990), and the May 1998 nuclear tests.</w:t>
      </w:r>
    </w:p>
    <w:p>
      <w:pPr>
        <w:numPr>
          <w:ilvl w:val="0"/>
          <w:numId w:val="1071"/>
        </w:numPr>
        <w:pStyle w:val="Compact"/>
      </w:pPr>
      <w:r>
        <w:t xml:space="preserve">Practice one analytical outline answering:</w:t>
      </w:r>
      <w:r>
        <w:t xml:space="preserve"> </w:t>
      </w:r>
      <w:r>
        <w:t xml:space="preserve">“</w:t>
      </w:r>
      <w:r>
        <w:t xml:space="preserve">Explain why Pakistan’s key foreign-policy partnerships changed between the 1950s and the 1980s, using at least two of the three explanatory frameworks (security-competition, domestic political economy, ideational/identity-based) discussed above.</w:t>
      </w:r>
      <w:r>
        <w:t xml:space="preserve">”</w:t>
      </w:r>
    </w:p>
    <w:p>
      <w:pPr>
        <w:pStyle w:val="FirstParagraph"/>
      </w:pPr>
      <w:r>
        <w:rPr>
          <w:bCs/>
          <w:b/>
        </w:rPr>
        <w:t xml:space="preserve">Common Confusions to Avoid</w:t>
      </w:r>
    </w:p>
    <w:p>
      <w:pPr>
        <w:numPr>
          <w:ilvl w:val="0"/>
          <w:numId w:val="1072"/>
        </w:numPr>
        <w:pStyle w:val="Compact"/>
      </w:pPr>
      <w:r>
        <w:t xml:space="preserve">Do not label Pakistan as permanently</w:t>
      </w:r>
      <w:r>
        <w:t xml:space="preserve"> </w:t>
      </w:r>
      <w:r>
        <w:t xml:space="preserve">“</w:t>
      </w:r>
      <w:r>
        <w:t xml:space="preserve">pro-West</w:t>
      </w:r>
      <w:r>
        <w:t xml:space="preserve">”</w:t>
      </w:r>
      <w:r>
        <w:t xml:space="preserve"> </w:t>
      </w:r>
      <w:r>
        <w:t xml:space="preserve">or</w:t>
      </w:r>
      <w:r>
        <w:t xml:space="preserve"> </w:t>
      </w:r>
      <w:r>
        <w:t xml:space="preserve">“</w:t>
      </w:r>
      <w:r>
        <w:t xml:space="preserve">pro-China</w:t>
      </w:r>
      <w:r>
        <w:t xml:space="preserve">”</w:t>
      </w:r>
      <w:r>
        <w:t xml:space="preserve">; partnerships changed substantially with security conditions and international politics across the decades covered by this topic.</w:t>
      </w:r>
    </w:p>
    <w:p>
      <w:pPr>
        <w:numPr>
          <w:ilvl w:val="0"/>
          <w:numId w:val="1072"/>
        </w:numPr>
        <w:pStyle w:val="Compact"/>
      </w:pPr>
      <w:r>
        <w:t xml:space="preserve">Do not study foreign policy only through individual leaders’ personalities; geography, the enduring India-Pakistan security competition, Afghanistan, economic need, and the global Cold War (and post-Cold War) structure are the long-term determinants that matter most.</w:t>
      </w:r>
    </w:p>
    <w:p>
      <w:pPr>
        <w:numPr>
          <w:ilvl w:val="0"/>
          <w:numId w:val="1072"/>
        </w:numPr>
        <w:pStyle w:val="Compact"/>
      </w:pPr>
      <w:r>
        <w:t xml:space="preserve">Do not extend an answer specifically bounded to 1999 into later War on Terror-era material (post-2001) unless a comparison across periods is explicitly asked for.</w:t>
      </w:r>
    </w:p>
    <w:p>
      <w:pPr>
        <w:numPr>
          <w:ilvl w:val="0"/>
          <w:numId w:val="1072"/>
        </w:numPr>
        <w:pStyle w:val="Compact"/>
      </w:pPr>
      <w:r>
        <w:t xml:space="preserve">Do not treat Pakistan’s Muslim-world diplomacy (OIC, Saudi Arabia, Iran) as a minor footnote to its Western and Chinese relationships; it operates as a genuinely separate diplomatic axis with its own logic.</w:t>
      </w:r>
    </w:p>
    <w:p>
      <w:pPr>
        <w:pStyle w:val="FirstParagraph"/>
      </w:pPr>
      <w:r>
        <w:rPr>
          <w:bCs/>
          <w:b/>
        </w:rPr>
        <w:t xml:space="preserve">Easy Revision Points</w:t>
      </w:r>
    </w:p>
    <w:p>
      <w:pPr>
        <w:numPr>
          <w:ilvl w:val="0"/>
          <w:numId w:val="1073"/>
        </w:numPr>
        <w:pStyle w:val="Compact"/>
      </w:pPr>
      <w:r>
        <w:t xml:space="preserve">Pakistan joined SEATO in 1954 and the Baghdad Pact in 1955; the latter later became CENTO after Iraq’s 1958 revolution and subsequent withdrawal.</w:t>
      </w:r>
    </w:p>
    <w:p>
      <w:pPr>
        <w:numPr>
          <w:ilvl w:val="0"/>
          <w:numId w:val="1073"/>
        </w:numPr>
        <w:pStyle w:val="Compact"/>
      </w:pPr>
      <w:r>
        <w:t xml:space="preserve">Pakistan and China developed closer relations in the 1960s; the 1963 Sino-Pakistan Frontier Agreement was an important milestone in that relationship.</w:t>
      </w:r>
    </w:p>
    <w:p>
      <w:pPr>
        <w:numPr>
          <w:ilvl w:val="0"/>
          <w:numId w:val="1073"/>
        </w:numPr>
        <w:pStyle w:val="Compact"/>
      </w:pPr>
      <w:r>
        <w:t xml:space="preserve">Wars with India in 1947–48, 1965 and 1971, and the continuing Kashmir dispute, strongly influenced Pakistani security policy throughout this entire period.</w:t>
      </w:r>
    </w:p>
    <w:p>
      <w:pPr>
        <w:numPr>
          <w:ilvl w:val="0"/>
          <w:numId w:val="1073"/>
        </w:numPr>
        <w:pStyle w:val="Compact"/>
      </w:pPr>
      <w:r>
        <w:t xml:space="preserve">The Simla Agreement was signed by Pakistan and India in 1972 after the 1971 war, establishing a bilateral framework and renaming the ceasefire line as the Line of Control.</w:t>
      </w:r>
    </w:p>
    <w:p>
      <w:pPr>
        <w:numPr>
          <w:ilvl w:val="0"/>
          <w:numId w:val="1073"/>
        </w:numPr>
        <w:pStyle w:val="Compact"/>
      </w:pPr>
      <w:r>
        <w:t xml:space="preserve">The Soviet intervention in Afghanistan in December 1979 made Pakistan a major frontline state in the 1980s, with substantial but consequential long-term domestic effects.</w:t>
      </w:r>
    </w:p>
    <w:p>
      <w:pPr>
        <w:numPr>
          <w:ilvl w:val="0"/>
          <w:numId w:val="1073"/>
        </w:numPr>
        <w:pStyle w:val="Compact"/>
      </w:pPr>
      <w:r>
        <w:t xml:space="preserve">Pakistan conducted nuclear tests at Chagai in May 1998, shortly after India’s tests the same month, creating an overt, declared nuclear deterrence relationship in South Asia for the first time.</w:t>
      </w:r>
    </w:p>
    <w:bookmarkEnd w:id="151"/>
    <w:bookmarkStart w:id="152" w:name="key-takeaways-9"/>
    <w:p>
      <w:pPr>
        <w:pStyle w:val="Heading2"/>
      </w:pPr>
      <w:r>
        <w:t xml:space="preserve">Key Takeaways</w:t>
      </w:r>
    </w:p>
    <w:p>
      <w:pPr>
        <w:numPr>
          <w:ilvl w:val="0"/>
          <w:numId w:val="1074"/>
        </w:numPr>
        <w:pStyle w:val="Compact"/>
      </w:pPr>
      <w:r>
        <w:t xml:space="preserve">Pakistan’s foreign policy in this period should be studied as a series of rational, changing responses to an enduring India-centric security concern, not as a fixed ideological commitment to any single external partner or bloc.</w:t>
      </w:r>
    </w:p>
    <w:p>
      <w:pPr>
        <w:numPr>
          <w:ilvl w:val="0"/>
          <w:numId w:val="1074"/>
        </w:numPr>
        <w:pStyle w:val="Compact"/>
      </w:pPr>
      <w:r>
        <w:t xml:space="preserve">Each major alliance relationship (the US in the 1950s, China from the 1960s, the frontline-state role with the US and Saudi Arabia in the 1980s) can, and should, be explained through the specific combination of threat perception and available international partnership that produced it at that particular moment.</w:t>
      </w:r>
    </w:p>
    <w:p>
      <w:pPr>
        <w:numPr>
          <w:ilvl w:val="0"/>
          <w:numId w:val="1074"/>
        </w:numPr>
        <w:pStyle w:val="Compact"/>
      </w:pPr>
      <w:r>
        <w:t xml:space="preserve">Separating interest from outcome is essential: the 1950s Western alliances rested on a real but incomplete overlap of Pakistani and American objectives, and the Pressler Amendment’s 1990 aid cutoff shows concretely how quickly that overlap could break down once conditions changed.</w:t>
      </w:r>
    </w:p>
    <w:p>
      <w:pPr>
        <w:numPr>
          <w:ilvl w:val="0"/>
          <w:numId w:val="1074"/>
        </w:numPr>
        <w:pStyle w:val="Compact"/>
      </w:pPr>
      <w:r>
        <w:t xml:space="preserve">Pakistan’s nuclear programme, beginning in direct response to India’s 1974 test and culminating in the overt 1998 Chagai tests, is best understood as the logical extension of the same enduring India-centric security competition that runs through this entire topic, rather than a separate or late-arriving story.</w:t>
      </w:r>
    </w:p>
    <w:p>
      <w:pPr>
        <w:numPr>
          <w:ilvl w:val="0"/>
          <w:numId w:val="1074"/>
        </w:numPr>
        <w:pStyle w:val="Compact"/>
      </w:pPr>
      <w:r>
        <w:t xml:space="preserve">A complete explanation of Pakistani foreign policy benefits from combining the standard security-competition framework with awareness of the domestic political-economy dimension (connecting to Topics 1, 7 and the</w:t>
      </w:r>
      <w:r>
        <w:t xml:space="preserve"> </w:t>
      </w:r>
      <w:r>
        <w:t xml:space="preserve">“</w:t>
      </w:r>
      <w:r>
        <w:t xml:space="preserve">overdeveloped state</w:t>
      </w:r>
      <w:r>
        <w:t xml:space="preserve">”</w:t>
      </w:r>
      <w:r>
        <w:t xml:space="preserve"> </w:t>
      </w:r>
      <w:r>
        <w:t xml:space="preserve">thesis) and the ideational, Muslim-world dimension of Pakistani diplomacy.</w:t>
      </w:r>
    </w:p>
    <w:bookmarkEnd w:id="152"/>
    <w:bookmarkEnd w:id="153"/>
    <w:bookmarkStart w:id="156" w:name="final-revision-strategy-for-this-subject"/>
    <w:p>
      <w:pPr>
        <w:pStyle w:val="Heading1"/>
        <w:pageBreakBefore/>
      </w:pPr>
      <w:r>
        <w:t xml:space="preserve">Final Revision Strategy for This Subject</w:t>
      </w:r>
    </w:p>
    <w:p>
      <w:pPr>
        <w:pStyle w:val="FirstParagraph"/>
      </w:pPr>
      <w:r>
        <w:t xml:space="preserve">A history paper becomes easier when preparation is organised around explanation rather than memory alone. Use this sequence for every major topic in this subject:</w:t>
      </w:r>
    </w:p>
    <w:p>
      <w:pPr>
        <w:numPr>
          <w:ilvl w:val="0"/>
          <w:numId w:val="1075"/>
        </w:numPr>
        <w:pStyle w:val="Compact"/>
      </w:pPr>
      <w:r>
        <w:t xml:space="preserve">Build a one-page chronology for the topic. Keep only turning points that help explain change, not every date the topic could contain.</w:t>
      </w:r>
    </w:p>
    <w:p>
      <w:pPr>
        <w:numPr>
          <w:ilvl w:val="0"/>
          <w:numId w:val="1075"/>
        </w:numPr>
        <w:pStyle w:val="Compact"/>
      </w:pPr>
      <w:r>
        <w:t xml:space="preserve">Identify four to six causes for the central event or process, dividing them into political, economic, social, ideological, diplomatic, constitutional or institutional categories where appropriate — exactly as this resource has done for each topic above.</w:t>
      </w:r>
    </w:p>
    <w:p>
      <w:pPr>
        <w:numPr>
          <w:ilvl w:val="0"/>
          <w:numId w:val="1075"/>
        </w:numPr>
        <w:pStyle w:val="Compact"/>
      </w:pPr>
      <w:r>
        <w:t xml:space="preserve">Identify the actors and institutions that actually drove change (a political party, the military, the colonial state, a specific constitutional provision), and avoid personality-only explanations wherever a structural explanation is available.</w:t>
      </w:r>
    </w:p>
    <w:p>
      <w:pPr>
        <w:numPr>
          <w:ilvl w:val="0"/>
          <w:numId w:val="1075"/>
        </w:numPr>
        <w:pStyle w:val="Compact"/>
      </w:pPr>
      <w:r>
        <w:t xml:space="preserve">Prepare the event or process itself in clear, labelled stages.</w:t>
      </w:r>
    </w:p>
    <w:p>
      <w:pPr>
        <w:numPr>
          <w:ilvl w:val="0"/>
          <w:numId w:val="1075"/>
        </w:numPr>
        <w:pStyle w:val="Compact"/>
      </w:pPr>
      <w:r>
        <w:t xml:space="preserve">Prepare immediate and long-term consequences separately, since examiners frequently ask for both.</w:t>
      </w:r>
    </w:p>
    <w:p>
      <w:pPr>
        <w:numPr>
          <w:ilvl w:val="0"/>
          <w:numId w:val="1075"/>
        </w:numPr>
        <w:pStyle w:val="Compact"/>
      </w:pPr>
      <w:r>
        <w:t xml:space="preserve">Add one balanced historical debate for the topic: what is established, what historians genuinely dispute, and which oversimplified explanation should be avoided. Every topic in this resource includes at least one such debate — use it.</w:t>
      </w:r>
    </w:p>
    <w:p>
      <w:pPr>
        <w:numPr>
          <w:ilvl w:val="0"/>
          <w:numId w:val="1075"/>
        </w:numPr>
        <w:pStyle w:val="Compact"/>
      </w:pPr>
      <w:r>
        <w:t xml:space="preserve">Use a map, comparison table or timeline whenever territory, institutions, or multiple phases are involved; several are provided ready-made above.</w:t>
      </w:r>
    </w:p>
    <w:p>
      <w:pPr>
        <w:numPr>
          <w:ilvl w:val="0"/>
          <w:numId w:val="1075"/>
        </w:numPr>
        <w:pStyle w:val="Compact"/>
      </w:pPr>
      <w:r>
        <w:t xml:space="preserve">Practise one past-paper-style question after finishing each topic, rather than waiting until the whole subject is complete.</w:t>
      </w:r>
    </w:p>
    <w:bookmarkStart w:id="154" w:name="a-simple-answer-building-formula"/>
    <w:p>
      <w:pPr>
        <w:pStyle w:val="Heading2"/>
      </w:pPr>
      <w:r>
        <w:t xml:space="preserve">A Simple Answer-Building Formula</w:t>
      </w:r>
    </w:p>
    <w:p>
      <w:pPr>
        <w:numPr>
          <w:ilvl w:val="0"/>
          <w:numId w:val="1076"/>
        </w:numPr>
        <w:pStyle w:val="Compact"/>
      </w:pPr>
      <w:r>
        <w:rPr>
          <w:bCs/>
          <w:b/>
        </w:rPr>
        <w:t xml:space="preserve">Introduction:</w:t>
      </w:r>
      <w:r>
        <w:t xml:space="preserve"> </w:t>
      </w:r>
      <w:r>
        <w:t xml:space="preserve">define the issue and give the time and context in three to five lines — no more.</w:t>
      </w:r>
    </w:p>
    <w:p>
      <w:pPr>
        <w:numPr>
          <w:ilvl w:val="0"/>
          <w:numId w:val="1076"/>
        </w:numPr>
        <w:pStyle w:val="Compact"/>
      </w:pPr>
      <w:r>
        <w:rPr>
          <w:bCs/>
          <w:b/>
        </w:rPr>
        <w:t xml:space="preserve">Background:</w:t>
      </w:r>
      <w:r>
        <w:t xml:space="preserve"> </w:t>
      </w:r>
      <w:r>
        <w:t xml:space="preserve">explain the situation immediately before the main event, drawing on the</w:t>
      </w:r>
      <w:r>
        <w:t xml:space="preserve"> </w:t>
      </w:r>
      <w:r>
        <w:t xml:space="preserve">“</w:t>
      </w:r>
      <w:r>
        <w:t xml:space="preserve">Background</w:t>
      </w:r>
      <w:r>
        <w:t xml:space="preserve">”</w:t>
      </w:r>
      <w:r>
        <w:t xml:space="preserve"> </w:t>
      </w:r>
      <w:r>
        <w:t xml:space="preserve">or</w:t>
      </w:r>
      <w:r>
        <w:t xml:space="preserve"> </w:t>
      </w:r>
      <w:r>
        <w:t xml:space="preserve">“</w:t>
      </w:r>
      <w:r>
        <w:t xml:space="preserve">Why This Topic Matters</w:t>
      </w:r>
      <w:r>
        <w:t xml:space="preserve">”</w:t>
      </w:r>
      <w:r>
        <w:t xml:space="preserve"> </w:t>
      </w:r>
      <w:r>
        <w:t xml:space="preserve">material provided for each topic.</w:t>
      </w:r>
    </w:p>
    <w:p>
      <w:pPr>
        <w:numPr>
          <w:ilvl w:val="0"/>
          <w:numId w:val="1076"/>
        </w:numPr>
        <w:pStyle w:val="Compact"/>
      </w:pPr>
      <w:r>
        <w:rPr>
          <w:bCs/>
          <w:b/>
        </w:rPr>
        <w:t xml:space="preserve">Main body:</w:t>
      </w:r>
      <w:r>
        <w:t xml:space="preserve"> </w:t>
      </w:r>
      <w:r>
        <w:t xml:space="preserve">organise using analytical headings — causes, phases, policies, institutions, effects, or comparison — never a single undifferentiated block of narrative.</w:t>
      </w:r>
    </w:p>
    <w:p>
      <w:pPr>
        <w:numPr>
          <w:ilvl w:val="0"/>
          <w:numId w:val="1076"/>
        </w:numPr>
        <w:pStyle w:val="Compact"/>
      </w:pPr>
      <w:r>
        <w:rPr>
          <w:bCs/>
          <w:b/>
        </w:rPr>
        <w:t xml:space="preserve">Evidence:</w:t>
      </w:r>
      <w:r>
        <w:t xml:space="preserve"> </w:t>
      </w:r>
      <w:r>
        <w:t xml:space="preserve">use verified dates, laws, treaties, elections, institutions and named examples only where they actually prove a point, not as decoration.</w:t>
      </w:r>
    </w:p>
    <w:p>
      <w:pPr>
        <w:numPr>
          <w:ilvl w:val="0"/>
          <w:numId w:val="1076"/>
        </w:numPr>
        <w:pStyle w:val="Compact"/>
      </w:pPr>
      <w:r>
        <w:rPr>
          <w:bCs/>
          <w:b/>
        </w:rPr>
        <w:t xml:space="preserve">Critical evaluation:</w:t>
      </w:r>
      <w:r>
        <w:t xml:space="preserve"> </w:t>
      </w:r>
      <w:r>
        <w:t xml:space="preserve">engage with the topic’s historiographical debate where relevant, without forcing artificial</w:t>
      </w:r>
      <w:r>
        <w:t xml:space="preserve"> </w:t>
      </w:r>
      <w:r>
        <w:t xml:space="preserve">“</w:t>
      </w:r>
      <w:r>
        <w:t xml:space="preserve">criticism</w:t>
      </w:r>
      <w:r>
        <w:t xml:space="preserve">”</w:t>
      </w:r>
      <w:r>
        <w:t xml:space="preserve"> </w:t>
      </w:r>
      <w:r>
        <w:t xml:space="preserve">into every paragraph regardless of fit.</w:t>
      </w:r>
    </w:p>
    <w:p>
      <w:pPr>
        <w:numPr>
          <w:ilvl w:val="0"/>
          <w:numId w:val="1076"/>
        </w:numPr>
        <w:pStyle w:val="Compact"/>
      </w:pPr>
      <w:r>
        <w:rPr>
          <w:bCs/>
          <w:b/>
        </w:rPr>
        <w:t xml:space="preserve">Conclusion:</w:t>
      </w:r>
      <w:r>
        <w:t xml:space="preserve"> </w:t>
      </w:r>
      <w:r>
        <w:t xml:space="preserve">answer the specific question asked. Do not merely repeat the introduction in different words.</w:t>
      </w:r>
    </w:p>
    <w:bookmarkEnd w:id="154"/>
    <w:bookmarkStart w:id="155" w:name="X3032e1baae7f1e997ce8cc7589d33aa56c6c54c"/>
    <w:p>
      <w:pPr>
        <w:pStyle w:val="Heading2"/>
      </w:pPr>
      <w:r>
        <w:t xml:space="preserve">A Note on Using This Resource Alongside Further Study</w:t>
      </w:r>
    </w:p>
    <w:p>
      <w:pPr>
        <w:pStyle w:val="FirstParagraph"/>
      </w:pPr>
      <w:r>
        <w:t xml:space="preserve">This resource is a detailed teaching text, not a substitute for reading the primary constitutional documents (the Objectives Resolution, the Lahore Resolution, the Six Points, the constitutions of 1956, 1962 and 1973) in their original wording, nor for the standard scholarly works listed below for deeper interpretation. Dates and institutional facts throughout have been checked against reliable secondary sources and, where possible, official records, but very recent political and constitutional developments (particularly anything from 2024 onward) should always be verified against current official sources before an examination, since this is precisely the area most likely to change after any fixed publication date.</w:t>
      </w:r>
    </w:p>
    <w:bookmarkEnd w:id="155"/>
    <w:bookmarkEnd w:id="156"/>
    <w:bookmarkStart w:id="160" w:name="references-and-further-reading"/>
    <w:p>
      <w:pPr>
        <w:pStyle w:val="Heading1"/>
        <w:pageBreakBefore/>
      </w:pPr>
      <w:r>
        <w:t xml:space="preserve">References and Further Reading</w:t>
      </w:r>
    </w:p>
    <w:p>
      <w:pPr>
        <w:pStyle w:val="FirstParagraph"/>
      </w:pPr>
      <w:r>
        <w:t xml:space="preserve">The following works and sources were consulted or are recommended for deeper study of the topics covered in this resource. Standard scholarly books should be used for interpretation, context and historiographical depth; official and institutional sources should be used to verify constitutional text, treaty text, precise dates, and current office-holders, since these can change after any fixed publication date.</w:t>
      </w:r>
    </w:p>
    <w:bookmarkStart w:id="157" w:name="institutional-and-primary-sources"/>
    <w:p>
      <w:pPr>
        <w:pStyle w:val="Heading2"/>
      </w:pPr>
      <w:r>
        <w:t xml:space="preserve">Institutional and Primary Sources</w:t>
      </w:r>
    </w:p>
    <w:p>
      <w:pPr>
        <w:numPr>
          <w:ilvl w:val="0"/>
          <w:numId w:val="1077"/>
        </w:numPr>
        <w:pStyle w:val="Compact"/>
      </w:pPr>
      <w:r>
        <w:t xml:space="preserve">Federal Public Service Commission — CSS Syllabi: https://www.fpsc.gov.pk/category/css-syllabi</w:t>
      </w:r>
    </w:p>
    <w:p>
      <w:pPr>
        <w:numPr>
          <w:ilvl w:val="0"/>
          <w:numId w:val="1077"/>
        </w:numPr>
        <w:pStyle w:val="Compact"/>
      </w:pPr>
      <w:r>
        <w:t xml:space="preserve">National Assembly of Pakistan — constitutional text, Acts of Parliament and current legislative record: https://www.na.gov.pk/</w:t>
      </w:r>
    </w:p>
    <w:p>
      <w:pPr>
        <w:numPr>
          <w:ilvl w:val="0"/>
          <w:numId w:val="1077"/>
        </w:numPr>
        <w:pStyle w:val="Compact"/>
      </w:pPr>
      <w:r>
        <w:t xml:space="preserve">Senate of Pakistan — legislative and committee records, including recent constitutional amendment bills: https://senate.gov.pk/</w:t>
      </w:r>
    </w:p>
    <w:bookmarkEnd w:id="157"/>
    <w:bookmarkStart w:id="158" w:name="recommended-scholarly-works"/>
    <w:p>
      <w:pPr>
        <w:pStyle w:val="Heading2"/>
      </w:pPr>
      <w:r>
        <w:t xml:space="preserve">Recommended Scholarly Works</w:t>
      </w:r>
    </w:p>
    <w:p>
      <w:pPr>
        <w:numPr>
          <w:ilvl w:val="0"/>
          <w:numId w:val="1078"/>
        </w:numPr>
        <w:pStyle w:val="Compact"/>
      </w:pPr>
      <w:r>
        <w:t xml:space="preserve">Ayesha Jalal,</w:t>
      </w:r>
      <w:r>
        <w:t xml:space="preserve"> </w:t>
      </w:r>
      <w:r>
        <w:rPr>
          <w:iCs/>
          <w:i/>
        </w:rPr>
        <w:t xml:space="preserve">The Sole Spokesman: Jinnah, the Muslim League and the Demand for Pakistan</w:t>
      </w:r>
      <w:r>
        <w:t xml:space="preserve"> </w:t>
      </w:r>
      <w:r>
        <w:t xml:space="preserve">(Cambridge: Cambridge University Press, 1985) — the key study of Jinnah’s negotiating strategy between 1937 and 1947, central to the historiographical debates in Topics 4 and 5.</w:t>
      </w:r>
    </w:p>
    <w:p>
      <w:pPr>
        <w:numPr>
          <w:ilvl w:val="0"/>
          <w:numId w:val="1078"/>
        </w:numPr>
        <w:pStyle w:val="Compact"/>
      </w:pPr>
      <w:r>
        <w:t xml:space="preserve">Ayesha Jalal,</w:t>
      </w:r>
      <w:r>
        <w:t xml:space="preserve"> </w:t>
      </w:r>
      <w:r>
        <w:rPr>
          <w:iCs/>
          <w:i/>
        </w:rPr>
        <w:t xml:space="preserve">The State of Martial Rule: The Origins of Pakistan’s Political Economy of Defence</w:t>
      </w:r>
      <w:r>
        <w:t xml:space="preserve"> </w:t>
      </w:r>
      <w:r>
        <w:t xml:space="preserve">(Cambridge: Cambridge University Press, 1990) — a foundational study of the military’s institutional role, relevant to Topic 7.</w:t>
      </w:r>
    </w:p>
    <w:p>
      <w:pPr>
        <w:numPr>
          <w:ilvl w:val="0"/>
          <w:numId w:val="1078"/>
        </w:numPr>
        <w:pStyle w:val="Compact"/>
      </w:pPr>
      <w:r>
        <w:t xml:space="preserve">Stanley Wolpert,</w:t>
      </w:r>
      <w:r>
        <w:t xml:space="preserve"> </w:t>
      </w:r>
      <w:r>
        <w:rPr>
          <w:iCs/>
          <w:i/>
        </w:rPr>
        <w:t xml:space="preserve">Jinnah of Pakistan</w:t>
      </w:r>
      <w:r>
        <w:t xml:space="preserve"> </w:t>
      </w:r>
      <w:r>
        <w:t xml:space="preserve">(New York: Oxford University Press, 1984) — the standard biographical study of Muhammad Ali Jinnah.</w:t>
      </w:r>
    </w:p>
    <w:p>
      <w:pPr>
        <w:numPr>
          <w:ilvl w:val="0"/>
          <w:numId w:val="1078"/>
        </w:numPr>
        <w:pStyle w:val="Compact"/>
      </w:pPr>
      <w:r>
        <w:t xml:space="preserve">Ian Talbot,</w:t>
      </w:r>
      <w:r>
        <w:t xml:space="preserve"> </w:t>
      </w:r>
      <w:r>
        <w:rPr>
          <w:iCs/>
          <w:i/>
        </w:rPr>
        <w:t xml:space="preserve">Pakistan: A New History</w:t>
      </w:r>
      <w:r>
        <w:t xml:space="preserve"> </w:t>
      </w:r>
      <w:r>
        <w:t xml:space="preserve">(London: Hurst, 2012) — a comprehensive single-volume history of Pakistan covering the full period addressed in Topics 6 through 10.</w:t>
      </w:r>
    </w:p>
    <w:p>
      <w:pPr>
        <w:numPr>
          <w:ilvl w:val="0"/>
          <w:numId w:val="1078"/>
        </w:numPr>
        <w:pStyle w:val="Compact"/>
      </w:pPr>
      <w:r>
        <w:t xml:space="preserve">Yasmin Khan,</w:t>
      </w:r>
      <w:r>
        <w:t xml:space="preserve"> </w:t>
      </w:r>
      <w:r>
        <w:rPr>
          <w:iCs/>
          <w:i/>
        </w:rPr>
        <w:t xml:space="preserve">The Great Partition: The Making of India and Pakistan</w:t>
      </w:r>
      <w:r>
        <w:t xml:space="preserve"> </w:t>
      </w:r>
      <w:r>
        <w:t xml:space="preserve">(New Haven: Yale University Press, 2007) — a detailed social and political history of the 1947 partition and its human consequences, central to Topic 5.</w:t>
      </w:r>
    </w:p>
    <w:p>
      <w:pPr>
        <w:numPr>
          <w:ilvl w:val="0"/>
          <w:numId w:val="1078"/>
        </w:numPr>
        <w:pStyle w:val="Compact"/>
      </w:pPr>
      <w:r>
        <w:t xml:space="preserve">Hamza Alavi,</w:t>
      </w:r>
      <w:r>
        <w:t xml:space="preserve"> </w:t>
      </w:r>
      <w:r>
        <w:t xml:space="preserve">“</w:t>
      </w:r>
      <w:r>
        <w:t xml:space="preserve">The State in Post-Colonial Societies: Pakistan and Bangladesh,</w:t>
      </w:r>
      <w:r>
        <w:t xml:space="preserve">”</w:t>
      </w:r>
      <w:r>
        <w:t xml:space="preserve"> </w:t>
      </w:r>
      <w:r>
        <w:rPr>
          <w:iCs/>
          <w:i/>
        </w:rPr>
        <w:t xml:space="preserve">New Left Review</w:t>
      </w:r>
      <w:r>
        <w:t xml:space="preserve">, no. 74 (July–August 1972) — the foundational statement of the</w:t>
      </w:r>
      <w:r>
        <w:t xml:space="preserve"> </w:t>
      </w:r>
      <w:r>
        <w:t xml:space="preserve">“</w:t>
      </w:r>
      <w:r>
        <w:t xml:space="preserve">overdeveloped state</w:t>
      </w:r>
      <w:r>
        <w:t xml:space="preserve">”</w:t>
      </w:r>
      <w:r>
        <w:t xml:space="preserve"> </w:t>
      </w:r>
      <w:r>
        <w:t xml:space="preserve">thesis, referenced in Topics 1, 7 and 10.</w:t>
      </w:r>
    </w:p>
    <w:p>
      <w:pPr>
        <w:numPr>
          <w:ilvl w:val="0"/>
          <w:numId w:val="1078"/>
        </w:numPr>
        <w:pStyle w:val="Compact"/>
      </w:pPr>
      <w:r>
        <w:t xml:space="preserve">Ayesha Siddiqa,</w:t>
      </w:r>
      <w:r>
        <w:t xml:space="preserve"> </w:t>
      </w:r>
      <w:r>
        <w:rPr>
          <w:iCs/>
          <w:i/>
        </w:rPr>
        <w:t xml:space="preserve">Military Inc.: Inside Pakistan’s Military Economy</w:t>
      </w:r>
      <w:r>
        <w:t xml:space="preserve"> </w:t>
      </w:r>
      <w:r>
        <w:t xml:space="preserve">(London: Pluto Press, 2007) — the key study of the Pakistani military’s economic role, central to Topic 7.</w:t>
      </w:r>
    </w:p>
    <w:p>
      <w:pPr>
        <w:numPr>
          <w:ilvl w:val="0"/>
          <w:numId w:val="1078"/>
        </w:numPr>
        <w:pStyle w:val="Compact"/>
      </w:pPr>
      <w:r>
        <w:t xml:space="preserve">Anatol Lieven,</w:t>
      </w:r>
      <w:r>
        <w:t xml:space="preserve"> </w:t>
      </w:r>
      <w:r>
        <w:rPr>
          <w:iCs/>
          <w:i/>
        </w:rPr>
        <w:t xml:space="preserve">Pakistan: A Hard Country</w:t>
      </w:r>
      <w:r>
        <w:t xml:space="preserve"> </w:t>
      </w:r>
      <w:r>
        <w:t xml:space="preserve">(New York: PublicAffairs, 2011) — a wide-ranging analytical study of Pakistan’s social, political and institutional structures, useful across Topics 6 through 10.</w:t>
      </w:r>
    </w:p>
    <w:bookmarkEnd w:id="158"/>
    <w:bookmarkStart w:id="159" w:name="important-note-on-historical-accuracy"/>
    <w:p>
      <w:pPr>
        <w:pStyle w:val="Heading2"/>
      </w:pPr>
      <w:r>
        <w:t xml:space="preserve">Important Note on Historical Accuracy</w:t>
      </w:r>
    </w:p>
    <w:p>
      <w:pPr>
        <w:pStyle w:val="FirstParagraph"/>
      </w:pPr>
      <w:r>
        <w:t xml:space="preserve">This resource is a detailed teaching text, not a substitute for direct engagement with primary documents and specialist scholarship. Dates and institutional facts have been presented conservatively and cross-checked against the sources above wherever possible. Where historical interpretation is genuinely disputed among historians — as flagged explicitly in every topic above, and especially in Topics 1, 2, 4, 5 and 8 — this resource has aimed to present the disagreement fairly rather than presenting one contested explanation as settled fact. Before using very recent constitutional, political or foreign-policy developments in an examination, verify the latest official text and current office-holders, since laws, personnel and political circumstances can change after the date of any fixed publication, including this one.</w:t>
      </w:r>
    </w:p>
    <w:bookmarkEnd w:id="159"/>
    <w:bookmarkEnd w:id="160"/>
    <w:sectPr>
      <w:footerReference r:id="rId9" w:type="default"/>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20"/>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pPr>
    <w:rPr>
      <w:rFonts w:ascii="Calibri" w:hAnsi="Calibri"/>
      <w:b w:val="0"/>
      <w:sz w:val="23"/>
    </w:rPr>
  </w:style>
  <w:style w:styleId="BodyText" w:type="paragraph">
    <w:name w:val="Body Text"/>
    <w:basedOn w:val="Normal"/>
    <w:link w:val="BodyTextChar"/>
    <w:pPr>
      <w:spacing w:after="160" w:before="180"/>
    </w:pPr>
    <w:qFormat/>
    <w:rPr>
      <w:rFonts w:ascii="Calibri" w:hAnsi="Calibri"/>
      <w:sz w:val="23"/>
    </w:rPr>
  </w:style>
  <w:style w:customStyle="1" w:styleId="FirstParagraph" w:type="paragraph">
    <w:name w:val="First Paragraph"/>
    <w:basedOn w:val="BodyText"/>
    <w:next w:val="BodyText"/>
    <w:qFormat/>
  </w:style>
  <w:style w:customStyle="1" w:styleId="Compact" w:type="paragraph">
    <w:name w:val="Compact"/>
    <w:basedOn w:val="BodyText"/>
    <w:qFormat/>
    <w:pPr>
      <w:spacing w:after="80" w:before="36"/>
    </w:pPr>
    <w:rPr>
      <w:rFonts w:ascii="Calibri" w:hAnsi="Calibri"/>
      <w:sz w:val="23"/>
    </w:rPr>
  </w:style>
  <w:style w:styleId="Title" w:type="paragraph">
    <w:name w:val="Title"/>
    <w:basedOn w:val="Normal"/>
    <w:next w:val="BodyText"/>
    <w:qFormat/>
    <w:pPr>
      <w:keepNext/>
      <w:keepLines/>
      <w:spacing w:after="120" w:before="480"/>
      <w:jc w:val="center"/>
    </w:pPr>
    <w:rPr>
      <w:rFonts w:ascii="Calibri" w:asciiTheme="majorHAnsi" w:cstheme="majorBidi" w:eastAsiaTheme="majorEastAsia" w:hAnsi="Calibri" w:hAnsiTheme="majorHAnsi"/>
      <w:b/>
      <w:bCs/>
      <w:color w:val="1B2A4A"/>
      <w:sz w:val="52"/>
      <w:szCs w:val="36"/>
    </w:rPr>
  </w:style>
  <w:style w:styleId="Subtitle" w:type="paragraph">
    <w:name w:val="Subtitle"/>
    <w:basedOn w:val="Title"/>
    <w:next w:val="BodyText"/>
    <w:qFormat/>
    <w:pPr>
      <w:keepNext/>
      <w:keepLines/>
      <w:spacing w:after="360" w:before="240"/>
      <w:jc w:val="center"/>
    </w:pPr>
    <w:rPr>
      <w:rFonts w:ascii="Calibri" w:hAnsi="Calibri"/>
      <w:b w:val="0"/>
      <w:color w:val="555555"/>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120"/>
    </w:pPr>
    <w:rPr>
      <w:rFonts w:ascii="Calibri" w:hAnsi="Calibri"/>
      <w:sz w:val="22"/>
    </w:rPr>
  </w:style>
  <w:style w:styleId="Heading1" w:type="paragraph">
    <w:name w:val="Heading 1"/>
    <w:basedOn w:val="Normal"/>
    <w:next w:val="BodyText"/>
    <w:uiPriority w:val="9"/>
    <w:qFormat/>
    <w:pPr>
      <w:keepNext/>
      <w:keepLines/>
      <w:spacing w:after="200" w:before="480"/>
      <w:outlineLvl w:val="0"/>
    </w:pPr>
    <w:rPr>
      <w:rFonts w:ascii="Calibri" w:asciiTheme="majorHAnsi" w:cstheme="majorBidi" w:eastAsiaTheme="majorEastAsia" w:hAnsi="Calibri" w:hAnsiTheme="majorHAnsi"/>
      <w:b/>
      <w:bCs/>
      <w:color w:val="1B2A4A"/>
      <w:sz w:val="40"/>
      <w:szCs w:val="32"/>
    </w:rPr>
  </w:style>
  <w:style w:styleId="Heading2" w:type="paragraph">
    <w:name w:val="Heading 2"/>
    <w:basedOn w:val="Normal"/>
    <w:next w:val="BodyText"/>
    <w:uiPriority w:val="9"/>
    <w:unhideWhenUsed/>
    <w:qFormat/>
    <w:pPr>
      <w:keepNext/>
      <w:keepLines/>
      <w:spacing w:after="160" w:before="320"/>
      <w:outlineLvl w:val="1"/>
    </w:pPr>
    <w:rPr>
      <w:rFonts w:ascii="Calibri" w:asciiTheme="majorHAnsi" w:cstheme="majorBidi" w:eastAsiaTheme="majorEastAsia" w:hAnsi="Calibri" w:hAnsiTheme="majorHAnsi"/>
      <w:b/>
      <w:bCs/>
      <w:color w:val="2B446B"/>
      <w:sz w:val="30"/>
      <w:szCs w:val="28"/>
    </w:rPr>
  </w:style>
  <w:style w:styleId="Heading3" w:type="paragraph">
    <w:name w:val="Heading 3"/>
    <w:basedOn w:val="Normal"/>
    <w:next w:val="BodyText"/>
    <w:uiPriority w:val="9"/>
    <w:unhideWhenUsed/>
    <w:qFormat/>
    <w:pPr>
      <w:keepNext/>
      <w:keepLines/>
      <w:spacing w:after="120" w:before="240"/>
      <w:outlineLvl w:val="2"/>
    </w:pPr>
    <w:rPr>
      <w:rFonts w:ascii="Calibri" w:asciiTheme="majorHAnsi" w:cstheme="majorBidi" w:eastAsiaTheme="majorEastAsia" w:hAnsi="Calibri" w:hAnsiTheme="majorHAnsi"/>
      <w:b/>
      <w:bCs/>
      <w:color w:val="3D5A80"/>
      <w:sz w:val="25"/>
      <w:szCs w:val="24"/>
    </w:rPr>
  </w:style>
  <w:style w:styleId="Heading4" w:type="paragraph">
    <w:name w:val="Heading 4"/>
    <w:basedOn w:val="Normal"/>
    <w:next w:val="BodyText"/>
    <w:uiPriority w:val="9"/>
    <w:unhideWhenUsed/>
    <w:qFormat/>
    <w:pPr>
      <w:keepNext/>
      <w:keepLines/>
      <w:spacing w:after="80" w:before="200"/>
      <w:outlineLvl w:val="3"/>
    </w:pPr>
    <w:rPr>
      <w:rFonts w:ascii="Calibri" w:asciiTheme="majorHAnsi" w:cstheme="majorBidi" w:eastAsiaTheme="majorEastAsia" w:hAnsi="Calibri" w:hAnsiTheme="majorHAnsi"/>
      <w:i/>
      <w:b/>
      <w:bCs/>
      <w:color w:val="3D5A80"/>
      <w:sz w:val="23"/>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00"/>
      <w:ind w:firstLine="0" w:left="480" w:right="480"/>
    </w:pPr>
    <w:rPr>
      <w:rFonts w:ascii="Calibri" w:hAnsi="Calibri"/>
      <w:sz w:val="23"/>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History of Pakistan &amp; India</dc:title>
  <dc:creator/>
  <cp:keywords/>
  <dcterms:created xsi:type="dcterms:W3CDTF">2026-09-18T17:37:01Z</dcterms:created>
  <dcterms:modified xsi:type="dcterms:W3CDTF">2026-09-18T17:37:01Z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Expanded Master Study Resource — FPSC Group IV Optional Subject (Code 26, 100 Marks)</vt:lpwstr>
  </property>
</Properties>
</file>