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History of USA</w:t>
      </w:r>
    </w:p>
    <w:p>
      <w:pPr>
        <w:pStyle w:val="Subtitle"/>
      </w:pPr>
      <w:r>
        <w:t xml:space="preserve">Expanded</w:t>
      </w:r>
      <w:r>
        <w:t xml:space="preserve"> </w:t>
      </w:r>
      <w:r>
        <w:t xml:space="preserve">Master</w:t>
      </w:r>
      <w:r>
        <w:t xml:space="preserve"> </w:t>
      </w:r>
      <w:r>
        <w:t xml:space="preserve">Study</w:t>
      </w:r>
      <w:r>
        <w:t xml:space="preserve"> </w:t>
      </w:r>
      <w:r>
        <w:t xml:space="preserve">Resource</w:t>
      </w:r>
      <w:r>
        <w:t xml:space="preserve"> </w:t>
      </w:r>
      <w:r>
        <w:t xml:space="preserve">—</w:t>
      </w:r>
      <w:r>
        <w:t xml:space="preserve"> </w:t>
      </w:r>
      <w:r>
        <w:t xml:space="preserve">FPSC</w:t>
      </w:r>
      <w:r>
        <w:t xml:space="preserve"> </w:t>
      </w:r>
      <w:r>
        <w:t xml:space="preserve">Group</w:t>
      </w:r>
      <w:r>
        <w:t xml:space="preserve"> </w:t>
      </w:r>
      <w:r>
        <w:t xml:space="preserve">IV</w:t>
      </w:r>
      <w:r>
        <w:t xml:space="preserve"> </w:t>
      </w:r>
      <w:r>
        <w:t xml:space="preserve">Optional</w:t>
      </w:r>
      <w:r>
        <w:t xml:space="preserve"> </w:t>
      </w:r>
      <w:r>
        <w:t xml:space="preserve">Subject</w:t>
      </w:r>
      <w:r>
        <w:t xml:space="preserve"> </w:t>
      </w:r>
      <w:r>
        <w:t xml:space="preserve">(Code</w:t>
      </w:r>
      <w:r>
        <w:t xml:space="preserve"> </w:t>
      </w:r>
      <w:r>
        <w:t xml:space="preserve">30,</w:t>
      </w:r>
      <w:r>
        <w:t xml:space="preserve"> </w:t>
      </w:r>
      <w:r>
        <w:t xml:space="preserve">100</w:t>
      </w:r>
      <w:r>
        <w:t xml:space="preserve"> </w:t>
      </w:r>
      <w:r>
        <w:t xml:space="preserve">Marks)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how-to-use-this-resource"/>
    <w:p>
      <w:pPr>
        <w:pStyle w:val="Heading1"/>
      </w:pPr>
      <w:r>
        <w:t xml:space="preserve">How to Use This Resource</w:t>
      </w:r>
    </w:p>
    <w:p>
      <w:pPr>
        <w:pStyle w:val="FirstParagraph"/>
      </w:pPr>
      <w:r>
        <w:t xml:space="preserve">This resource expands the original</w:t>
      </w:r>
      <w:r>
        <w:t xml:space="preserve"> </w:t>
      </w:r>
      <w:r>
        <w:rPr>
          <w:iCs/>
          <w:i/>
        </w:rPr>
        <w:t xml:space="preserve">Group IV Easy Crash Course</w:t>
      </w:r>
      <w:r>
        <w:t xml:space="preserve"> </w:t>
      </w:r>
      <w:r>
        <w:t xml:space="preserve">chapter on the History of USA into a fuller teaching text, preserving every preparation checklist,</w:t>
      </w:r>
      <w:r>
        <w:t xml:space="preserve"> </w:t>
      </w:r>
      <w:r>
        <w:t xml:space="preserve">“</w:t>
      </w:r>
      <w:r>
        <w:t xml:space="preserve">common confusion,</w:t>
      </w:r>
      <w:r>
        <w:t xml:space="preserve">”</w:t>
      </w:r>
      <w:r>
        <w:t xml:space="preserve"> </w:t>
      </w:r>
      <w:r>
        <w:t xml:space="preserve">and</w:t>
      </w:r>
      <w:r>
        <w:t xml:space="preserve"> </w:t>
      </w:r>
      <w:r>
        <w:t xml:space="preserve">“</w:t>
      </w:r>
      <w:r>
        <w:t xml:space="preserve">easy revision point</w:t>
      </w:r>
      <w:r>
        <w:t xml:space="preserve">”</w:t>
      </w:r>
      <w:r>
        <w:t xml:space="preserve"> </w:t>
      </w:r>
      <w:r>
        <w:t xml:space="preserve">from the original notes while adding background, fuller explanation, key terms, and a closing</w:t>
      </w:r>
      <w:r>
        <w:t xml:space="preserve"> </w:t>
      </w:r>
      <w:r>
        <w:t xml:space="preserve">“</w:t>
      </w:r>
      <w:r>
        <w:t xml:space="preserve">Key Takeaways</w:t>
      </w:r>
      <w:r>
        <w:t xml:space="preserve">”</w:t>
      </w:r>
      <w:r>
        <w:t xml:space="preserve"> </w:t>
      </w:r>
      <w:r>
        <w:t xml:space="preserve">section to each of the subject’s 21 topics — the largest of the five Group IV history subjects.</w:t>
      </w:r>
    </w:p>
    <w:p>
      <w:pPr>
        <w:pStyle w:val="BodyText"/>
      </w:pPr>
      <w:r>
        <w:t xml:space="preserve">A note on the syllabus itself: two official FPSC headings contain historical inaccuracies (Topic 4’s date range</w:t>
      </w:r>
      <w:r>
        <w:t xml:space="preserve"> </w:t>
      </w:r>
      <w:r>
        <w:t xml:space="preserve">“</w:t>
      </w:r>
      <w:r>
        <w:t xml:space="preserve">13 to 50 States (1820–1949),</w:t>
      </w:r>
      <w:r>
        <w:t xml:space="preserve">”</w:t>
      </w:r>
      <w:r>
        <w:t xml:space="preserve"> </w:t>
      </w:r>
      <w:r>
        <w:t xml:space="preserve">when Alaska and Hawaii actually joined in 1959; and Topic 6’s phrase</w:t>
      </w:r>
      <w:r>
        <w:t xml:space="preserve"> </w:t>
      </w:r>
      <w:r>
        <w:t xml:space="preserve">“</w:t>
      </w:r>
      <w:r>
        <w:t xml:space="preserve">North and East,</w:t>
      </w:r>
      <w:r>
        <w:t xml:space="preserve">”</w:t>
      </w:r>
      <w:r>
        <w:t xml:space="preserve"> </w:t>
      </w:r>
      <w:r>
        <w:t xml:space="preserve">when the conflict was Union/North versus Confederacy/South). This resource preserves the official wording as the heading, exactly as the original notes did, while using correct history throughout the explanatory text — a distinction worth understanding rather than silently ignoring, since an exam answer should use the correct history regardless of a syllabus typo.</w:t>
      </w:r>
    </w:p>
    <w:bookmarkStart w:id="20" w:name="official-syllabus-at-a-glance"/>
    <w:p>
      <w:pPr>
        <w:pStyle w:val="Heading2"/>
      </w:pPr>
      <w:r>
        <w:t xml:space="preserve">Official Syllabus at a Glance</w:t>
      </w:r>
    </w:p>
    <w:p>
      <w:pPr>
        <w:numPr>
          <w:ilvl w:val="0"/>
          <w:numId w:val="1001"/>
        </w:numPr>
        <w:pStyle w:val="Compact"/>
      </w:pPr>
      <w:r>
        <w:rPr>
          <w:bCs/>
          <w:b/>
        </w:rPr>
        <w:t xml:space="preserve">I. Introduction:</w:t>
      </w:r>
      <w:r>
        <w:t xml:space="preserve"> </w:t>
      </w:r>
      <w:r>
        <w:t xml:space="preserve">America before 1492; European arrival and rivalry up to the establishment of British supremacy.</w:t>
      </w:r>
    </w:p>
    <w:p>
      <w:pPr>
        <w:numPr>
          <w:ilvl w:val="0"/>
          <w:numId w:val="1001"/>
        </w:numPr>
        <w:pStyle w:val="Compact"/>
      </w:pPr>
      <w:r>
        <w:rPr>
          <w:bCs/>
          <w:b/>
        </w:rPr>
        <w:t xml:space="preserve">II. USA as a British Colony (1606–1783):</w:t>
      </w:r>
      <w:r>
        <w:t xml:space="preserve"> </w:t>
      </w:r>
      <w:r>
        <w:t xml:space="preserve">colonial development, imperial control, revolution and independence.</w:t>
      </w:r>
    </w:p>
    <w:p>
      <w:pPr>
        <w:numPr>
          <w:ilvl w:val="0"/>
          <w:numId w:val="1001"/>
        </w:numPr>
        <w:pStyle w:val="Compact"/>
      </w:pPr>
      <w:r>
        <w:rPr>
          <w:bCs/>
          <w:b/>
        </w:rPr>
        <w:t xml:space="preserve">III. USA as an Independent Country (1783–1819):</w:t>
      </w:r>
      <w:r>
        <w:t xml:space="preserve"> </w:t>
      </w:r>
      <w:r>
        <w:t xml:space="preserve">confederation, Constitution, early presidents, territorial and foreign-policy development.</w:t>
      </w:r>
    </w:p>
    <w:p>
      <w:pPr>
        <w:numPr>
          <w:ilvl w:val="0"/>
          <w:numId w:val="1001"/>
        </w:numPr>
        <w:pStyle w:val="Compact"/>
      </w:pPr>
      <w:r>
        <w:rPr>
          <w:bCs/>
          <w:b/>
        </w:rPr>
        <w:t xml:space="preserve">IV. Expansion of USA:</w:t>
      </w:r>
      <w:r>
        <w:t xml:space="preserve"> </w:t>
      </w:r>
      <w:r>
        <w:t xml:space="preserve">growth from the original states to a continental and Pacific power (official heading gives</w:t>
      </w:r>
      <w:r>
        <w:t xml:space="preserve"> </w:t>
      </w:r>
      <w:r>
        <w:t xml:space="preserve">“</w:t>
      </w:r>
      <w:r>
        <w:t xml:space="preserve">13 to 50 States (1820–1949)</w:t>
      </w:r>
      <w:r>
        <w:t xml:space="preserve">”</w:t>
      </w:r>
      <w:r>
        <w:t xml:space="preserve">; the 49th and 50th states actually entered in 1959).</w:t>
      </w:r>
    </w:p>
    <w:p>
      <w:pPr>
        <w:numPr>
          <w:ilvl w:val="0"/>
          <w:numId w:val="1001"/>
        </w:numPr>
        <w:pStyle w:val="Compact"/>
      </w:pPr>
      <w:r>
        <w:rPr>
          <w:bCs/>
          <w:b/>
        </w:rPr>
        <w:t xml:space="preserve">V. Constitution of the USA:</w:t>
      </w:r>
      <w:r>
        <w:t xml:space="preserve"> </w:t>
      </w:r>
      <w:r>
        <w:t xml:space="preserve">federalism, separation of powers, checks and balances and amendment process.</w:t>
      </w:r>
    </w:p>
    <w:p>
      <w:pPr>
        <w:numPr>
          <w:ilvl w:val="0"/>
          <w:numId w:val="1001"/>
        </w:numPr>
        <w:pStyle w:val="Compact"/>
      </w:pPr>
      <w:r>
        <w:rPr>
          <w:bCs/>
          <w:b/>
        </w:rPr>
        <w:t xml:space="preserve">VI. Civil War</w:t>
      </w:r>
      <w:r>
        <w:t xml:space="preserve"> </w:t>
      </w:r>
      <w:r>
        <w:t xml:space="preserve">(official heading prints</w:t>
      </w:r>
      <w:r>
        <w:t xml:space="preserve"> </w:t>
      </w:r>
      <w:r>
        <w:t xml:space="preserve">“</w:t>
      </w:r>
      <w:r>
        <w:t xml:space="preserve">North and East</w:t>
      </w:r>
      <w:r>
        <w:t xml:space="preserve">”</w:t>
      </w:r>
      <w:r>
        <w:t xml:space="preserve">; historically Union/North versus Confederacy/South): causes, war and Reconstruction.</w:t>
      </w:r>
    </w:p>
    <w:p>
      <w:pPr>
        <w:numPr>
          <w:ilvl w:val="0"/>
          <w:numId w:val="1001"/>
        </w:numPr>
        <w:pStyle w:val="Compact"/>
      </w:pPr>
      <w:r>
        <w:rPr>
          <w:bCs/>
          <w:b/>
        </w:rPr>
        <w:t xml:space="preserve">VII. Industrialization and emergence as a world power (1870–1916).</w:t>
      </w:r>
    </w:p>
    <w:p>
      <w:pPr>
        <w:numPr>
          <w:ilvl w:val="0"/>
          <w:numId w:val="1001"/>
        </w:numPr>
        <w:pStyle w:val="Compact"/>
      </w:pPr>
      <w:r>
        <w:rPr>
          <w:bCs/>
          <w:b/>
        </w:rPr>
        <w:t xml:space="preserve">VIII. USA’s role in the First and Second World Wars.</w:t>
      </w:r>
    </w:p>
    <w:p>
      <w:pPr>
        <w:numPr>
          <w:ilvl w:val="0"/>
          <w:numId w:val="1001"/>
        </w:numPr>
        <w:pStyle w:val="Compact"/>
      </w:pPr>
      <w:r>
        <w:rPr>
          <w:bCs/>
          <w:b/>
        </w:rPr>
        <w:t xml:space="preserve">IX. USA after 1945 and emergence of USA and USSR as two major powers.</w:t>
      </w:r>
    </w:p>
    <w:p>
      <w:pPr>
        <w:numPr>
          <w:ilvl w:val="0"/>
          <w:numId w:val="1001"/>
        </w:numPr>
        <w:pStyle w:val="Compact"/>
      </w:pPr>
      <w:r>
        <w:rPr>
          <w:bCs/>
          <w:b/>
        </w:rPr>
        <w:t xml:space="preserve">X. USA’s role in the United Nations and international organizations (1945–2012).</w:t>
      </w:r>
    </w:p>
    <w:p>
      <w:pPr>
        <w:numPr>
          <w:ilvl w:val="0"/>
          <w:numId w:val="1001"/>
        </w:numPr>
        <w:pStyle w:val="Compact"/>
      </w:pPr>
      <w:r>
        <w:rPr>
          <w:bCs/>
          <w:b/>
        </w:rPr>
        <w:t xml:space="preserve">XI. Cold War and USA as a sole superpower (1945–1990 and its aftermath).</w:t>
      </w:r>
    </w:p>
    <w:p>
      <w:pPr>
        <w:numPr>
          <w:ilvl w:val="0"/>
          <w:numId w:val="1001"/>
        </w:numPr>
        <w:pStyle w:val="Compact"/>
      </w:pPr>
      <w:r>
        <w:rPr>
          <w:bCs/>
          <w:b/>
        </w:rPr>
        <w:t xml:space="preserve">XII. International concerns of the USA.</w:t>
      </w:r>
    </w:p>
    <w:p>
      <w:pPr>
        <w:numPr>
          <w:ilvl w:val="0"/>
          <w:numId w:val="1001"/>
        </w:numPr>
        <w:pStyle w:val="Compact"/>
      </w:pPr>
      <w:r>
        <w:rPr>
          <w:bCs/>
          <w:b/>
        </w:rPr>
        <w:t xml:space="preserve">XIII. War on Terror and Pakistan-USA relations (2001–2012).</w:t>
      </w:r>
    </w:p>
    <w:p>
      <w:pPr>
        <w:numPr>
          <w:ilvl w:val="0"/>
          <w:numId w:val="1001"/>
        </w:numPr>
        <w:pStyle w:val="Compact"/>
      </w:pPr>
      <w:r>
        <w:rPr>
          <w:bCs/>
          <w:b/>
        </w:rPr>
        <w:t xml:space="preserve">XIV. Global perceptions of the United States.</w:t>
      </w:r>
    </w:p>
    <w:p>
      <w:pPr>
        <w:numPr>
          <w:ilvl w:val="0"/>
          <w:numId w:val="1001"/>
        </w:numPr>
        <w:pStyle w:val="Compact"/>
      </w:pPr>
      <w:r>
        <w:rPr>
          <w:bCs/>
          <w:b/>
        </w:rPr>
        <w:t xml:space="preserve">XV. Progressive Era:</w:t>
      </w:r>
      <w:r>
        <w:t xml:space="preserve"> </w:t>
      </w:r>
      <w:r>
        <w:t xml:space="preserve">Theodore Roosevelt and Woodrow Wilson.</w:t>
      </w:r>
    </w:p>
    <w:p>
      <w:pPr>
        <w:numPr>
          <w:ilvl w:val="0"/>
          <w:numId w:val="1001"/>
        </w:numPr>
        <w:pStyle w:val="Compact"/>
      </w:pPr>
      <w:r>
        <w:rPr>
          <w:bCs/>
          <w:b/>
        </w:rPr>
        <w:t xml:space="preserve">XVI. Great Depression and New Deal.</w:t>
      </w:r>
    </w:p>
    <w:p>
      <w:pPr>
        <w:numPr>
          <w:ilvl w:val="0"/>
          <w:numId w:val="1001"/>
        </w:numPr>
        <w:pStyle w:val="Compact"/>
      </w:pPr>
      <w:r>
        <w:rPr>
          <w:bCs/>
          <w:b/>
        </w:rPr>
        <w:t xml:space="preserve">XVII. Civil Rights Movement.</w:t>
      </w:r>
    </w:p>
    <w:p>
      <w:pPr>
        <w:numPr>
          <w:ilvl w:val="0"/>
          <w:numId w:val="1001"/>
        </w:numPr>
        <w:pStyle w:val="Compact"/>
      </w:pPr>
      <w:r>
        <w:rPr>
          <w:bCs/>
          <w:b/>
        </w:rPr>
        <w:t xml:space="preserve">XVIII. USA’s role in international conflicts.</w:t>
      </w:r>
    </w:p>
    <w:p>
      <w:pPr>
        <w:numPr>
          <w:ilvl w:val="0"/>
          <w:numId w:val="1001"/>
        </w:numPr>
        <w:pStyle w:val="Compact"/>
      </w:pPr>
      <w:r>
        <w:rPr>
          <w:bCs/>
          <w:b/>
        </w:rPr>
        <w:t xml:space="preserve">XIX. Presidential Election in the USA.</w:t>
      </w:r>
    </w:p>
    <w:p>
      <w:pPr>
        <w:numPr>
          <w:ilvl w:val="0"/>
          <w:numId w:val="1001"/>
        </w:numPr>
        <w:pStyle w:val="Compact"/>
      </w:pPr>
      <w:r>
        <w:rPr>
          <w:bCs/>
          <w:b/>
        </w:rPr>
        <w:t xml:space="preserve">XX. Congress of the USA.</w:t>
      </w:r>
    </w:p>
    <w:p>
      <w:pPr>
        <w:numPr>
          <w:ilvl w:val="0"/>
          <w:numId w:val="1001"/>
        </w:numPr>
        <w:pStyle w:val="Compact"/>
      </w:pPr>
      <w:r>
        <w:rPr>
          <w:bCs/>
          <w:b/>
        </w:rPr>
        <w:t xml:space="preserve">XXI. Separation of Powers and Checks and Balances.</w:t>
      </w:r>
    </w:p>
    <w:bookmarkEnd w:id="20"/>
    <w:bookmarkStart w:id="21" w:name="how-to-approach-this-subject"/>
    <w:p>
      <w:pPr>
        <w:pStyle w:val="Heading2"/>
      </w:pPr>
      <w:r>
        <w:t xml:space="preserve">How to Approach This Subject</w:t>
      </w:r>
    </w:p>
    <w:p>
      <w:pPr>
        <w:numPr>
          <w:ilvl w:val="0"/>
          <w:numId w:val="1002"/>
        </w:numPr>
        <w:pStyle w:val="Compact"/>
      </w:pPr>
      <w:r>
        <w:t xml:space="preserve">Use a three-column timeline: domestic politics, territorial/economic change, and foreign policy — this prevents American history from becoming a disconnected list of presidents.</w:t>
      </w:r>
    </w:p>
    <w:p>
      <w:pPr>
        <w:numPr>
          <w:ilvl w:val="0"/>
          <w:numId w:val="1002"/>
        </w:numPr>
        <w:pStyle w:val="Compact"/>
      </w:pPr>
      <w:r>
        <w:t xml:space="preserve">For constitutional topics, learn institutions through actual powers and examples, not slogans; distinguish federalism (national-state division) from separation of powers (division among federal branches) precisely.</w:t>
      </w:r>
    </w:p>
    <w:p>
      <w:pPr>
        <w:numPr>
          <w:ilvl w:val="0"/>
          <w:numId w:val="1002"/>
        </w:numPr>
        <w:pStyle w:val="Compact"/>
      </w:pPr>
      <w:r>
        <w:t xml:space="preserve">For the Civil War, keep slavery at the centre while also explaining federalism, party collapse, territorial expansion and secession.</w:t>
      </w:r>
    </w:p>
    <w:p>
      <w:pPr>
        <w:numPr>
          <w:ilvl w:val="0"/>
          <w:numId w:val="1002"/>
        </w:numPr>
        <w:pStyle w:val="Compact"/>
      </w:pPr>
      <w:r>
        <w:t xml:space="preserve">For twentieth-century foreign policy, learn the logic of isolation, intervention, containment, détente and post-Cold War primacy as changing strategies, not a single fixed doctrine.</w:t>
      </w:r>
    </w:p>
    <w:p>
      <w:pPr>
        <w:numPr>
          <w:ilvl w:val="0"/>
          <w:numId w:val="1002"/>
        </w:numPr>
        <w:pStyle w:val="Compact"/>
      </w:pPr>
      <w:r>
        <w:t xml:space="preserve">Where a syllabus heading contains a historical error, preserve the FPSC wording only as the official heading and use correct history in the explanation.</w:t>
      </w:r>
    </w:p>
    <w:bookmarkEnd w:id="21"/>
    <w:bookmarkEnd w:id="22"/>
    <w:bookmarkStart w:id="29" w:name="america-before-1492-and-european-arrival"/>
    <w:p>
      <w:pPr>
        <w:pStyle w:val="Heading1"/>
        <w:pageBreakBefore/>
      </w:pPr>
      <w:r>
        <w:t xml:space="preserve">1. America before 1492 and European Arrival</w:t>
      </w:r>
    </w:p>
    <w:bookmarkStart w:id="23" w:name="why-this-topic-matters"/>
    <w:p>
      <w:pPr>
        <w:pStyle w:val="Heading2"/>
      </w:pPr>
      <w:r>
        <w:t xml:space="preserve">Why This Topic Matters</w:t>
      </w:r>
    </w:p>
    <w:p>
      <w:pPr>
        <w:pStyle w:val="FirstParagraph"/>
      </w:pPr>
      <w:r>
        <w:t xml:space="preserve">American history did not begin with Columbus. Beginning correctly with Indigenous societies, then explaining why different European empires colonised differently, sets up every later topic on colonial development, Indigenous removal, and continental expansion.</w:t>
      </w:r>
    </w:p>
    <w:bookmarkEnd w:id="23"/>
    <w:bookmarkStart w:id="24" w:name="Xaa3983d5caa4a3e3f414ff46b425b9376510eda"/>
    <w:p>
      <w:pPr>
        <w:pStyle w:val="Heading2"/>
      </w:pPr>
      <w:r>
        <w:t xml:space="preserve">Indigenous Diversity and European Competition</w:t>
      </w:r>
    </w:p>
    <w:p>
      <w:pPr>
        <w:pStyle w:val="FirstParagraph"/>
      </w:pPr>
      <w:r>
        <w:t xml:space="preserve">Indigenous peoples across North America lived in environments ranging from the Arctic to agricultural river valleys and desert regions, with political organisation ranging from small communities to complex confederacies and large settled societies — there was no single</w:t>
      </w:r>
      <w:r>
        <w:t xml:space="preserve"> </w:t>
      </w:r>
      <w:r>
        <w:t xml:space="preserve">“</w:t>
      </w:r>
      <w:r>
        <w:t xml:space="preserve">Indian civilisation</w:t>
      </w:r>
      <w:r>
        <w:t xml:space="preserve">”</w:t>
      </w:r>
      <w:r>
        <w:t xml:space="preserve"> </w:t>
      </w:r>
      <w:r>
        <w:t xml:space="preserve">or political system, and maize agriculture supported dense populations in many regions while other communities adapted to forest, plains or coastal economies. Columbus’s 1492 voyages did not</w:t>
      </w:r>
      <w:r>
        <w:t xml:space="preserve"> </w:t>
      </w:r>
      <w:r>
        <w:t xml:space="preserve">“</w:t>
      </w:r>
      <w:r>
        <w:t xml:space="preserve">discover an empty continent</w:t>
      </w:r>
      <w:r>
        <w:t xml:space="preserve">”</w:t>
      </w:r>
      <w:r>
        <w:t xml:space="preserve">; they opened sustained Atlantic contact, producing the</w:t>
      </w:r>
      <w:r>
        <w:t xml:space="preserve"> </w:t>
      </w:r>
      <w:r>
        <w:rPr>
          <w:bCs/>
          <w:b/>
        </w:rPr>
        <w:t xml:space="preserve">Columbian Exchange</w:t>
      </w:r>
      <w:r>
        <w:t xml:space="preserve"> </w:t>
      </w:r>
      <w:r>
        <w:t xml:space="preserve">of crops, animals, people and diseases. Old World diseases such as smallpox caused catastrophic mortality among Indigenous peoples lacking prior exposure, transforming the balance of power before and during colonisation on a scale warfare alone never could.</w:t>
      </w:r>
    </w:p>
    <w:bookmarkEnd w:id="24"/>
    <w:bookmarkStart w:id="25" w:name="competing-colonial-systems"/>
    <w:p>
      <w:pPr>
        <w:pStyle w:val="Heading2"/>
      </w:pPr>
      <w:r>
        <w:t xml:space="preserve">Competing Colonial Systems</w:t>
      </w:r>
    </w:p>
    <w:p>
      <w:pPr>
        <w:pStyle w:val="FirstParagraph"/>
      </w:pPr>
      <w:r>
        <w:rPr>
          <w:bCs/>
          <w:b/>
        </w:rPr>
        <w:t xml:space="preserve">Spain</w:t>
      </w:r>
      <w:r>
        <w:t xml:space="preserve"> </w:t>
      </w:r>
      <w:r>
        <w:t xml:space="preserve">built a large empire in the Caribbean, Mexico and parts of North America through conquest, missions and colonial administration, in a pattern distinct from later French and English settlement.</w:t>
      </w:r>
      <w:r>
        <w:t xml:space="preserve"> </w:t>
      </w:r>
      <w:r>
        <w:rPr>
          <w:bCs/>
          <w:b/>
        </w:rPr>
        <w:t xml:space="preserve">France</w:t>
      </w:r>
      <w:r>
        <w:t xml:space="preserve"> </w:t>
      </w:r>
      <w:r>
        <w:t xml:space="preserve">developed trading networks in Canada and the Mississippi basin relying heavily on Indigenous alliances, while the</w:t>
      </w:r>
      <w:r>
        <w:t xml:space="preserve"> </w:t>
      </w:r>
      <w:r>
        <w:rPr>
          <w:bCs/>
          <w:b/>
        </w:rPr>
        <w:t xml:space="preserve">Dutch</w:t>
      </w:r>
      <w:r>
        <w:t xml:space="preserve"> </w:t>
      </w:r>
      <w:r>
        <w:t xml:space="preserve">established commercial settlements such as New Netherland before losing them to England. English settlement, after Roanoke’s failure, succeeded with</w:t>
      </w:r>
      <w:r>
        <w:t xml:space="preserve"> </w:t>
      </w:r>
      <w:r>
        <w:rPr>
          <w:bCs/>
          <w:b/>
        </w:rPr>
        <w:t xml:space="preserve">Jamestown (1607)</w:t>
      </w:r>
      <w:r>
        <w:t xml:space="preserve">, the first permanent English settlement in what became the United States, later expanding along the Atlantic coast into the thirteen colonies.</w:t>
      </w:r>
    </w:p>
    <w:bookmarkEnd w:id="25"/>
    <w:bookmarkStart w:id="26" w:name="key-terms-and-concepts"/>
    <w:p>
      <w:pPr>
        <w:pStyle w:val="Heading2"/>
      </w:pPr>
      <w:r>
        <w:t xml:space="preserve">Key Terms and Concepts</w:t>
      </w:r>
    </w:p>
    <w:p>
      <w:pPr>
        <w:numPr>
          <w:ilvl w:val="0"/>
          <w:numId w:val="1003"/>
        </w:numPr>
        <w:pStyle w:val="Compact"/>
      </w:pPr>
      <w:r>
        <w:rPr>
          <w:bCs/>
          <w:b/>
        </w:rPr>
        <w:t xml:space="preserve">Columbian Exchange:</w:t>
      </w:r>
      <w:r>
        <w:t xml:space="preserve"> </w:t>
      </w:r>
      <w:r>
        <w:t xml:space="preserve">The transfer of crops, animals, people and diseases between the Americas and Europe/Africa following 1492.</w:t>
      </w:r>
    </w:p>
    <w:bookmarkEnd w:id="26"/>
    <w:bookmarkStart w:id="27" w:name="preparation-toolkit"/>
    <w:p>
      <w:pPr>
        <w:pStyle w:val="Heading2"/>
      </w:pPr>
      <w:r>
        <w:t xml:space="preserve">Preparation Toolkit</w:t>
      </w:r>
    </w:p>
    <w:p>
      <w:pPr>
        <w:pStyle w:val="FirstParagraph"/>
      </w:pPr>
      <w:r>
        <w:rPr>
          <w:bCs/>
          <w:b/>
        </w:rPr>
        <w:t xml:space="preserve">Preparation Checklist</w:t>
      </w:r>
    </w:p>
    <w:p>
      <w:pPr>
        <w:numPr>
          <w:ilvl w:val="0"/>
          <w:numId w:val="1004"/>
        </w:numPr>
        <w:pStyle w:val="Compact"/>
      </w:pPr>
      <w:r>
        <w:t xml:space="preserve">Start with a map of Indigenous cultural regions and European claims; compare Spanish, French and English colonial objectives, settlement patterns and relations with Indigenous peoples.</w:t>
      </w:r>
    </w:p>
    <w:p>
      <w:pPr>
        <w:numPr>
          <w:ilvl w:val="0"/>
          <w:numId w:val="1004"/>
        </w:numPr>
        <w:pStyle w:val="Compact"/>
      </w:pPr>
      <w:r>
        <w:t xml:space="preserve">Practise one analytical outline answering:</w:t>
      </w:r>
      <w:r>
        <w:t xml:space="preserve"> </w:t>
      </w:r>
      <w:r>
        <w:t xml:space="preserve">“</w:t>
      </w:r>
      <w:r>
        <w:t xml:space="preserve">Why did English, French and Spanish colonisation take such different forms in North America?</w:t>
      </w:r>
      <w:r>
        <w:t xml:space="preserve">”</w:t>
      </w:r>
    </w:p>
    <w:p>
      <w:pPr>
        <w:pStyle w:val="FirstParagraph"/>
      </w:pPr>
      <w:r>
        <w:rPr>
          <w:bCs/>
          <w:b/>
        </w:rPr>
        <w:t xml:space="preserve">Common Confusions to Avoid</w:t>
      </w:r>
    </w:p>
    <w:p>
      <w:pPr>
        <w:numPr>
          <w:ilvl w:val="0"/>
          <w:numId w:val="1005"/>
        </w:numPr>
        <w:pStyle w:val="Compact"/>
      </w:pPr>
      <w:r>
        <w:t xml:space="preserve">Do not begin American history as if no societies existed before Europeans arrived.</w:t>
      </w:r>
    </w:p>
    <w:p>
      <w:pPr>
        <w:numPr>
          <w:ilvl w:val="0"/>
          <w:numId w:val="1005"/>
        </w:numPr>
        <w:pStyle w:val="Compact"/>
      </w:pPr>
      <w:r>
        <w:t xml:space="preserve">Do not treat Spanish, French, Dutch and English colonial systems as identical.</w:t>
      </w:r>
    </w:p>
    <w:p>
      <w:pPr>
        <w:numPr>
          <w:ilvl w:val="0"/>
          <w:numId w:val="1005"/>
        </w:numPr>
        <w:pStyle w:val="Compact"/>
      </w:pPr>
      <w:r>
        <w:t xml:space="preserve">Do not explain Indigenous population decline only through warfare; epidemic disease was a major factor.</w:t>
      </w:r>
    </w:p>
    <w:p>
      <w:pPr>
        <w:pStyle w:val="FirstParagraph"/>
      </w:pPr>
      <w:r>
        <w:rPr>
          <w:bCs/>
          <w:b/>
        </w:rPr>
        <w:t xml:space="preserve">Easy Revision Points</w:t>
      </w:r>
    </w:p>
    <w:p>
      <w:pPr>
        <w:numPr>
          <w:ilvl w:val="0"/>
          <w:numId w:val="1006"/>
        </w:numPr>
        <w:pStyle w:val="Compact"/>
      </w:pPr>
      <w:r>
        <w:t xml:space="preserve">Indigenous societies in North America were highly diverse; there was no single political system.</w:t>
      </w:r>
    </w:p>
    <w:p>
      <w:pPr>
        <w:numPr>
          <w:ilvl w:val="0"/>
          <w:numId w:val="1006"/>
        </w:numPr>
        <w:pStyle w:val="Compact"/>
      </w:pPr>
      <w:r>
        <w:t xml:space="preserve">Columbus’s 1492 voyage opened sustained European colonisation, disease transfer and conquest.</w:t>
      </w:r>
    </w:p>
    <w:p>
      <w:pPr>
        <w:numPr>
          <w:ilvl w:val="0"/>
          <w:numId w:val="1006"/>
        </w:numPr>
        <w:pStyle w:val="Compact"/>
      </w:pPr>
      <w:r>
        <w:t xml:space="preserve">Jamestown, founded in 1607, became the first permanent English settlement in what became the United States.</w:t>
      </w:r>
    </w:p>
    <w:bookmarkEnd w:id="27"/>
    <w:bookmarkStart w:id="28" w:name="key-takeaways"/>
    <w:p>
      <w:pPr>
        <w:pStyle w:val="Heading2"/>
      </w:pPr>
      <w:r>
        <w:t xml:space="preserve">Key Takeaways</w:t>
      </w:r>
    </w:p>
    <w:p>
      <w:pPr>
        <w:numPr>
          <w:ilvl w:val="0"/>
          <w:numId w:val="1007"/>
        </w:numPr>
        <w:pStyle w:val="Compact"/>
      </w:pPr>
      <w:r>
        <w:t xml:space="preserve">Begin with Indigenous America on its own terms, then explain why different European empires colonised differently — never start the subject at 1492 as if nothing preceded it.</w:t>
      </w:r>
    </w:p>
    <w:p>
      <w:pPr>
        <w:numPr>
          <w:ilvl w:val="0"/>
          <w:numId w:val="1007"/>
        </w:numPr>
        <w:pStyle w:val="Compact"/>
      </w:pPr>
      <w:r>
        <w:t xml:space="preserve">Disease-driven demographic collapse, not conquest alone, is essential to explaining the shifting balance of power in early contact.</w:t>
      </w:r>
    </w:p>
    <w:bookmarkEnd w:id="28"/>
    <w:bookmarkEnd w:id="29"/>
    <w:bookmarkStart w:id="37" w:name="X7d5a1c314afb7b2c9e2e4e185f414f5335d29b1"/>
    <w:p>
      <w:pPr>
        <w:pStyle w:val="Heading1"/>
        <w:pageBreakBefore/>
      </w:pPr>
      <w:r>
        <w:t xml:space="preserve">2. The Thirteen Colonies and the American Revolution (1606–1783)</w:t>
      </w:r>
    </w:p>
    <w:bookmarkStart w:id="30" w:name="why-this-topic-matters-1"/>
    <w:p>
      <w:pPr>
        <w:pStyle w:val="Heading2"/>
      </w:pPr>
      <w:r>
        <w:t xml:space="preserve">Why This Topic Matters</w:t>
      </w:r>
    </w:p>
    <w:p>
      <w:pPr>
        <w:pStyle w:val="FirstParagraph"/>
      </w:pPr>
      <w:r>
        <w:t xml:space="preserve">Reducing the Revolution to</w:t>
      </w:r>
      <w:r>
        <w:t xml:space="preserve"> </w:t>
      </w:r>
      <w:r>
        <w:t xml:space="preserve">“</w:t>
      </w:r>
      <w:r>
        <w:t xml:space="preserve">one tax</w:t>
      </w:r>
      <w:r>
        <w:t xml:space="preserve">”</w:t>
      </w:r>
      <w:r>
        <w:t xml:space="preserve"> </w:t>
      </w:r>
      <w:r>
        <w:t xml:space="preserve">is the single most common error here — a strong answer combines imperial reform, constitutional ideas, colonial institutions and wartime alliance together.</w:t>
      </w:r>
    </w:p>
    <w:bookmarkEnd w:id="30"/>
    <w:bookmarkStart w:id="31" w:name="regional-colonies-and-self-government"/>
    <w:p>
      <w:pPr>
        <w:pStyle w:val="Heading2"/>
      </w:pPr>
      <w:r>
        <w:t xml:space="preserve">Regional Colonies and Self-Government</w:t>
      </w:r>
    </w:p>
    <w:p>
      <w:pPr>
        <w:pStyle w:val="FirstParagraph"/>
      </w:pPr>
      <w:r>
        <w:t xml:space="preserve">New England developed town-centred farming and commerce, the middle colonies were diverse and commercially active, and the southern colonies relied heavily on plantation agriculture and enslaved labour — regional differences that continued shaping U.S. history long after independence. Elected assemblies such as the Virginia House of Burgesses gave colonists real experience in local taxation and lawmaking, so many colonists believed internal taxation required their own representatives’ consent — the constitutional principle behind</w:t>
      </w:r>
      <w:r>
        <w:t xml:space="preserve"> </w:t>
      </w:r>
      <w:r>
        <w:t xml:space="preserve">“</w:t>
      </w:r>
      <w:r>
        <w:t xml:space="preserve">no taxation without representation,</w:t>
      </w:r>
      <w:r>
        <w:t xml:space="preserve">”</w:t>
      </w:r>
      <w:r>
        <w:t xml:space="preserve"> </w:t>
      </w:r>
      <w:r>
        <w:t xml:space="preserve">not simply dislike of paying taxes.</w:t>
      </w:r>
    </w:p>
    <w:bookmarkEnd w:id="31"/>
    <w:bookmarkStart w:id="32" w:name="from-imperial-reform-to-war"/>
    <w:p>
      <w:pPr>
        <w:pStyle w:val="Heading2"/>
      </w:pPr>
      <w:r>
        <w:t xml:space="preserve">From Imperial Reform to War</w:t>
      </w:r>
    </w:p>
    <w:p>
      <w:pPr>
        <w:pStyle w:val="FirstParagraph"/>
      </w:pPr>
      <w:r>
        <w:t xml:space="preserve">Britain’s victory in the</w:t>
      </w:r>
      <w:r>
        <w:t xml:space="preserve"> </w:t>
      </w:r>
      <w:r>
        <w:rPr>
          <w:bCs/>
          <w:b/>
        </w:rPr>
        <w:t xml:space="preserve">Seven Years’ War (1763)</w:t>
      </w:r>
      <w:r>
        <w:t xml:space="preserve"> </w:t>
      </w:r>
      <w:r>
        <w:t xml:space="preserve">removed a major external threat but increased imperial debt and defence costs, prompting London to seek greater direct colonial revenue. The Stamp Act, Townshend duties and Tea Act provoked boycotts and arguments about parliamentary sovereignty; the Boston Tea Party and Coercive Acts deepened the crisis, the First Continental Congress coordinated resistance, and fighting began at</w:t>
      </w:r>
      <w:r>
        <w:t xml:space="preserve"> </w:t>
      </w:r>
      <w:r>
        <w:rPr>
          <w:bCs/>
          <w:b/>
        </w:rPr>
        <w:t xml:space="preserve">Lexington and Concord (1775)</w:t>
      </w:r>
      <w:r>
        <w:t xml:space="preserve">.</w:t>
      </w:r>
    </w:p>
    <w:bookmarkEnd w:id="32"/>
    <w:bookmarkStart w:id="33" w:name="independence-and-french-alliance"/>
    <w:p>
      <w:pPr>
        <w:pStyle w:val="Heading2"/>
      </w:pPr>
      <w:r>
        <w:t xml:space="preserve">Independence and French Alliance</w:t>
      </w:r>
    </w:p>
    <w:p>
      <w:pPr>
        <w:pStyle w:val="FirstParagraph"/>
      </w:pPr>
      <w:r>
        <w:t xml:space="preserve">The</w:t>
      </w:r>
      <w:r>
        <w:t xml:space="preserve"> </w:t>
      </w:r>
      <w:r>
        <w:rPr>
          <w:bCs/>
          <w:b/>
        </w:rPr>
        <w:t xml:space="preserve">Declaration of Independence (4 July 1776)</w:t>
      </w:r>
      <w:r>
        <w:t xml:space="preserve"> </w:t>
      </w:r>
      <w:r>
        <w:t xml:space="preserve">justified separation through natural-rights arguments. American victory at</w:t>
      </w:r>
      <w:r>
        <w:t xml:space="preserve"> </w:t>
      </w:r>
      <w:r>
        <w:rPr>
          <w:bCs/>
          <w:b/>
        </w:rPr>
        <w:t xml:space="preserve">Saratoga (1777)</w:t>
      </w:r>
      <w:r>
        <w:t xml:space="preserve"> </w:t>
      </w:r>
      <w:r>
        <w:t xml:space="preserve">persuaded France to enter the war formally in 1778, transforming the balance of power; French military and naval support helped isolate Cornwallis at</w:t>
      </w:r>
      <w:r>
        <w:t xml:space="preserve"> </w:t>
      </w:r>
      <w:r>
        <w:rPr>
          <w:bCs/>
          <w:b/>
        </w:rPr>
        <w:t xml:space="preserve">Yorktown (1781)</w:t>
      </w:r>
      <w:r>
        <w:t xml:space="preserve">, and the</w:t>
      </w:r>
      <w:r>
        <w:t xml:space="preserve"> </w:t>
      </w:r>
      <w:r>
        <w:rPr>
          <w:bCs/>
          <w:b/>
        </w:rPr>
        <w:t xml:space="preserve">Treaty of Paris (1783)</w:t>
      </w:r>
      <w:r>
        <w:t xml:space="preserve"> </w:t>
      </w:r>
      <w:r>
        <w:t xml:space="preserve">recognised U.S. independence with a substantial western territory.</w:t>
      </w:r>
    </w:p>
    <w:bookmarkEnd w:id="33"/>
    <w:bookmarkStart w:id="34" w:name="key-terms-and-concepts-1"/>
    <w:p>
      <w:pPr>
        <w:pStyle w:val="Heading2"/>
      </w:pPr>
      <w:r>
        <w:t xml:space="preserve">Key Terms and Concepts</w:t>
      </w:r>
    </w:p>
    <w:p>
      <w:pPr>
        <w:numPr>
          <w:ilvl w:val="0"/>
          <w:numId w:val="1008"/>
        </w:numPr>
        <w:pStyle w:val="Compact"/>
      </w:pPr>
      <w:r>
        <w:rPr>
          <w:bCs/>
          <w:b/>
        </w:rPr>
        <w:t xml:space="preserve">“</w:t>
      </w:r>
      <w:r>
        <w:rPr>
          <w:bCs/>
          <w:b/>
        </w:rPr>
        <w:t xml:space="preserve">No taxation without representation</w:t>
      </w:r>
      <w:r>
        <w:rPr>
          <w:bCs/>
          <w:b/>
        </w:rPr>
        <w:t xml:space="preserve">”</w:t>
      </w:r>
      <w:r>
        <w:rPr>
          <w:bCs/>
          <w:b/>
        </w:rPr>
        <w:t xml:space="preserve">:</w:t>
      </w:r>
      <w:r>
        <w:t xml:space="preserve"> </w:t>
      </w:r>
      <w:r>
        <w:t xml:space="preserve">The constitutional claim, rooted in colonial self-government experience, that taxation required colonists’ own consent.</w:t>
      </w:r>
    </w:p>
    <w:bookmarkEnd w:id="34"/>
    <w:bookmarkStart w:id="35" w:name="preparation-toolkit-1"/>
    <w:p>
      <w:pPr>
        <w:pStyle w:val="Heading2"/>
      </w:pPr>
      <w:r>
        <w:t xml:space="preserve">Preparation Toolkit</w:t>
      </w:r>
    </w:p>
    <w:p>
      <w:pPr>
        <w:pStyle w:val="FirstParagraph"/>
      </w:pPr>
      <w:r>
        <w:rPr>
          <w:bCs/>
          <w:b/>
        </w:rPr>
        <w:t xml:space="preserve">Preparation Checklist</w:t>
      </w:r>
    </w:p>
    <w:p>
      <w:pPr>
        <w:numPr>
          <w:ilvl w:val="0"/>
          <w:numId w:val="1009"/>
        </w:numPr>
        <w:pStyle w:val="Compact"/>
      </w:pPr>
      <w:r>
        <w:t xml:space="preserve">Prepare causes in constitutional, economic, ideological and imperial categories; make a war timeline of only major turning points; explain why French support mattered decisively.</w:t>
      </w:r>
    </w:p>
    <w:p>
      <w:pPr>
        <w:pStyle w:val="FirstParagraph"/>
      </w:pPr>
      <w:r>
        <w:rPr>
          <w:bCs/>
          <w:b/>
        </w:rPr>
        <w:t xml:space="preserve">Common Confusions to Avoid</w:t>
      </w:r>
    </w:p>
    <w:p>
      <w:pPr>
        <w:numPr>
          <w:ilvl w:val="0"/>
          <w:numId w:val="1010"/>
        </w:numPr>
        <w:pStyle w:val="Compact"/>
      </w:pPr>
      <w:r>
        <w:t xml:space="preserve">Do not reduce the Revolution to one tax or one slogan.</w:t>
      </w:r>
    </w:p>
    <w:p>
      <w:pPr>
        <w:numPr>
          <w:ilvl w:val="0"/>
          <w:numId w:val="1010"/>
        </w:numPr>
        <w:pStyle w:val="Compact"/>
      </w:pPr>
      <w:r>
        <w:t xml:space="preserve">Do not ignore slavery and Indigenous land when describing colonial development.</w:t>
      </w:r>
    </w:p>
    <w:p>
      <w:pPr>
        <w:numPr>
          <w:ilvl w:val="0"/>
          <w:numId w:val="1010"/>
        </w:numPr>
        <w:pStyle w:val="Compact"/>
      </w:pPr>
      <w:r>
        <w:t xml:space="preserve">Do not describe American victory as entirely self-produced; French support was crucial.</w:t>
      </w:r>
    </w:p>
    <w:p>
      <w:pPr>
        <w:pStyle w:val="FirstParagraph"/>
      </w:pPr>
      <w:r>
        <w:rPr>
          <w:bCs/>
          <w:b/>
        </w:rPr>
        <w:t xml:space="preserve">Easy Revision Points</w:t>
      </w:r>
    </w:p>
    <w:p>
      <w:pPr>
        <w:numPr>
          <w:ilvl w:val="0"/>
          <w:numId w:val="1011"/>
        </w:numPr>
        <w:pStyle w:val="Compact"/>
      </w:pPr>
      <w:r>
        <w:t xml:space="preserve">After the Seven Years’ War (1763), Britain sought greater colonial revenue, producing disputes over taxation and representation.</w:t>
      </w:r>
    </w:p>
    <w:p>
      <w:pPr>
        <w:numPr>
          <w:ilvl w:val="0"/>
          <w:numId w:val="1011"/>
        </w:numPr>
        <w:pStyle w:val="Compact"/>
      </w:pPr>
      <w:r>
        <w:t xml:space="preserve">Armed conflict began at Lexington and Concord in 1775; the Declaration of Independence was adopted on 4 July 1776.</w:t>
      </w:r>
    </w:p>
    <w:p>
      <w:pPr>
        <w:numPr>
          <w:ilvl w:val="0"/>
          <w:numId w:val="1011"/>
        </w:numPr>
        <w:pStyle w:val="Compact"/>
      </w:pPr>
      <w:r>
        <w:t xml:space="preserve">The American victory at Saratoga (1777) secured a formal French alliance (1778); British defeat at Yorktown (1781) led to the Treaty of Paris (1783).</w:t>
      </w:r>
    </w:p>
    <w:bookmarkEnd w:id="35"/>
    <w:bookmarkStart w:id="36" w:name="key-takeaways-1"/>
    <w:p>
      <w:pPr>
        <w:pStyle w:val="Heading2"/>
      </w:pPr>
      <w:r>
        <w:t xml:space="preserve">Key Takeaways</w:t>
      </w:r>
    </w:p>
    <w:p>
      <w:pPr>
        <w:numPr>
          <w:ilvl w:val="0"/>
          <w:numId w:val="1012"/>
        </w:numPr>
        <w:pStyle w:val="Compact"/>
      </w:pPr>
      <w:r>
        <w:t xml:space="preserve">Combine imperial reform, constitutional principle, colonial institutions and wartime alliance in any causal explanation — never taxation alone.</w:t>
      </w:r>
    </w:p>
    <w:p>
      <w:pPr>
        <w:numPr>
          <w:ilvl w:val="0"/>
          <w:numId w:val="1012"/>
        </w:numPr>
        <w:pStyle w:val="Compact"/>
      </w:pPr>
      <w:r>
        <w:t xml:space="preserve">French support was decisive, not incidental, to American victory — a fact worth stating explicitly rather than assuming self-produced success.</w:t>
      </w:r>
    </w:p>
    <w:bookmarkEnd w:id="36"/>
    <w:bookmarkEnd w:id="37"/>
    <w:bookmarkStart w:id="45" w:name="the-early-independent-republic-17831819"/>
    <w:p>
      <w:pPr>
        <w:pStyle w:val="Heading1"/>
        <w:pageBreakBefore/>
      </w:pPr>
      <w:r>
        <w:t xml:space="preserve">3. The Early Independent Republic (1783–1819)</w:t>
      </w:r>
    </w:p>
    <w:bookmarkStart w:id="38" w:name="why-this-topic-matters-2"/>
    <w:p>
      <w:pPr>
        <w:pStyle w:val="Heading2"/>
      </w:pPr>
      <w:r>
        <w:t xml:space="preserve">Why This Topic Matters</w:t>
      </w:r>
    </w:p>
    <w:p>
      <w:pPr>
        <w:pStyle w:val="FirstParagraph"/>
      </w:pPr>
      <w:r>
        <w:t xml:space="preserve">The new United States had to prove republican government could actually survive and function — this topic follows that experiment from a weak confederation through a strengthened federal Constitution to the establishment of durable institutions and parties.</w:t>
      </w:r>
    </w:p>
    <w:bookmarkEnd w:id="38"/>
    <w:bookmarkStart w:id="39" w:name="from-confederation-to-constitution"/>
    <w:p>
      <w:pPr>
        <w:pStyle w:val="Heading2"/>
      </w:pPr>
      <w:r>
        <w:t xml:space="preserve">From Confederation to Constitution</w:t>
      </w:r>
    </w:p>
    <w:p>
      <w:pPr>
        <w:pStyle w:val="FirstParagraph"/>
      </w:pPr>
      <w:r>
        <w:t xml:space="preserve">The Articles of Confederation Congress lacked independent taxing power and a strong executive; economic disputes and events such as</w:t>
      </w:r>
      <w:r>
        <w:t xml:space="preserve"> </w:t>
      </w:r>
      <w:r>
        <w:rPr>
          <w:bCs/>
          <w:b/>
        </w:rPr>
        <w:t xml:space="preserve">Shays’ Rebellion</w:t>
      </w:r>
      <w:r>
        <w:t xml:space="preserve"> </w:t>
      </w:r>
      <w:r>
        <w:t xml:space="preserve">convinced many leaders a stronger federal structure was needed. Delegates at the</w:t>
      </w:r>
      <w:r>
        <w:t xml:space="preserve"> </w:t>
      </w:r>
      <w:r>
        <w:rPr>
          <w:bCs/>
          <w:b/>
        </w:rPr>
        <w:t xml:space="preserve">1787 Constitutional Convention</w:t>
      </w:r>
      <w:r>
        <w:t xml:space="preserve"> </w:t>
      </w:r>
      <w:r>
        <w:t xml:space="preserve">in Philadelphia designed a federal system with separate branches and a bicameral legislature, with compromises over representation and slavery central to the document’s creation. Federalists defended the new Constitution while Anti-Federalists feared centralised power; the promise and subsequent ratification of the</w:t>
      </w:r>
      <w:r>
        <w:t xml:space="preserve"> </w:t>
      </w:r>
      <w:r>
        <w:rPr>
          <w:bCs/>
          <w:b/>
        </w:rPr>
        <w:t xml:space="preserve">Bill of Rights (1791)</w:t>
      </w:r>
      <w:r>
        <w:t xml:space="preserve"> </w:t>
      </w:r>
      <w:r>
        <w:t xml:space="preserve">helped secure broader acceptance.</w:t>
      </w:r>
    </w:p>
    <w:bookmarkEnd w:id="39"/>
    <w:bookmarkStart w:id="40" w:name="washington-hamilton-and-emerging-parties"/>
    <w:p>
      <w:pPr>
        <w:pStyle w:val="Heading2"/>
      </w:pPr>
      <w:r>
        <w:t xml:space="preserve">Washington, Hamilton, and Emerging Parties</w:t>
      </w:r>
    </w:p>
    <w:p>
      <w:pPr>
        <w:pStyle w:val="FirstParagraph"/>
      </w:pPr>
      <w:r>
        <w:t xml:space="preserve">Washington established presidential precedents, while</w:t>
      </w:r>
      <w:r>
        <w:t xml:space="preserve"> </w:t>
      </w:r>
      <w:r>
        <w:rPr>
          <w:bCs/>
          <w:b/>
        </w:rPr>
        <w:t xml:space="preserve">Alexander Hamilton</w:t>
      </w:r>
      <w:r>
        <w:t xml:space="preserve"> </w:t>
      </w:r>
      <w:r>
        <w:t xml:space="preserve">built a national financial system using federal debt, a national bank and tariff policy — measures that strengthened the central government but provoked political opposition.</w:t>
      </w:r>
      <w:r>
        <w:t xml:space="preserve"> </w:t>
      </w:r>
      <w:r>
        <w:rPr>
          <w:bCs/>
          <w:b/>
        </w:rPr>
        <w:t xml:space="preserve">Federalists</w:t>
      </w:r>
      <w:r>
        <w:t xml:space="preserve"> </w:t>
      </w:r>
      <w:r>
        <w:t xml:space="preserve">and</w:t>
      </w:r>
      <w:r>
        <w:t xml:space="preserve"> </w:t>
      </w:r>
      <w:r>
        <w:rPr>
          <w:bCs/>
          <w:b/>
        </w:rPr>
        <w:t xml:space="preserve">Democratic-Republicans</w:t>
      </w:r>
      <w:r>
        <w:t xml:space="preserve"> </w:t>
      </w:r>
      <w:r>
        <w:t xml:space="preserve">emerged from disputes over finance, foreign policy and constitutional interpretation, becoming a practical part of the system despite the founders’ explicit suspicion of political factions.</w:t>
      </w:r>
    </w:p>
    <w:bookmarkEnd w:id="40"/>
    <w:bookmarkStart w:id="41" w:name="expansion-and-the-war-of-1812"/>
    <w:p>
      <w:pPr>
        <w:pStyle w:val="Heading2"/>
      </w:pPr>
      <w:r>
        <w:t xml:space="preserve">Expansion and the War of 1812</w:t>
      </w:r>
    </w:p>
    <w:p>
      <w:pPr>
        <w:pStyle w:val="FirstParagraph"/>
      </w:pPr>
      <w:r>
        <w:t xml:space="preserve">The</w:t>
      </w:r>
      <w:r>
        <w:t xml:space="preserve"> </w:t>
      </w:r>
      <w:r>
        <w:rPr>
          <w:bCs/>
          <w:b/>
        </w:rPr>
        <w:t xml:space="preserve">Louisiana Purchase (1803)</w:t>
      </w:r>
      <w:r>
        <w:t xml:space="preserve"> </w:t>
      </w:r>
      <w:r>
        <w:t xml:space="preserve">vastly increased U.S. territory even though Jefferson had previously favoured a strict reading of federal power — a notable inconsistency worth noting. Conflict with Britain over maritime disputes, trade restrictions and frontier tensions produced the</w:t>
      </w:r>
      <w:r>
        <w:t xml:space="preserve"> </w:t>
      </w:r>
      <w:r>
        <w:rPr>
          <w:bCs/>
          <w:b/>
        </w:rPr>
        <w:t xml:space="preserve">War of 1812</w:t>
      </w:r>
      <w:r>
        <w:t xml:space="preserve">, which ended without major territorial change (Treaty of Ghent, 1814) but weakened the Federalists and encouraged a stronger sense of American national identity.</w:t>
      </w:r>
    </w:p>
    <w:bookmarkEnd w:id="41"/>
    <w:bookmarkStart w:id="42" w:name="key-terms-and-concepts-2"/>
    <w:p>
      <w:pPr>
        <w:pStyle w:val="Heading2"/>
      </w:pPr>
      <w:r>
        <w:t xml:space="preserve">Key Terms and Concepts</w:t>
      </w:r>
    </w:p>
    <w:p>
      <w:pPr>
        <w:numPr>
          <w:ilvl w:val="0"/>
          <w:numId w:val="1013"/>
        </w:numPr>
        <w:pStyle w:val="Compact"/>
      </w:pPr>
      <w:r>
        <w:rPr>
          <w:bCs/>
          <w:b/>
        </w:rPr>
        <w:t xml:space="preserve">Bill of Rights (1791):</w:t>
      </w:r>
      <w:r>
        <w:t xml:space="preserve"> </w:t>
      </w:r>
      <w:r>
        <w:t xml:space="preserve">The first ten constitutional amendments, central to securing broader acceptance of the new federal Constitution.</w:t>
      </w:r>
    </w:p>
    <w:bookmarkEnd w:id="42"/>
    <w:bookmarkStart w:id="43" w:name="preparation-toolkit-2"/>
    <w:p>
      <w:pPr>
        <w:pStyle w:val="Heading2"/>
      </w:pPr>
      <w:r>
        <w:t xml:space="preserve">Preparation Toolkit</w:t>
      </w:r>
    </w:p>
    <w:p>
      <w:pPr>
        <w:pStyle w:val="FirstParagraph"/>
      </w:pPr>
      <w:r>
        <w:rPr>
          <w:bCs/>
          <w:b/>
        </w:rPr>
        <w:t xml:space="preserve">Preparation Checklist</w:t>
      </w:r>
    </w:p>
    <w:p>
      <w:pPr>
        <w:numPr>
          <w:ilvl w:val="0"/>
          <w:numId w:val="1014"/>
        </w:numPr>
        <w:pStyle w:val="Compact"/>
      </w:pPr>
      <w:r>
        <w:t xml:space="preserve">Prepare the Constitution separately, then make president cards for Washington, Adams, Jefferson, Madison and Monroe: one domestic development, one foreign-policy issue, one lasting significance each.</w:t>
      </w:r>
    </w:p>
    <w:p>
      <w:pPr>
        <w:pStyle w:val="FirstParagraph"/>
      </w:pPr>
      <w:r>
        <w:rPr>
          <w:bCs/>
          <w:b/>
        </w:rPr>
        <w:t xml:space="preserve">Common Confusions to Avoid</w:t>
      </w:r>
    </w:p>
    <w:p>
      <w:pPr>
        <w:numPr>
          <w:ilvl w:val="0"/>
          <w:numId w:val="1015"/>
        </w:numPr>
        <w:pStyle w:val="Compact"/>
      </w:pPr>
      <w:r>
        <w:t xml:space="preserve">Do not say the Constitution immediately solved all problems; party conflict, slavery and federal-state disputes continued.</w:t>
      </w:r>
    </w:p>
    <w:p>
      <w:pPr>
        <w:numPr>
          <w:ilvl w:val="0"/>
          <w:numId w:val="1015"/>
        </w:numPr>
        <w:pStyle w:val="Compact"/>
      </w:pPr>
      <w:r>
        <w:t xml:space="preserve">Do not confuse the Articles of Confederation with the later federal Constitution.</w:t>
      </w:r>
    </w:p>
    <w:p>
      <w:pPr>
        <w:numPr>
          <w:ilvl w:val="0"/>
          <w:numId w:val="1015"/>
        </w:numPr>
        <w:pStyle w:val="Compact"/>
      </w:pPr>
      <w:r>
        <w:t xml:space="preserve">Do not portray the War of 1812 as a simple U.S. military victory; outcomes were mixed.</w:t>
      </w:r>
    </w:p>
    <w:p>
      <w:pPr>
        <w:pStyle w:val="FirstParagraph"/>
      </w:pPr>
      <w:r>
        <w:rPr>
          <w:bCs/>
          <w:b/>
        </w:rPr>
        <w:t xml:space="preserve">Easy Revision Points</w:t>
      </w:r>
    </w:p>
    <w:p>
      <w:pPr>
        <w:numPr>
          <w:ilvl w:val="0"/>
          <w:numId w:val="1016"/>
        </w:numPr>
        <w:pStyle w:val="Compact"/>
      </w:pPr>
      <w:r>
        <w:t xml:space="preserve">The Constitutional Convention met in 1787; the new Constitution entered into operation in 1789; the Bill of Rights was ratified in 1791.</w:t>
      </w:r>
    </w:p>
    <w:p>
      <w:pPr>
        <w:numPr>
          <w:ilvl w:val="0"/>
          <w:numId w:val="1016"/>
        </w:numPr>
        <w:pStyle w:val="Compact"/>
      </w:pPr>
      <w:r>
        <w:t xml:space="preserve">The Louisiana Purchase (1803) roughly doubled U.S. territory.</w:t>
      </w:r>
    </w:p>
    <w:p>
      <w:pPr>
        <w:numPr>
          <w:ilvl w:val="0"/>
          <w:numId w:val="1016"/>
        </w:numPr>
        <w:pStyle w:val="Compact"/>
      </w:pPr>
      <w:r>
        <w:t xml:space="preserve">The War of 1812 ended with the Treaty of Ghent (1814), restoring the prewar territorial situation.</w:t>
      </w:r>
    </w:p>
    <w:bookmarkEnd w:id="43"/>
    <w:bookmarkStart w:id="44" w:name="key-takeaways-2"/>
    <w:p>
      <w:pPr>
        <w:pStyle w:val="Heading2"/>
      </w:pPr>
      <w:r>
        <w:t xml:space="preserve">Key Takeaways</w:t>
      </w:r>
    </w:p>
    <w:p>
      <w:pPr>
        <w:numPr>
          <w:ilvl w:val="0"/>
          <w:numId w:val="1017"/>
        </w:numPr>
        <w:pStyle w:val="Compact"/>
      </w:pPr>
      <w:r>
        <w:t xml:space="preserve">Treat the early republic as an experiment in making the Constitution actually work while the country simultaneously expanded and faced European pressure.</w:t>
      </w:r>
    </w:p>
    <w:p>
      <w:pPr>
        <w:numPr>
          <w:ilvl w:val="0"/>
          <w:numId w:val="1017"/>
        </w:numPr>
        <w:pStyle w:val="Compact"/>
      </w:pPr>
      <w:r>
        <w:t xml:space="preserve">Party competition emerged in practice despite the founders’ explicit design intent against factions — a useful example of institutions evolving beyond their founders’ original expectations.</w:t>
      </w:r>
    </w:p>
    <w:bookmarkEnd w:id="44"/>
    <w:bookmarkEnd w:id="45"/>
    <w:bookmarkStart w:id="52" w:name="X864a5b08c1b2699ecea14aef5e07e4696ee285b"/>
    <w:p>
      <w:pPr>
        <w:pStyle w:val="Heading1"/>
        <w:pageBreakBefore/>
      </w:pPr>
      <w:r>
        <w:t xml:space="preserve">4. Territorial Expansion and Growth to Fifty States</w:t>
      </w:r>
    </w:p>
    <w:bookmarkStart w:id="46" w:name="why-this-topic-matters-3"/>
    <w:p>
      <w:pPr>
        <w:pStyle w:val="Heading2"/>
      </w:pPr>
      <w:r>
        <w:t xml:space="preserve">Why This Topic Matters</w:t>
      </w:r>
    </w:p>
    <w:p>
      <w:pPr>
        <w:pStyle w:val="FirstParagraph"/>
      </w:pPr>
      <w:r>
        <w:t xml:space="preserve">Every new territory raised questions about Indigenous sovereignty, slavery, and diplomacy together — this is simultaneously a map topic and a conflict topic, and the syllabus’s own printed date range (</w:t>
      </w:r>
      <w:r>
        <w:t xml:space="preserve">“</w:t>
      </w:r>
      <w:r>
        <w:t xml:space="preserve">1820–1949</w:t>
      </w:r>
      <w:r>
        <w:t xml:space="preserve">”</w:t>
      </w:r>
      <w:r>
        <w:t xml:space="preserve">) is a historical error this resource corrects explicitly.</w:t>
      </w:r>
    </w:p>
    <w:bookmarkEnd w:id="46"/>
    <w:bookmarkStart w:id="47" w:name="from-louisiana-to-the-mexican-cession"/>
    <w:p>
      <w:pPr>
        <w:pStyle w:val="Heading2"/>
      </w:pPr>
      <w:r>
        <w:t xml:space="preserve">From Louisiana to the Mexican Cession</w:t>
      </w:r>
    </w:p>
    <w:p>
      <w:pPr>
        <w:pStyle w:val="FirstParagraph"/>
      </w:pPr>
      <w:r>
        <w:t xml:space="preserve">The Louisiana Purchase (1803) opened vast western lands but intensified conflict with Indigenous nations; the</w:t>
      </w:r>
      <w:r>
        <w:t xml:space="preserve"> </w:t>
      </w:r>
      <w:r>
        <w:rPr>
          <w:bCs/>
          <w:b/>
        </w:rPr>
        <w:t xml:space="preserve">Adams-Onís Treaty</w:t>
      </w:r>
      <w:r>
        <w:t xml:space="preserve"> </w:t>
      </w:r>
      <w:r>
        <w:t xml:space="preserve">transferred Florida from Spain (formal transfer 1821). The</w:t>
      </w:r>
      <w:r>
        <w:t xml:space="preserve"> </w:t>
      </w:r>
      <w:r>
        <w:rPr>
          <w:bCs/>
          <w:b/>
        </w:rPr>
        <w:t xml:space="preserve">Indian Removal Act (1830)</w:t>
      </w:r>
      <w:r>
        <w:t xml:space="preserve"> </w:t>
      </w:r>
      <w:r>
        <w:t xml:space="preserve">and forced migrations such as the Cherokee</w:t>
      </w:r>
      <w:r>
        <w:t xml:space="preserve"> </w:t>
      </w:r>
      <w:r>
        <w:rPr>
          <w:bCs/>
          <w:b/>
        </w:rPr>
        <w:t xml:space="preserve">Trail of Tears</w:t>
      </w:r>
      <w:r>
        <w:t xml:space="preserve"> </w:t>
      </w:r>
      <w:r>
        <w:t xml:space="preserve">reveal the coercive human cost of territorial growth, which should never be presented as a neutral or purely triumphant process.</w:t>
      </w:r>
      <w:r>
        <w:t xml:space="preserve"> </w:t>
      </w:r>
      <w:r>
        <w:rPr>
          <w:bCs/>
          <w:b/>
        </w:rPr>
        <w:t xml:space="preserve">Texas</w:t>
      </w:r>
      <w:r>
        <w:t xml:space="preserve"> </w:t>
      </w:r>
      <w:r>
        <w:t xml:space="preserve">declared independence from Mexico in 1836 and was annexed in 1845, contributing to the</w:t>
      </w:r>
      <w:r>
        <w:t xml:space="preserve"> </w:t>
      </w:r>
      <w:r>
        <w:rPr>
          <w:bCs/>
          <w:b/>
        </w:rPr>
        <w:t xml:space="preserve">Mexican-American War</w:t>
      </w:r>
      <w:r>
        <w:t xml:space="preserve">; the</w:t>
      </w:r>
      <w:r>
        <w:t xml:space="preserve"> </w:t>
      </w:r>
      <w:r>
        <w:rPr>
          <w:bCs/>
          <w:b/>
        </w:rPr>
        <w:t xml:space="preserve">Treaty of Guadalupe Hidalgo (1848)</w:t>
      </w:r>
      <w:r>
        <w:t xml:space="preserve"> </w:t>
      </w:r>
      <w:r>
        <w:t xml:space="preserve">transferred a huge area to the United States, immediately intensifying the political struggle over whether slavery could expand into western territories (directly feeding into Topic 6).</w:t>
      </w:r>
    </w:p>
    <w:bookmarkEnd w:id="47"/>
    <w:bookmarkStart w:id="48" w:name="X99e42ee3f5fe1683174ceb23a856b06ba4192c7"/>
    <w:p>
      <w:pPr>
        <w:pStyle w:val="Heading2"/>
      </w:pPr>
      <w:r>
        <w:t xml:space="preserve">Oregon, Alaska, Hawaii, and the Real Statehood Dates</w:t>
      </w:r>
    </w:p>
    <w:p>
      <w:pPr>
        <w:pStyle w:val="FirstParagraph"/>
      </w:pPr>
      <w:r>
        <w:t xml:space="preserve">The Oregon boundary was settled with Britain in 1846, Alaska was purchased from Russia in 1867, and Hawaii was annexed in 1898 — expansion involved diplomacy as well as war. Correcting the syllabus heading precisely:</w:t>
      </w:r>
      <w:r>
        <w:t xml:space="preserve"> </w:t>
      </w:r>
      <w:r>
        <w:rPr>
          <w:bCs/>
          <w:b/>
        </w:rPr>
        <w:t xml:space="preserve">Alaska became the 49th state on 3 January 1959 and Hawaii the 50th on 21 August 1959</w:t>
      </w:r>
      <w:r>
        <w:t xml:space="preserve">, not by 1949 as the official FPSC date range states.</w:t>
      </w:r>
    </w:p>
    <w:bookmarkEnd w:id="48"/>
    <w:bookmarkStart w:id="49" w:name="key-terms-and-concepts-3"/>
    <w:p>
      <w:pPr>
        <w:pStyle w:val="Heading2"/>
      </w:pPr>
      <w:r>
        <w:t xml:space="preserve">Key Terms and Concepts</w:t>
      </w:r>
    </w:p>
    <w:p>
      <w:pPr>
        <w:numPr>
          <w:ilvl w:val="0"/>
          <w:numId w:val="1018"/>
        </w:numPr>
        <w:pStyle w:val="Compact"/>
      </w:pPr>
      <w:r>
        <w:rPr>
          <w:bCs/>
          <w:b/>
        </w:rPr>
        <w:t xml:space="preserve">Manifest Destiny:</w:t>
      </w:r>
      <w:r>
        <w:t xml:space="preserve"> </w:t>
      </w:r>
      <w:r>
        <w:t xml:space="preserve">The nineteenth-century belief that continental expansion was justified or inevitable — an ideology to analyse critically, not a neutral historical fact, given its consequences for Indigenous peoples and Mexico.</w:t>
      </w:r>
    </w:p>
    <w:bookmarkEnd w:id="49"/>
    <w:bookmarkStart w:id="50" w:name="preparation-toolkit-3"/>
    <w:p>
      <w:pPr>
        <w:pStyle w:val="Heading2"/>
      </w:pPr>
      <w:r>
        <w:t xml:space="preserve">Preparation Toolkit</w:t>
      </w:r>
    </w:p>
    <w:p>
      <w:pPr>
        <w:pStyle w:val="FirstParagraph"/>
      </w:pPr>
      <w:r>
        <w:rPr>
          <w:bCs/>
          <w:b/>
        </w:rPr>
        <w:t xml:space="preserve">Preparation Checklist</w:t>
      </w:r>
    </w:p>
    <w:p>
      <w:pPr>
        <w:numPr>
          <w:ilvl w:val="0"/>
          <w:numId w:val="1019"/>
        </w:numPr>
        <w:pStyle w:val="Compact"/>
      </w:pPr>
      <w:r>
        <w:t xml:space="preserve">Draw a territorial-acquisition map; for each acquisition record date, method, territory gained and consequence; add a separate section on Indigenous dispossession and one on how expansion worsened the slavery dispute.</w:t>
      </w:r>
    </w:p>
    <w:p>
      <w:pPr>
        <w:pStyle w:val="FirstParagraph"/>
      </w:pPr>
      <w:r>
        <w:rPr>
          <w:bCs/>
          <w:b/>
        </w:rPr>
        <w:t xml:space="preserve">Common Confusions to Avoid</w:t>
      </w:r>
    </w:p>
    <w:p>
      <w:pPr>
        <w:numPr>
          <w:ilvl w:val="0"/>
          <w:numId w:val="1020"/>
        </w:numPr>
        <w:pStyle w:val="Compact"/>
      </w:pPr>
      <w:r>
        <w:t xml:space="preserve">Do not present Manifest Destiny as a neutral fact; it was an ideology with serious consequences for Indigenous peoples and Mexico.</w:t>
      </w:r>
    </w:p>
    <w:p>
      <w:pPr>
        <w:numPr>
          <w:ilvl w:val="0"/>
          <w:numId w:val="1020"/>
        </w:numPr>
        <w:pStyle w:val="Compact"/>
      </w:pPr>
      <w:r>
        <w:t xml:space="preserve">Do not say the U.S. had 50 states by 1949; Alaska and Hawaii entered in 1959.</w:t>
      </w:r>
    </w:p>
    <w:p>
      <w:pPr>
        <w:numPr>
          <w:ilvl w:val="0"/>
          <w:numId w:val="1020"/>
        </w:numPr>
        <w:pStyle w:val="Compact"/>
      </w:pPr>
      <w:r>
        <w:t xml:space="preserve">Do not treat territorial expansion as separate from the slavery crisis; new lands repeatedly reopened the issue.</w:t>
      </w:r>
    </w:p>
    <w:p>
      <w:pPr>
        <w:pStyle w:val="FirstParagraph"/>
      </w:pPr>
      <w:r>
        <w:rPr>
          <w:bCs/>
          <w:b/>
        </w:rPr>
        <w:t xml:space="preserve">Easy Revision Points</w:t>
      </w:r>
    </w:p>
    <w:p>
      <w:pPr>
        <w:numPr>
          <w:ilvl w:val="0"/>
          <w:numId w:val="1021"/>
        </w:numPr>
        <w:pStyle w:val="Compact"/>
      </w:pPr>
      <w:r>
        <w:t xml:space="preserve">Texas was annexed in 1845; the Mexican-American War (1846–48) ended with the Treaty of Guadalupe Hidalgo.</w:t>
      </w:r>
    </w:p>
    <w:p>
      <w:pPr>
        <w:numPr>
          <w:ilvl w:val="0"/>
          <w:numId w:val="1021"/>
        </w:numPr>
        <w:pStyle w:val="Compact"/>
      </w:pPr>
      <w:r>
        <w:t xml:space="preserve">The United States acquired Alaska from Russia (1867) and annexed Hawaii (1898).</w:t>
      </w:r>
    </w:p>
    <w:p>
      <w:pPr>
        <w:numPr>
          <w:ilvl w:val="0"/>
          <w:numId w:val="1021"/>
        </w:numPr>
        <w:pStyle w:val="Compact"/>
      </w:pPr>
      <w:r>
        <w:t xml:space="preserve">The official FPSC heading’s date range is inaccurate: Alaska became the 49th state and Hawaii the 50th in 1959, not 1949.</w:t>
      </w:r>
    </w:p>
    <w:bookmarkEnd w:id="50"/>
    <w:bookmarkStart w:id="51" w:name="key-takeaways-3"/>
    <w:p>
      <w:pPr>
        <w:pStyle w:val="Heading2"/>
      </w:pPr>
      <w:r>
        <w:t xml:space="preserve">Key Takeaways</w:t>
      </w:r>
    </w:p>
    <w:p>
      <w:pPr>
        <w:numPr>
          <w:ilvl w:val="0"/>
          <w:numId w:val="1022"/>
        </w:numPr>
        <w:pStyle w:val="Compact"/>
      </w:pPr>
      <w:r>
        <w:t xml:space="preserve">Correct the syllabus’s own date-range error explicitly in any answer: the 49th and 50th states joined in 1959, not by 1949.</w:t>
      </w:r>
    </w:p>
    <w:p>
      <w:pPr>
        <w:numPr>
          <w:ilvl w:val="0"/>
          <w:numId w:val="1022"/>
        </w:numPr>
        <w:pStyle w:val="Compact"/>
      </w:pPr>
      <w:r>
        <w:t xml:space="preserve">Treat expansion as simultaneously a diplomatic/territorial story and a conflict story — Indigenous dispossession and the slavery-expansion dispute are integral, not footnotes.</w:t>
      </w:r>
    </w:p>
    <w:bookmarkEnd w:id="51"/>
    <w:bookmarkEnd w:id="52"/>
    <w:bookmarkStart w:id="59" w:name="the-constitution-of-the-united-states"/>
    <w:p>
      <w:pPr>
        <w:pStyle w:val="Heading1"/>
        <w:pageBreakBefore/>
      </w:pPr>
      <w:r>
        <w:t xml:space="preserve">5. The Constitution of the United States</w:t>
      </w:r>
    </w:p>
    <w:bookmarkStart w:id="53" w:name="why-this-topic-matters-4"/>
    <w:p>
      <w:pPr>
        <w:pStyle w:val="Heading2"/>
      </w:pPr>
      <w:r>
        <w:t xml:space="preserve">Why This Topic Matters</w:t>
      </w:r>
    </w:p>
    <w:p>
      <w:pPr>
        <w:pStyle w:val="FirstParagraph"/>
      </w:pPr>
      <w:r>
        <w:t xml:space="preserve">Federalism and separation of powers are frequently confused — federalism divides authority between national and state governments (a vertical division), while separation of powers divides authority among the three federal branches (a horizontal division). Keeping these precisely distinct is the topic’s single highest-value point.</w:t>
      </w:r>
    </w:p>
    <w:bookmarkEnd w:id="53"/>
    <w:bookmarkStart w:id="54" w:name="federalism-congress-and-the-presidency"/>
    <w:p>
      <w:pPr>
        <w:pStyle w:val="Heading2"/>
      </w:pPr>
      <w:r>
        <w:t xml:space="preserve">Federalism, Congress, and the Presidency</w:t>
      </w:r>
    </w:p>
    <w:p>
      <w:pPr>
        <w:pStyle w:val="FirstParagraph"/>
      </w:pPr>
      <w:r>
        <w:t xml:space="preserve">The Constitution divides authority between the national government (enumerated and implied powers) and the states (broad retained authority, subject to constitutional limits).</w:t>
      </w:r>
      <w:r>
        <w:t xml:space="preserve"> </w:t>
      </w:r>
      <w:r>
        <w:rPr>
          <w:bCs/>
          <w:b/>
        </w:rPr>
        <w:t xml:space="preserve">Article I</w:t>
      </w:r>
      <w:r>
        <w:t xml:space="preserve"> </w:t>
      </w:r>
      <w:r>
        <w:t xml:space="preserve">creates a bicameral Congress reflecting the</w:t>
      </w:r>
      <w:r>
        <w:t xml:space="preserve"> </w:t>
      </w:r>
      <w:r>
        <w:rPr>
          <w:bCs/>
          <w:b/>
        </w:rPr>
        <w:t xml:space="preserve">Great Compromise of 1787</w:t>
      </w:r>
      <w:r>
        <w:t xml:space="preserve">: the House represents population, the Senate gives equal representation to states.</w:t>
      </w:r>
      <w:r>
        <w:t xml:space="preserve"> </w:t>
      </w:r>
      <w:r>
        <w:rPr>
          <w:bCs/>
          <w:b/>
        </w:rPr>
        <w:t xml:space="preserve">Article II</w:t>
      </w:r>
      <w:r>
        <w:t xml:space="preserve"> </w:t>
      </w:r>
      <w:r>
        <w:t xml:space="preserve">creates an independently elected executive with powers including command of the armed forces, treaty negotiation and appointments — though many actions require congressional funding or Senate approval, meaning executive power is constitutionally shared, not isolated.</w:t>
      </w:r>
    </w:p>
    <w:bookmarkEnd w:id="54"/>
    <w:bookmarkStart w:id="55" w:name="X9509e809f1dcbd35d7f3f5e3bbc887cf2bb2273"/>
    <w:p>
      <w:pPr>
        <w:pStyle w:val="Heading2"/>
      </w:pPr>
      <w:r>
        <w:t xml:space="preserve">Judiciary, Checks and Balances, and Amendment</w:t>
      </w:r>
    </w:p>
    <w:p>
      <w:pPr>
        <w:pStyle w:val="FirstParagraph"/>
      </w:pPr>
      <w:r>
        <w:rPr>
          <w:bCs/>
          <w:b/>
        </w:rPr>
        <w:t xml:space="preserve">Article III</w:t>
      </w:r>
      <w:r>
        <w:t xml:space="preserve"> </w:t>
      </w:r>
      <w:r>
        <w:t xml:space="preserve">creates the Supreme Court and authorises lower federal courts;</w:t>
      </w:r>
      <w:r>
        <w:t xml:space="preserve"> </w:t>
      </w:r>
      <w:r>
        <w:rPr>
          <w:bCs/>
          <w:b/>
        </w:rPr>
        <w:t xml:space="preserve">judicial review</w:t>
      </w:r>
      <w:r>
        <w:t xml:space="preserve"> </w:t>
      </w:r>
      <w:r>
        <w:t xml:space="preserve">developed through constitutional practice, especially</w:t>
      </w:r>
      <w:r>
        <w:t xml:space="preserve"> </w:t>
      </w:r>
      <w:r>
        <w:rPr>
          <w:bCs/>
          <w:b/>
        </w:rPr>
        <w:t xml:space="preserve">Marbury v. Madison (1803)</w:t>
      </w:r>
      <w:r>
        <w:t xml:space="preserve">, allowing courts to invalidate unconstitutional government action — importantly, this power is not written in one explicit constitutional sentence but developed through interpretation and precedent. Vetoes, overrides, impeachment, confirmation, appropriations and judicial review force the branches to share and contest power continuously — separation of powers means controlled interaction, not total isolation.</w:t>
      </w:r>
      <w:r>
        <w:t xml:space="preserve"> </w:t>
      </w:r>
      <w:r>
        <w:rPr>
          <w:bCs/>
          <w:b/>
        </w:rPr>
        <w:t xml:space="preserve">Article V</w:t>
      </w:r>
      <w:r>
        <w:t xml:space="preserve"> </w:t>
      </w:r>
      <w:r>
        <w:t xml:space="preserve">requires supermajorities for amendment, making constitutional change difficult but possible; amendments have abolished slavery, expanded voting rights, and altered presidential and electoral procedures over time.</w:t>
      </w:r>
    </w:p>
    <w:bookmarkEnd w:id="55"/>
    <w:bookmarkStart w:id="56" w:name="key-terms-and-concepts-4"/>
    <w:p>
      <w:pPr>
        <w:pStyle w:val="Heading2"/>
      </w:pPr>
      <w:r>
        <w:t xml:space="preserve">Key Terms and Concepts</w:t>
      </w:r>
    </w:p>
    <w:p>
      <w:pPr>
        <w:numPr>
          <w:ilvl w:val="0"/>
          <w:numId w:val="1023"/>
        </w:numPr>
        <w:pStyle w:val="Compact"/>
      </w:pPr>
      <w:r>
        <w:rPr>
          <w:bCs/>
          <w:b/>
        </w:rPr>
        <w:t xml:space="preserve">Judicial review:</w:t>
      </w:r>
      <w:r>
        <w:t xml:space="preserve"> </w:t>
      </w:r>
      <w:r>
        <w:t xml:space="preserve">The power of federal courts to invalidate unconstitutional government action, established through practice (Marbury v. Madison, 1803) rather than explicit constitutional text.</w:t>
      </w:r>
    </w:p>
    <w:p>
      <w:pPr>
        <w:numPr>
          <w:ilvl w:val="0"/>
          <w:numId w:val="1023"/>
        </w:numPr>
        <w:pStyle w:val="Compact"/>
      </w:pPr>
      <w:r>
        <w:rPr>
          <w:bCs/>
          <w:b/>
        </w:rPr>
        <w:t xml:space="preserve">Federalism vs. separation of powers:</w:t>
      </w:r>
      <w:r>
        <w:t xml:space="preserve"> </w:t>
      </w:r>
      <w:r>
        <w:t xml:space="preserve">Federalism = national-state division (vertical); separation of powers = division among federal branches (horizontal) — never merge these two concepts.</w:t>
      </w:r>
    </w:p>
    <w:bookmarkEnd w:id="56"/>
    <w:bookmarkStart w:id="57" w:name="preparation-toolkit-4"/>
    <w:p>
      <w:pPr>
        <w:pStyle w:val="Heading2"/>
      </w:pPr>
      <w:r>
        <w:t xml:space="preserve">Preparation Toolkit</w:t>
      </w:r>
    </w:p>
    <w:p>
      <w:pPr>
        <w:pStyle w:val="FirstParagraph"/>
      </w:pPr>
      <w:r>
        <w:rPr>
          <w:bCs/>
          <w:b/>
        </w:rPr>
        <w:t xml:space="preserve">Preparation Checklist</w:t>
      </w:r>
    </w:p>
    <w:p>
      <w:pPr>
        <w:numPr>
          <w:ilvl w:val="0"/>
          <w:numId w:val="1024"/>
        </w:numPr>
        <w:pStyle w:val="Compact"/>
      </w:pPr>
      <w:r>
        <w:t xml:space="preserve">Read the Constitution itself; create a branch table (selection, term, major powers, checks on other branches); make a separate federal-versus-state powers sheet.</w:t>
      </w:r>
    </w:p>
    <w:p>
      <w:pPr>
        <w:pStyle w:val="FirstParagraph"/>
      </w:pPr>
      <w:r>
        <w:rPr>
          <w:bCs/>
          <w:b/>
        </w:rPr>
        <w:t xml:space="preserve">Common Confusions to Avoid</w:t>
      </w:r>
    </w:p>
    <w:p>
      <w:pPr>
        <w:numPr>
          <w:ilvl w:val="0"/>
          <w:numId w:val="1025"/>
        </w:numPr>
        <w:pStyle w:val="Compact"/>
      </w:pPr>
      <w:r>
        <w:t xml:space="preserve">Do not confuse federalism with separation of powers.</w:t>
      </w:r>
    </w:p>
    <w:p>
      <w:pPr>
        <w:numPr>
          <w:ilvl w:val="0"/>
          <w:numId w:val="1025"/>
        </w:numPr>
        <w:pStyle w:val="Compact"/>
      </w:pPr>
      <w:r>
        <w:t xml:space="preserve">Do not say judicial review is written in one explicit constitutional sentence; it developed through interpretation and practice.</w:t>
      </w:r>
    </w:p>
    <w:p>
      <w:pPr>
        <w:numPr>
          <w:ilvl w:val="0"/>
          <w:numId w:val="1025"/>
        </w:numPr>
        <w:pStyle w:val="Compact"/>
      </w:pPr>
      <w:r>
        <w:t xml:space="preserve">Do not treat the Constitution as unchanged since 1787; amendments and judicial doctrine have significantly altered its operation.</w:t>
      </w:r>
    </w:p>
    <w:p>
      <w:pPr>
        <w:pStyle w:val="FirstParagraph"/>
      </w:pPr>
      <w:r>
        <w:rPr>
          <w:bCs/>
          <w:b/>
        </w:rPr>
        <w:t xml:space="preserve">Easy Revision Points</w:t>
      </w:r>
    </w:p>
    <w:p>
      <w:pPr>
        <w:numPr>
          <w:ilvl w:val="0"/>
          <w:numId w:val="1026"/>
        </w:numPr>
        <w:pStyle w:val="Compact"/>
      </w:pPr>
      <w:r>
        <w:t xml:space="preserve">The Constitution was signed in 1787; the federal government began operating in 1789.</w:t>
      </w:r>
    </w:p>
    <w:p>
      <w:pPr>
        <w:numPr>
          <w:ilvl w:val="0"/>
          <w:numId w:val="1026"/>
        </w:numPr>
        <w:pStyle w:val="Compact"/>
      </w:pPr>
      <w:r>
        <w:t xml:space="preserve">Legislative power is vested in a bicameral Congress (House and Senate); executive power in the president; judicial power in the Supreme Court and lower federal courts.</w:t>
      </w:r>
    </w:p>
    <w:p>
      <w:pPr>
        <w:numPr>
          <w:ilvl w:val="0"/>
          <w:numId w:val="1026"/>
        </w:numPr>
        <w:pStyle w:val="Compact"/>
      </w:pPr>
      <w:r>
        <w:t xml:space="preserve">Amendments require special supermajority procedures under Article V.</w:t>
      </w:r>
    </w:p>
    <w:bookmarkEnd w:id="57"/>
    <w:bookmarkStart w:id="58" w:name="key-takeaways-4"/>
    <w:p>
      <w:pPr>
        <w:pStyle w:val="Heading2"/>
      </w:pPr>
      <w:r>
        <w:t xml:space="preserve">Key Takeaways</w:t>
      </w:r>
    </w:p>
    <w:p>
      <w:pPr>
        <w:numPr>
          <w:ilvl w:val="0"/>
          <w:numId w:val="1027"/>
        </w:numPr>
        <w:pStyle w:val="Compact"/>
      </w:pPr>
      <w:r>
        <w:t xml:space="preserve">Keep federalism (national-state) and separation of powers (among federal branches) precisely distinct — this single distinction resolves most confusion on this topic.</w:t>
      </w:r>
    </w:p>
    <w:p>
      <w:pPr>
        <w:numPr>
          <w:ilvl w:val="0"/>
          <w:numId w:val="1027"/>
        </w:numPr>
        <w:pStyle w:val="Compact"/>
      </w:pPr>
      <w:r>
        <w:t xml:space="preserve">Judicial review is a developed constitutional practice, not an explicit textual grant — an important nuance for any strong constitutional-law answer.</w:t>
      </w:r>
    </w:p>
    <w:bookmarkEnd w:id="58"/>
    <w:bookmarkEnd w:id="59"/>
    <w:bookmarkStart w:id="67" w:name="Xbc4369ad57c218b7c2fc3be02f0413fc752bd8d"/>
    <w:p>
      <w:pPr>
        <w:pStyle w:val="Heading1"/>
        <w:pageBreakBefore/>
      </w:pPr>
      <w:r>
        <w:t xml:space="preserve">6. Civil War and Reconstruction: Union versus Confederacy</w:t>
      </w:r>
    </w:p>
    <w:bookmarkStart w:id="60" w:name="why-this-topic-matters-5"/>
    <w:p>
      <w:pPr>
        <w:pStyle w:val="Heading2"/>
      </w:pPr>
      <w:r>
        <w:t xml:space="preserve">Why This Topic Matters</w:t>
      </w:r>
    </w:p>
    <w:p>
      <w:pPr>
        <w:pStyle w:val="FirstParagraph"/>
      </w:pPr>
      <w:r>
        <w:t xml:space="preserve">The FPSC syllabus heading prints</w:t>
      </w:r>
      <w:r>
        <w:t xml:space="preserve"> </w:t>
      </w:r>
      <w:r>
        <w:t xml:space="preserve">“</w:t>
      </w:r>
      <w:r>
        <w:t xml:space="preserve">North and East</w:t>
      </w:r>
      <w:r>
        <w:t xml:space="preserve">”</w:t>
      </w:r>
      <w:r>
        <w:t xml:space="preserve"> </w:t>
      </w:r>
      <w:r>
        <w:t xml:space="preserve">— this resource corrects that explicitly: the conflict was</w:t>
      </w:r>
      <w:r>
        <w:t xml:space="preserve"> </w:t>
      </w:r>
      <w:r>
        <w:rPr>
          <w:bCs/>
          <w:b/>
        </w:rPr>
        <w:t xml:space="preserve">Union/North versus Confederacy/South</w:t>
      </w:r>
      <w:r>
        <w:t xml:space="preserve">, and slavery must remain at the centre of any causal explanation, with states’-rights arguments understood as closely tied to preserving slavery rather than as a separate, independent cause.</w:t>
      </w:r>
    </w:p>
    <w:bookmarkEnd w:id="60"/>
    <w:bookmarkStart w:id="61" w:name="sectional-crisis-and-compromise"/>
    <w:p>
      <w:pPr>
        <w:pStyle w:val="Heading2"/>
      </w:pPr>
      <w:r>
        <w:t xml:space="preserve">Sectional Crisis and Compromise</w:t>
      </w:r>
    </w:p>
    <w:p>
      <w:pPr>
        <w:pStyle w:val="FirstParagraph"/>
      </w:pPr>
      <w:r>
        <w:t xml:space="preserve">Slavery was deeply embedded in the southern plantation economy and political order, while northern states had abolished it and developed a different labour system — a divide that became increasingly national as the country expanded westward (Topic 4). The</w:t>
      </w:r>
      <w:r>
        <w:t xml:space="preserve"> </w:t>
      </w:r>
      <w:r>
        <w:rPr>
          <w:bCs/>
          <w:b/>
        </w:rPr>
        <w:t xml:space="preserve">Missouri Compromise (1820)</w:t>
      </w:r>
      <w:r>
        <w:t xml:space="preserve">,</w:t>
      </w:r>
      <w:r>
        <w:t xml:space="preserve"> </w:t>
      </w:r>
      <w:r>
        <w:rPr>
          <w:bCs/>
          <w:b/>
        </w:rPr>
        <w:t xml:space="preserve">Compromise of 1850</w:t>
      </w:r>
      <w:r>
        <w:t xml:space="preserve">, and</w:t>
      </w:r>
      <w:r>
        <w:t xml:space="preserve"> </w:t>
      </w:r>
      <w:r>
        <w:rPr>
          <w:bCs/>
          <w:b/>
        </w:rPr>
        <w:t xml:space="preserve">Kansas-Nebraska Act (1854)</w:t>
      </w:r>
      <w:r>
        <w:t xml:space="preserve"> </w:t>
      </w:r>
      <w:r>
        <w:t xml:space="preserve">each attempted to manage slavery’s expansion into new territories, and each temporary settlement revealed the underlying issue remained unresolved. The Supreme Court’s</w:t>
      </w:r>
      <w:r>
        <w:t xml:space="preserve"> </w:t>
      </w:r>
      <w:r>
        <w:rPr>
          <w:bCs/>
          <w:b/>
        </w:rPr>
        <w:t xml:space="preserve">Dred Scott decision</w:t>
      </w:r>
      <w:r>
        <w:t xml:space="preserve"> </w:t>
      </w:r>
      <w:r>
        <w:t xml:space="preserve">denied national citizenship to African Americans and limited congressional power over slavery in territories, while the new Republican Party grew largely around opposition to slavery’s expansion.</w:t>
      </w:r>
    </w:p>
    <w:bookmarkEnd w:id="61"/>
    <w:bookmarkStart w:id="62" w:name="war-and-emancipation"/>
    <w:p>
      <w:pPr>
        <w:pStyle w:val="Heading2"/>
      </w:pPr>
      <w:r>
        <w:t xml:space="preserve">War and Emancipation</w:t>
      </w:r>
    </w:p>
    <w:p>
      <w:pPr>
        <w:pStyle w:val="FirstParagraph"/>
      </w:pPr>
      <w:r>
        <w:rPr>
          <w:bCs/>
          <w:b/>
        </w:rPr>
        <w:t xml:space="preserve">Lincoln’s 1860 election</w:t>
      </w:r>
      <w:r>
        <w:t xml:space="preserve">, won without carrying the Deep South, was followed by Southern secession, since southern states believed Republican control threatened slavery and their political order; war began at</w:t>
      </w:r>
      <w:r>
        <w:t xml:space="preserve"> </w:t>
      </w:r>
      <w:r>
        <w:rPr>
          <w:bCs/>
          <w:b/>
        </w:rPr>
        <w:t xml:space="preserve">Fort Sumter (April 1861)</w:t>
      </w:r>
      <w:r>
        <w:t xml:space="preserve">. The</w:t>
      </w:r>
      <w:r>
        <w:t xml:space="preserve"> </w:t>
      </w:r>
      <w:r>
        <w:rPr>
          <w:bCs/>
          <w:b/>
        </w:rPr>
        <w:t xml:space="preserve">Emancipation Proclamation (1 January 1863)</w:t>
      </w:r>
      <w:r>
        <w:t xml:space="preserve"> </w:t>
      </w:r>
      <w:r>
        <w:t xml:space="preserve">changed the war fundamentally by making abolition a direct Union objective in rebellious areas and permitting broader Black military service. Union victories at</w:t>
      </w:r>
      <w:r>
        <w:t xml:space="preserve"> </w:t>
      </w:r>
      <w:r>
        <w:rPr>
          <w:bCs/>
          <w:b/>
        </w:rPr>
        <w:t xml:space="preserve">Gettysburg and Vicksburg (1863)</w:t>
      </w:r>
      <w:r>
        <w:t xml:space="preserve"> </w:t>
      </w:r>
      <w:r>
        <w:t xml:space="preserve">were decisive turning points, aided by greater Union industrial capacity, population, naval power and transport control; the Confederacy surrendered in</w:t>
      </w:r>
      <w:r>
        <w:t xml:space="preserve"> </w:t>
      </w:r>
      <w:r>
        <w:rPr>
          <w:bCs/>
          <w:b/>
        </w:rPr>
        <w:t xml:space="preserve">1865</w:t>
      </w:r>
      <w:r>
        <w:t xml:space="preserve">.</w:t>
      </w:r>
    </w:p>
    <w:bookmarkEnd w:id="62"/>
    <w:bookmarkStart w:id="63" w:name="reconstruction"/>
    <w:p>
      <w:pPr>
        <w:pStyle w:val="Heading2"/>
      </w:pPr>
      <w:r>
        <w:t xml:space="preserve">Reconstruction</w:t>
      </w:r>
    </w:p>
    <w:p>
      <w:pPr>
        <w:pStyle w:val="FirstParagraph"/>
      </w:pPr>
      <w:r>
        <w:t xml:space="preserve">The</w:t>
      </w:r>
      <w:r>
        <w:t xml:space="preserve"> </w:t>
      </w:r>
      <w:r>
        <w:rPr>
          <w:bCs/>
          <w:b/>
        </w:rPr>
        <w:t xml:space="preserve">13th, 14th and 15th Amendments</w:t>
      </w:r>
      <w:r>
        <w:t xml:space="preserve"> </w:t>
      </w:r>
      <w:r>
        <w:t xml:space="preserve">abolished slavery, defined national citizenship and equal protection, and prohibited racial discrimination in voting — but federal enforcement weakened significantly after Reconstruction, enabling segregation and Black voter suppression across the South for generations, a rollback essential to note rather than assuming these amendments permanently secured racial equality.</w:t>
      </w:r>
    </w:p>
    <w:bookmarkEnd w:id="63"/>
    <w:bookmarkStart w:id="64" w:name="key-terms-and-concepts-5"/>
    <w:p>
      <w:pPr>
        <w:pStyle w:val="Heading2"/>
      </w:pPr>
      <w:r>
        <w:t xml:space="preserve">Key Terms and Concepts</w:t>
      </w:r>
    </w:p>
    <w:p>
      <w:pPr>
        <w:numPr>
          <w:ilvl w:val="0"/>
          <w:numId w:val="1028"/>
        </w:numPr>
        <w:pStyle w:val="Compact"/>
      </w:pPr>
      <w:r>
        <w:rPr>
          <w:bCs/>
          <w:b/>
        </w:rPr>
        <w:t xml:space="preserve">Dred Scott decision:</w:t>
      </w:r>
      <w:r>
        <w:t xml:space="preserve"> </w:t>
      </w:r>
      <w:r>
        <w:t xml:space="preserve">The Supreme Court ruling denying African American citizenship and limiting congressional power over slavery in the territories, intensifying sectional crisis.</w:t>
      </w:r>
    </w:p>
    <w:p>
      <w:pPr>
        <w:numPr>
          <w:ilvl w:val="0"/>
          <w:numId w:val="1028"/>
        </w:numPr>
        <w:pStyle w:val="Compact"/>
      </w:pPr>
      <w:r>
        <w:rPr>
          <w:bCs/>
          <w:b/>
        </w:rPr>
        <w:t xml:space="preserve">Reconstruction Amendments (13th, 14th, 15th):</w:t>
      </w:r>
      <w:r>
        <w:t xml:space="preserve"> </w:t>
      </w:r>
      <w:r>
        <w:t xml:space="preserve">The constitutional changes abolishing slavery and establishing citizenship and voting-rights protections, whose enforcement later weakened substantially.</w:t>
      </w:r>
    </w:p>
    <w:bookmarkEnd w:id="64"/>
    <w:bookmarkStart w:id="65" w:name="preparation-toolkit-5"/>
    <w:p>
      <w:pPr>
        <w:pStyle w:val="Heading2"/>
      </w:pPr>
      <w:r>
        <w:t xml:space="preserve">Preparation Toolkit</w:t>
      </w:r>
    </w:p>
    <w:p>
      <w:pPr>
        <w:pStyle w:val="FirstParagraph"/>
      </w:pPr>
      <w:r>
        <w:rPr>
          <w:bCs/>
          <w:b/>
        </w:rPr>
        <w:t xml:space="preserve">Preparation Checklist</w:t>
      </w:r>
    </w:p>
    <w:p>
      <w:pPr>
        <w:numPr>
          <w:ilvl w:val="0"/>
          <w:numId w:val="1029"/>
        </w:numPr>
        <w:pStyle w:val="Compact"/>
      </w:pPr>
      <w:r>
        <w:t xml:space="preserve">Make slavery the central causal thread; show how territorial expansion and party collapse made compromise progressively harder; for the war, learn only decisive campaigns; for Reconstruction, focus on citizenship, voting rights and the South’s contested rebuilding.</w:t>
      </w:r>
    </w:p>
    <w:p>
      <w:pPr>
        <w:pStyle w:val="FirstParagraph"/>
      </w:pPr>
      <w:r>
        <w:rPr>
          <w:bCs/>
          <w:b/>
        </w:rPr>
        <w:t xml:space="preserve">Common Confusions to Avoid</w:t>
      </w:r>
    </w:p>
    <w:p>
      <w:pPr>
        <w:numPr>
          <w:ilvl w:val="0"/>
          <w:numId w:val="1030"/>
        </w:numPr>
        <w:pStyle w:val="Compact"/>
      </w:pPr>
      <w:r>
        <w:t xml:space="preserve">Do not repeat the FPSC typo</w:t>
      </w:r>
      <w:r>
        <w:t xml:space="preserve"> </w:t>
      </w:r>
      <w:r>
        <w:t xml:space="preserve">“</w:t>
      </w:r>
      <w:r>
        <w:t xml:space="preserve">North and East</w:t>
      </w:r>
      <w:r>
        <w:t xml:space="preserve">”</w:t>
      </w:r>
      <w:r>
        <w:t xml:space="preserve">; the conflict was Union/North versus Confederacy/South.</w:t>
      </w:r>
    </w:p>
    <w:p>
      <w:pPr>
        <w:numPr>
          <w:ilvl w:val="0"/>
          <w:numId w:val="1030"/>
        </w:numPr>
        <w:pStyle w:val="Compact"/>
      </w:pPr>
      <w:r>
        <w:t xml:space="preserve">Do not remove slavery from the centre of the causes; states’-rights arguments were closely tied to preserving slavery.</w:t>
      </w:r>
    </w:p>
    <w:p>
      <w:pPr>
        <w:numPr>
          <w:ilvl w:val="0"/>
          <w:numId w:val="1030"/>
        </w:numPr>
        <w:pStyle w:val="Compact"/>
      </w:pPr>
      <w:r>
        <w:t xml:space="preserve">Do not say Reconstruction permanently secured racial equality; many gains were later rolled back through violence, law and political retreat.</w:t>
      </w:r>
    </w:p>
    <w:p>
      <w:pPr>
        <w:pStyle w:val="FirstParagraph"/>
      </w:pPr>
      <w:r>
        <w:rPr>
          <w:bCs/>
          <w:b/>
        </w:rPr>
        <w:t xml:space="preserve">Easy Revision Points</w:t>
      </w:r>
    </w:p>
    <w:p>
      <w:pPr>
        <w:numPr>
          <w:ilvl w:val="0"/>
          <w:numId w:val="1031"/>
        </w:numPr>
        <w:pStyle w:val="Compact"/>
      </w:pPr>
      <w:r>
        <w:t xml:space="preserve">The Missouri Compromise (1820), Compromise of 1850, and Kansas-Nebraska Act (1854) attempted to manage sectional conflict over slavery.</w:t>
      </w:r>
    </w:p>
    <w:p>
      <w:pPr>
        <w:numPr>
          <w:ilvl w:val="0"/>
          <w:numId w:val="1031"/>
        </w:numPr>
        <w:pStyle w:val="Compact"/>
      </w:pPr>
      <w:r>
        <w:t xml:space="preserve">Lincoln’s 1860 election was followed by secession; war began at Fort Sumter (April 1861); the Emancipation Proclamation took effect 1 January 1863.</w:t>
      </w:r>
    </w:p>
    <w:p>
      <w:pPr>
        <w:numPr>
          <w:ilvl w:val="0"/>
          <w:numId w:val="1031"/>
        </w:numPr>
        <w:pStyle w:val="Compact"/>
      </w:pPr>
      <w:r>
        <w:t xml:space="preserve">The 13th, 14th and 15th Amendments abolished slavery and established citizenship and voting protections, though enforcement later weakened.</w:t>
      </w:r>
    </w:p>
    <w:bookmarkEnd w:id="65"/>
    <w:bookmarkStart w:id="66" w:name="key-takeaways-5"/>
    <w:p>
      <w:pPr>
        <w:pStyle w:val="Heading2"/>
      </w:pPr>
      <w:r>
        <w:t xml:space="preserve">Key Takeaways</w:t>
      </w:r>
    </w:p>
    <w:p>
      <w:pPr>
        <w:numPr>
          <w:ilvl w:val="0"/>
          <w:numId w:val="1032"/>
        </w:numPr>
        <w:pStyle w:val="Compact"/>
      </w:pPr>
      <w:r>
        <w:t xml:space="preserve">Correct the syllabus heading’s error explicitly: Union/North versus Confederacy/South, never</w:t>
      </w:r>
      <w:r>
        <w:t xml:space="preserve"> </w:t>
      </w:r>
      <w:r>
        <w:t xml:space="preserve">“</w:t>
      </w:r>
      <w:r>
        <w:t xml:space="preserve">North and East.</w:t>
      </w:r>
      <w:r>
        <w:t xml:space="preserve">”</w:t>
      </w:r>
    </w:p>
    <w:p>
      <w:pPr>
        <w:numPr>
          <w:ilvl w:val="0"/>
          <w:numId w:val="1032"/>
        </w:numPr>
        <w:pStyle w:val="Compact"/>
      </w:pPr>
      <w:r>
        <w:t xml:space="preserve">Keep slavery at the analytical centre throughout — every other cause (states’ rights, territorial expansion, party collapse) connects back to it, not around it.</w:t>
      </w:r>
    </w:p>
    <w:bookmarkEnd w:id="66"/>
    <w:bookmarkEnd w:id="67"/>
    <w:bookmarkStart w:id="74" w:name="X4845318c47289398bbd39f238eee5d2504bc0c2"/>
    <w:p>
      <w:pPr>
        <w:pStyle w:val="Heading1"/>
        <w:pageBreakBefore/>
      </w:pPr>
      <w:r>
        <w:t xml:space="preserve">7. Industrialization and Emergence as a World Power (1870–1916)</w:t>
      </w:r>
    </w:p>
    <w:bookmarkStart w:id="68" w:name="why-this-topic-matters-6"/>
    <w:p>
      <w:pPr>
        <w:pStyle w:val="Heading2"/>
      </w:pPr>
      <w:r>
        <w:t xml:space="preserve">Why This Topic Matters</w:t>
      </w:r>
    </w:p>
    <w:p>
      <w:pPr>
        <w:pStyle w:val="FirstParagraph"/>
      </w:pPr>
      <w:r>
        <w:t xml:space="preserve">Domestic industrial transformation and America’s larger overseas role developed together — economic power at home directly enabled greater strategic reach abroad, and a strong answer links the two rather than treating them as separate stories.</w:t>
      </w:r>
    </w:p>
    <w:bookmarkEnd w:id="68"/>
    <w:bookmarkStart w:id="69" w:name="industrial-growth-and-its-social-costs"/>
    <w:p>
      <w:pPr>
        <w:pStyle w:val="Heading2"/>
      </w:pPr>
      <w:r>
        <w:t xml:space="preserve">Industrial Growth and Its Social Costs</w:t>
      </w:r>
    </w:p>
    <w:p>
      <w:pPr>
        <w:pStyle w:val="FirstParagraph"/>
      </w:pPr>
      <w:r>
        <w:t xml:space="preserve">Railroads linked national markets while steel, oil, electricity and machinery supported mass production; large corporations and new financial institutions accumulated unprecedented economic power. Industrial workers faced long hours, dangerous conditions and unstable employment, with unions such as the Knights of Labor and American Federation of Labor organising strikes and collective bargaining with mixed success. Millions of immigrants expanded the labour force and transformed urban culture, while rapid city growth produced serious housing, sanitation and political-machine problems alongside genuine new opportunity. Farmers facing debt, falling prices and railroad charges fuelled</w:t>
      </w:r>
      <w:r>
        <w:t xml:space="preserve"> </w:t>
      </w:r>
      <w:r>
        <w:rPr>
          <w:bCs/>
          <w:b/>
        </w:rPr>
        <w:t xml:space="preserve">Populism</w:t>
      </w:r>
      <w:r>
        <w:t xml:space="preserve">, demanding monetary and political reform against concentrated economic power.</w:t>
      </w:r>
    </w:p>
    <w:bookmarkEnd w:id="69"/>
    <w:bookmarkStart w:id="70" w:name="becoming-an-overseas-power"/>
    <w:p>
      <w:pPr>
        <w:pStyle w:val="Heading2"/>
      </w:pPr>
      <w:r>
        <w:t xml:space="preserve">Becoming an Overseas Power</w:t>
      </w:r>
    </w:p>
    <w:p>
      <w:pPr>
        <w:pStyle w:val="FirstParagraph"/>
      </w:pPr>
      <w:r>
        <w:t xml:space="preserve">The</w:t>
      </w:r>
      <w:r>
        <w:t xml:space="preserve"> </w:t>
      </w:r>
      <w:r>
        <w:rPr>
          <w:bCs/>
          <w:b/>
        </w:rPr>
        <w:t xml:space="preserve">Spanish-American War (1898)</w:t>
      </w:r>
      <w:r>
        <w:t xml:space="preserve">, triggered by U.S. intervention in Cuba, produced war with Spain and acquisition of Puerto Rico, Guam and the Philippines — transforming the United States into a more explicit overseas imperial power, not merely a war to liberate Cuba. U.S. support for Panama’s separation from Colombia enabled construction of the</w:t>
      </w:r>
      <w:r>
        <w:t xml:space="preserve"> </w:t>
      </w:r>
      <w:r>
        <w:rPr>
          <w:bCs/>
          <w:b/>
        </w:rPr>
        <w:t xml:space="preserve">Panama Canal</w:t>
      </w:r>
      <w:r>
        <w:t xml:space="preserve">, which opened in</w:t>
      </w:r>
      <w:r>
        <w:t xml:space="preserve"> </w:t>
      </w:r>
      <w:r>
        <w:rPr>
          <w:bCs/>
          <w:b/>
        </w:rPr>
        <w:t xml:space="preserve">1914</w:t>
      </w:r>
      <w:r>
        <w:t xml:space="preserve">, greatly strengthening U.S. naval and commercial mobility between the Atlantic and Pacific.</w:t>
      </w:r>
    </w:p>
    <w:bookmarkEnd w:id="70"/>
    <w:bookmarkStart w:id="71" w:name="key-terms-and-concepts-6"/>
    <w:p>
      <w:pPr>
        <w:pStyle w:val="Heading2"/>
      </w:pPr>
      <w:r>
        <w:t xml:space="preserve">Key Terms and Concepts</w:t>
      </w:r>
    </w:p>
    <w:p>
      <w:pPr>
        <w:numPr>
          <w:ilvl w:val="0"/>
          <w:numId w:val="1033"/>
        </w:numPr>
        <w:pStyle w:val="Compact"/>
      </w:pPr>
      <w:r>
        <w:rPr>
          <w:bCs/>
          <w:b/>
        </w:rPr>
        <w:t xml:space="preserve">Populism:</w:t>
      </w:r>
      <w:r>
        <w:t xml:space="preserve"> </w:t>
      </w:r>
      <w:r>
        <w:t xml:space="preserve">The late-nineteenth-century agrarian political movement demanding monetary and political reform against railroad and corporate power.</w:t>
      </w:r>
    </w:p>
    <w:bookmarkEnd w:id="71"/>
    <w:bookmarkStart w:id="72" w:name="preparation-toolkit-6"/>
    <w:p>
      <w:pPr>
        <w:pStyle w:val="Heading2"/>
      </w:pPr>
      <w:r>
        <w:t xml:space="preserve">Preparation Toolkit</w:t>
      </w:r>
    </w:p>
    <w:p>
      <w:pPr>
        <w:pStyle w:val="FirstParagraph"/>
      </w:pPr>
      <w:r>
        <w:rPr>
          <w:bCs/>
          <w:b/>
        </w:rPr>
        <w:t xml:space="preserve">Preparation Checklist</w:t>
      </w:r>
    </w:p>
    <w:p>
      <w:pPr>
        <w:numPr>
          <w:ilvl w:val="0"/>
          <w:numId w:val="1034"/>
        </w:numPr>
        <w:pStyle w:val="Compact"/>
      </w:pPr>
      <w:r>
        <w:t xml:space="preserve">Prepare industrial causes and social consequences separately; use 1898 and the Panama Canal as foreign-power turning points; include reform responses to corporate power and urban problems.</w:t>
      </w:r>
    </w:p>
    <w:p>
      <w:pPr>
        <w:pStyle w:val="FirstParagraph"/>
      </w:pPr>
      <w:r>
        <w:rPr>
          <w:bCs/>
          <w:b/>
        </w:rPr>
        <w:t xml:space="preserve">Common Confusions to Avoid</w:t>
      </w:r>
    </w:p>
    <w:p>
      <w:pPr>
        <w:numPr>
          <w:ilvl w:val="0"/>
          <w:numId w:val="1035"/>
        </w:numPr>
        <w:pStyle w:val="Compact"/>
      </w:pPr>
      <w:r>
        <w:t xml:space="preserve">Do not separate industrial growth from labour conflict and reform politics.</w:t>
      </w:r>
    </w:p>
    <w:p>
      <w:pPr>
        <w:numPr>
          <w:ilvl w:val="0"/>
          <w:numId w:val="1035"/>
        </w:numPr>
        <w:pStyle w:val="Compact"/>
      </w:pPr>
      <w:r>
        <w:t xml:space="preserve">Do not call the Spanish-American War only a war to liberate Cuba; it also produced U.S. territorial expansion.</w:t>
      </w:r>
    </w:p>
    <w:p>
      <w:pPr>
        <w:numPr>
          <w:ilvl w:val="0"/>
          <w:numId w:val="1035"/>
        </w:numPr>
        <w:pStyle w:val="Compact"/>
      </w:pPr>
      <w:r>
        <w:t xml:space="preserve">Do not assume economic growth benefited all groups equally.</w:t>
      </w:r>
    </w:p>
    <w:p>
      <w:pPr>
        <w:pStyle w:val="FirstParagraph"/>
      </w:pPr>
      <w:r>
        <w:rPr>
          <w:bCs/>
          <w:b/>
        </w:rPr>
        <w:t xml:space="preserve">Easy Revision Points</w:t>
      </w:r>
    </w:p>
    <w:p>
      <w:pPr>
        <w:numPr>
          <w:ilvl w:val="0"/>
          <w:numId w:val="1036"/>
        </w:numPr>
        <w:pStyle w:val="Compact"/>
      </w:pPr>
      <w:r>
        <w:t xml:space="preserve">A national railroad network and mass production created powerful corporations alongside harsh labour conditions.</w:t>
      </w:r>
    </w:p>
    <w:p>
      <w:pPr>
        <w:numPr>
          <w:ilvl w:val="0"/>
          <w:numId w:val="1036"/>
        </w:numPr>
        <w:pStyle w:val="Compact"/>
      </w:pPr>
      <w:r>
        <w:t xml:space="preserve">The Spanish-American War (1898) resulted in U.S. control of Puerto Rico and the Philippines.</w:t>
      </w:r>
    </w:p>
    <w:p>
      <w:pPr>
        <w:numPr>
          <w:ilvl w:val="0"/>
          <w:numId w:val="1036"/>
        </w:numPr>
        <w:pStyle w:val="Compact"/>
      </w:pPr>
      <w:r>
        <w:t xml:space="preserve">The Panama Canal opened in 1914, greatly increasing U.S. strategic and commercial reach.</w:t>
      </w:r>
    </w:p>
    <w:bookmarkEnd w:id="72"/>
    <w:bookmarkStart w:id="73" w:name="key-takeaways-6"/>
    <w:p>
      <w:pPr>
        <w:pStyle w:val="Heading2"/>
      </w:pPr>
      <w:r>
        <w:t xml:space="preserve">Key Takeaways</w:t>
      </w:r>
    </w:p>
    <w:p>
      <w:pPr>
        <w:numPr>
          <w:ilvl w:val="0"/>
          <w:numId w:val="1037"/>
        </w:numPr>
        <w:pStyle w:val="Compact"/>
      </w:pPr>
      <w:r>
        <w:t xml:space="preserve">Link domestic industrial power with expanding overseas strategic reach explicitly — they developed together, not as separate narratives.</w:t>
      </w:r>
    </w:p>
    <w:p>
      <w:pPr>
        <w:numPr>
          <w:ilvl w:val="0"/>
          <w:numId w:val="1037"/>
        </w:numPr>
        <w:pStyle w:val="Compact"/>
      </w:pPr>
      <w:r>
        <w:t xml:space="preserve">Populist and labour movements are a direct political response to the same industrial transformation, not a separate topic.</w:t>
      </w:r>
    </w:p>
    <w:bookmarkEnd w:id="73"/>
    <w:bookmarkEnd w:id="74"/>
    <w:bookmarkStart w:id="81" w:name="X9f188f0e29a05fe91279e1cd5d9b471ae77bec2"/>
    <w:p>
      <w:pPr>
        <w:pStyle w:val="Heading1"/>
        <w:pageBreakBefore/>
      </w:pPr>
      <w:r>
        <w:t xml:space="preserve">8. The United States in the First and Second World Wars</w:t>
      </w:r>
    </w:p>
    <w:bookmarkStart w:id="75" w:name="why-this-topic-matters-7"/>
    <w:p>
      <w:pPr>
        <w:pStyle w:val="Heading2"/>
      </w:pPr>
      <w:r>
        <w:t xml:space="preserve">Why This Topic Matters</w:t>
      </w:r>
    </w:p>
    <w:p>
      <w:pPr>
        <w:pStyle w:val="FirstParagraph"/>
      </w:pPr>
      <w:r>
        <w:t xml:space="preserve">Compare 1919 with 1945 directly: after WWI the U.S. rejected League membership and limited long-term European commitment; after WWII it helped design and lead a permanent international order — this contrast is the topic’s central analytical point.</w:t>
      </w:r>
    </w:p>
    <w:bookmarkEnd w:id="75"/>
    <w:bookmarkStart w:id="76" w:name="the-first-world-war"/>
    <w:p>
      <w:pPr>
        <w:pStyle w:val="Heading2"/>
      </w:pPr>
      <w:r>
        <w:t xml:space="preserve">The First World War</w:t>
      </w:r>
    </w:p>
    <w:p>
      <w:pPr>
        <w:pStyle w:val="FirstParagraph"/>
      </w:pPr>
      <w:r>
        <w:t xml:space="preserve">President Wilson initially kept the U.S. neutral while American trade and finance increasingly favoured the Allies; German unrestricted submarine warfare and the Zimmermann Telegram led the United States to</w:t>
      </w:r>
      <w:r>
        <w:t xml:space="preserve"> </w:t>
      </w:r>
      <w:r>
        <w:rPr>
          <w:bCs/>
          <w:b/>
        </w:rPr>
        <w:t xml:space="preserve">declare war in April 1917</w:t>
      </w:r>
      <w:r>
        <w:t xml:space="preserve">, with American troops and resources strengthening the Allied position in 1918. Wilson proposed the</w:t>
      </w:r>
      <w:r>
        <w:t xml:space="preserve"> </w:t>
      </w:r>
      <w:r>
        <w:rPr>
          <w:bCs/>
          <w:b/>
        </w:rPr>
        <w:t xml:space="preserve">Fourteen Points</w:t>
      </w:r>
      <w:r>
        <w:t xml:space="preserve"> </w:t>
      </w:r>
      <w:r>
        <w:t xml:space="preserve">and a League of Nations, but the</w:t>
      </w:r>
      <w:r>
        <w:t xml:space="preserve"> </w:t>
      </w:r>
      <w:r>
        <w:rPr>
          <w:bCs/>
          <w:b/>
        </w:rPr>
        <w:t xml:space="preserve">Senate rejected the Treaty of Versailles</w:t>
      </w:r>
      <w:r>
        <w:t xml:space="preserve">, reflecting constitutional conflict over treaty commitments and domestic reluctance toward permanent alliances — a rejection that reflected reluctance toward permanent commitment, not complete isolation from world affairs.</w:t>
      </w:r>
    </w:p>
    <w:bookmarkEnd w:id="76"/>
    <w:bookmarkStart w:id="77" w:name="the-second-world-war"/>
    <w:p>
      <w:pPr>
        <w:pStyle w:val="Heading2"/>
      </w:pPr>
      <w:r>
        <w:t xml:space="preserve">The Second World War</w:t>
      </w:r>
    </w:p>
    <w:p>
      <w:pPr>
        <w:pStyle w:val="FirstParagraph"/>
      </w:pPr>
      <w:r>
        <w:t xml:space="preserve">Interwar neutrality laws reflected many Americans’ belief that entanglement had drawn the country into WWI unnecessarily, but German and Japanese expansion gradually weakened isolationist sentiment; Roosevelt supported Britain through</w:t>
      </w:r>
      <w:r>
        <w:t xml:space="preserve"> </w:t>
      </w:r>
      <w:r>
        <w:rPr>
          <w:bCs/>
          <w:b/>
        </w:rPr>
        <w:t xml:space="preserve">Lend-Lease</w:t>
      </w:r>
      <w:r>
        <w:t xml:space="preserve"> </w:t>
      </w:r>
      <w:r>
        <w:t xml:space="preserve">while formally remaining outside the war, and U.S. economic pressure on Japan increased in response to Japanese expansion in Asia. Japan’s attack on</w:t>
      </w:r>
      <w:r>
        <w:t xml:space="preserve"> </w:t>
      </w:r>
      <w:r>
        <w:rPr>
          <w:bCs/>
          <w:b/>
        </w:rPr>
        <w:t xml:space="preserve">Pearl Harbor (7 December 1941)</w:t>
      </w:r>
      <w:r>
        <w:t xml:space="preserve"> </w:t>
      </w:r>
      <w:r>
        <w:t xml:space="preserve">brought the United States into the war, fighting major campaigns in both Europe and the Pacific; the U.S. emerged with enormous industrial, financial and military power, helping establish the UN and Bretton Woods institutions and accepting a continuing security role in Europe and Asia.</w:t>
      </w:r>
    </w:p>
    <w:bookmarkEnd w:id="77"/>
    <w:bookmarkStart w:id="78" w:name="key-terms-and-concepts-7"/>
    <w:p>
      <w:pPr>
        <w:pStyle w:val="Heading2"/>
      </w:pPr>
      <w:r>
        <w:t xml:space="preserve">Key Terms and Concepts</w:t>
      </w:r>
    </w:p>
    <w:p>
      <w:pPr>
        <w:numPr>
          <w:ilvl w:val="0"/>
          <w:numId w:val="1038"/>
        </w:numPr>
        <w:pStyle w:val="Compact"/>
      </w:pPr>
      <w:r>
        <w:rPr>
          <w:bCs/>
          <w:b/>
        </w:rPr>
        <w:t xml:space="preserve">Lend-Lease:</w:t>
      </w:r>
      <w:r>
        <w:t xml:space="preserve"> </w:t>
      </w:r>
      <w:r>
        <w:t xml:space="preserve">The pre-1941 U.S. programme supplying Britain and other Allies with materiel while formally remaining outside the war.</w:t>
      </w:r>
    </w:p>
    <w:bookmarkEnd w:id="78"/>
    <w:bookmarkStart w:id="79" w:name="preparation-toolkit-7"/>
    <w:p>
      <w:pPr>
        <w:pStyle w:val="Heading2"/>
      </w:pPr>
      <w:r>
        <w:t xml:space="preserve">Preparation Toolkit</w:t>
      </w:r>
    </w:p>
    <w:p>
      <w:pPr>
        <w:pStyle w:val="FirstParagraph"/>
      </w:pPr>
      <w:r>
        <w:rPr>
          <w:bCs/>
          <w:b/>
        </w:rPr>
        <w:t xml:space="preserve">Preparation Checklist</w:t>
      </w:r>
    </w:p>
    <w:p>
      <w:pPr>
        <w:numPr>
          <w:ilvl w:val="0"/>
          <w:numId w:val="1039"/>
        </w:numPr>
        <w:pStyle w:val="Compact"/>
      </w:pPr>
      <w:r>
        <w:t xml:space="preserve">Make a direct WWI-versus-WWII comparison: reason for entry, military role, home front, peace settlement and postwar international commitment.</w:t>
      </w:r>
    </w:p>
    <w:p>
      <w:pPr>
        <w:pStyle w:val="FirstParagraph"/>
      </w:pPr>
      <w:r>
        <w:rPr>
          <w:bCs/>
          <w:b/>
        </w:rPr>
        <w:t xml:space="preserve">Common Confusions to Avoid</w:t>
      </w:r>
    </w:p>
    <w:p>
      <w:pPr>
        <w:numPr>
          <w:ilvl w:val="0"/>
          <w:numId w:val="1040"/>
        </w:numPr>
        <w:pStyle w:val="Compact"/>
      </w:pPr>
      <w:r>
        <w:t xml:space="preserve">Do not say the U.S. was economically neutral throughout WWI; trade and finance increasingly connected it to the Allies.</w:t>
      </w:r>
    </w:p>
    <w:p>
      <w:pPr>
        <w:numPr>
          <w:ilvl w:val="0"/>
          <w:numId w:val="1040"/>
        </w:numPr>
        <w:pStyle w:val="Compact"/>
      </w:pPr>
      <w:r>
        <w:t xml:space="preserve">Do not say Senate rejection of Versailles meant complete isolation from world affairs.</w:t>
      </w:r>
    </w:p>
    <w:p>
      <w:pPr>
        <w:numPr>
          <w:ilvl w:val="0"/>
          <w:numId w:val="1040"/>
        </w:numPr>
        <w:pStyle w:val="Compact"/>
      </w:pPr>
      <w:r>
        <w:t xml:space="preserve">Do not treat Pearl Harbor as the only cause of global U.S. involvement; tensions with Japan and support for the Allies had developed earlier.</w:t>
      </w:r>
    </w:p>
    <w:p>
      <w:pPr>
        <w:pStyle w:val="FirstParagraph"/>
      </w:pPr>
      <w:r>
        <w:rPr>
          <w:bCs/>
          <w:b/>
        </w:rPr>
        <w:t xml:space="preserve">Easy Revision Points</w:t>
      </w:r>
    </w:p>
    <w:p>
      <w:pPr>
        <w:numPr>
          <w:ilvl w:val="0"/>
          <w:numId w:val="1041"/>
        </w:numPr>
        <w:pStyle w:val="Compact"/>
      </w:pPr>
      <w:r>
        <w:t xml:space="preserve">The U.S. entered WWI in April 1917; the Senate did not consent to Versailles and the U.S. never joined the League.</w:t>
      </w:r>
    </w:p>
    <w:p>
      <w:pPr>
        <w:numPr>
          <w:ilvl w:val="0"/>
          <w:numId w:val="1041"/>
        </w:numPr>
        <w:pStyle w:val="Compact"/>
      </w:pPr>
      <w:r>
        <w:t xml:space="preserve">Japan’s attack on Pearl Harbor (7 December 1941) brought the U.S. into WWII.</w:t>
      </w:r>
    </w:p>
    <w:p>
      <w:pPr>
        <w:numPr>
          <w:ilvl w:val="0"/>
          <w:numId w:val="1041"/>
        </w:numPr>
        <w:pStyle w:val="Compact"/>
      </w:pPr>
      <w:r>
        <w:t xml:space="preserve">The U.S. used atomic bombs on Hiroshima and Nagasaki in August 1945.</w:t>
      </w:r>
    </w:p>
    <w:bookmarkEnd w:id="79"/>
    <w:bookmarkStart w:id="80" w:name="key-takeaways-7"/>
    <w:p>
      <w:pPr>
        <w:pStyle w:val="Heading2"/>
      </w:pPr>
      <w:r>
        <w:t xml:space="preserve">Key Takeaways</w:t>
      </w:r>
    </w:p>
    <w:p>
      <w:pPr>
        <w:numPr>
          <w:ilvl w:val="0"/>
          <w:numId w:val="1042"/>
        </w:numPr>
        <w:pStyle w:val="Compact"/>
      </w:pPr>
      <w:r>
        <w:t xml:space="preserve">The 1919-versus-1945 contrast (rejecting versus leading a permanent international order) is the topic’s central point and should organise the whole answer.</w:t>
      </w:r>
    </w:p>
    <w:p>
      <w:pPr>
        <w:numPr>
          <w:ilvl w:val="0"/>
          <w:numId w:val="1042"/>
        </w:numPr>
        <w:pStyle w:val="Compact"/>
      </w:pPr>
      <w:r>
        <w:t xml:space="preserve">U.S. involvement in both wars was preceded by substantial economic and political entanglement well before formal entry — neutrality was never absolute in either case.</w:t>
      </w:r>
    </w:p>
    <w:bookmarkEnd w:id="80"/>
    <w:bookmarkEnd w:id="81"/>
    <w:bookmarkStart w:id="88" w:name="X8df6756e140bf63b624d6e44d0d633ff6ee61c7"/>
    <w:p>
      <w:pPr>
        <w:pStyle w:val="Heading1"/>
        <w:pageBreakBefore/>
      </w:pPr>
      <w:r>
        <w:t xml:space="preserve">9. The United States and Soviet Union as Two Major Powers after 1945</w:t>
      </w:r>
    </w:p>
    <w:bookmarkStart w:id="82" w:name="why-this-topic-matters-8"/>
    <w:p>
      <w:pPr>
        <w:pStyle w:val="Heading2"/>
      </w:pPr>
      <w:r>
        <w:t xml:space="preserve">Why This Topic Matters</w:t>
      </w:r>
    </w:p>
    <w:p>
      <w:pPr>
        <w:pStyle w:val="FirstParagraph"/>
      </w:pPr>
      <w:r>
        <w:t xml:space="preserve">Bipolarity resulted from wartime outcomes plus incompatible security and political projects — never simple personal hostility between leaders — and military, economic, ideological and geopolitical factors must all appear together in a strong answer.</w:t>
      </w:r>
    </w:p>
    <w:bookmarkEnd w:id="82"/>
    <w:bookmarkStart w:id="83" w:name="diverging-postwar-positions"/>
    <w:p>
      <w:pPr>
        <w:pStyle w:val="Heading2"/>
      </w:pPr>
      <w:r>
        <w:t xml:space="preserve">Diverging Postwar Positions</w:t>
      </w:r>
    </w:p>
    <w:p>
      <w:pPr>
        <w:pStyle w:val="FirstParagraph"/>
      </w:pPr>
      <w:r>
        <w:t xml:space="preserve">The American homeland had not suffered wartime destruction on the European scale, and U.S. factories had expanded dramatically; the United States also initially held an atomic bomp monopoly and enormous financial influence. The Soviet Union lost tens of millions of people and suffered immense destruction but ended the war with its army occupying Eastern and Central Europe, seeking security against future invasion through a controlled buffer zone. Liberal capitalism and Soviet communism offered genuinely competing political-economic models, and each side interpreted the other’s actions as both strategic and ideological threat simultaneously — ideology and security reinforced rather than operated as separate alternatives.</w:t>
      </w:r>
    </w:p>
    <w:bookmarkEnd w:id="83"/>
    <w:bookmarkStart w:id="84" w:name="containment-and-nuclear-rivalry"/>
    <w:p>
      <w:pPr>
        <w:pStyle w:val="Heading2"/>
      </w:pPr>
      <w:r>
        <w:t xml:space="preserve">Containment and Nuclear Rivalry</w:t>
      </w:r>
    </w:p>
    <w:p>
      <w:pPr>
        <w:pStyle w:val="FirstParagraph"/>
      </w:pPr>
      <w:r>
        <w:t xml:space="preserve">Disagreement over occupation, reparations and Germany’s political future became an early flashpoint. U.S. strategists concluded Soviet influence should be resisted through economic, diplomatic and military means; the</w:t>
      </w:r>
      <w:r>
        <w:t xml:space="preserve"> </w:t>
      </w:r>
      <w:r>
        <w:rPr>
          <w:bCs/>
          <w:b/>
        </w:rPr>
        <w:t xml:space="preserve">Truman Doctrine</w:t>
      </w:r>
      <w:r>
        <w:t xml:space="preserve"> </w:t>
      </w:r>
      <w:r>
        <w:t xml:space="preserve">and</w:t>
      </w:r>
      <w:r>
        <w:t xml:space="preserve"> </w:t>
      </w:r>
      <w:r>
        <w:rPr>
          <w:bCs/>
          <w:b/>
        </w:rPr>
        <w:t xml:space="preserve">Marshall Plan</w:t>
      </w:r>
      <w:r>
        <w:t xml:space="preserve"> </w:t>
      </w:r>
      <w:r>
        <w:t xml:space="preserve">were early expressions of this</w:t>
      </w:r>
      <w:r>
        <w:t xml:space="preserve"> </w:t>
      </w:r>
      <w:r>
        <w:rPr>
          <w:bCs/>
          <w:b/>
        </w:rPr>
        <w:t xml:space="preserve">containment</w:t>
      </w:r>
      <w:r>
        <w:t xml:space="preserve"> </w:t>
      </w:r>
      <w:r>
        <w:t xml:space="preserve">strategy. The Soviet atomic test of</w:t>
      </w:r>
      <w:r>
        <w:t xml:space="preserve"> </w:t>
      </w:r>
      <w:r>
        <w:rPr>
          <w:bCs/>
          <w:b/>
        </w:rPr>
        <w:t xml:space="preserve">1949</w:t>
      </w:r>
      <w:r>
        <w:t xml:space="preserve"> </w:t>
      </w:r>
      <w:r>
        <w:t xml:space="preserve">ended the U.S. nuclear monopoly, and NATO (1949) and later the Warsaw Pact (1955) institutionalised the resulting military division.</w:t>
      </w:r>
    </w:p>
    <w:bookmarkEnd w:id="84"/>
    <w:bookmarkStart w:id="85" w:name="key-terms-and-concepts-8"/>
    <w:p>
      <w:pPr>
        <w:pStyle w:val="Heading2"/>
      </w:pPr>
      <w:r>
        <w:t xml:space="preserve">Key Terms and Concepts</w:t>
      </w:r>
    </w:p>
    <w:p>
      <w:pPr>
        <w:numPr>
          <w:ilvl w:val="0"/>
          <w:numId w:val="1043"/>
        </w:numPr>
        <w:pStyle w:val="Compact"/>
      </w:pPr>
      <w:r>
        <w:rPr>
          <w:bCs/>
          <w:b/>
        </w:rPr>
        <w:t xml:space="preserve">Containment:</w:t>
      </w:r>
      <w:r>
        <w:t xml:space="preserve"> </w:t>
      </w:r>
      <w:r>
        <w:t xml:space="preserve">The U.S. Cold War strategy of resisting Soviet influence through economic, diplomatic and military means, first articulated through the Truman Doctrine and Marshall Plan.</w:t>
      </w:r>
    </w:p>
    <w:bookmarkEnd w:id="85"/>
    <w:bookmarkStart w:id="86" w:name="preparation-toolkit-8"/>
    <w:p>
      <w:pPr>
        <w:pStyle w:val="Heading2"/>
      </w:pPr>
      <w:r>
        <w:t xml:space="preserve">Preparation Toolkit</w:t>
      </w:r>
    </w:p>
    <w:p>
      <w:pPr>
        <w:pStyle w:val="FirstParagraph"/>
      </w:pPr>
      <w:r>
        <w:rPr>
          <w:bCs/>
          <w:b/>
        </w:rPr>
        <w:t xml:space="preserve">Preparation Checklist</w:t>
      </w:r>
    </w:p>
    <w:p>
      <w:pPr>
        <w:numPr>
          <w:ilvl w:val="0"/>
          <w:numId w:val="1044"/>
        </w:numPr>
        <w:pStyle w:val="Compact"/>
      </w:pPr>
      <w:r>
        <w:t xml:space="preserve">Prepare</w:t>
      </w:r>
      <w:r>
        <w:t xml:space="preserve"> </w:t>
      </w:r>
      <w:r>
        <w:t xml:space="preserve">“</w:t>
      </w:r>
      <w:r>
        <w:t xml:space="preserve">why bipolarity emerged</w:t>
      </w:r>
      <w:r>
        <w:t xml:space="preserve">”</w:t>
      </w:r>
      <w:r>
        <w:t xml:space="preserve"> </w:t>
      </w:r>
      <w:r>
        <w:t xml:space="preserve">before</w:t>
      </w:r>
      <w:r>
        <w:t xml:space="preserve"> </w:t>
      </w:r>
      <w:r>
        <w:t xml:space="preserve">“</w:t>
      </w:r>
      <w:r>
        <w:t xml:space="preserve">how the Cold War began</w:t>
      </w:r>
      <w:r>
        <w:t xml:space="preserve">”</w:t>
      </w:r>
      <w:r>
        <w:t xml:space="preserve">; use military, economic, ideological and geopolitical factors together, not personal animosity.</w:t>
      </w:r>
    </w:p>
    <w:p>
      <w:pPr>
        <w:pStyle w:val="FirstParagraph"/>
      </w:pPr>
      <w:r>
        <w:rPr>
          <w:bCs/>
          <w:b/>
        </w:rPr>
        <w:t xml:space="preserve">Common Confusions to Avoid</w:t>
      </w:r>
    </w:p>
    <w:p>
      <w:pPr>
        <w:numPr>
          <w:ilvl w:val="0"/>
          <w:numId w:val="1045"/>
        </w:numPr>
        <w:pStyle w:val="Compact"/>
      </w:pPr>
      <w:r>
        <w:t xml:space="preserve">Do not describe the Cold War as simple personal hostility between leaders.</w:t>
      </w:r>
    </w:p>
    <w:p>
      <w:pPr>
        <w:numPr>
          <w:ilvl w:val="0"/>
          <w:numId w:val="1045"/>
        </w:numPr>
        <w:pStyle w:val="Compact"/>
      </w:pPr>
      <w:r>
        <w:t xml:space="preserve">Do not say the Soviet Union emerged economically stronger than the United States; its power rested heavily on military strength and territorial position.</w:t>
      </w:r>
    </w:p>
    <w:p>
      <w:pPr>
        <w:numPr>
          <w:ilvl w:val="0"/>
          <w:numId w:val="1045"/>
        </w:numPr>
        <w:pStyle w:val="Compact"/>
      </w:pPr>
      <w:r>
        <w:t xml:space="preserve">Do not treat ideology and security as separate alternatives; they reinforced each other.</w:t>
      </w:r>
    </w:p>
    <w:p>
      <w:pPr>
        <w:pStyle w:val="FirstParagraph"/>
      </w:pPr>
      <w:r>
        <w:rPr>
          <w:bCs/>
          <w:b/>
        </w:rPr>
        <w:t xml:space="preserve">Easy Revision Points</w:t>
      </w:r>
    </w:p>
    <w:p>
      <w:pPr>
        <w:numPr>
          <w:ilvl w:val="0"/>
          <w:numId w:val="1046"/>
        </w:numPr>
        <w:pStyle w:val="Compact"/>
      </w:pPr>
      <w:r>
        <w:t xml:space="preserve">The U.S. emerged with unmatched industrial capacity and an initial atomic monopoly; the USSR occupied much of Eastern Europe with the largest land army.</w:t>
      </w:r>
    </w:p>
    <w:p>
      <w:pPr>
        <w:numPr>
          <w:ilvl w:val="0"/>
          <w:numId w:val="1046"/>
        </w:numPr>
        <w:pStyle w:val="Compact"/>
      </w:pPr>
      <w:r>
        <w:t xml:space="preserve">The Truman Doctrine (1947) and Marshall Plan expressed early containment strategy.</w:t>
      </w:r>
    </w:p>
    <w:p>
      <w:pPr>
        <w:numPr>
          <w:ilvl w:val="0"/>
          <w:numId w:val="1046"/>
        </w:numPr>
        <w:pStyle w:val="Compact"/>
      </w:pPr>
      <w:r>
        <w:t xml:space="preserve">The Soviet atomic test (1949) ended the U.S. nuclear monopoly.</w:t>
      </w:r>
    </w:p>
    <w:bookmarkEnd w:id="86"/>
    <w:bookmarkStart w:id="87" w:name="key-takeaways-8"/>
    <w:p>
      <w:pPr>
        <w:pStyle w:val="Heading2"/>
      </w:pPr>
      <w:r>
        <w:t xml:space="preserve">Key Takeaways</w:t>
      </w:r>
    </w:p>
    <w:p>
      <w:pPr>
        <w:numPr>
          <w:ilvl w:val="0"/>
          <w:numId w:val="1047"/>
        </w:numPr>
        <w:pStyle w:val="Compact"/>
      </w:pPr>
      <w:r>
        <w:t xml:space="preserve">Explain bipolarity as the joint result of wartime outcomes and incompatible security-ideological projects — never reduce it to leader personalities.</w:t>
      </w:r>
    </w:p>
    <w:p>
      <w:pPr>
        <w:numPr>
          <w:ilvl w:val="0"/>
          <w:numId w:val="1047"/>
        </w:numPr>
        <w:pStyle w:val="Compact"/>
      </w:pPr>
      <w:r>
        <w:t xml:space="preserve">Containment is the umbrella strategy underlying the Truman Doctrine, Marshall Plan, and NATO — a single connected policy logic, not three unrelated initiatives.</w:t>
      </w:r>
    </w:p>
    <w:bookmarkEnd w:id="87"/>
    <w:bookmarkEnd w:id="88"/>
    <w:bookmarkStart w:id="95" w:name="X9709fff1fbbcec88c8afea864d5c0ce7ef0b602"/>
    <w:p>
      <w:pPr>
        <w:pStyle w:val="Heading1"/>
        <w:pageBreakBefore/>
      </w:pPr>
      <w:r>
        <w:t xml:space="preserve">10. Role of the USA in the United Nations and International Organizations (1945–2012)</w:t>
      </w:r>
    </w:p>
    <w:bookmarkStart w:id="89" w:name="why-this-topic-matters-9"/>
    <w:p>
      <w:pPr>
        <w:pStyle w:val="Heading2"/>
      </w:pPr>
      <w:r>
        <w:t xml:space="preserve">Why This Topic Matters</w:t>
      </w:r>
    </w:p>
    <w:p>
      <w:pPr>
        <w:pStyle w:val="FirstParagraph"/>
      </w:pPr>
      <w:r>
        <w:t xml:space="preserve">After 1945 the U.S. chose to build permanent international institutions rather than repeat the limited post-1919 approach (Topic 8) — but real tension persists between multilateral rules and U.S. willingness to act independently, and a strong answer distinguishes institutions the U.S. helped create from cases where it acted outside or alongside them.</w:t>
      </w:r>
    </w:p>
    <w:bookmarkEnd w:id="89"/>
    <w:bookmarkStart w:id="90" w:name="institutions-the-u.s.-helped-build"/>
    <w:p>
      <w:pPr>
        <w:pStyle w:val="Heading2"/>
      </w:pPr>
      <w:r>
        <w:t xml:space="preserve">Institutions the U.S. Helped Build</w:t>
      </w:r>
    </w:p>
    <w:p>
      <w:pPr>
        <w:pStyle w:val="FirstParagraph"/>
      </w:pPr>
      <w:r>
        <w:t xml:space="preserve">The United States helped design the</w:t>
      </w:r>
      <w:r>
        <w:t xml:space="preserve"> </w:t>
      </w:r>
      <w:r>
        <w:rPr>
          <w:bCs/>
          <w:b/>
        </w:rPr>
        <w:t xml:space="preserve">UN</w:t>
      </w:r>
      <w:r>
        <w:t xml:space="preserve"> </w:t>
      </w:r>
      <w:r>
        <w:t xml:space="preserve">and became a permanent Security Council member with veto power, gaining major formal influence while still needing to bargain with other permanent members. The</w:t>
      </w:r>
      <w:r>
        <w:t xml:space="preserve"> </w:t>
      </w:r>
      <w:r>
        <w:rPr>
          <w:bCs/>
          <w:b/>
        </w:rPr>
        <w:t xml:space="preserve">IMF and World Bank</w:t>
      </w:r>
      <w:r>
        <w:t xml:space="preserve"> </w:t>
      </w:r>
      <w:r>
        <w:t xml:space="preserve">(Bretton Woods institutions) were created to promote monetary stability, reconstruction and development, with U.S. financial weight giving Washington significant influence within both.</w:t>
      </w:r>
      <w:r>
        <w:t xml:space="preserve"> </w:t>
      </w:r>
      <w:r>
        <w:rPr>
          <w:bCs/>
          <w:b/>
        </w:rPr>
        <w:t xml:space="preserve">GATT</w:t>
      </w:r>
      <w:r>
        <w:t xml:space="preserve"> </w:t>
      </w:r>
      <w:r>
        <w:t xml:space="preserve">reduced trade barriers from 1948, evolving into the</w:t>
      </w:r>
      <w:r>
        <w:t xml:space="preserve"> </w:t>
      </w:r>
      <w:r>
        <w:rPr>
          <w:bCs/>
          <w:b/>
        </w:rPr>
        <w:t xml:space="preserve">WTO in 1995</w:t>
      </w:r>
      <w:r>
        <w:t xml:space="preserve">; as a founding NATO member, the U.S. provided much of the alliance’s military capacity and nuclear deterrent, institutionalising a permanent American security commitment to Europe.</w:t>
      </w:r>
    </w:p>
    <w:bookmarkEnd w:id="90"/>
    <w:bookmarkStart w:id="91" w:name="multilateral-action-and-its-limits"/>
    <w:p>
      <w:pPr>
        <w:pStyle w:val="Heading2"/>
      </w:pPr>
      <w:r>
        <w:t xml:space="preserve">Multilateral Action and Its Limits</w:t>
      </w:r>
    </w:p>
    <w:p>
      <w:pPr>
        <w:pStyle w:val="FirstParagraph"/>
      </w:pPr>
      <w:r>
        <w:t xml:space="preserve">U.S. policy has included Security Council diplomacy, sanctions, peacekeeping support and military action under varying legal arrangements — the Korean War and Gulf War are major examples of genuinely multilateral security action. At the same time, U.S. governments have sometimes acted without broad international support (the 2003 Iraq War is the key case), generating controversy over sovereignty and international law. The United States is powerful but cannot simply</w:t>
      </w:r>
      <w:r>
        <w:t xml:space="preserve"> </w:t>
      </w:r>
      <w:r>
        <w:t xml:space="preserve">“</w:t>
      </w:r>
      <w:r>
        <w:t xml:space="preserve">control</w:t>
      </w:r>
      <w:r>
        <w:t xml:space="preserve">”</w:t>
      </w:r>
      <w:r>
        <w:t xml:space="preserve"> </w:t>
      </w:r>
      <w:r>
        <w:t xml:space="preserve">international organisations; rules, other member states, vetoes, voting blocs and domestic politics all constrain outcomes.</w:t>
      </w:r>
    </w:p>
    <w:bookmarkEnd w:id="91"/>
    <w:bookmarkStart w:id="92" w:name="key-terms-and-concepts-9"/>
    <w:p>
      <w:pPr>
        <w:pStyle w:val="Heading2"/>
      </w:pPr>
      <w:r>
        <w:t xml:space="preserve">Key Terms and Concepts</w:t>
      </w:r>
    </w:p>
    <w:p>
      <w:pPr>
        <w:numPr>
          <w:ilvl w:val="0"/>
          <w:numId w:val="1048"/>
        </w:numPr>
        <w:pStyle w:val="Compact"/>
      </w:pPr>
      <w:r>
        <w:rPr>
          <w:bCs/>
          <w:b/>
        </w:rPr>
        <w:t xml:space="preserve">Bretton Woods institutions:</w:t>
      </w:r>
      <w:r>
        <w:t xml:space="preserve"> </w:t>
      </w:r>
      <w:r>
        <w:t xml:space="preserve">The IMF and World Bank, created during WWII to promote monetary stability and reconstruction, with strong ongoing U.S. influence.</w:t>
      </w:r>
    </w:p>
    <w:bookmarkEnd w:id="92"/>
    <w:bookmarkStart w:id="93" w:name="preparation-toolkit-9"/>
    <w:p>
      <w:pPr>
        <w:pStyle w:val="Heading2"/>
      </w:pPr>
      <w:r>
        <w:t xml:space="preserve">Preparation Toolkit</w:t>
      </w:r>
    </w:p>
    <w:p>
      <w:pPr>
        <w:pStyle w:val="FirstParagraph"/>
      </w:pPr>
      <w:r>
        <w:rPr>
          <w:bCs/>
          <w:b/>
        </w:rPr>
        <w:t xml:space="preserve">Preparation Checklist</w:t>
      </w:r>
    </w:p>
    <w:p>
      <w:pPr>
        <w:numPr>
          <w:ilvl w:val="0"/>
          <w:numId w:val="1049"/>
        </w:numPr>
        <w:pStyle w:val="Compact"/>
      </w:pPr>
      <w:r>
        <w:t xml:space="preserve">Organise institutions by function: collective security, economic/financial, trade, and military alliances; for each, note why the U.S. supported it, what power it exercises, and where tension with multilateral rules arose.</w:t>
      </w:r>
    </w:p>
    <w:p>
      <w:pPr>
        <w:pStyle w:val="FirstParagraph"/>
      </w:pPr>
      <w:r>
        <w:rPr>
          <w:bCs/>
          <w:b/>
        </w:rPr>
        <w:t xml:space="preserve">Common Confusions to Avoid</w:t>
      </w:r>
    </w:p>
    <w:p>
      <w:pPr>
        <w:numPr>
          <w:ilvl w:val="0"/>
          <w:numId w:val="1050"/>
        </w:numPr>
        <w:pStyle w:val="Compact"/>
      </w:pPr>
      <w:r>
        <w:t xml:space="preserve">Do not write that the United States owns or controls the UN.</w:t>
      </w:r>
    </w:p>
    <w:p>
      <w:pPr>
        <w:numPr>
          <w:ilvl w:val="0"/>
          <w:numId w:val="1050"/>
        </w:numPr>
        <w:pStyle w:val="Compact"/>
      </w:pPr>
      <w:r>
        <w:t xml:space="preserve">Do not confuse the UN with NATO or the IMF; they have different purposes and decision systems.</w:t>
      </w:r>
    </w:p>
    <w:p>
      <w:pPr>
        <w:numPr>
          <w:ilvl w:val="0"/>
          <w:numId w:val="1050"/>
        </w:numPr>
        <w:pStyle w:val="Compact"/>
      </w:pPr>
      <w:r>
        <w:t xml:space="preserve">Do not judge U.S. multilateralism only by membership; compare support for institutions with cases of unilateral action.</w:t>
      </w:r>
    </w:p>
    <w:p>
      <w:pPr>
        <w:pStyle w:val="FirstParagraph"/>
      </w:pPr>
      <w:r>
        <w:rPr>
          <w:bCs/>
          <w:b/>
        </w:rPr>
        <w:t xml:space="preserve">Easy Revision Points</w:t>
      </w:r>
    </w:p>
    <w:p>
      <w:pPr>
        <w:numPr>
          <w:ilvl w:val="0"/>
          <w:numId w:val="1051"/>
        </w:numPr>
        <w:pStyle w:val="Compact"/>
      </w:pPr>
      <w:r>
        <w:t xml:space="preserve">The U.S. is a permanent UN Security Council member with veto power.</w:t>
      </w:r>
    </w:p>
    <w:p>
      <w:pPr>
        <w:numPr>
          <w:ilvl w:val="0"/>
          <w:numId w:val="1051"/>
        </w:numPr>
        <w:pStyle w:val="Compact"/>
      </w:pPr>
      <w:r>
        <w:t xml:space="preserve">The IMF and World Bank emerged from Bretton Woods with strong U.S. influence; GATT (1948) evolved into the WTO (1995).</w:t>
      </w:r>
    </w:p>
    <w:p>
      <w:pPr>
        <w:numPr>
          <w:ilvl w:val="0"/>
          <w:numId w:val="1051"/>
        </w:numPr>
        <w:pStyle w:val="Compact"/>
      </w:pPr>
      <w:r>
        <w:t xml:space="preserve">The U.S. was a founding NATO member (1949).</w:t>
      </w:r>
    </w:p>
    <w:bookmarkEnd w:id="93"/>
    <w:bookmarkStart w:id="94" w:name="key-takeaways-9"/>
    <w:p>
      <w:pPr>
        <w:pStyle w:val="Heading2"/>
      </w:pPr>
      <w:r>
        <w:t xml:space="preserve">Key Takeaways</w:t>
      </w:r>
    </w:p>
    <w:p>
      <w:pPr>
        <w:numPr>
          <w:ilvl w:val="0"/>
          <w:numId w:val="1052"/>
        </w:numPr>
        <w:pStyle w:val="Compact"/>
      </w:pPr>
      <w:r>
        <w:t xml:space="preserve">Distinguish institutions the U.S. helped build (UN, Bretton Woods, GATT/WTO, NATO) from cases of unilateral action (2003 Iraq) — both belong in a balanced answer.</w:t>
      </w:r>
    </w:p>
    <w:p>
      <w:pPr>
        <w:numPr>
          <w:ilvl w:val="0"/>
          <w:numId w:val="1052"/>
        </w:numPr>
        <w:pStyle w:val="Compact"/>
      </w:pPr>
      <w:r>
        <w:t xml:space="preserve">U.S. influence within international organisations is real but bounded by rules, other states, and domestic politics — never</w:t>
      </w:r>
      <w:r>
        <w:t xml:space="preserve"> </w:t>
      </w:r>
      <w:r>
        <w:t xml:space="preserve">“</w:t>
      </w:r>
      <w:r>
        <w:t xml:space="preserve">control.</w:t>
      </w:r>
      <w:r>
        <w:t xml:space="preserve">”</w:t>
      </w:r>
    </w:p>
    <w:bookmarkEnd w:id="94"/>
    <w:bookmarkEnd w:id="95"/>
    <w:bookmarkStart w:id="102" w:name="X7e0ee430e84da34e353429533a07028a932b02c"/>
    <w:p>
      <w:pPr>
        <w:pStyle w:val="Heading1"/>
        <w:pageBreakBefore/>
      </w:pPr>
      <w:r>
        <w:t xml:space="preserve">11. The Cold War and the USA as Sole Superpower</w:t>
      </w:r>
    </w:p>
    <w:bookmarkStart w:id="96" w:name="why-this-topic-matters-10"/>
    <w:p>
      <w:pPr>
        <w:pStyle w:val="Heading2"/>
      </w:pPr>
      <w:r>
        <w:t xml:space="preserve">Why This Topic Matters</w:t>
      </w:r>
    </w:p>
    <w:p>
      <w:pPr>
        <w:pStyle w:val="FirstParagraph"/>
      </w:pPr>
      <w:r>
        <w:t xml:space="preserve">“</w:t>
      </w:r>
      <w:r>
        <w:t xml:space="preserve">Containment</w:t>
      </w:r>
      <w:r>
        <w:t xml:space="preserve">”</w:t>
      </w:r>
      <w:r>
        <w:t xml:space="preserve"> </w:t>
      </w:r>
      <w:r>
        <w:t xml:space="preserve">is an umbrella term covering changing strategies across four decades, not one fixed method — and</w:t>
      </w:r>
      <w:r>
        <w:t xml:space="preserve"> </w:t>
      </w:r>
      <w:r>
        <w:t xml:space="preserve">“</w:t>
      </w:r>
      <w:r>
        <w:t xml:space="preserve">sole superpower</w:t>
      </w:r>
      <w:r>
        <w:t xml:space="preserve">”</w:t>
      </w:r>
      <w:r>
        <w:t xml:space="preserve"> </w:t>
      </w:r>
      <w:r>
        <w:t xml:space="preserve">after 1991 did not mean unlimited power, as Somalia, terrorism, Iraq and Afghanistan later demonstrated.</w:t>
      </w:r>
    </w:p>
    <w:bookmarkEnd w:id="96"/>
    <w:bookmarkStart w:id="97" w:name="from-containment-to-détente"/>
    <w:p>
      <w:pPr>
        <w:pStyle w:val="Heading2"/>
      </w:pPr>
      <w:r>
        <w:t xml:space="preserve">From Containment to Détente</w:t>
      </w:r>
    </w:p>
    <w:p>
      <w:pPr>
        <w:pStyle w:val="FirstParagraph"/>
      </w:pPr>
      <w:r>
        <w:t xml:space="preserve">The Truman Doctrine, Marshall Plan and NATO formed the core of early containment (Topic 9). The</w:t>
      </w:r>
      <w:r>
        <w:t xml:space="preserve"> </w:t>
      </w:r>
      <w:r>
        <w:rPr>
          <w:bCs/>
          <w:b/>
        </w:rPr>
        <w:t xml:space="preserve">Korean War (1950–53)</w:t>
      </w:r>
      <w:r>
        <w:t xml:space="preserve">, fought under UN command after North Korea’s invasion, internationalised containment militarily in East Asia, ending near the original dividing line and showing containment could involve major conventional warfare without direct U.S.-Soviet war. The</w:t>
      </w:r>
      <w:r>
        <w:t xml:space="preserve"> </w:t>
      </w:r>
      <w:r>
        <w:rPr>
          <w:bCs/>
          <w:b/>
        </w:rPr>
        <w:t xml:space="preserve">Cuban Missile Crisis (October 1962)</w:t>
      </w:r>
      <w:r>
        <w:t xml:space="preserve"> </w:t>
      </w:r>
      <w:r>
        <w:t xml:space="preserve">demonstrated both the danger of nuclear escalation and the necessity of crisis communication.</w:t>
      </w:r>
      <w:r>
        <w:t xml:space="preserve"> </w:t>
      </w:r>
      <w:r>
        <w:rPr>
          <w:bCs/>
          <w:b/>
        </w:rPr>
        <w:t xml:space="preserve">Vietnam</w:t>
      </w:r>
      <w:r>
        <w:t xml:space="preserve"> </w:t>
      </w:r>
      <w:r>
        <w:t xml:space="preserve">revealed the limits of military superiority in a protracted, politically complex conflict, while</w:t>
      </w:r>
      <w:r>
        <w:t xml:space="preserve"> </w:t>
      </w:r>
      <w:r>
        <w:rPr>
          <w:bCs/>
          <w:b/>
        </w:rPr>
        <w:t xml:space="preserve">détente</w:t>
      </w:r>
      <w:r>
        <w:t xml:space="preserve"> </w:t>
      </w:r>
      <w:r>
        <w:t xml:space="preserve">under Nixon and successors pursued improved relations with the USSR and China alongside arms-control agreements, reducing tension without ending competition.</w:t>
      </w:r>
    </w:p>
    <w:bookmarkEnd w:id="97"/>
    <w:bookmarkStart w:id="98" w:name="reagan-gorbachev-and-the-unipolar-moment"/>
    <w:p>
      <w:pPr>
        <w:pStyle w:val="Heading2"/>
      </w:pPr>
      <w:r>
        <w:t xml:space="preserve">Reagan, Gorbachev, and the Unipolar Moment</w:t>
      </w:r>
    </w:p>
    <w:p>
      <w:pPr>
        <w:pStyle w:val="FirstParagraph"/>
      </w:pPr>
      <w:r>
        <w:t xml:space="preserve">The Reagan administration expanded defence spending and adopted a more confrontational tone before later negotiating directly with Gorbachev; Soviet economic weakness and Gorbachev’s reforms accelerated the Cold War’s end, culminating in the Soviet Union’s 1991 dissolution. After 1991, the United States possessed unmatched military reach, a dominant role in global finance and alliances, and significant cultural influence — yet Somalia, terrorism, Iraq and Afghanistan later demonstrated that this dominance did not guarantee political success.</w:t>
      </w:r>
    </w:p>
    <w:bookmarkEnd w:id="98"/>
    <w:bookmarkStart w:id="99" w:name="key-terms-and-concepts-10"/>
    <w:p>
      <w:pPr>
        <w:pStyle w:val="Heading2"/>
      </w:pPr>
      <w:r>
        <w:t xml:space="preserve">Key Terms and Concepts</w:t>
      </w:r>
    </w:p>
    <w:p>
      <w:pPr>
        <w:numPr>
          <w:ilvl w:val="0"/>
          <w:numId w:val="1053"/>
        </w:numPr>
        <w:pStyle w:val="Compact"/>
      </w:pPr>
      <w:r>
        <w:rPr>
          <w:bCs/>
          <w:b/>
        </w:rPr>
        <w:t xml:space="preserve">Détente:</w:t>
      </w:r>
      <w:r>
        <w:t xml:space="preserve"> </w:t>
      </w:r>
      <w:r>
        <w:t xml:space="preserve">The 1970s policy of improved U.S.-Soviet and U.S.-China relations and arms control, reducing tension without ending underlying competition.</w:t>
      </w:r>
    </w:p>
    <w:p>
      <w:pPr>
        <w:numPr>
          <w:ilvl w:val="0"/>
          <w:numId w:val="1053"/>
        </w:numPr>
        <w:pStyle w:val="Compact"/>
      </w:pPr>
      <w:r>
        <w:rPr>
          <w:bCs/>
          <w:b/>
        </w:rPr>
        <w:t xml:space="preserve">Unipolar moment:</w:t>
      </w:r>
      <w:r>
        <w:t xml:space="preserve"> </w:t>
      </w:r>
      <w:r>
        <w:t xml:space="preserve">The post-1991 period of unmatched U.S. global military and economic reach, whose limits later became apparent.</w:t>
      </w:r>
    </w:p>
    <w:bookmarkEnd w:id="99"/>
    <w:bookmarkStart w:id="100" w:name="preparation-toolkit-10"/>
    <w:p>
      <w:pPr>
        <w:pStyle w:val="Heading2"/>
      </w:pPr>
      <w:r>
        <w:t xml:space="preserve">Preparation Toolkit</w:t>
      </w:r>
    </w:p>
    <w:p>
      <w:pPr>
        <w:pStyle w:val="FirstParagraph"/>
      </w:pPr>
      <w:r>
        <w:rPr>
          <w:bCs/>
          <w:b/>
        </w:rPr>
        <w:t xml:space="preserve">Preparation Checklist</w:t>
      </w:r>
    </w:p>
    <w:p>
      <w:pPr>
        <w:numPr>
          <w:ilvl w:val="0"/>
          <w:numId w:val="1054"/>
        </w:numPr>
        <w:pStyle w:val="Compact"/>
      </w:pPr>
      <w:r>
        <w:t xml:space="preserve">Build a Cold War phase chart: containment (1947–53), nuclear confrontation, Vietnam/détente, renewed tension, ending (1985–91); for</w:t>
      </w:r>
      <w:r>
        <w:t xml:space="preserve"> </w:t>
      </w:r>
      <w:r>
        <w:t xml:space="preserve">“</w:t>
      </w:r>
      <w:r>
        <w:t xml:space="preserve">sole superpower,</w:t>
      </w:r>
      <w:r>
        <w:t xml:space="preserve">”</w:t>
      </w:r>
      <w:r>
        <w:t xml:space="preserve"> </w:t>
      </w:r>
      <w:r>
        <w:t xml:space="preserve">evaluate advantages and limits together.</w:t>
      </w:r>
    </w:p>
    <w:p>
      <w:pPr>
        <w:pStyle w:val="FirstParagraph"/>
      </w:pPr>
      <w:r>
        <w:rPr>
          <w:bCs/>
          <w:b/>
        </w:rPr>
        <w:t xml:space="preserve">Common Confusions to Avoid</w:t>
      </w:r>
    </w:p>
    <w:p>
      <w:pPr>
        <w:numPr>
          <w:ilvl w:val="0"/>
          <w:numId w:val="1055"/>
        </w:numPr>
        <w:pStyle w:val="Compact"/>
      </w:pPr>
      <w:r>
        <w:t xml:space="preserve">Do not describe containment as one fixed policy used identically for forty years.</w:t>
      </w:r>
    </w:p>
    <w:p>
      <w:pPr>
        <w:numPr>
          <w:ilvl w:val="0"/>
          <w:numId w:val="1055"/>
        </w:numPr>
        <w:pStyle w:val="Compact"/>
      </w:pPr>
      <w:r>
        <w:t xml:space="preserve">Do not say the United States</w:t>
      </w:r>
      <w:r>
        <w:t xml:space="preserve"> </w:t>
      </w:r>
      <w:r>
        <w:t xml:space="preserve">“</w:t>
      </w:r>
      <w:r>
        <w:t xml:space="preserve">won</w:t>
      </w:r>
      <w:r>
        <w:t xml:space="preserve">”</w:t>
      </w:r>
      <w:r>
        <w:t xml:space="preserve"> </w:t>
      </w:r>
      <w:r>
        <w:t xml:space="preserve">the Cold War through one president or one policy alone.</w:t>
      </w:r>
    </w:p>
    <w:p>
      <w:pPr>
        <w:numPr>
          <w:ilvl w:val="0"/>
          <w:numId w:val="1055"/>
        </w:numPr>
        <w:pStyle w:val="Compact"/>
      </w:pPr>
      <w:r>
        <w:t xml:space="preserve">Do not equate sole superpower with unlimited power.</w:t>
      </w:r>
    </w:p>
    <w:p>
      <w:pPr>
        <w:pStyle w:val="FirstParagraph"/>
      </w:pPr>
      <w:r>
        <w:rPr>
          <w:bCs/>
          <w:b/>
        </w:rPr>
        <w:t xml:space="preserve">Easy Revision Points</w:t>
      </w:r>
    </w:p>
    <w:p>
      <w:pPr>
        <w:numPr>
          <w:ilvl w:val="0"/>
          <w:numId w:val="1056"/>
        </w:numPr>
        <w:pStyle w:val="Compact"/>
      </w:pPr>
      <w:r>
        <w:t xml:space="preserve">The Korean War (1950–53) internationalised containment in East Asia.</w:t>
      </w:r>
    </w:p>
    <w:p>
      <w:pPr>
        <w:numPr>
          <w:ilvl w:val="0"/>
          <w:numId w:val="1056"/>
        </w:numPr>
        <w:pStyle w:val="Compact"/>
      </w:pPr>
      <w:r>
        <w:t xml:space="preserve">The Cuban Missile Crisis (October 1962) brought the superpowers close to nuclear war.</w:t>
      </w:r>
    </w:p>
    <w:p>
      <w:pPr>
        <w:numPr>
          <w:ilvl w:val="0"/>
          <w:numId w:val="1056"/>
        </w:numPr>
        <w:pStyle w:val="Compact"/>
      </w:pPr>
      <w:r>
        <w:t xml:space="preserve">The Soviet Union dissolved in 1991, leaving the U.S. with unmatched but not unlimited global reach.</w:t>
      </w:r>
    </w:p>
    <w:bookmarkEnd w:id="100"/>
    <w:bookmarkStart w:id="101" w:name="key-takeaways-10"/>
    <w:p>
      <w:pPr>
        <w:pStyle w:val="Heading2"/>
      </w:pPr>
      <w:r>
        <w:t xml:space="preserve">Key Takeaways</w:t>
      </w:r>
    </w:p>
    <w:p>
      <w:pPr>
        <w:numPr>
          <w:ilvl w:val="0"/>
          <w:numId w:val="1057"/>
        </w:numPr>
        <w:pStyle w:val="Compact"/>
      </w:pPr>
      <w:r>
        <w:t xml:space="preserve">Present containment as an umbrella covering genuinely different strategies across four decades, never a single unchanging method.</w:t>
      </w:r>
    </w:p>
    <w:p>
      <w:pPr>
        <w:numPr>
          <w:ilvl w:val="0"/>
          <w:numId w:val="1057"/>
        </w:numPr>
        <w:pStyle w:val="Compact"/>
      </w:pPr>
      <w:r>
        <w:t xml:space="preserve">“</w:t>
      </w:r>
      <w:r>
        <w:t xml:space="preserve">Sole superpower</w:t>
      </w:r>
      <w:r>
        <w:t xml:space="preserve">”</w:t>
      </w:r>
      <w:r>
        <w:t xml:space="preserve"> </w:t>
      </w:r>
      <w:r>
        <w:t xml:space="preserve">status after 1991 came with real limits, later exposed in Somalia, Iraq and Afghanistan — a nuance essential to a balanced answer.</w:t>
      </w:r>
    </w:p>
    <w:bookmarkEnd w:id="101"/>
    <w:bookmarkEnd w:id="102"/>
    <w:bookmarkStart w:id="108" w:name="X3adbac4b0025e73cf55d1ae9f2cd348427849c5"/>
    <w:p>
      <w:pPr>
        <w:pStyle w:val="Heading1"/>
        <w:pageBreakBefore/>
      </w:pPr>
      <w:r>
        <w:t xml:space="preserve">12. International Concerns of the United States</w:t>
      </w:r>
    </w:p>
    <w:bookmarkStart w:id="103" w:name="why-this-topic-matters-11"/>
    <w:p>
      <w:pPr>
        <w:pStyle w:val="Heading2"/>
      </w:pPr>
      <w:r>
        <w:t xml:space="preserve">Why This Topic Matters</w:t>
      </w:r>
    </w:p>
    <w:p>
      <w:pPr>
        <w:pStyle w:val="FirstParagraph"/>
      </w:pPr>
      <w:r>
        <w:t xml:space="preserve">This is a framework topic, not a single historical episode — use categories and case studies rather than attempting to memorise every international issue the U.S. has ever faced, and never substitute present-day priorities for earlier historical periods.</w:t>
      </w:r>
    </w:p>
    <w:bookmarkEnd w:id="103"/>
    <w:bookmarkStart w:id="104" w:name="recurring-categories-of-concern"/>
    <w:p>
      <w:pPr>
        <w:pStyle w:val="Heading2"/>
      </w:pPr>
      <w:r>
        <w:t xml:space="preserve">Recurring Categories of Concern</w:t>
      </w:r>
    </w:p>
    <w:p>
      <w:pPr>
        <w:pStyle w:val="FirstParagraph"/>
      </w:pPr>
      <w:r>
        <w:rPr>
          <w:bCs/>
          <w:b/>
        </w:rPr>
        <w:t xml:space="preserve">Great-power competition</w:t>
      </w:r>
      <w:r>
        <w:t xml:space="preserve"> </w:t>
      </w:r>
      <w:r>
        <w:t xml:space="preserve">(with Russia, China and others) shapes military planning and technology policy, with the identity of the principal rival changing over time.</w:t>
      </w:r>
      <w:r>
        <w:t xml:space="preserve"> </w:t>
      </w:r>
      <w:r>
        <w:rPr>
          <w:bCs/>
          <w:b/>
        </w:rPr>
        <w:t xml:space="preserve">Nuclear proliferation</w:t>
      </w:r>
      <w:r>
        <w:t xml:space="preserve"> </w:t>
      </w:r>
      <w:r>
        <w:t xml:space="preserve">concerns (Iran, North Korea especially in the post-Cold War era) sit alongside the U.S.’s own deterrent and alliance commitments.</w:t>
      </w:r>
      <w:r>
        <w:t xml:space="preserve"> </w:t>
      </w:r>
      <w:r>
        <w:rPr>
          <w:bCs/>
          <w:b/>
        </w:rPr>
        <w:t xml:space="preserve">Middle East security</w:t>
      </w:r>
      <w:r>
        <w:t xml:space="preserve"> </w:t>
      </w:r>
      <w:r>
        <w:t xml:space="preserve">combines support for Israel, relations with Arab partners, energy interests, counterterrorism and concern about Iran — goals that frequently produce tension with one another rather than a single coherent policy. After 9/11,</w:t>
      </w:r>
      <w:r>
        <w:t xml:space="preserve"> </w:t>
      </w:r>
      <w:r>
        <w:rPr>
          <w:bCs/>
          <w:b/>
        </w:rPr>
        <w:t xml:space="preserve">counterterrorism</w:t>
      </w:r>
      <w:r>
        <w:t xml:space="preserve"> </w:t>
      </w:r>
      <w:r>
        <w:t xml:space="preserve">became a central organising principle of foreign and security policy, expanding intelligence cooperation, military operations, homeland security and financial controls.</w:t>
      </w:r>
    </w:p>
    <w:bookmarkEnd w:id="104"/>
    <w:bookmarkStart w:id="105" w:name="Xdcc285c8fec464732bf07d59b9ed50c1c16bc4c"/>
    <w:p>
      <w:pPr>
        <w:pStyle w:val="Heading2"/>
      </w:pPr>
      <w:r>
        <w:t xml:space="preserve">Economic, Rights, and Transnational Concerns</w:t>
      </w:r>
    </w:p>
    <w:p>
      <w:pPr>
        <w:pStyle w:val="FirstParagraph"/>
      </w:pPr>
      <w:r>
        <w:rPr>
          <w:bCs/>
          <w:b/>
        </w:rPr>
        <w:t xml:space="preserve">Trade policy</w:t>
      </w:r>
      <w:r>
        <w:t xml:space="preserve"> </w:t>
      </w:r>
      <w:r>
        <w:t xml:space="preserve">alternates between liberalisation and protectionist pressure depending on domestic and international conditions.</w:t>
      </w:r>
      <w:r>
        <w:t xml:space="preserve"> </w:t>
      </w:r>
      <w:r>
        <w:rPr>
          <w:bCs/>
          <w:b/>
        </w:rPr>
        <w:t xml:space="preserve">Human rights and democracy</w:t>
      </w:r>
      <w:r>
        <w:t xml:space="preserve"> </w:t>
      </w:r>
      <w:r>
        <w:t xml:space="preserve">rhetoric frequently competes with strategic partnerships with authoritarian governments, generating recurring accusations of inconsistency.</w:t>
      </w:r>
      <w:r>
        <w:t xml:space="preserve"> </w:t>
      </w:r>
      <w:r>
        <w:rPr>
          <w:bCs/>
          <w:b/>
        </w:rPr>
        <w:t xml:space="preserve">Transnational issues</w:t>
      </w:r>
      <w:r>
        <w:t xml:space="preserve"> </w:t>
      </w:r>
      <w:r>
        <w:t xml:space="preserve">— climate change, cyber threats, migration, pandemics, organised crime — cannot be addressed through military power alone and require diplomacy, regulation and international cooperation instead.</w:t>
      </w:r>
    </w:p>
    <w:bookmarkEnd w:id="105"/>
    <w:bookmarkStart w:id="106" w:name="preparation-toolkit-11"/>
    <w:p>
      <w:pPr>
        <w:pStyle w:val="Heading2"/>
      </w:pPr>
      <w:r>
        <w:t xml:space="preserve">Preparation Toolkit</w:t>
      </w:r>
    </w:p>
    <w:p>
      <w:pPr>
        <w:pStyle w:val="FirstParagraph"/>
      </w:pPr>
      <w:r>
        <w:rPr>
          <w:bCs/>
          <w:b/>
        </w:rPr>
        <w:t xml:space="preserve">Preparation Checklist</w:t>
      </w:r>
    </w:p>
    <w:p>
      <w:pPr>
        <w:numPr>
          <w:ilvl w:val="0"/>
          <w:numId w:val="1058"/>
        </w:numPr>
        <w:pStyle w:val="Compact"/>
      </w:pPr>
      <w:r>
        <w:t xml:space="preserve">Prepare a framework, not a news list: security, economy, international order, and transnational problems; use historical case studies to show how national interest, domestic politics and alliances interact.</w:t>
      </w:r>
    </w:p>
    <w:p>
      <w:pPr>
        <w:pStyle w:val="FirstParagraph"/>
      </w:pPr>
      <w:r>
        <w:rPr>
          <w:bCs/>
          <w:b/>
        </w:rPr>
        <w:t xml:space="preserve">Common Confusions to Avoid</w:t>
      </w:r>
    </w:p>
    <w:p>
      <w:pPr>
        <w:numPr>
          <w:ilvl w:val="0"/>
          <w:numId w:val="1059"/>
        </w:numPr>
        <w:pStyle w:val="Compact"/>
      </w:pPr>
      <w:r>
        <w:t xml:space="preserve">Do not convert this topic into a random list of current news items.</w:t>
      </w:r>
    </w:p>
    <w:p>
      <w:pPr>
        <w:numPr>
          <w:ilvl w:val="0"/>
          <w:numId w:val="1059"/>
        </w:numPr>
        <w:pStyle w:val="Compact"/>
      </w:pPr>
      <w:r>
        <w:t xml:space="preserve">Do not assume U.S. values and U.S. strategic interests always point in the same direction.</w:t>
      </w:r>
    </w:p>
    <w:p>
      <w:pPr>
        <w:numPr>
          <w:ilvl w:val="0"/>
          <w:numId w:val="1059"/>
        </w:numPr>
        <w:pStyle w:val="Compact"/>
      </w:pPr>
      <w:r>
        <w:t xml:space="preserve">Do not use present-day priorities for every historical period; concerns change over time.</w:t>
      </w:r>
    </w:p>
    <w:p>
      <w:pPr>
        <w:pStyle w:val="FirstParagraph"/>
      </w:pPr>
      <w:r>
        <w:rPr>
          <w:bCs/>
          <w:b/>
        </w:rPr>
        <w:t xml:space="preserve">Easy Revision Points</w:t>
      </w:r>
    </w:p>
    <w:p>
      <w:pPr>
        <w:numPr>
          <w:ilvl w:val="0"/>
          <w:numId w:val="1060"/>
        </w:numPr>
        <w:pStyle w:val="Compact"/>
      </w:pPr>
      <w:r>
        <w:t xml:space="preserve">U.S. foreign policy has long combined security, economic and ideological interests.</w:t>
      </w:r>
    </w:p>
    <w:p>
      <w:pPr>
        <w:numPr>
          <w:ilvl w:val="0"/>
          <w:numId w:val="1060"/>
        </w:numPr>
        <w:pStyle w:val="Compact"/>
      </w:pPr>
      <w:r>
        <w:t xml:space="preserve">Middle Eastern policy has involved energy, Israel, Arab partners, Iran and counterterrorism in changing combinations.</w:t>
      </w:r>
    </w:p>
    <w:p>
      <w:pPr>
        <w:numPr>
          <w:ilvl w:val="0"/>
          <w:numId w:val="1060"/>
        </w:numPr>
        <w:pStyle w:val="Compact"/>
      </w:pPr>
      <w:r>
        <w:t xml:space="preserve">Climate, cyber threats and global health illustrate problems military power alone cannot manage.</w:t>
      </w:r>
    </w:p>
    <w:bookmarkEnd w:id="106"/>
    <w:bookmarkStart w:id="107" w:name="key-takeaways-11"/>
    <w:p>
      <w:pPr>
        <w:pStyle w:val="Heading2"/>
      </w:pPr>
      <w:r>
        <w:t xml:space="preserve">Key Takeaways</w:t>
      </w:r>
    </w:p>
    <w:p>
      <w:pPr>
        <w:numPr>
          <w:ilvl w:val="0"/>
          <w:numId w:val="1061"/>
        </w:numPr>
        <w:pStyle w:val="Compact"/>
      </w:pPr>
      <w:r>
        <w:t xml:space="preserve">Use the category framework (security, economy, international order, transnational problems) rather than attempting to list every issue chronologically.</w:t>
      </w:r>
    </w:p>
    <w:p>
      <w:pPr>
        <w:numPr>
          <w:ilvl w:val="0"/>
          <w:numId w:val="1061"/>
        </w:numPr>
        <w:pStyle w:val="Compact"/>
      </w:pPr>
      <w:r>
        <w:t xml:space="preserve">U.S. values and U.S. strategic interests do not always align — a tension worth naming explicitly rather than assuming automatic consistency.</w:t>
      </w:r>
    </w:p>
    <w:bookmarkEnd w:id="107"/>
    <w:bookmarkEnd w:id="108"/>
    <w:bookmarkStart w:id="115" w:name="X1eb518d29cc653468d25c26644e2d4e70e1c426"/>
    <w:p>
      <w:pPr>
        <w:pStyle w:val="Heading1"/>
        <w:pageBreakBefore/>
      </w:pPr>
      <w:r>
        <w:t xml:space="preserve">13. War on Terror and Pakistan-USA Relations (2001–2012)</w:t>
      </w:r>
    </w:p>
    <w:bookmarkStart w:id="109" w:name="why-this-topic-matters-12"/>
    <w:p>
      <w:pPr>
        <w:pStyle w:val="Heading2"/>
      </w:pPr>
      <w:r>
        <w:t xml:space="preserve">Why This Topic Matters</w:t>
      </w:r>
    </w:p>
    <w:p>
      <w:pPr>
        <w:pStyle w:val="FirstParagraph"/>
      </w:pPr>
      <w:r>
        <w:t xml:space="preserve">Pakistan and the United States became close security partners after 9/11 but never had identical goals — this relationship should be described as strategic cooperation combined with persistent security divergence, never simply</w:t>
      </w:r>
      <w:r>
        <w:t xml:space="preserve"> </w:t>
      </w:r>
      <w:r>
        <w:t xml:space="preserve">“</w:t>
      </w:r>
      <w:r>
        <w:t xml:space="preserve">alliance</w:t>
      </w:r>
      <w:r>
        <w:t xml:space="preserve">”</w:t>
      </w:r>
      <w:r>
        <w:t xml:space="preserve"> </w:t>
      </w:r>
      <w:r>
        <w:t xml:space="preserve">or</w:t>
      </w:r>
      <w:r>
        <w:t xml:space="preserve"> </w:t>
      </w:r>
      <w:r>
        <w:t xml:space="preserve">“</w:t>
      </w:r>
      <w:r>
        <w:t xml:space="preserve">enmity.</w:t>
      </w:r>
      <w:r>
        <w:t xml:space="preserve">”</w:t>
      </w:r>
      <w:r>
        <w:t xml:space="preserve"> </w:t>
      </w:r>
      <w:r>
        <w:t xml:space="preserve">(See also History of Pakistan &amp; India Topic 10 for Pakistan’s own foreign-policy perspective on this period.)</w:t>
      </w:r>
    </w:p>
    <w:bookmarkEnd w:id="109"/>
    <w:bookmarkStart w:id="110" w:name="cooperation-and-its-domestic-cost"/>
    <w:p>
      <w:pPr>
        <w:pStyle w:val="Heading2"/>
      </w:pPr>
      <w:r>
        <w:t xml:space="preserve">Cooperation and Its Domestic Cost</w:t>
      </w:r>
    </w:p>
    <w:p>
      <w:pPr>
        <w:pStyle w:val="FirstParagraph"/>
      </w:pPr>
      <w:r>
        <w:t xml:space="preserve">The U.S. invaded Afghanistan after 9/11 to destroy al-Qaeda and remove the Taliban government sheltering it, making Pakistan’s territory, airspace and intelligence cooperation highly important. Under</w:t>
      </w:r>
      <w:r>
        <w:t xml:space="preserve"> </w:t>
      </w:r>
      <w:r>
        <w:rPr>
          <w:bCs/>
          <w:b/>
        </w:rPr>
        <w:t xml:space="preserve">Musharraf</w:t>
      </w:r>
      <w:r>
        <w:t xml:space="preserve">, Pakistan supported U.S. logistics, intelligence and counterterrorism efforts while receiving substantial assistance and, from 2004, major non-NATO ally status — but Pakistan itself faced growing militant violence, military operations in tribal areas, and political backlash over cooperation, meaning the relationship carried major internal costs, not only diplomatic ones.</w:t>
      </w:r>
    </w:p>
    <w:bookmarkEnd w:id="110"/>
    <w:bookmarkStart w:id="111" w:name="Xcfd30d990b83b08f16849e933f027bf4131137a"/>
    <w:p>
      <w:pPr>
        <w:pStyle w:val="Heading2"/>
      </w:pPr>
      <w:r>
        <w:t xml:space="preserve">Divergence, Drones, and the 2011 Trust Crisis</w:t>
      </w:r>
    </w:p>
    <w:p>
      <w:pPr>
        <w:pStyle w:val="FirstParagraph"/>
      </w:pPr>
      <w:r>
        <w:t xml:space="preserve">U.S.</w:t>
      </w:r>
      <w:r>
        <w:t xml:space="preserve"> </w:t>
      </w:r>
      <w:r>
        <w:rPr>
          <w:bCs/>
          <w:b/>
        </w:rPr>
        <w:t xml:space="preserve">drone strikes</w:t>
      </w:r>
      <w:r>
        <w:t xml:space="preserve"> </w:t>
      </w:r>
      <w:r>
        <w:t xml:space="preserve">in Pakistan’s tribal regions generated intense controversy over sovereignty, civilian casualties and transparency, becoming a major source of anti-American sentiment. U.S. officials accused Pakistan-based networks of supporting Afghan Taliban factions, while Pakistani policymakers emphasised India’s regional role and their own security interests — producing what both sides often experienced as selective cooperation. The</w:t>
      </w:r>
      <w:r>
        <w:t xml:space="preserve"> </w:t>
      </w:r>
      <w:r>
        <w:rPr>
          <w:bCs/>
          <w:b/>
        </w:rPr>
        <w:t xml:space="preserve">Raymond Davis episode</w:t>
      </w:r>
      <w:r>
        <w:t xml:space="preserve">, the U.S. raid killing Osama bin Laden in</w:t>
      </w:r>
      <w:r>
        <w:t xml:space="preserve"> </w:t>
      </w:r>
      <w:r>
        <w:rPr>
          <w:bCs/>
          <w:b/>
        </w:rPr>
        <w:t xml:space="preserve">Abbottabad (2 May 2011)</w:t>
      </w:r>
      <w:r>
        <w:t xml:space="preserve">, and the</w:t>
      </w:r>
      <w:r>
        <w:t xml:space="preserve"> </w:t>
      </w:r>
      <w:r>
        <w:rPr>
          <w:bCs/>
          <w:b/>
        </w:rPr>
        <w:t xml:space="preserve">Salala incident (November 2011)</w:t>
      </w:r>
      <w:r>
        <w:t xml:space="preserve"> </w:t>
      </w:r>
      <w:r>
        <w:t xml:space="preserve">severely damaged bilateral trust; Pakistan closed NATO ground supply routes after Salala and reopened them in</w:t>
      </w:r>
      <w:r>
        <w:t xml:space="preserve"> </w:t>
      </w:r>
      <w:r>
        <w:rPr>
          <w:bCs/>
          <w:b/>
        </w:rPr>
        <w:t xml:space="preserve">July 2012</w:t>
      </w:r>
      <w:r>
        <w:t xml:space="preserve"> </w:t>
      </w:r>
      <w:r>
        <w:t xml:space="preserve">after negotiations and a U.S. expression of regret.</w:t>
      </w:r>
    </w:p>
    <w:bookmarkEnd w:id="111"/>
    <w:bookmarkStart w:id="112" w:name="key-terms-and-concepts-11"/>
    <w:p>
      <w:pPr>
        <w:pStyle w:val="Heading2"/>
      </w:pPr>
      <w:r>
        <w:t xml:space="preserve">Key Terms and Concepts</w:t>
      </w:r>
    </w:p>
    <w:p>
      <w:pPr>
        <w:numPr>
          <w:ilvl w:val="0"/>
          <w:numId w:val="1062"/>
        </w:numPr>
        <w:pStyle w:val="Compact"/>
      </w:pPr>
      <w:r>
        <w:rPr>
          <w:bCs/>
          <w:b/>
        </w:rPr>
        <w:t xml:space="preserve">Major non-NATO ally status (2004):</w:t>
      </w:r>
      <w:r>
        <w:t xml:space="preserve"> </w:t>
      </w:r>
      <w:r>
        <w:t xml:space="preserve">The formal designation marking close U.S.-Pakistan security cooperation during this period.</w:t>
      </w:r>
    </w:p>
    <w:p>
      <w:pPr>
        <w:numPr>
          <w:ilvl w:val="0"/>
          <w:numId w:val="1062"/>
        </w:numPr>
        <w:pStyle w:val="Compact"/>
      </w:pPr>
      <w:r>
        <w:rPr>
          <w:bCs/>
          <w:b/>
        </w:rPr>
        <w:t xml:space="preserve">Abbottabad operation (2011):</w:t>
      </w:r>
      <w:r>
        <w:t xml:space="preserve"> </w:t>
      </w:r>
      <w:r>
        <w:t xml:space="preserve">The unilateral U.S. raid killing Osama bin Laden without prior public Pakistani authorisation, provoking a severe trust crisis.</w:t>
      </w:r>
    </w:p>
    <w:bookmarkEnd w:id="112"/>
    <w:bookmarkStart w:id="113" w:name="preparation-toolkit-12"/>
    <w:p>
      <w:pPr>
        <w:pStyle w:val="Heading2"/>
      </w:pPr>
      <w:r>
        <w:t xml:space="preserve">Preparation Toolkit</w:t>
      </w:r>
    </w:p>
    <w:p>
      <w:pPr>
        <w:pStyle w:val="FirstParagraph"/>
      </w:pPr>
      <w:r>
        <w:rPr>
          <w:bCs/>
          <w:b/>
        </w:rPr>
        <w:t xml:space="preserve">Preparation Checklist</w:t>
      </w:r>
    </w:p>
    <w:p>
      <w:pPr>
        <w:numPr>
          <w:ilvl w:val="0"/>
          <w:numId w:val="1063"/>
        </w:numPr>
        <w:pStyle w:val="Compact"/>
      </w:pPr>
      <w:r>
        <w:t xml:space="preserve">Use a two-sided table: areas of cooperation and areas of conflict; explain the deeper structural problem — Washington prioritised counterterrorism/Afghanistan while Islamabad also focused on India, Afghan influence and domestic security.</w:t>
      </w:r>
    </w:p>
    <w:p>
      <w:pPr>
        <w:pStyle w:val="FirstParagraph"/>
      </w:pPr>
      <w:r>
        <w:rPr>
          <w:bCs/>
          <w:b/>
        </w:rPr>
        <w:t xml:space="preserve">Common Confusions to Avoid</w:t>
      </w:r>
    </w:p>
    <w:p>
      <w:pPr>
        <w:numPr>
          <w:ilvl w:val="0"/>
          <w:numId w:val="1064"/>
        </w:numPr>
        <w:pStyle w:val="Compact"/>
      </w:pPr>
      <w:r>
        <w:t xml:space="preserve">Do not call Pakistan and the United States simple allies with identical objectives.</w:t>
      </w:r>
    </w:p>
    <w:p>
      <w:pPr>
        <w:numPr>
          <w:ilvl w:val="0"/>
          <w:numId w:val="1064"/>
        </w:numPr>
        <w:pStyle w:val="Compact"/>
      </w:pPr>
      <w:r>
        <w:t xml:space="preserve">Do not describe the relationship only through aid figures; security interests and mutual mistrust matter more analytically.</w:t>
      </w:r>
    </w:p>
    <w:p>
      <w:pPr>
        <w:numPr>
          <w:ilvl w:val="0"/>
          <w:numId w:val="1064"/>
        </w:numPr>
        <w:pStyle w:val="Compact"/>
      </w:pPr>
      <w:r>
        <w:t xml:space="preserve">Do not extend the topic beyond 2012 unless the question asks for later relations.</w:t>
      </w:r>
    </w:p>
    <w:p>
      <w:pPr>
        <w:pStyle w:val="FirstParagraph"/>
      </w:pPr>
      <w:r>
        <w:rPr>
          <w:bCs/>
          <w:b/>
        </w:rPr>
        <w:t xml:space="preserve">Easy Revision Points</w:t>
      </w:r>
    </w:p>
    <w:p>
      <w:pPr>
        <w:numPr>
          <w:ilvl w:val="0"/>
          <w:numId w:val="1065"/>
        </w:numPr>
        <w:pStyle w:val="Compact"/>
      </w:pPr>
      <w:r>
        <w:t xml:space="preserve">Pakistan became a major non-NATO U.S. ally in 2004.</w:t>
      </w:r>
    </w:p>
    <w:p>
      <w:pPr>
        <w:numPr>
          <w:ilvl w:val="0"/>
          <w:numId w:val="1065"/>
        </w:numPr>
        <w:pStyle w:val="Compact"/>
      </w:pPr>
      <w:r>
        <w:t xml:space="preserve">U.S. forces killed Osama bin Laden in Abbottabad on 2 May 2011 without prior public Pakistani authorisation.</w:t>
      </w:r>
    </w:p>
    <w:p>
      <w:pPr>
        <w:numPr>
          <w:ilvl w:val="0"/>
          <w:numId w:val="1065"/>
        </w:numPr>
        <w:pStyle w:val="Compact"/>
      </w:pPr>
      <w:r>
        <w:t xml:space="preserve">Pakistan closed NATO supply routes after the November 2011 Salala incident and reopened them in July 2012.</w:t>
      </w:r>
    </w:p>
    <w:bookmarkEnd w:id="113"/>
    <w:bookmarkStart w:id="114" w:name="key-takeaways-12"/>
    <w:p>
      <w:pPr>
        <w:pStyle w:val="Heading2"/>
      </w:pPr>
      <w:r>
        <w:t xml:space="preserve">Key Takeaways</w:t>
      </w:r>
    </w:p>
    <w:p>
      <w:pPr>
        <w:numPr>
          <w:ilvl w:val="0"/>
          <w:numId w:val="1066"/>
        </w:numPr>
        <w:pStyle w:val="Compact"/>
      </w:pPr>
      <w:r>
        <w:t xml:space="preserve">Describe the relationship as strategic cooperation combined with persistent security divergence — never simply</w:t>
      </w:r>
      <w:r>
        <w:t xml:space="preserve"> </w:t>
      </w:r>
      <w:r>
        <w:t xml:space="preserve">“</w:t>
      </w:r>
      <w:r>
        <w:t xml:space="preserve">alliance</w:t>
      </w:r>
      <w:r>
        <w:t xml:space="preserve">”</w:t>
      </w:r>
      <w:r>
        <w:t xml:space="preserve"> </w:t>
      </w:r>
      <w:r>
        <w:t xml:space="preserve">or</w:t>
      </w:r>
      <w:r>
        <w:t xml:space="preserve"> </w:t>
      </w:r>
      <w:r>
        <w:t xml:space="preserve">“</w:t>
      </w:r>
      <w:r>
        <w:t xml:space="preserve">enmity.</w:t>
      </w:r>
      <w:r>
        <w:t xml:space="preserve">”</w:t>
      </w:r>
    </w:p>
    <w:p>
      <w:pPr>
        <w:numPr>
          <w:ilvl w:val="0"/>
          <w:numId w:val="1066"/>
        </w:numPr>
        <w:pStyle w:val="Compact"/>
      </w:pPr>
      <w:r>
        <w:t xml:space="preserve">The 2011 trust crisis (Davis, Abbottabad, Salala) marks the clearest turning point toward open mutual distrust within the syllabus period.</w:t>
      </w:r>
    </w:p>
    <w:bookmarkEnd w:id="114"/>
    <w:bookmarkEnd w:id="115"/>
    <w:bookmarkStart w:id="121" w:name="global-perceptions-of-the-united-states"/>
    <w:p>
      <w:pPr>
        <w:pStyle w:val="Heading1"/>
        <w:pageBreakBefore/>
      </w:pPr>
      <w:r>
        <w:t xml:space="preserve">14. Global Perceptions of the United States</w:t>
      </w:r>
    </w:p>
    <w:bookmarkStart w:id="116" w:name="why-this-topic-matters-13"/>
    <w:p>
      <w:pPr>
        <w:pStyle w:val="Heading2"/>
      </w:pPr>
      <w:r>
        <w:t xml:space="preserve">Why This Topic Matters</w:t>
      </w:r>
    </w:p>
    <w:p>
      <w:pPr>
        <w:pStyle w:val="FirstParagraph"/>
      </w:pPr>
      <w:r>
        <w:t xml:space="preserve">No single global opinion of the U.S. exists — perceptions vary by country, period, issue and generation, and a strong answer uses survey evidence rather than sweeping personal impressions in either direction.</w:t>
      </w:r>
    </w:p>
    <w:bookmarkEnd w:id="116"/>
    <w:bookmarkStart w:id="117" w:name="sources-of-admiration-and-criticism"/>
    <w:p>
      <w:pPr>
        <w:pStyle w:val="Heading2"/>
      </w:pPr>
      <w:r>
        <w:t xml:space="preserve">Sources of Admiration and Criticism</w:t>
      </w:r>
    </w:p>
    <w:p>
      <w:pPr>
        <w:pStyle w:val="FirstParagraph"/>
      </w:pPr>
      <w:r>
        <w:t xml:space="preserve">American universities, scientific research, technology companies, films, music and civil society contribute to significant</w:t>
      </w:r>
      <w:r>
        <w:t xml:space="preserve"> </w:t>
      </w:r>
      <w:r>
        <w:rPr>
          <w:bCs/>
          <w:b/>
        </w:rPr>
        <w:t xml:space="preserve">soft power</w:t>
      </w:r>
      <w:r>
        <w:t xml:space="preserve">, with immigration reinforcing the idea of the U.S. as a place of opportunity. Constitutional government and peaceful elections have historically supported democratic-leadership claims, though perceptions weaken when foreign audiences see inconsistency between these ideals and actual policy. Military interventions (Vietnam, Iraq, Afghanistan) have shaped negative views in many societies, particularly where civilian casualties and long occupations damaged legitimacy even where initial goals received support; U.S. backing for particular allied governments can likewise create perceptions of double standards depending on local political experience.</w:t>
      </w:r>
    </w:p>
    <w:bookmarkEnd w:id="117"/>
    <w:bookmarkStart w:id="118" w:name="using-evidence-responsibly"/>
    <w:p>
      <w:pPr>
        <w:pStyle w:val="Heading2"/>
      </w:pPr>
      <w:r>
        <w:t xml:space="preserve">Using Evidence Responsibly</w:t>
      </w:r>
    </w:p>
    <w:p>
      <w:pPr>
        <w:pStyle w:val="FirstParagraph"/>
      </w:pPr>
      <w:r>
        <w:t xml:space="preserve">Favourability often rises or falls after elections, wars, or diplomatic crises, so a single survey from one year should never be presented as permanent</w:t>
      </w:r>
      <w:r>
        <w:t xml:space="preserve"> </w:t>
      </w:r>
      <w:r>
        <w:t xml:space="preserve">“</w:t>
      </w:r>
      <w:r>
        <w:t xml:space="preserve">global opinion.</w:t>
      </w:r>
      <w:r>
        <w:t xml:space="preserve">”</w:t>
      </w:r>
      <w:r>
        <w:t xml:space="preserve"> </w:t>
      </w:r>
      <w:r>
        <w:t xml:space="preserve">Soft power and coercive power can operate simultaneously, and U.S. influence is strongest when persuasion and policy credibility reinforce rather than conflict with each other.</w:t>
      </w:r>
    </w:p>
    <w:bookmarkEnd w:id="118"/>
    <w:bookmarkStart w:id="119" w:name="preparation-toolkit-13"/>
    <w:p>
      <w:pPr>
        <w:pStyle w:val="Heading2"/>
      </w:pPr>
      <w:r>
        <w:t xml:space="preserve">Preparation Toolkit</w:t>
      </w:r>
    </w:p>
    <w:p>
      <w:pPr>
        <w:pStyle w:val="FirstParagraph"/>
      </w:pPr>
      <w:r>
        <w:rPr>
          <w:bCs/>
          <w:b/>
        </w:rPr>
        <w:t xml:space="preserve">Preparation Checklist</w:t>
      </w:r>
    </w:p>
    <w:p>
      <w:pPr>
        <w:numPr>
          <w:ilvl w:val="0"/>
          <w:numId w:val="1067"/>
        </w:numPr>
        <w:pStyle w:val="Compact"/>
      </w:pPr>
      <w:r>
        <w:t xml:space="preserve">Structure an answer by sources of soft power, sources of criticism, regional variation, and change over time; distinguish a public’s view of American people/culture from its view of a specific U.S. administration.</w:t>
      </w:r>
    </w:p>
    <w:p>
      <w:pPr>
        <w:pStyle w:val="FirstParagraph"/>
      </w:pPr>
      <w:r>
        <w:rPr>
          <w:bCs/>
          <w:b/>
        </w:rPr>
        <w:t xml:space="preserve">Common Confusions to Avoid</w:t>
      </w:r>
    </w:p>
    <w:p>
      <w:pPr>
        <w:numPr>
          <w:ilvl w:val="0"/>
          <w:numId w:val="1068"/>
        </w:numPr>
        <w:pStyle w:val="Compact"/>
      </w:pPr>
      <w:r>
        <w:t xml:space="preserve">Do not write</w:t>
      </w:r>
      <w:r>
        <w:t xml:space="preserve"> </w:t>
      </w:r>
      <w:r>
        <w:t xml:space="preserve">“</w:t>
      </w:r>
      <w:r>
        <w:t xml:space="preserve">the world loves America</w:t>
      </w:r>
      <w:r>
        <w:t xml:space="preserve">”</w:t>
      </w:r>
      <w:r>
        <w:t xml:space="preserve"> </w:t>
      </w:r>
      <w:r>
        <w:t xml:space="preserve">or</w:t>
      </w:r>
      <w:r>
        <w:t xml:space="preserve"> </w:t>
      </w:r>
      <w:r>
        <w:t xml:space="preserve">“</w:t>
      </w:r>
      <w:r>
        <w:t xml:space="preserve">the world hates America.</w:t>
      </w:r>
      <w:r>
        <w:t xml:space="preserve">”</w:t>
      </w:r>
    </w:p>
    <w:p>
      <w:pPr>
        <w:numPr>
          <w:ilvl w:val="0"/>
          <w:numId w:val="1068"/>
        </w:numPr>
        <w:pStyle w:val="Compact"/>
      </w:pPr>
      <w:r>
        <w:t xml:space="preserve">Do not use personal impressions as evidence; cite reputable cross-national surveys when available.</w:t>
      </w:r>
    </w:p>
    <w:p>
      <w:pPr>
        <w:numPr>
          <w:ilvl w:val="0"/>
          <w:numId w:val="1068"/>
        </w:numPr>
        <w:pStyle w:val="Compact"/>
      </w:pPr>
      <w:r>
        <w:t xml:space="preserve">Do not treat views of American people, culture and government as automatically identical.</w:t>
      </w:r>
    </w:p>
    <w:p>
      <w:pPr>
        <w:pStyle w:val="FirstParagraph"/>
      </w:pPr>
      <w:r>
        <w:rPr>
          <w:bCs/>
          <w:b/>
        </w:rPr>
        <w:t xml:space="preserve">Easy Revision Points</w:t>
      </w:r>
    </w:p>
    <w:p>
      <w:pPr>
        <w:numPr>
          <w:ilvl w:val="0"/>
          <w:numId w:val="1069"/>
        </w:numPr>
        <w:pStyle w:val="Compact"/>
      </w:pPr>
      <w:r>
        <w:t xml:space="preserve">U.S. universities, technology and entertainment contribute significantly to American soft power.</w:t>
      </w:r>
    </w:p>
    <w:p>
      <w:pPr>
        <w:numPr>
          <w:ilvl w:val="0"/>
          <w:numId w:val="1069"/>
        </w:numPr>
        <w:pStyle w:val="Compact"/>
      </w:pPr>
      <w:r>
        <w:t xml:space="preserve">Military interventions can sharply reduce favourable views in affected regions.</w:t>
      </w:r>
    </w:p>
    <w:p>
      <w:pPr>
        <w:numPr>
          <w:ilvl w:val="0"/>
          <w:numId w:val="1069"/>
        </w:numPr>
        <w:pStyle w:val="Compact"/>
      </w:pPr>
      <w:r>
        <w:t xml:space="preserve">Public opinion surveys are more reliable evidence than sweeping claims about universal admiration or hostility.</w:t>
      </w:r>
    </w:p>
    <w:bookmarkEnd w:id="119"/>
    <w:bookmarkStart w:id="120" w:name="key-takeaways-13"/>
    <w:p>
      <w:pPr>
        <w:pStyle w:val="Heading2"/>
      </w:pPr>
      <w:r>
        <w:t xml:space="preserve">Key Takeaways</w:t>
      </w:r>
    </w:p>
    <w:p>
      <w:pPr>
        <w:numPr>
          <w:ilvl w:val="0"/>
          <w:numId w:val="1070"/>
        </w:numPr>
        <w:pStyle w:val="Compact"/>
      </w:pPr>
      <w:r>
        <w:t xml:space="preserve">Treat perception as evidence-based public opinion varying by country, period and issue — never a single global verdict.</w:t>
      </w:r>
    </w:p>
    <w:p>
      <w:pPr>
        <w:numPr>
          <w:ilvl w:val="0"/>
          <w:numId w:val="1070"/>
        </w:numPr>
        <w:pStyle w:val="Compact"/>
      </w:pPr>
      <w:r>
        <w:t xml:space="preserve">Soft power and coercive power coexist and can either reinforce or undermine each other, depending on policy consistency.</w:t>
      </w:r>
    </w:p>
    <w:bookmarkEnd w:id="120"/>
    <w:bookmarkEnd w:id="121"/>
    <w:bookmarkStart w:id="129" w:name="X844944a5cf3507e32395d33cab42e91a4c2ac3a"/>
    <w:p>
      <w:pPr>
        <w:pStyle w:val="Heading1"/>
        <w:pageBreakBefore/>
      </w:pPr>
      <w:r>
        <w:t xml:space="preserve">15. The Progressive Era: Theodore Roosevelt and Woodrow Wilson</w:t>
      </w:r>
    </w:p>
    <w:bookmarkStart w:id="122" w:name="why-this-topic-matters-14"/>
    <w:p>
      <w:pPr>
        <w:pStyle w:val="Heading2"/>
      </w:pPr>
      <w:r>
        <w:t xml:space="preserve">Why This Topic Matters</w:t>
      </w:r>
    </w:p>
    <w:p>
      <w:pPr>
        <w:pStyle w:val="FirstParagraph"/>
      </w:pPr>
      <w:r>
        <w:t xml:space="preserve">Progressives were never one unified ideology — Roosevelt and Wilson used federal power differently, and Progressive reform expanded regulation while simultaneously failing, and in Wilson’s case actively worsening, racial equality — both achievement and exclusion must appear in a strong answer.</w:t>
      </w:r>
    </w:p>
    <w:bookmarkEnd w:id="122"/>
    <w:bookmarkStart w:id="123" w:name="Xc9250b0c11c72f0edd41c67d219d8843532e926"/>
    <w:p>
      <w:pPr>
        <w:pStyle w:val="Heading2"/>
      </w:pPr>
      <w:r>
        <w:t xml:space="preserve">Why Progressivism Emerged, and Roosevelt’s Square Deal</w:t>
      </w:r>
    </w:p>
    <w:p>
      <w:pPr>
        <w:pStyle w:val="FirstParagraph"/>
      </w:pPr>
      <w:r>
        <w:t xml:space="preserve">Large corporations, unsafe food, urban poverty, political machines and labour conflict convinced many middle-class and activist groups that older laissez-faire approaches were insufficient; investigative journalists (</w:t>
      </w:r>
      <w:r>
        <w:t xml:space="preserve">“</w:t>
      </w:r>
      <w:r>
        <w:t xml:space="preserve">muckrakers</w:t>
      </w:r>
      <w:r>
        <w:t xml:space="preserve">”</w:t>
      </w:r>
      <w:r>
        <w:t xml:space="preserve">) exposed corruption and corporate abuse, building political pressure for regulation.</w:t>
      </w:r>
      <w:r>
        <w:t xml:space="preserve"> </w:t>
      </w:r>
      <w:r>
        <w:rPr>
          <w:bCs/>
          <w:b/>
        </w:rPr>
        <w:t xml:space="preserve">Theodore Roosevelt’s Square Deal</w:t>
      </w:r>
      <w:r>
        <w:t xml:space="preserve"> </w:t>
      </w:r>
      <w:r>
        <w:t xml:space="preserve">argued government should mediate between labour, business and the public, using antitrust law more actively while distinguishing</w:t>
      </w:r>
      <w:r>
        <w:t xml:space="preserve"> </w:t>
      </w:r>
      <w:r>
        <w:t xml:space="preserve">“</w:t>
      </w:r>
      <w:r>
        <w:t xml:space="preserve">good</w:t>
      </w:r>
      <w:r>
        <w:t xml:space="preserve">”</w:t>
      </w:r>
      <w:r>
        <w:t xml:space="preserve"> </w:t>
      </w:r>
      <w:r>
        <w:t xml:space="preserve">from</w:t>
      </w:r>
      <w:r>
        <w:t xml:space="preserve"> </w:t>
      </w:r>
      <w:r>
        <w:t xml:space="preserve">“</w:t>
      </w:r>
      <w:r>
        <w:t xml:space="preserve">bad</w:t>
      </w:r>
      <w:r>
        <w:t xml:space="preserve">”</w:t>
      </w:r>
      <w:r>
        <w:t xml:space="preserve"> </w:t>
      </w:r>
      <w:r>
        <w:t xml:space="preserve">trusts; his administration passed the</w:t>
      </w:r>
      <w:r>
        <w:t xml:space="preserve"> </w:t>
      </w:r>
      <w:r>
        <w:rPr>
          <w:bCs/>
          <w:b/>
        </w:rPr>
        <w:t xml:space="preserve">Pure Food and Drug Act and Meat Inspection Act (1906)</w:t>
      </w:r>
      <w:r>
        <w:t xml:space="preserve"> </w:t>
      </w:r>
      <w:r>
        <w:t xml:space="preserve">and greatly expanded conservation and federal resource management.</w:t>
      </w:r>
    </w:p>
    <w:bookmarkEnd w:id="123"/>
    <w:bookmarkStart w:id="124" w:name="X0abb45ccba6eeb086990a6d09d0af08f785da5f"/>
    <w:p>
      <w:pPr>
        <w:pStyle w:val="Heading2"/>
      </w:pPr>
      <w:r>
        <w:t xml:space="preserve">Wilson’s New Freedom and Constitutional Reform</w:t>
      </w:r>
    </w:p>
    <w:p>
      <w:pPr>
        <w:pStyle w:val="FirstParagraph"/>
      </w:pPr>
      <w:r>
        <w:rPr>
          <w:bCs/>
          <w:b/>
        </w:rPr>
        <w:t xml:space="preserve">Woodrow Wilson’s New Freedom</w:t>
      </w:r>
      <w:r>
        <w:t xml:space="preserve"> </w:t>
      </w:r>
      <w:r>
        <w:t xml:space="preserve">initially emphasised restoring competition through reduced tariffs, banking reform, and strengthened antitrust law; the</w:t>
      </w:r>
      <w:r>
        <w:t xml:space="preserve"> </w:t>
      </w:r>
      <w:r>
        <w:rPr>
          <w:bCs/>
          <w:b/>
        </w:rPr>
        <w:t xml:space="preserve">Federal Reserve Act and Clayton Antitrust Act (both 1913–14)</w:t>
      </w:r>
      <w:r>
        <w:t xml:space="preserve"> </w:t>
      </w:r>
      <w:r>
        <w:t xml:space="preserve">were major institutional achievements. Progressive-era constitutional amendments established the federal income tax, direct election of senators (</w:t>
      </w:r>
      <w:r>
        <w:rPr>
          <w:bCs/>
          <w:b/>
        </w:rPr>
        <w:t xml:space="preserve">17th Amendment</w:t>
      </w:r>
      <w:r>
        <w:t xml:space="preserve">), prohibition, and women’s suffrage — reflecting demands for more responsive government and social regulation.</w:t>
      </w:r>
    </w:p>
    <w:bookmarkEnd w:id="124"/>
    <w:bookmarkStart w:id="125" w:name="the-limits-of-progressivism"/>
    <w:p>
      <w:pPr>
        <w:pStyle w:val="Heading2"/>
      </w:pPr>
      <w:r>
        <w:t xml:space="preserve">The Limits of Progressivism</w:t>
      </w:r>
    </w:p>
    <w:p>
      <w:pPr>
        <w:pStyle w:val="FirstParagraph"/>
      </w:pPr>
      <w:r>
        <w:t xml:space="preserve">Many reformers ignored or reinforced racial discrimination, and Wilson’s own administration tolerated segregation in federal workplaces — Progressive reform expanded regulation without delivering equal rights to all Americans, a limitation essential to state explicitly rather than omit.</w:t>
      </w:r>
    </w:p>
    <w:bookmarkEnd w:id="125"/>
    <w:bookmarkStart w:id="126" w:name="key-terms-and-concepts-12"/>
    <w:p>
      <w:pPr>
        <w:pStyle w:val="Heading2"/>
      </w:pPr>
      <w:r>
        <w:t xml:space="preserve">Key Terms and Concepts</w:t>
      </w:r>
    </w:p>
    <w:p>
      <w:pPr>
        <w:numPr>
          <w:ilvl w:val="0"/>
          <w:numId w:val="1071"/>
        </w:numPr>
        <w:pStyle w:val="Compact"/>
      </w:pPr>
      <w:r>
        <w:rPr>
          <w:bCs/>
          <w:b/>
        </w:rPr>
        <w:t xml:space="preserve">Square Deal / New Freedom:</w:t>
      </w:r>
      <w:r>
        <w:t xml:space="preserve"> </w:t>
      </w:r>
      <w:r>
        <w:t xml:space="preserve">Roosevelt’s and Wilson’s respectively distinct approaches to regulating corporate power, both using expanded federal authority but with different emphases.</w:t>
      </w:r>
    </w:p>
    <w:bookmarkEnd w:id="126"/>
    <w:bookmarkStart w:id="127" w:name="preparation-toolkit-14"/>
    <w:p>
      <w:pPr>
        <w:pStyle w:val="Heading2"/>
      </w:pPr>
      <w:r>
        <w:t xml:space="preserve">Preparation Toolkit</w:t>
      </w:r>
    </w:p>
    <w:p>
      <w:pPr>
        <w:pStyle w:val="FirstParagraph"/>
      </w:pPr>
      <w:r>
        <w:rPr>
          <w:bCs/>
          <w:b/>
        </w:rPr>
        <w:t xml:space="preserve">Preparation Checklist</w:t>
      </w:r>
    </w:p>
    <w:p>
      <w:pPr>
        <w:numPr>
          <w:ilvl w:val="0"/>
          <w:numId w:val="1072"/>
        </w:numPr>
        <w:pStyle w:val="Compact"/>
      </w:pPr>
      <w:r>
        <w:t xml:space="preserve">Make a Roosevelt-versus-Wilson table; add constitutional amendments and social reform; do not portray Progressives as one unified ideology.</w:t>
      </w:r>
    </w:p>
    <w:p>
      <w:pPr>
        <w:pStyle w:val="FirstParagraph"/>
      </w:pPr>
      <w:r>
        <w:rPr>
          <w:bCs/>
          <w:b/>
        </w:rPr>
        <w:t xml:space="preserve">Common Confusions to Avoid</w:t>
      </w:r>
    </w:p>
    <w:p>
      <w:pPr>
        <w:numPr>
          <w:ilvl w:val="0"/>
          <w:numId w:val="1073"/>
        </w:numPr>
        <w:pStyle w:val="Compact"/>
      </w:pPr>
      <w:r>
        <w:t xml:space="preserve">Do not treat Progressives as one unified party or ideology.</w:t>
      </w:r>
    </w:p>
    <w:p>
      <w:pPr>
        <w:numPr>
          <w:ilvl w:val="0"/>
          <w:numId w:val="1073"/>
        </w:numPr>
        <w:pStyle w:val="Compact"/>
      </w:pPr>
      <w:r>
        <w:t xml:space="preserve">Do not present antitrust policy as the destruction of all big business; regulation and competition were more common goals.</w:t>
      </w:r>
    </w:p>
    <w:p>
      <w:pPr>
        <w:numPr>
          <w:ilvl w:val="0"/>
          <w:numId w:val="1073"/>
        </w:numPr>
        <w:pStyle w:val="Compact"/>
      </w:pPr>
      <w:r>
        <w:t xml:space="preserve">Do not omit race; exclusion is essential to evaluating Progressive reform.</w:t>
      </w:r>
    </w:p>
    <w:p>
      <w:pPr>
        <w:pStyle w:val="FirstParagraph"/>
      </w:pPr>
      <w:r>
        <w:rPr>
          <w:bCs/>
          <w:b/>
        </w:rPr>
        <w:t xml:space="preserve">Easy Revision Points</w:t>
      </w:r>
    </w:p>
    <w:p>
      <w:pPr>
        <w:numPr>
          <w:ilvl w:val="0"/>
          <w:numId w:val="1074"/>
        </w:numPr>
        <w:pStyle w:val="Compact"/>
      </w:pPr>
      <w:r>
        <w:t xml:space="preserve">Roosevelt’s Pure Food and Drug Act and Meat Inspection Act (1906); Wilson’s Federal Reserve Act and Clayton Antitrust Act (1913–14).</w:t>
      </w:r>
    </w:p>
    <w:p>
      <w:pPr>
        <w:numPr>
          <w:ilvl w:val="0"/>
          <w:numId w:val="1074"/>
        </w:numPr>
        <w:pStyle w:val="Compact"/>
      </w:pPr>
      <w:r>
        <w:t xml:space="preserve">The 17th Amendment established direct election of senators; other amendments addressed income tax, prohibition and women’s suffrage.</w:t>
      </w:r>
    </w:p>
    <w:p>
      <w:pPr>
        <w:numPr>
          <w:ilvl w:val="0"/>
          <w:numId w:val="1074"/>
        </w:numPr>
        <w:pStyle w:val="Compact"/>
      </w:pPr>
      <w:r>
        <w:t xml:space="preserve">Wilson’s administration tolerated or expanded segregation in parts of the federal workforce.</w:t>
      </w:r>
    </w:p>
    <w:bookmarkEnd w:id="127"/>
    <w:bookmarkStart w:id="128" w:name="key-takeaways-14"/>
    <w:p>
      <w:pPr>
        <w:pStyle w:val="Heading2"/>
      </w:pPr>
      <w:r>
        <w:t xml:space="preserve">Key Takeaways</w:t>
      </w:r>
    </w:p>
    <w:p>
      <w:pPr>
        <w:numPr>
          <w:ilvl w:val="0"/>
          <w:numId w:val="1075"/>
        </w:numPr>
        <w:pStyle w:val="Compact"/>
      </w:pPr>
      <w:r>
        <w:t xml:space="preserve">Explain both reform achievement and racial exclusion together — Progressivism modernised regulation but did not solve racial or class inequality.</w:t>
      </w:r>
    </w:p>
    <w:p>
      <w:pPr>
        <w:numPr>
          <w:ilvl w:val="0"/>
          <w:numId w:val="1075"/>
        </w:numPr>
        <w:pStyle w:val="Compact"/>
      </w:pPr>
      <w:r>
        <w:t xml:space="preserve">Roosevelt and Wilson differed meaningfully in method (mediating</w:t>
      </w:r>
      <w:r>
        <w:t xml:space="preserve"> </w:t>
      </w:r>
      <w:r>
        <w:t xml:space="preserve">“</w:t>
      </w:r>
      <w:r>
        <w:t xml:space="preserve">good</w:t>
      </w:r>
      <w:r>
        <w:t xml:space="preserve">”</w:t>
      </w:r>
      <w:r>
        <w:t xml:space="preserve"> </w:t>
      </w:r>
      <w:r>
        <w:t xml:space="preserve">trusts versus restoring competition) despite both being labelled</w:t>
      </w:r>
      <w:r>
        <w:t xml:space="preserve"> </w:t>
      </w:r>
      <w:r>
        <w:t xml:space="preserve">“</w:t>
      </w:r>
      <w:r>
        <w:t xml:space="preserve">Progressive.</w:t>
      </w:r>
      <w:r>
        <w:t xml:space="preserve">”</w:t>
      </w:r>
    </w:p>
    <w:bookmarkEnd w:id="128"/>
    <w:bookmarkEnd w:id="129"/>
    <w:bookmarkStart w:id="137" w:name="the-great-depression-and-new-deal"/>
    <w:p>
      <w:pPr>
        <w:pStyle w:val="Heading1"/>
        <w:pageBreakBefore/>
      </w:pPr>
      <w:r>
        <w:t xml:space="preserve">16. The Great Depression and New Deal</w:t>
      </w:r>
    </w:p>
    <w:bookmarkStart w:id="130" w:name="why-this-topic-matters-15"/>
    <w:p>
      <w:pPr>
        <w:pStyle w:val="Heading2"/>
      </w:pPr>
      <w:r>
        <w:t xml:space="preserve">Why This Topic Matters</w:t>
      </w:r>
    </w:p>
    <w:p>
      <w:pPr>
        <w:pStyle w:val="FirstParagraph"/>
      </w:pPr>
      <w:r>
        <w:t xml:space="preserve">The 1929 stock crash was a trigger and symptom, not the sole cause, of the Depression — judge the New Deal by three separate questions: did it relieve suffering, did it promote recovery, and did it permanently reform institutions?</w:t>
      </w:r>
    </w:p>
    <w:bookmarkEnd w:id="130"/>
    <w:bookmarkStart w:id="131" w:name="causes-beyond-the-crash"/>
    <w:p>
      <w:pPr>
        <w:pStyle w:val="Heading2"/>
      </w:pPr>
      <w:r>
        <w:t xml:space="preserve">Causes Beyond the Crash</w:t>
      </w:r>
    </w:p>
    <w:p>
      <w:pPr>
        <w:pStyle w:val="FirstParagraph"/>
      </w:pPr>
      <w:r>
        <w:t xml:space="preserve">Unequal income distribution, agricultural distress, consumer debt, speculative finance and fragile banks made the 1920s economy vulnerable well before 1929; the stock-market crash exposed these weaknesses rather than creating every part of the Depression by itself. Bank failures destroyed savings and reduced credit, while falling prices increased the real burden of debt, creating a destructive downward economic cycle.</w:t>
      </w:r>
    </w:p>
    <w:bookmarkEnd w:id="131"/>
    <w:bookmarkStart w:id="132" w:name="X8731ed3bf0d7316e1d065ec53eb1b2c35af3839"/>
    <w:p>
      <w:pPr>
        <w:pStyle w:val="Heading2"/>
      </w:pPr>
      <w:r>
        <w:t xml:space="preserve">Roosevelt’s Response: Relief, Recovery, Reform</w:t>
      </w:r>
    </w:p>
    <w:p>
      <w:pPr>
        <w:pStyle w:val="FirstParagraph"/>
      </w:pPr>
      <w:r>
        <w:t xml:space="preserve">After taking office in</w:t>
      </w:r>
      <w:r>
        <w:t xml:space="preserve"> </w:t>
      </w:r>
      <w:r>
        <w:rPr>
          <w:bCs/>
          <w:b/>
        </w:rPr>
        <w:t xml:space="preserve">March 1933</w:t>
      </w:r>
      <w:r>
        <w:t xml:space="preserve">, Roosevelt declared a bank holiday and stabilised financial institutions, treating restored public confidence as an immediate priority. Programmes such as the</w:t>
      </w:r>
      <w:r>
        <w:t xml:space="preserve"> </w:t>
      </w:r>
      <w:r>
        <w:rPr>
          <w:bCs/>
          <w:b/>
        </w:rPr>
        <w:t xml:space="preserve">Civilian Conservation Corps</w:t>
      </w:r>
      <w:r>
        <w:t xml:space="preserve"> </w:t>
      </w:r>
      <w:r>
        <w:t xml:space="preserve">and</w:t>
      </w:r>
      <w:r>
        <w:t xml:space="preserve"> </w:t>
      </w:r>
      <w:r>
        <w:rPr>
          <w:bCs/>
          <w:b/>
        </w:rPr>
        <w:t xml:space="preserve">Works Progress Administration</w:t>
      </w:r>
      <w:r>
        <w:t xml:space="preserve"> </w:t>
      </w:r>
      <w:r>
        <w:t xml:space="preserve">provided relief jobs and income, while</w:t>
      </w:r>
      <w:r>
        <w:t xml:space="preserve"> </w:t>
      </w:r>
      <w:r>
        <w:rPr>
          <w:bCs/>
          <w:b/>
        </w:rPr>
        <w:t xml:space="preserve">deposit insurance (1933)</w:t>
      </w:r>
      <w:r>
        <w:t xml:space="preserve">, securities regulation, and the</w:t>
      </w:r>
      <w:r>
        <w:t xml:space="preserve"> </w:t>
      </w:r>
      <w:r>
        <w:rPr>
          <w:bCs/>
          <w:b/>
        </w:rPr>
        <w:t xml:space="preserve">Social Security Act (1935)</w:t>
      </w:r>
      <w:r>
        <w:t xml:space="preserve"> </w:t>
      </w:r>
      <w:r>
        <w:t xml:space="preserve">created lasting reform institutions, and the</w:t>
      </w:r>
      <w:r>
        <w:t xml:space="preserve"> </w:t>
      </w:r>
      <w:r>
        <w:rPr>
          <w:bCs/>
          <w:b/>
        </w:rPr>
        <w:t xml:space="preserve">Wagner Act</w:t>
      </w:r>
      <w:r>
        <w:t xml:space="preserve"> </w:t>
      </w:r>
      <w:r>
        <w:t xml:space="preserve">strengthened organised labour’s legal position. Some early New Deal programmes were struck down by the Supreme Court, leading Roosevelt to propose a controversial court-reorganisation plan, while political opposition grew from both conservative and populist critics.</w:t>
      </w:r>
    </w:p>
    <w:bookmarkEnd w:id="132"/>
    <w:bookmarkStart w:id="133" w:name="evaluating-the-new-deal"/>
    <w:p>
      <w:pPr>
        <w:pStyle w:val="Heading2"/>
      </w:pPr>
      <w:r>
        <w:t xml:space="preserve">Evaluating the New Deal</w:t>
      </w:r>
    </w:p>
    <w:p>
      <w:pPr>
        <w:pStyle w:val="FirstParagraph"/>
      </w:pPr>
      <w:r>
        <w:t xml:space="preserve">The New Deal reduced suffering, stabilised banking, and permanently expanded federal responsibility, but unemployment remained high until wartime mobilisation — its greatest impact may be institutional and political as much as immediate economic recovery, a nuanced judgment worth stating explicitly rather than claiming full success or failure.</w:t>
      </w:r>
    </w:p>
    <w:bookmarkEnd w:id="133"/>
    <w:bookmarkStart w:id="134" w:name="key-terms-and-concepts-13"/>
    <w:p>
      <w:pPr>
        <w:pStyle w:val="Heading2"/>
      </w:pPr>
      <w:r>
        <w:t xml:space="preserve">Key Terms and Concepts</w:t>
      </w:r>
    </w:p>
    <w:p>
      <w:pPr>
        <w:numPr>
          <w:ilvl w:val="0"/>
          <w:numId w:val="1076"/>
        </w:numPr>
        <w:pStyle w:val="Compact"/>
      </w:pPr>
      <w:r>
        <w:rPr>
          <w:bCs/>
          <w:b/>
        </w:rPr>
        <w:t xml:space="preserve">Relief, Recovery, Reform:</w:t>
      </w:r>
      <w:r>
        <w:t xml:space="preserve"> </w:t>
      </w:r>
      <w:r>
        <w:t xml:space="preserve">A memory framework for New Deal goals, useful only when attached to real programmes and outcomes rather than treated as a substitute for specific knowledge.</w:t>
      </w:r>
    </w:p>
    <w:bookmarkEnd w:id="134"/>
    <w:bookmarkStart w:id="135" w:name="preparation-toolkit-15"/>
    <w:p>
      <w:pPr>
        <w:pStyle w:val="Heading2"/>
      </w:pPr>
      <w:r>
        <w:t xml:space="preserve">Preparation Toolkit</w:t>
      </w:r>
    </w:p>
    <w:p>
      <w:pPr>
        <w:pStyle w:val="FirstParagraph"/>
      </w:pPr>
      <w:r>
        <w:rPr>
          <w:bCs/>
          <w:b/>
        </w:rPr>
        <w:t xml:space="preserve">Preparation Checklist</w:t>
      </w:r>
    </w:p>
    <w:p>
      <w:pPr>
        <w:numPr>
          <w:ilvl w:val="0"/>
          <w:numId w:val="1077"/>
        </w:numPr>
        <w:pStyle w:val="Compact"/>
      </w:pPr>
      <w:r>
        <w:t xml:space="preserve">Use</w:t>
      </w:r>
      <w:r>
        <w:t xml:space="preserve"> </w:t>
      </w:r>
      <w:r>
        <w:t xml:space="preserve">“</w:t>
      </w:r>
      <w:r>
        <w:t xml:space="preserve">Relief-Recovery-Reform</w:t>
      </w:r>
      <w:r>
        <w:t xml:space="preserve">”</w:t>
      </w:r>
      <w:r>
        <w:t xml:space="preserve"> </w:t>
      </w:r>
      <w:r>
        <w:t xml:space="preserve">only as a memory framework, then attach real programmes and outcomes; explain the 1929 crash as trigger and symptom, not sole cause.</w:t>
      </w:r>
    </w:p>
    <w:p>
      <w:pPr>
        <w:pStyle w:val="FirstParagraph"/>
      </w:pPr>
      <w:r>
        <w:rPr>
          <w:bCs/>
          <w:b/>
        </w:rPr>
        <w:t xml:space="preserve">Common Confusions to Avoid</w:t>
      </w:r>
    </w:p>
    <w:p>
      <w:pPr>
        <w:numPr>
          <w:ilvl w:val="0"/>
          <w:numId w:val="1078"/>
        </w:numPr>
        <w:pStyle w:val="Compact"/>
      </w:pPr>
      <w:r>
        <w:t xml:space="preserve">Do not say the stock crash alone caused the Depression.</w:t>
      </w:r>
    </w:p>
    <w:p>
      <w:pPr>
        <w:numPr>
          <w:ilvl w:val="0"/>
          <w:numId w:val="1078"/>
        </w:numPr>
        <w:pStyle w:val="Compact"/>
      </w:pPr>
      <w:r>
        <w:t xml:space="preserve">Do not treat</w:t>
      </w:r>
      <w:r>
        <w:t xml:space="preserve"> </w:t>
      </w:r>
      <w:r>
        <w:t xml:space="preserve">“</w:t>
      </w:r>
      <w:r>
        <w:t xml:space="preserve">Relief, Recovery, Reform</w:t>
      </w:r>
      <w:r>
        <w:t xml:space="preserve">”</w:t>
      </w:r>
      <w:r>
        <w:t xml:space="preserve"> </w:t>
      </w:r>
      <w:r>
        <w:t xml:space="preserve">as a substitute for knowing actual programmes and outcomes.</w:t>
      </w:r>
    </w:p>
    <w:p>
      <w:pPr>
        <w:numPr>
          <w:ilvl w:val="0"/>
          <w:numId w:val="1078"/>
        </w:numPr>
        <w:pStyle w:val="Compact"/>
      </w:pPr>
      <w:r>
        <w:t xml:space="preserve">Do not claim the New Deal fully ended unemployment before World War II.</w:t>
      </w:r>
    </w:p>
    <w:p>
      <w:pPr>
        <w:pStyle w:val="FirstParagraph"/>
      </w:pPr>
      <w:r>
        <w:rPr>
          <w:bCs/>
          <w:b/>
        </w:rPr>
        <w:t xml:space="preserve">Easy Revision Points</w:t>
      </w:r>
    </w:p>
    <w:p>
      <w:pPr>
        <w:numPr>
          <w:ilvl w:val="0"/>
          <w:numId w:val="1079"/>
        </w:numPr>
        <w:pStyle w:val="Compact"/>
      </w:pPr>
      <w:r>
        <w:t xml:space="preserve">The 1929 crash was followed by banking failures, deflation and mass unemployment.</w:t>
      </w:r>
    </w:p>
    <w:p>
      <w:pPr>
        <w:numPr>
          <w:ilvl w:val="0"/>
          <w:numId w:val="1079"/>
        </w:numPr>
        <w:pStyle w:val="Compact"/>
      </w:pPr>
      <w:r>
        <w:t xml:space="preserve">Roosevelt took office in March 1933 and launched emergency banking measures; the Social Security Act (1935) established federal old-age benefits.</w:t>
      </w:r>
    </w:p>
    <w:p>
      <w:pPr>
        <w:numPr>
          <w:ilvl w:val="0"/>
          <w:numId w:val="1079"/>
        </w:numPr>
        <w:pStyle w:val="Compact"/>
      </w:pPr>
      <w:r>
        <w:t xml:space="preserve">Full employment came only with wartime mobilisation, not the New Deal alone.</w:t>
      </w:r>
    </w:p>
    <w:bookmarkEnd w:id="135"/>
    <w:bookmarkStart w:id="136" w:name="key-takeaways-15"/>
    <w:p>
      <w:pPr>
        <w:pStyle w:val="Heading2"/>
      </w:pPr>
      <w:r>
        <w:t xml:space="preserve">Key Takeaways</w:t>
      </w:r>
    </w:p>
    <w:p>
      <w:pPr>
        <w:numPr>
          <w:ilvl w:val="0"/>
          <w:numId w:val="1080"/>
        </w:numPr>
        <w:pStyle w:val="Compact"/>
      </w:pPr>
      <w:r>
        <w:t xml:space="preserve">Judge the New Deal by three separate questions (relief, recovery, reform) rather than a single success/failure verdict.</w:t>
      </w:r>
    </w:p>
    <w:p>
      <w:pPr>
        <w:numPr>
          <w:ilvl w:val="0"/>
          <w:numId w:val="1080"/>
        </w:numPr>
        <w:pStyle w:val="Compact"/>
      </w:pPr>
      <w:r>
        <w:t xml:space="preserve">The 1929 crash was a trigger exposing pre-existing structural weaknesses, not the Depression’s sole cause.</w:t>
      </w:r>
    </w:p>
    <w:bookmarkEnd w:id="136"/>
    <w:bookmarkEnd w:id="137"/>
    <w:bookmarkStart w:id="145" w:name="the-civil-rights-movement"/>
    <w:p>
      <w:pPr>
        <w:pStyle w:val="Heading1"/>
        <w:pageBreakBefore/>
      </w:pPr>
      <w:r>
        <w:t xml:space="preserve">17. The Civil Rights Movement</w:t>
      </w:r>
    </w:p>
    <w:bookmarkStart w:id="138" w:name="why-this-topic-matters-16"/>
    <w:p>
      <w:pPr>
        <w:pStyle w:val="Heading2"/>
      </w:pPr>
      <w:r>
        <w:t xml:space="preserve">Why This Topic Matters</w:t>
      </w:r>
    </w:p>
    <w:p>
      <w:pPr>
        <w:pStyle w:val="FirstParagraph"/>
      </w:pPr>
      <w:r>
        <w:t xml:space="preserve">The Civil Rights Movement combined courts, grassroots activists, national leaders, media, and federal government together — it cannot be reduced to a single leader’s biography, however important Martin Luther King Jr. was to specific episodes.</w:t>
      </w:r>
    </w:p>
    <w:bookmarkEnd w:id="138"/>
    <w:bookmarkStart w:id="139" w:name="from-jim-crow-to-legal-challenge"/>
    <w:p>
      <w:pPr>
        <w:pStyle w:val="Heading2"/>
      </w:pPr>
      <w:r>
        <w:t xml:space="preserve">From Jim Crow to Legal Challenge</w:t>
      </w:r>
    </w:p>
    <w:p>
      <w:pPr>
        <w:pStyle w:val="FirstParagraph"/>
      </w:pPr>
      <w:r>
        <w:t xml:space="preserve">After Reconstruction (Topic 6), southern states built segregation and Black voter suppression through law, violence and discriminatory administration, with racial inequality also existing outside the South in housing, employment and policing. The NAACP’s litigation strategy culminated in</w:t>
      </w:r>
      <w:r>
        <w:t xml:space="preserve"> </w:t>
      </w:r>
      <w:r>
        <w:rPr>
          <w:bCs/>
          <w:b/>
        </w:rPr>
        <w:t xml:space="preserve">Brown v. Board of Education (1954)</w:t>
      </w:r>
      <w:r>
        <w:t xml:space="preserve">, declaring state-mandated public-school segregation unconstitutional and undermining the legal basis of</w:t>
      </w:r>
      <w:r>
        <w:t xml:space="preserve"> </w:t>
      </w:r>
      <w:r>
        <w:t xml:space="preserve">“</w:t>
      </w:r>
      <w:r>
        <w:t xml:space="preserve">separate but equal</w:t>
      </w:r>
      <w:r>
        <w:t xml:space="preserve">”</w:t>
      </w:r>
      <w:r>
        <w:t xml:space="preserve"> </w:t>
      </w:r>
      <w:r>
        <w:t xml:space="preserve">— though this did not immediately integrate schools; resistance was extensive and implementation slow.</w:t>
      </w:r>
    </w:p>
    <w:bookmarkEnd w:id="139"/>
    <w:bookmarkStart w:id="140" w:name="mass-protest-and-federal-legislation"/>
    <w:p>
      <w:pPr>
        <w:pStyle w:val="Heading2"/>
      </w:pPr>
      <w:r>
        <w:t xml:space="preserve">Mass Protest and Federal Legislation</w:t>
      </w:r>
    </w:p>
    <w:p>
      <w:pPr>
        <w:pStyle w:val="FirstParagraph"/>
      </w:pPr>
      <w:r>
        <w:t xml:space="preserve">The</w:t>
      </w:r>
      <w:r>
        <w:t xml:space="preserve"> </w:t>
      </w:r>
      <w:r>
        <w:rPr>
          <w:bCs/>
          <w:b/>
        </w:rPr>
        <w:t xml:space="preserve">Montgomery bus boycott (1955–56)</w:t>
      </w:r>
      <w:r>
        <w:t xml:space="preserve"> </w:t>
      </w:r>
      <w:r>
        <w:t xml:space="preserve">demonstrated how local organisation, economic pressure and nonviolent protest could challenge segregation, and Martin Luther King Jr. emerged as a national leader from this movement specifically. Student sit-ins, the</w:t>
      </w:r>
      <w:r>
        <w:t xml:space="preserve"> </w:t>
      </w:r>
      <w:r>
        <w:rPr>
          <w:bCs/>
          <w:b/>
        </w:rPr>
        <w:t xml:space="preserve">Student Nonviolent Coordinating Committee</w:t>
      </w:r>
      <w:r>
        <w:t xml:space="preserve">, and</w:t>
      </w:r>
      <w:r>
        <w:t xml:space="preserve"> </w:t>
      </w:r>
      <w:r>
        <w:rPr>
          <w:bCs/>
          <w:b/>
        </w:rPr>
        <w:t xml:space="preserve">Freedom Rides</w:t>
      </w:r>
      <w:r>
        <w:t xml:space="preserve"> </w:t>
      </w:r>
      <w:r>
        <w:t xml:space="preserve">expanded direct action, often pushing established organisations toward more confrontational tactics; violent responses to protest in</w:t>
      </w:r>
      <w:r>
        <w:t xml:space="preserve"> </w:t>
      </w:r>
      <w:r>
        <w:rPr>
          <w:bCs/>
          <w:b/>
        </w:rPr>
        <w:t xml:space="preserve">Birmingham</w:t>
      </w:r>
      <w:r>
        <w:t xml:space="preserve"> </w:t>
      </w:r>
      <w:r>
        <w:t xml:space="preserve">attracted national attention, and the</w:t>
      </w:r>
      <w:r>
        <w:t xml:space="preserve"> </w:t>
      </w:r>
      <w:r>
        <w:rPr>
          <w:bCs/>
          <w:b/>
        </w:rPr>
        <w:t xml:space="preserve">March on Washington (August 1963)</w:t>
      </w:r>
      <w:r>
        <w:t xml:space="preserve"> </w:t>
      </w:r>
      <w:r>
        <w:t xml:space="preserve">linked civil rights with jobs and economic justice. The</w:t>
      </w:r>
      <w:r>
        <w:t xml:space="preserve"> </w:t>
      </w:r>
      <w:r>
        <w:rPr>
          <w:bCs/>
          <w:b/>
        </w:rPr>
        <w:t xml:space="preserve">Civil Rights Act (1964)</w:t>
      </w:r>
      <w:r>
        <w:t xml:space="preserve"> </w:t>
      </w:r>
      <w:r>
        <w:t xml:space="preserve">and</w:t>
      </w:r>
      <w:r>
        <w:t xml:space="preserve"> </w:t>
      </w:r>
      <w:r>
        <w:rPr>
          <w:bCs/>
          <w:b/>
        </w:rPr>
        <w:t xml:space="preserve">Voting Rights Act (1965)</w:t>
      </w:r>
      <w:r>
        <w:t xml:space="preserve"> </w:t>
      </w:r>
      <w:r>
        <w:t xml:space="preserve">attacked segregation, discrimination and voting barriers respectively — federal enforcement was essential given extensive state resistance.</w:t>
      </w:r>
    </w:p>
    <w:bookmarkEnd w:id="140"/>
    <w:bookmarkStart w:id="141" w:name="beyond-1965"/>
    <w:p>
      <w:pPr>
        <w:pStyle w:val="Heading2"/>
      </w:pPr>
      <w:r>
        <w:t xml:space="preserve">Beyond 1965</w:t>
      </w:r>
    </w:p>
    <w:p>
      <w:pPr>
        <w:pStyle w:val="FirstParagraph"/>
      </w:pPr>
      <w:r>
        <w:t xml:space="preserve">Legal victories did not automatically eliminate disparities in housing, wealth, policing, education or political representation; urban inequality, economic justice, policing and Black Power currents became increasingly important, showing civil-rights activism continued in new forms well after the landmark 1964–65 legislation.</w:t>
      </w:r>
    </w:p>
    <w:bookmarkEnd w:id="141"/>
    <w:bookmarkStart w:id="142" w:name="key-terms-and-concepts-14"/>
    <w:p>
      <w:pPr>
        <w:pStyle w:val="Heading2"/>
      </w:pPr>
      <w:r>
        <w:t xml:space="preserve">Key Terms and Concepts</w:t>
      </w:r>
    </w:p>
    <w:p>
      <w:pPr>
        <w:numPr>
          <w:ilvl w:val="0"/>
          <w:numId w:val="1081"/>
        </w:numPr>
        <w:pStyle w:val="Compact"/>
      </w:pPr>
      <w:r>
        <w:rPr>
          <w:bCs/>
          <w:b/>
        </w:rPr>
        <w:t xml:space="preserve">Brown v. Board of Education (1954):</w:t>
      </w:r>
      <w:r>
        <w:t xml:space="preserve"> </w:t>
      </w:r>
      <w:r>
        <w:t xml:space="preserve">The Supreme Court decision declaring school segregation unconstitutional, though implementation was slow and resisted.</w:t>
      </w:r>
    </w:p>
    <w:bookmarkEnd w:id="142"/>
    <w:bookmarkStart w:id="143" w:name="preparation-toolkit-16"/>
    <w:p>
      <w:pPr>
        <w:pStyle w:val="Heading2"/>
      </w:pPr>
      <w:r>
        <w:t xml:space="preserve">Preparation Toolkit</w:t>
      </w:r>
    </w:p>
    <w:p>
      <w:pPr>
        <w:pStyle w:val="FirstParagraph"/>
      </w:pPr>
      <w:r>
        <w:rPr>
          <w:bCs/>
          <w:b/>
        </w:rPr>
        <w:t xml:space="preserve">Preparation Checklist</w:t>
      </w:r>
    </w:p>
    <w:p>
      <w:pPr>
        <w:numPr>
          <w:ilvl w:val="0"/>
          <w:numId w:val="1082"/>
        </w:numPr>
        <w:pStyle w:val="Compact"/>
      </w:pPr>
      <w:r>
        <w:t xml:space="preserve">Prepare the movement as a combination of courts, grassroots activists, national leaders, media, federal government and local resistance; avoid making one famous leader the entire story.</w:t>
      </w:r>
    </w:p>
    <w:p>
      <w:pPr>
        <w:pStyle w:val="FirstParagraph"/>
      </w:pPr>
      <w:r>
        <w:rPr>
          <w:bCs/>
          <w:b/>
        </w:rPr>
        <w:t xml:space="preserve">Common Confusions to Avoid</w:t>
      </w:r>
    </w:p>
    <w:p>
      <w:pPr>
        <w:numPr>
          <w:ilvl w:val="0"/>
          <w:numId w:val="1083"/>
        </w:numPr>
        <w:pStyle w:val="Compact"/>
      </w:pPr>
      <w:r>
        <w:t xml:space="preserve">Do not make Martin Luther King Jr. the entire movement.</w:t>
      </w:r>
    </w:p>
    <w:p>
      <w:pPr>
        <w:numPr>
          <w:ilvl w:val="0"/>
          <w:numId w:val="1083"/>
        </w:numPr>
        <w:pStyle w:val="Compact"/>
      </w:pPr>
      <w:r>
        <w:t xml:space="preserve">Do not say Brown immediately integrated all schools; resistance was extensive and implementation was slow.</w:t>
      </w:r>
    </w:p>
    <w:p>
      <w:pPr>
        <w:numPr>
          <w:ilvl w:val="0"/>
          <w:numId w:val="1083"/>
        </w:numPr>
        <w:pStyle w:val="Compact"/>
      </w:pPr>
      <w:r>
        <w:t xml:space="preserve">Do not treat passage of the 1964 and 1965 laws as the end of racial inequality.</w:t>
      </w:r>
    </w:p>
    <w:p>
      <w:pPr>
        <w:pStyle w:val="FirstParagraph"/>
      </w:pPr>
      <w:r>
        <w:rPr>
          <w:bCs/>
          <w:b/>
        </w:rPr>
        <w:t xml:space="preserve">Easy Revision Points</w:t>
      </w:r>
    </w:p>
    <w:p>
      <w:pPr>
        <w:numPr>
          <w:ilvl w:val="0"/>
          <w:numId w:val="1084"/>
        </w:numPr>
        <w:pStyle w:val="Compact"/>
      </w:pPr>
      <w:r>
        <w:t xml:space="preserve">Brown v. Board of Education (1954) declared school segregation unconstitutional.</w:t>
      </w:r>
    </w:p>
    <w:p>
      <w:pPr>
        <w:numPr>
          <w:ilvl w:val="0"/>
          <w:numId w:val="1084"/>
        </w:numPr>
        <w:pStyle w:val="Compact"/>
      </w:pPr>
      <w:r>
        <w:t xml:space="preserve">The Montgomery bus boycott (1955–56) and the March on Washington (1963) were major movement milestones.</w:t>
      </w:r>
    </w:p>
    <w:p>
      <w:pPr>
        <w:numPr>
          <w:ilvl w:val="0"/>
          <w:numId w:val="1084"/>
        </w:numPr>
        <w:pStyle w:val="Compact"/>
      </w:pPr>
      <w:r>
        <w:t xml:space="preserve">The Civil Rights Act (1964) and Voting Rights Act (1965) targeted discrimination and voting barriers respectively.</w:t>
      </w:r>
    </w:p>
    <w:bookmarkEnd w:id="143"/>
    <w:bookmarkStart w:id="144" w:name="key-takeaways-16"/>
    <w:p>
      <w:pPr>
        <w:pStyle w:val="Heading2"/>
      </w:pPr>
      <w:r>
        <w:t xml:space="preserve">Key Takeaways</w:t>
      </w:r>
    </w:p>
    <w:p>
      <w:pPr>
        <w:numPr>
          <w:ilvl w:val="0"/>
          <w:numId w:val="1085"/>
        </w:numPr>
        <w:pStyle w:val="Compact"/>
      </w:pPr>
      <w:r>
        <w:t xml:space="preserve">Present civil rights as a broad movement with legal, grassroots, and political dimensions together — never a biography of one leader.</w:t>
      </w:r>
    </w:p>
    <w:p>
      <w:pPr>
        <w:numPr>
          <w:ilvl w:val="0"/>
          <w:numId w:val="1085"/>
        </w:numPr>
        <w:pStyle w:val="Compact"/>
      </w:pPr>
      <w:r>
        <w:t xml:space="preserve">Legal victories (1954, 1964, 1965) mark essential milestones, not the end point, of the struggle for racial equality.</w:t>
      </w:r>
    </w:p>
    <w:bookmarkEnd w:id="144"/>
    <w:bookmarkEnd w:id="145"/>
    <w:bookmarkStart w:id="151" w:name="X10086de199c4e9686bc82a8d669541fbdd91f6c"/>
    <w:p>
      <w:pPr>
        <w:pStyle w:val="Heading1"/>
        <w:pageBreakBefore/>
      </w:pPr>
      <w:r>
        <w:t xml:space="preserve">18. Role of the USA in International Conflicts</w:t>
      </w:r>
    </w:p>
    <w:bookmarkStart w:id="146" w:name="why-this-topic-matters-17"/>
    <w:p>
      <w:pPr>
        <w:pStyle w:val="Heading2"/>
      </w:pPr>
      <w:r>
        <w:t xml:space="preserve">Why This Topic Matters</w:t>
      </w:r>
    </w:p>
    <w:p>
      <w:pPr>
        <w:pStyle w:val="FirstParagraph"/>
      </w:pPr>
      <w:r>
        <w:t xml:space="preserve">This topic should be answered through selected case studies, not a chronological catalogue of every U.S. war — for each case, ask why the U.S. intervened, under what legal/alliance framework, what military result followed, and whether the political objective actually succeeded.</w:t>
      </w:r>
    </w:p>
    <w:bookmarkEnd w:id="146"/>
    <w:bookmarkStart w:id="147" w:name="case-studies-in-brief"/>
    <w:p>
      <w:pPr>
        <w:pStyle w:val="Heading2"/>
      </w:pPr>
      <w:r>
        <w:t xml:space="preserve">Case Studies in Brief</w:t>
      </w:r>
    </w:p>
    <w:p>
      <w:pPr>
        <w:pStyle w:val="FirstParagraph"/>
      </w:pPr>
      <w:r>
        <w:rPr>
          <w:bCs/>
          <w:b/>
        </w:rPr>
        <w:t xml:space="preserve">Korea</w:t>
      </w:r>
      <w:r>
        <w:t xml:space="preserve"> </w:t>
      </w:r>
      <w:r>
        <w:t xml:space="preserve">was fought under UN Command after North Korea’s invasion, preventing South Korea’s conquest without reunifying the peninsula.</w:t>
      </w:r>
      <w:r>
        <w:t xml:space="preserve"> </w:t>
      </w:r>
      <w:r>
        <w:rPr>
          <w:bCs/>
          <w:b/>
        </w:rPr>
        <w:t xml:space="preserve">Vietnam</w:t>
      </w:r>
      <w:r>
        <w:t xml:space="preserve"> </w:t>
      </w:r>
      <w:r>
        <w:t xml:space="preserve">demonstrated that military superiority cannot easily produce a stable political outcome where local legitimacy and nationalism are genuinely contested. The</w:t>
      </w:r>
      <w:r>
        <w:t xml:space="preserve"> </w:t>
      </w:r>
      <w:r>
        <w:rPr>
          <w:bCs/>
          <w:b/>
        </w:rPr>
        <w:t xml:space="preserve">1991 Gulf War</w:t>
      </w:r>
      <w:r>
        <w:t xml:space="preserve"> </w:t>
      </w:r>
      <w:r>
        <w:t xml:space="preserve">operated under clear UN Security Council authorisation to expel Iraqi forces from Kuwait, achieving its limited military objective without attempting permanent occupation. U.S./NATO involvement in the</w:t>
      </w:r>
      <w:r>
        <w:t xml:space="preserve"> </w:t>
      </w:r>
      <w:r>
        <w:rPr>
          <w:bCs/>
          <w:b/>
        </w:rPr>
        <w:t xml:space="preserve">Balkans</w:t>
      </w:r>
      <w:r>
        <w:t xml:space="preserve"> </w:t>
      </w:r>
      <w:r>
        <w:t xml:space="preserve">(Bosnia, Kosovo) reflected post-Cold War concern with European security and humanitarian crisis, with legal and political bases differing between the two operations.</w:t>
      </w:r>
      <w:r>
        <w:t xml:space="preserve"> </w:t>
      </w:r>
      <w:r>
        <w:rPr>
          <w:bCs/>
          <w:b/>
        </w:rPr>
        <w:t xml:space="preserve">Afghanistan</w:t>
      </w:r>
      <w:r>
        <w:t xml:space="preserve"> </w:t>
      </w:r>
      <w:r>
        <w:t xml:space="preserve">(post-9/11) quickly removed the Taliban government but evolved into a long counterinsurgency and state-building effort, with the later Taliban return highlighting the difficulty of converting military success into durable political order.</w:t>
      </w:r>
      <w:r>
        <w:t xml:space="preserve"> </w:t>
      </w:r>
      <w:r>
        <w:rPr>
          <w:bCs/>
          <w:b/>
        </w:rPr>
        <w:t xml:space="preserve">Iraq (2003)</w:t>
      </w:r>
      <w:r>
        <w:t xml:space="preserve"> </w:t>
      </w:r>
      <w:r>
        <w:t xml:space="preserve">removed Saddam Hussein but produced prolonged insurgency, sectarian conflict, and major controversy over intelligence and international law — a central example of the risks of preventive war and occupation.</w:t>
      </w:r>
    </w:p>
    <w:bookmarkEnd w:id="147"/>
    <w:bookmarkStart w:id="148" w:name="key-terms-and-concepts-15"/>
    <w:p>
      <w:pPr>
        <w:pStyle w:val="Heading2"/>
      </w:pPr>
      <w:r>
        <w:t xml:space="preserve">Key Terms and Concepts</w:t>
      </w:r>
    </w:p>
    <w:p>
      <w:pPr>
        <w:numPr>
          <w:ilvl w:val="0"/>
          <w:numId w:val="1086"/>
        </w:numPr>
        <w:pStyle w:val="Compact"/>
      </w:pPr>
      <w:r>
        <w:rPr>
          <w:bCs/>
          <w:b/>
        </w:rPr>
        <w:t xml:space="preserve">Case-study method:</w:t>
      </w:r>
      <w:r>
        <w:t xml:space="preserve"> </w:t>
      </w:r>
      <w:r>
        <w:t xml:space="preserve">The analytical approach of selecting representative conflicts and applying a consistent framework (cause, legal basis, means, outcome, long-term consequence) rather than cataloguing every intervention.</w:t>
      </w:r>
    </w:p>
    <w:bookmarkEnd w:id="148"/>
    <w:bookmarkStart w:id="149" w:name="preparation-toolkit-17"/>
    <w:p>
      <w:pPr>
        <w:pStyle w:val="Heading2"/>
      </w:pPr>
      <w:r>
        <w:t xml:space="preserve">Preparation Toolkit</w:t>
      </w:r>
    </w:p>
    <w:p>
      <w:pPr>
        <w:pStyle w:val="FirstParagraph"/>
      </w:pPr>
      <w:r>
        <w:rPr>
          <w:bCs/>
          <w:b/>
        </w:rPr>
        <w:t xml:space="preserve">Preparation Checklist</w:t>
      </w:r>
    </w:p>
    <w:p>
      <w:pPr>
        <w:numPr>
          <w:ilvl w:val="0"/>
          <w:numId w:val="1087"/>
        </w:numPr>
        <w:pStyle w:val="Compact"/>
      </w:pPr>
      <w:r>
        <w:t xml:space="preserve">Select 3–4 representative cases and use the same analytical framework for each: why intervene, legal/political basis, means used, outcome, cost, long-term consequence.</w:t>
      </w:r>
    </w:p>
    <w:p>
      <w:pPr>
        <w:pStyle w:val="FirstParagraph"/>
      </w:pPr>
      <w:r>
        <w:rPr>
          <w:bCs/>
          <w:b/>
        </w:rPr>
        <w:t xml:space="preserve">Common Confusions to Avoid</w:t>
      </w:r>
    </w:p>
    <w:p>
      <w:pPr>
        <w:numPr>
          <w:ilvl w:val="0"/>
          <w:numId w:val="1088"/>
        </w:numPr>
        <w:pStyle w:val="Compact"/>
      </w:pPr>
      <w:r>
        <w:t xml:space="preserve">Do not list wars without evaluating goals and outcomes.</w:t>
      </w:r>
    </w:p>
    <w:p>
      <w:pPr>
        <w:numPr>
          <w:ilvl w:val="0"/>
          <w:numId w:val="1088"/>
        </w:numPr>
        <w:pStyle w:val="Compact"/>
      </w:pPr>
      <w:r>
        <w:t xml:space="preserve">Do not assume every U.S. intervention had the same legal basis.</w:t>
      </w:r>
    </w:p>
    <w:p>
      <w:pPr>
        <w:numPr>
          <w:ilvl w:val="0"/>
          <w:numId w:val="1088"/>
        </w:numPr>
        <w:pStyle w:val="Compact"/>
      </w:pPr>
      <w:r>
        <w:t xml:space="preserve">Do not equate battlefield victory with long-term political success.</w:t>
      </w:r>
    </w:p>
    <w:p>
      <w:pPr>
        <w:pStyle w:val="FirstParagraph"/>
      </w:pPr>
      <w:r>
        <w:rPr>
          <w:bCs/>
          <w:b/>
        </w:rPr>
        <w:t xml:space="preserve">Easy Revision Points</w:t>
      </w:r>
    </w:p>
    <w:p>
      <w:pPr>
        <w:numPr>
          <w:ilvl w:val="0"/>
          <w:numId w:val="1089"/>
        </w:numPr>
        <w:pStyle w:val="Compact"/>
      </w:pPr>
      <w:r>
        <w:t xml:space="preserve">The Korean War (1950–53) was fought under UN command; the Gulf War (1991) had explicit UN Security Council authorisation.</w:t>
      </w:r>
    </w:p>
    <w:p>
      <w:pPr>
        <w:numPr>
          <w:ilvl w:val="0"/>
          <w:numId w:val="1089"/>
        </w:numPr>
        <w:pStyle w:val="Compact"/>
      </w:pPr>
      <w:r>
        <w:t xml:space="preserve">Vietnam and the post-2001 Afghanistan/Iraq wars each demonstrated the limits of converting military capability into durable political success.</w:t>
      </w:r>
    </w:p>
    <w:bookmarkEnd w:id="149"/>
    <w:bookmarkStart w:id="150" w:name="key-takeaways-17"/>
    <w:p>
      <w:pPr>
        <w:pStyle w:val="Heading2"/>
      </w:pPr>
      <w:r>
        <w:t xml:space="preserve">Key Takeaways</w:t>
      </w:r>
    </w:p>
    <w:p>
      <w:pPr>
        <w:numPr>
          <w:ilvl w:val="0"/>
          <w:numId w:val="1090"/>
        </w:numPr>
        <w:pStyle w:val="Compact"/>
      </w:pPr>
      <w:r>
        <w:t xml:space="preserve">Use a consistent analytical framework (cause, legal basis, means, outcome, consequence) across a small number of case studies, rather than attempting comprehensive coverage.</w:t>
      </w:r>
    </w:p>
    <w:p>
      <w:pPr>
        <w:numPr>
          <w:ilvl w:val="0"/>
          <w:numId w:val="1090"/>
        </w:numPr>
        <w:pStyle w:val="Compact"/>
      </w:pPr>
      <w:r>
        <w:t xml:space="preserve">Legal and political bases for U.S. intervention varied significantly across cases (UN authorisation, NATO framework, unilateral action) — never assume uniformity.</w:t>
      </w:r>
    </w:p>
    <w:bookmarkEnd w:id="150"/>
    <w:bookmarkEnd w:id="151"/>
    <w:bookmarkStart w:id="158" w:name="Xbaf421a1f9240f6d6a165401c67e7acf0e67c9d"/>
    <w:p>
      <w:pPr>
        <w:pStyle w:val="Heading1"/>
        <w:pageBreakBefore/>
      </w:pPr>
      <w:r>
        <w:t xml:space="preserve">19. Presidential Election in the United States</w:t>
      </w:r>
    </w:p>
    <w:bookmarkStart w:id="152" w:name="why-this-topic-matters-18"/>
    <w:p>
      <w:pPr>
        <w:pStyle w:val="Heading2"/>
      </w:pPr>
      <w:r>
        <w:t xml:space="preserve">Why This Topic Matters</w:t>
      </w:r>
    </w:p>
    <w:p>
      <w:pPr>
        <w:pStyle w:val="FirstParagraph"/>
      </w:pPr>
      <w:r>
        <w:t xml:space="preserve">Americans do not directly elect the president by national popular vote — this is the topic’s single most important, and most commonly misunderstood, fact, and mastering the nomination-to-inauguration flowchart resolves most confusion.</w:t>
      </w:r>
    </w:p>
    <w:bookmarkEnd w:id="152"/>
    <w:bookmarkStart w:id="153" w:name="from-nomination-to-the-electoral-college"/>
    <w:p>
      <w:pPr>
        <w:pStyle w:val="Heading2"/>
      </w:pPr>
      <w:r>
        <w:t xml:space="preserve">From Nomination to the Electoral College</w:t>
      </w:r>
    </w:p>
    <w:p>
      <w:pPr>
        <w:pStyle w:val="FirstParagraph"/>
      </w:pPr>
      <w:r>
        <w:t xml:space="preserve">Major parties use state primaries and caucuses to select convention delegates (rules vary by party and state), with national conventions typically confirming results already determined through the primary process. Voters cast ballots in November, but legally they choose a slate of</w:t>
      </w:r>
      <w:r>
        <w:t xml:space="preserve"> </w:t>
      </w:r>
      <w:r>
        <w:rPr>
          <w:bCs/>
          <w:b/>
        </w:rPr>
        <w:t xml:space="preserve">electors</w:t>
      </w:r>
      <w:r>
        <w:t xml:space="preserve"> </w:t>
      </w:r>
      <w:r>
        <w:t xml:space="preserve">pledged to a candidate; each state receives electors equal to its House seats plus two senators, with the District of Columbia receiving electors under the</w:t>
      </w:r>
      <w:r>
        <w:t xml:space="preserve"> </w:t>
      </w:r>
      <w:r>
        <w:rPr>
          <w:bCs/>
          <w:b/>
        </w:rPr>
        <w:t xml:space="preserve">23rd Amendment</w:t>
      </w:r>
      <w:r>
        <w:t xml:space="preserve">. Most states award electors</w:t>
      </w:r>
      <w:r>
        <w:t xml:space="preserve"> </w:t>
      </w:r>
      <w:r>
        <w:rPr>
          <w:bCs/>
          <w:b/>
        </w:rPr>
        <w:t xml:space="preserve">winner-take-all</w:t>
      </w:r>
      <w:r>
        <w:t xml:space="preserve">, while</w:t>
      </w:r>
      <w:r>
        <w:t xml:space="preserve"> </w:t>
      </w:r>
      <w:r>
        <w:rPr>
          <w:bCs/>
          <w:b/>
        </w:rPr>
        <w:t xml:space="preserve">Maine and Nebraska</w:t>
      </w:r>
      <w:r>
        <w:t xml:space="preserve"> </w:t>
      </w:r>
      <w:r>
        <w:t xml:space="preserve">use a district-based method — an important exception, though not a purely proportional system.</w:t>
      </w:r>
    </w:p>
    <w:bookmarkEnd w:id="153"/>
    <w:bookmarkStart w:id="154" w:name="resolving-ties-and-certification"/>
    <w:p>
      <w:pPr>
        <w:pStyle w:val="Heading2"/>
      </w:pPr>
      <w:r>
        <w:t xml:space="preserve">Resolving Ties and Certification</w:t>
      </w:r>
    </w:p>
    <w:p>
      <w:pPr>
        <w:pStyle w:val="FirstParagraph"/>
      </w:pPr>
      <w:r>
        <w:t xml:space="preserve">If no candidate receives the constitutionally required majority of electors, the</w:t>
      </w:r>
      <w:r>
        <w:t xml:space="preserve"> </w:t>
      </w:r>
      <w:r>
        <w:rPr>
          <w:bCs/>
          <w:b/>
        </w:rPr>
        <w:t xml:space="preserve">House of Representatives</w:t>
      </w:r>
      <w:r>
        <w:t xml:space="preserve"> </w:t>
      </w:r>
      <w:r>
        <w:t xml:space="preserve">chooses the president by state delegations under the</w:t>
      </w:r>
      <w:r>
        <w:t xml:space="preserve"> </w:t>
      </w:r>
      <w:r>
        <w:rPr>
          <w:bCs/>
          <w:b/>
        </w:rPr>
        <w:t xml:space="preserve">12th Amendment</w:t>
      </w:r>
      <w:r>
        <w:t xml:space="preserve">. Electoral votes are formally counted in Congress, and the president’s term begins at noon on</w:t>
      </w:r>
      <w:r>
        <w:t xml:space="preserve"> </w:t>
      </w:r>
      <w:r>
        <w:rPr>
          <w:bCs/>
          <w:b/>
        </w:rPr>
        <w:t xml:space="preserve">20 January</w:t>
      </w:r>
      <w:r>
        <w:t xml:space="preserve"> </w:t>
      </w:r>
      <w:r>
        <w:t xml:space="preserve">under the</w:t>
      </w:r>
      <w:r>
        <w:t xml:space="preserve"> </w:t>
      </w:r>
      <w:r>
        <w:rPr>
          <w:bCs/>
          <w:b/>
        </w:rPr>
        <w:t xml:space="preserve">20th Amendment</w:t>
      </w:r>
      <w:r>
        <w:t xml:space="preserve"> </w:t>
      </w:r>
      <w:r>
        <w:t xml:space="preserve">— explaining precisely how a candidate can win the presidency without winning the national popular vote.</w:t>
      </w:r>
    </w:p>
    <w:bookmarkEnd w:id="154"/>
    <w:bookmarkStart w:id="155" w:name="key-terms-and-concepts-16"/>
    <w:p>
      <w:pPr>
        <w:pStyle w:val="Heading2"/>
      </w:pPr>
      <w:r>
        <w:t xml:space="preserve">Key Terms and Concepts</w:t>
      </w:r>
    </w:p>
    <w:p>
      <w:pPr>
        <w:numPr>
          <w:ilvl w:val="0"/>
          <w:numId w:val="1091"/>
        </w:numPr>
        <w:pStyle w:val="Compact"/>
      </w:pPr>
      <w:r>
        <w:rPr>
          <w:bCs/>
          <w:b/>
        </w:rPr>
        <w:t xml:space="preserve">Electoral College:</w:t>
      </w:r>
      <w:r>
        <w:t xml:space="preserve"> </w:t>
      </w:r>
      <w:r>
        <w:t xml:space="preserve">The constitutionally mandated system of state-based electors, not a direct national popular vote, that formally selects the president.</w:t>
      </w:r>
    </w:p>
    <w:p>
      <w:pPr>
        <w:numPr>
          <w:ilvl w:val="0"/>
          <w:numId w:val="1091"/>
        </w:numPr>
        <w:pStyle w:val="Compact"/>
      </w:pPr>
      <w:r>
        <w:rPr>
          <w:bCs/>
          <w:b/>
        </w:rPr>
        <w:t xml:space="preserve">12th Amendment contingent election:</w:t>
      </w:r>
      <w:r>
        <w:t xml:space="preserve"> </w:t>
      </w:r>
      <w:r>
        <w:t xml:space="preserve">The House-by-state-delegation procedure used if no candidate achieves an Electoral College majority.</w:t>
      </w:r>
    </w:p>
    <w:bookmarkEnd w:id="155"/>
    <w:bookmarkStart w:id="156" w:name="preparation-toolkit-18"/>
    <w:p>
      <w:pPr>
        <w:pStyle w:val="Heading2"/>
      </w:pPr>
      <w:r>
        <w:t xml:space="preserve">Preparation Toolkit</w:t>
      </w:r>
    </w:p>
    <w:p>
      <w:pPr>
        <w:pStyle w:val="FirstParagraph"/>
      </w:pPr>
      <w:r>
        <w:rPr>
          <w:bCs/>
          <w:b/>
        </w:rPr>
        <w:t xml:space="preserve">Preparation Checklist</w:t>
      </w:r>
    </w:p>
    <w:p>
      <w:pPr>
        <w:numPr>
          <w:ilvl w:val="0"/>
          <w:numId w:val="1092"/>
        </w:numPr>
        <w:pStyle w:val="Compact"/>
      </w:pPr>
      <w:r>
        <w:t xml:space="preserve">Draw a flowchart from candidate nomination to inauguration; practise explaining precisely how a candidate can win the presidency without the national popular vote.</w:t>
      </w:r>
    </w:p>
    <w:p>
      <w:pPr>
        <w:pStyle w:val="FirstParagraph"/>
      </w:pPr>
      <w:r>
        <w:rPr>
          <w:bCs/>
          <w:b/>
        </w:rPr>
        <w:t xml:space="preserve">Common Confusions to Avoid</w:t>
      </w:r>
    </w:p>
    <w:p>
      <w:pPr>
        <w:numPr>
          <w:ilvl w:val="0"/>
          <w:numId w:val="1093"/>
        </w:numPr>
        <w:pStyle w:val="Compact"/>
      </w:pPr>
      <w:r>
        <w:t xml:space="preserve">Do not say Americans directly elect the president by nationwide popular vote.</w:t>
      </w:r>
    </w:p>
    <w:p>
      <w:pPr>
        <w:numPr>
          <w:ilvl w:val="0"/>
          <w:numId w:val="1093"/>
        </w:numPr>
        <w:pStyle w:val="Compact"/>
      </w:pPr>
      <w:r>
        <w:t xml:space="preserve">Do not say each state has electors based only on population; Senate representation adds two electors to every state’s House allocation.</w:t>
      </w:r>
    </w:p>
    <w:p>
      <w:pPr>
        <w:numPr>
          <w:ilvl w:val="0"/>
          <w:numId w:val="1093"/>
        </w:numPr>
        <w:pStyle w:val="Compact"/>
      </w:pPr>
      <w:r>
        <w:t xml:space="preserve">Do not claim the Electoral College can be abolished by an ordinary Act of Congress; a constitutional amendment would be required.</w:t>
      </w:r>
    </w:p>
    <w:p>
      <w:pPr>
        <w:pStyle w:val="FirstParagraph"/>
      </w:pPr>
      <w:r>
        <w:rPr>
          <w:bCs/>
          <w:b/>
        </w:rPr>
        <w:t xml:space="preserve">Easy Revision Points</w:t>
      </w:r>
    </w:p>
    <w:p>
      <w:pPr>
        <w:numPr>
          <w:ilvl w:val="0"/>
          <w:numId w:val="1094"/>
        </w:numPr>
        <w:pStyle w:val="Compact"/>
      </w:pPr>
      <w:r>
        <w:t xml:space="preserve">Each state’s electors equal its total senators plus representatives; DC receives electors under the 23rd Amendment.</w:t>
      </w:r>
    </w:p>
    <w:p>
      <w:pPr>
        <w:numPr>
          <w:ilvl w:val="0"/>
          <w:numId w:val="1094"/>
        </w:numPr>
        <w:pStyle w:val="Compact"/>
      </w:pPr>
      <w:r>
        <w:t xml:space="preserve">Most states use winner-take-all allocation; Maine and Nebraska use a district-based variation.</w:t>
      </w:r>
    </w:p>
    <w:p>
      <w:pPr>
        <w:numPr>
          <w:ilvl w:val="0"/>
          <w:numId w:val="1094"/>
        </w:numPr>
        <w:pStyle w:val="Compact"/>
      </w:pPr>
      <w:r>
        <w:t xml:space="preserve">If no candidate has an Electoral College majority, the House chooses the president by state delegations under the 12th Amendment.</w:t>
      </w:r>
    </w:p>
    <w:bookmarkEnd w:id="156"/>
    <w:bookmarkStart w:id="157" w:name="key-takeaways-18"/>
    <w:p>
      <w:pPr>
        <w:pStyle w:val="Heading2"/>
      </w:pPr>
      <w:r>
        <w:t xml:space="preserve">Key Takeaways</w:t>
      </w:r>
    </w:p>
    <w:p>
      <w:pPr>
        <w:numPr>
          <w:ilvl w:val="0"/>
          <w:numId w:val="1095"/>
        </w:numPr>
        <w:pStyle w:val="Compact"/>
      </w:pPr>
      <w:r>
        <w:t xml:space="preserve">Master the process as a flowchart, and be able to explain precisely how the Electoral College can diverge from the national popular vote.</w:t>
      </w:r>
    </w:p>
    <w:p>
      <w:pPr>
        <w:numPr>
          <w:ilvl w:val="0"/>
          <w:numId w:val="1095"/>
        </w:numPr>
        <w:pStyle w:val="Compact"/>
      </w:pPr>
      <w:r>
        <w:t xml:space="preserve">Abolishing the Electoral College would require a constitutional amendment, not ordinary legislation — a frequently tested precision point.</w:t>
      </w:r>
    </w:p>
    <w:bookmarkEnd w:id="157"/>
    <w:bookmarkEnd w:id="158"/>
    <w:bookmarkStart w:id="165" w:name="the-united-states-congress"/>
    <w:p>
      <w:pPr>
        <w:pStyle w:val="Heading1"/>
        <w:pageBreakBefore/>
      </w:pPr>
      <w:r>
        <w:t xml:space="preserve">20. The United States Congress</w:t>
      </w:r>
    </w:p>
    <w:bookmarkStart w:id="159" w:name="why-this-topic-matters-19"/>
    <w:p>
      <w:pPr>
        <w:pStyle w:val="Heading2"/>
      </w:pPr>
      <w:r>
        <w:t xml:space="preserve">Why This Topic Matters</w:t>
      </w:r>
    </w:p>
    <w:p>
      <w:pPr>
        <w:pStyle w:val="FirstParagraph"/>
      </w:pPr>
      <w:r>
        <w:t xml:space="preserve">The House and Senate are deliberately different institutions, not two versions of the same chamber — lawmaking requires negotiation across two bodies with genuinely different rules, terms and powers.</w:t>
      </w:r>
    </w:p>
    <w:bookmarkEnd w:id="159"/>
    <w:bookmarkStart w:id="160" w:name="two-deliberately-different-chambers"/>
    <w:p>
      <w:pPr>
        <w:pStyle w:val="Heading2"/>
      </w:pPr>
      <w:r>
        <w:t xml:space="preserve">Two Deliberately Different Chambers</w:t>
      </w:r>
    </w:p>
    <w:p>
      <w:pPr>
        <w:pStyle w:val="FirstParagraph"/>
      </w:pPr>
      <w:r>
        <w:rPr>
          <w:bCs/>
          <w:b/>
        </w:rPr>
        <w:t xml:space="preserve">House</w:t>
      </w:r>
      <w:r>
        <w:t xml:space="preserve"> </w:t>
      </w:r>
      <w:r>
        <w:t xml:space="preserve">seats are apportioned among states by population, with members serving two-year terms; revenue bills originate in the House, which holds the sole power to impeach federal officials. The</w:t>
      </w:r>
      <w:r>
        <w:t xml:space="preserve"> </w:t>
      </w:r>
      <w:r>
        <w:rPr>
          <w:bCs/>
          <w:b/>
        </w:rPr>
        <w:t xml:space="preserve">Senate</w:t>
      </w:r>
      <w:r>
        <w:t xml:space="preserve"> </w:t>
      </w:r>
      <w:r>
        <w:t xml:space="preserve">gives each state two senators serving six-year staggered terms, confirms many presidential appointments, consents to treaties, and conducts impeachment trials. Most legislative work occurs in</w:t>
      </w:r>
      <w:r>
        <w:t xml:space="preserve"> </w:t>
      </w:r>
      <w:r>
        <w:rPr>
          <w:bCs/>
          <w:b/>
        </w:rPr>
        <w:t xml:space="preserve">committees and subcommittees</w:t>
      </w:r>
      <w:r>
        <w:t xml:space="preserve">, which hold hearings, revise bills and conduct oversight — committee expertise and leadership strongly shape which proposals ever reach the floor.</w:t>
      </w:r>
    </w:p>
    <w:bookmarkEnd w:id="160"/>
    <w:bookmarkStart w:id="161" w:name="lawmaking-and-oversight"/>
    <w:p>
      <w:pPr>
        <w:pStyle w:val="Heading2"/>
      </w:pPr>
      <w:r>
        <w:t xml:space="preserve">Lawmaking and Oversight</w:t>
      </w:r>
    </w:p>
    <w:p>
      <w:pPr>
        <w:pStyle w:val="FirstParagraph"/>
      </w:pPr>
      <w:r>
        <w:t xml:space="preserve">A bill generally must pass both chambers in identical form before receiving presidential approval or surviving a veto, with differences between House and Senate versions often requiring negotiation. Congress’s</w:t>
      </w:r>
      <w:r>
        <w:t xml:space="preserve"> </w:t>
      </w:r>
      <w:r>
        <w:rPr>
          <w:bCs/>
          <w:b/>
        </w:rPr>
        <w:t xml:space="preserve">power of the purse</w:t>
      </w:r>
      <w:r>
        <w:t xml:space="preserve"> </w:t>
      </w:r>
      <w:r>
        <w:t xml:space="preserve">— authorising taxation and spending, appropriating federal funds — is one of its strongest checks on executive policy, and hearings, investigations, reporting requirements and subpoena powers allow both policy-oriented and partisan oversight of executive agencies. Congress also declares war, funds the military, and shares treaty/appointment roles with the executive — foreign policy is constitutionally</w:t>
      </w:r>
      <w:r>
        <w:t xml:space="preserve"> </w:t>
      </w:r>
      <w:r>
        <w:rPr>
          <w:bCs/>
          <w:b/>
        </w:rPr>
        <w:t xml:space="preserve">shared</w:t>
      </w:r>
      <w:r>
        <w:t xml:space="preserve">, not controlled by the president alone.</w:t>
      </w:r>
    </w:p>
    <w:bookmarkEnd w:id="161"/>
    <w:bookmarkStart w:id="162" w:name="key-terms-and-concepts-17"/>
    <w:p>
      <w:pPr>
        <w:pStyle w:val="Heading2"/>
      </w:pPr>
      <w:r>
        <w:t xml:space="preserve">Key Terms and Concepts</w:t>
      </w:r>
    </w:p>
    <w:p>
      <w:pPr>
        <w:numPr>
          <w:ilvl w:val="0"/>
          <w:numId w:val="1096"/>
        </w:numPr>
        <w:pStyle w:val="Compact"/>
      </w:pPr>
      <w:r>
        <w:rPr>
          <w:bCs/>
          <w:b/>
        </w:rPr>
        <w:t xml:space="preserve">Power of the purse:</w:t>
      </w:r>
      <w:r>
        <w:t xml:space="preserve"> </w:t>
      </w:r>
      <w:r>
        <w:t xml:space="preserve">Congress’s constitutional authority over taxation and appropriations, among its strongest checks on the executive.</w:t>
      </w:r>
    </w:p>
    <w:bookmarkEnd w:id="162"/>
    <w:bookmarkStart w:id="163" w:name="preparation-toolkit-19"/>
    <w:p>
      <w:pPr>
        <w:pStyle w:val="Heading2"/>
      </w:pPr>
      <w:r>
        <w:t xml:space="preserve">Preparation Toolkit</w:t>
      </w:r>
    </w:p>
    <w:p>
      <w:pPr>
        <w:pStyle w:val="FirstParagraph"/>
      </w:pPr>
      <w:r>
        <w:rPr>
          <w:bCs/>
          <w:b/>
        </w:rPr>
        <w:t xml:space="preserve">Preparation Checklist</w:t>
      </w:r>
    </w:p>
    <w:p>
      <w:pPr>
        <w:numPr>
          <w:ilvl w:val="0"/>
          <w:numId w:val="1097"/>
        </w:numPr>
        <w:pStyle w:val="Compact"/>
      </w:pPr>
      <w:r>
        <w:t xml:space="preserve">Make a House-versus-Senate table; learn the bill process from introduction through committees, both chambers, conference and presidential action; add each chamber’s special constitutional powers.</w:t>
      </w:r>
    </w:p>
    <w:p>
      <w:pPr>
        <w:pStyle w:val="FirstParagraph"/>
      </w:pPr>
      <w:r>
        <w:rPr>
          <w:bCs/>
          <w:b/>
        </w:rPr>
        <w:t xml:space="preserve">Common Confusions to Avoid</w:t>
      </w:r>
    </w:p>
    <w:p>
      <w:pPr>
        <w:numPr>
          <w:ilvl w:val="0"/>
          <w:numId w:val="1098"/>
        </w:numPr>
        <w:pStyle w:val="Compact"/>
      </w:pPr>
      <w:r>
        <w:t xml:space="preserve">Do not say House and Senate have identical powers.</w:t>
      </w:r>
    </w:p>
    <w:p>
      <w:pPr>
        <w:numPr>
          <w:ilvl w:val="0"/>
          <w:numId w:val="1098"/>
        </w:numPr>
        <w:pStyle w:val="Compact"/>
      </w:pPr>
      <w:r>
        <w:t xml:space="preserve">Do not treat committees as minor administrative units; they are central to lawmaking and oversight.</w:t>
      </w:r>
    </w:p>
    <w:p>
      <w:pPr>
        <w:numPr>
          <w:ilvl w:val="0"/>
          <w:numId w:val="1098"/>
        </w:numPr>
        <w:pStyle w:val="Compact"/>
      </w:pPr>
      <w:r>
        <w:t xml:space="preserve">Do not assume the president can spend federal money without congressional appropriations.</w:t>
      </w:r>
    </w:p>
    <w:p>
      <w:pPr>
        <w:pStyle w:val="FirstParagraph"/>
      </w:pPr>
      <w:r>
        <w:rPr>
          <w:bCs/>
          <w:b/>
        </w:rPr>
        <w:t xml:space="preserve">Easy Revision Points</w:t>
      </w:r>
    </w:p>
    <w:p>
      <w:pPr>
        <w:numPr>
          <w:ilvl w:val="0"/>
          <w:numId w:val="1099"/>
        </w:numPr>
        <w:pStyle w:val="Compact"/>
      </w:pPr>
      <w:r>
        <w:t xml:space="preserve">The House is apportioned by population with two-year terms; the Senate gives two senators per state with six-year staggered terms.</w:t>
      </w:r>
    </w:p>
    <w:p>
      <w:pPr>
        <w:numPr>
          <w:ilvl w:val="0"/>
          <w:numId w:val="1099"/>
        </w:numPr>
        <w:pStyle w:val="Compact"/>
      </w:pPr>
      <w:r>
        <w:t xml:space="preserve">The House has sole power of impeachment; the Senate conducts impeachment trials and confirms treaties/nominations.</w:t>
      </w:r>
    </w:p>
    <w:p>
      <w:pPr>
        <w:numPr>
          <w:ilvl w:val="0"/>
          <w:numId w:val="1099"/>
        </w:numPr>
        <w:pStyle w:val="Compact"/>
      </w:pPr>
      <w:r>
        <w:t xml:space="preserve">Congress controls federal appropriations and taxation.</w:t>
      </w:r>
    </w:p>
    <w:bookmarkEnd w:id="163"/>
    <w:bookmarkStart w:id="164" w:name="key-takeaways-19"/>
    <w:p>
      <w:pPr>
        <w:pStyle w:val="Heading2"/>
      </w:pPr>
      <w:r>
        <w:t xml:space="preserve">Key Takeaways</w:t>
      </w:r>
    </w:p>
    <w:p>
      <w:pPr>
        <w:numPr>
          <w:ilvl w:val="0"/>
          <w:numId w:val="1100"/>
        </w:numPr>
        <w:pStyle w:val="Compact"/>
      </w:pPr>
      <w:r>
        <w:t xml:space="preserve">Know precisely what both chambers share, what only one chamber can do, and how Congress checks the executive through law, money and oversight.</w:t>
      </w:r>
    </w:p>
    <w:p>
      <w:pPr>
        <w:numPr>
          <w:ilvl w:val="0"/>
          <w:numId w:val="1100"/>
        </w:numPr>
        <w:pStyle w:val="Compact"/>
      </w:pPr>
      <w:r>
        <w:t xml:space="preserve">Foreign policy is constitutionally shared between Congress and the president — never solely presidential, despite common popular assumption.</w:t>
      </w:r>
    </w:p>
    <w:bookmarkEnd w:id="164"/>
    <w:bookmarkEnd w:id="165"/>
    <w:bookmarkStart w:id="172" w:name="X62cc5916b0c3e253a85d789fa0f2ba81e3a7593"/>
    <w:p>
      <w:pPr>
        <w:pStyle w:val="Heading1"/>
        <w:pageBreakBefore/>
      </w:pPr>
      <w:r>
        <w:t xml:space="preserve">21. Separation of Powers and Checks and Balances</w:t>
      </w:r>
    </w:p>
    <w:bookmarkStart w:id="166" w:name="why-this-topic-matters-20"/>
    <w:p>
      <w:pPr>
        <w:pStyle w:val="Heading2"/>
      </w:pPr>
      <w:r>
        <w:t xml:space="preserve">Why This Topic Matters</w:t>
      </w:r>
    </w:p>
    <w:p>
      <w:pPr>
        <w:pStyle w:val="FirstParagraph"/>
      </w:pPr>
      <w:r>
        <w:t xml:space="preserve">If a candidate can draw who checks whom and give one real constitutional example for each arrow, they understand this topic — and separation of powers (federal branches) must never be confused with federalism (national-state division, Topic 5).</w:t>
      </w:r>
    </w:p>
    <w:bookmarkEnd w:id="166"/>
    <w:bookmarkStart w:id="167" w:name="how-the-branches-check-each-other"/>
    <w:p>
      <w:pPr>
        <w:pStyle w:val="Heading2"/>
      </w:pPr>
      <w:r>
        <w:t xml:space="preserve">How the Branches Check Each Other</w:t>
      </w:r>
    </w:p>
    <w:p>
      <w:pPr>
        <w:pStyle w:val="FirstParagraph"/>
      </w:pPr>
      <w:r>
        <w:t xml:space="preserve">Congress can refuse funding, conduct investigations, override vetoes, reject nominations or treaties in the Senate, and impeach/remove federal officials through the House-Senate process. The president can veto legislation and use executive visibility and administrative authority to shape policy, with veto threats often influencing legislation before a bill even reaches the White House. Federal courts can hold laws or executive actions unconstitutional through</w:t>
      </w:r>
      <w:r>
        <w:t xml:space="preserve"> </w:t>
      </w:r>
      <w:r>
        <w:rPr>
          <w:bCs/>
          <w:b/>
        </w:rPr>
        <w:t xml:space="preserve">judicial review</w:t>
      </w:r>
      <w:r>
        <w:t xml:space="preserve"> </w:t>
      </w:r>
      <w:r>
        <w:t xml:space="preserve">(Topic 5), though courts depend on cases being brought before them and cannot enforce every decision independently; presidents nominate federal judges and the Senate confirms them, giving the political branches real influence over judicial composition in turn.</w:t>
      </w:r>
    </w:p>
    <w:bookmarkEnd w:id="167"/>
    <w:bookmarkStart w:id="168" w:name="shared-powers-and-divided-government"/>
    <w:p>
      <w:pPr>
        <w:pStyle w:val="Heading2"/>
      </w:pPr>
      <w:r>
        <w:t xml:space="preserve">Shared Powers and Divided Government</w:t>
      </w:r>
    </w:p>
    <w:p>
      <w:pPr>
        <w:pStyle w:val="FirstParagraph"/>
      </w:pPr>
      <w:r>
        <w:t xml:space="preserve">Foreign affairs, appointments, budgeting and war powers all demonstrate that constitutional powers overlap by deliberate design, requiring cooperation rather than complete control by any single branch. When different parties control Congress and the presidency (</w:t>
      </w:r>
      <w:r>
        <w:rPr>
          <w:bCs/>
          <w:b/>
        </w:rPr>
        <w:t xml:space="preserve">divided government</w:t>
      </w:r>
      <w:r>
        <w:t xml:space="preserve">), institutional checks intensify — gridlock may frustrate policy, but it is also a direct product of a system deliberately designed to make large changes difficult without broad agreement.</w:t>
      </w:r>
    </w:p>
    <w:bookmarkEnd w:id="168"/>
    <w:bookmarkStart w:id="169" w:name="key-terms-and-concepts-18"/>
    <w:p>
      <w:pPr>
        <w:pStyle w:val="Heading2"/>
      </w:pPr>
      <w:r>
        <w:t xml:space="preserve">Key Terms and Concepts</w:t>
      </w:r>
    </w:p>
    <w:p>
      <w:pPr>
        <w:numPr>
          <w:ilvl w:val="0"/>
          <w:numId w:val="1101"/>
        </w:numPr>
        <w:pStyle w:val="Compact"/>
      </w:pPr>
      <w:r>
        <w:rPr>
          <w:bCs/>
          <w:b/>
        </w:rPr>
        <w:t xml:space="preserve">Divided government:</w:t>
      </w:r>
      <w:r>
        <w:t xml:space="preserve"> </w:t>
      </w:r>
      <w:r>
        <w:t xml:space="preserve">The situation where different parties control Congress and the presidency, intensifying institutional checks and often producing legislative gridlock.</w:t>
      </w:r>
    </w:p>
    <w:bookmarkEnd w:id="169"/>
    <w:bookmarkStart w:id="170" w:name="preparation-toolkit-20"/>
    <w:p>
      <w:pPr>
        <w:pStyle w:val="Heading2"/>
      </w:pPr>
      <w:r>
        <w:t xml:space="preserve">Preparation Toolkit</w:t>
      </w:r>
    </w:p>
    <w:p>
      <w:pPr>
        <w:pStyle w:val="FirstParagraph"/>
      </w:pPr>
      <w:r>
        <w:rPr>
          <w:bCs/>
          <w:b/>
        </w:rPr>
        <w:t xml:space="preserve">Preparation Checklist</w:t>
      </w:r>
    </w:p>
    <w:p>
      <w:pPr>
        <w:numPr>
          <w:ilvl w:val="0"/>
          <w:numId w:val="1102"/>
        </w:numPr>
        <w:pStyle w:val="Compact"/>
      </w:pPr>
      <w:r>
        <w:t xml:space="preserve">Create a triangle diagram: Congress checks president/courts; president checks Congress and appoints judges; courts review laws/executive actions; add real constitutional examples rather than memorising abstract definitions.</w:t>
      </w:r>
    </w:p>
    <w:p>
      <w:pPr>
        <w:pStyle w:val="FirstParagraph"/>
      </w:pPr>
      <w:r>
        <w:rPr>
          <w:bCs/>
          <w:b/>
        </w:rPr>
        <w:t xml:space="preserve">Common Confusions to Avoid</w:t>
      </w:r>
    </w:p>
    <w:p>
      <w:pPr>
        <w:numPr>
          <w:ilvl w:val="0"/>
          <w:numId w:val="1103"/>
        </w:numPr>
        <w:pStyle w:val="Compact"/>
      </w:pPr>
      <w:r>
        <w:t xml:space="preserve">Do not define separation of powers as complete isolation of the branches; many powers are shared by design.</w:t>
      </w:r>
    </w:p>
    <w:p>
      <w:pPr>
        <w:numPr>
          <w:ilvl w:val="0"/>
          <w:numId w:val="1103"/>
        </w:numPr>
        <w:pStyle w:val="Compact"/>
      </w:pPr>
      <w:r>
        <w:t xml:space="preserve">Do not confuse checks and balances with federalism.</w:t>
      </w:r>
    </w:p>
    <w:p>
      <w:pPr>
        <w:numPr>
          <w:ilvl w:val="0"/>
          <w:numId w:val="1103"/>
        </w:numPr>
        <w:pStyle w:val="Compact"/>
      </w:pPr>
      <w:r>
        <w:t xml:space="preserve">Do not assume judicial review gives courts unlimited power; courts are constrained by jurisdiction, precedent, appointments and constitutional structure.</w:t>
      </w:r>
    </w:p>
    <w:p>
      <w:pPr>
        <w:pStyle w:val="FirstParagraph"/>
      </w:pPr>
      <w:r>
        <w:rPr>
          <w:bCs/>
          <w:b/>
        </w:rPr>
        <w:t xml:space="preserve">Easy Revision Points</w:t>
      </w:r>
    </w:p>
    <w:p>
      <w:pPr>
        <w:numPr>
          <w:ilvl w:val="0"/>
          <w:numId w:val="1104"/>
        </w:numPr>
        <w:pStyle w:val="Compact"/>
      </w:pPr>
      <w:r>
        <w:t xml:space="preserve">The president may veto legislation; Congress can override with a two-thirds vote in each chamber.</w:t>
      </w:r>
    </w:p>
    <w:p>
      <w:pPr>
        <w:numPr>
          <w:ilvl w:val="0"/>
          <w:numId w:val="1104"/>
        </w:numPr>
        <w:pStyle w:val="Compact"/>
      </w:pPr>
      <w:r>
        <w:t xml:space="preserve">The Senate confirms many appointments and consents to treaties by required supermajority.</w:t>
      </w:r>
    </w:p>
    <w:p>
      <w:pPr>
        <w:numPr>
          <w:ilvl w:val="0"/>
          <w:numId w:val="1104"/>
        </w:numPr>
        <w:pStyle w:val="Compact"/>
      </w:pPr>
      <w:r>
        <w:t xml:space="preserve">Marbury v. Madison (1803) is the foundational case establishing judicial review.</w:t>
      </w:r>
    </w:p>
    <w:bookmarkEnd w:id="170"/>
    <w:bookmarkStart w:id="171" w:name="key-takeaways-20"/>
    <w:p>
      <w:pPr>
        <w:pStyle w:val="Heading2"/>
      </w:pPr>
      <w:r>
        <w:t xml:space="preserve">Key Takeaways</w:t>
      </w:r>
    </w:p>
    <w:p>
      <w:pPr>
        <w:numPr>
          <w:ilvl w:val="0"/>
          <w:numId w:val="1105"/>
        </w:numPr>
        <w:pStyle w:val="Compact"/>
      </w:pPr>
      <w:r>
        <w:t xml:space="preserve">Separation of powers means controlled interaction and shared power by design, never complete isolation of the three branches.</w:t>
      </w:r>
    </w:p>
    <w:p>
      <w:pPr>
        <w:numPr>
          <w:ilvl w:val="0"/>
          <w:numId w:val="1105"/>
        </w:numPr>
        <w:pStyle w:val="Compact"/>
      </w:pPr>
      <w:r>
        <w:t xml:space="preserve">Keep separation of powers (horizontal, among federal branches) and federalism (vertical, national-state) permanently distinct — the single most valuable precision point across both this topic and Topic 5.</w:t>
      </w:r>
    </w:p>
    <w:bookmarkEnd w:id="171"/>
    <w:bookmarkEnd w:id="172"/>
    <w:bookmarkStart w:id="173" w:name="final-revision-strategy-for-this-subject"/>
    <w:p>
      <w:pPr>
        <w:pStyle w:val="Heading1"/>
        <w:pageBreakBefore/>
      </w:pPr>
      <w:r>
        <w:t xml:space="preserve">Final Revision Strategy for This Subject</w:t>
      </w:r>
    </w:p>
    <w:p>
      <w:pPr>
        <w:pStyle w:val="FirstParagraph"/>
      </w:pPr>
      <w:r>
        <w:t xml:space="preserve">Use a three-column timeline (domestic politics, territorial/economic change, foreign policy) for every period; for constitutional topics, learn institutions through actual powers and named examples rather than slogans; keep slavery central to Civil War causation while explaining the surrounding federalism and party-collapse context; track twentieth-century foreign policy as a sequence of changing strategies (isolation, intervention, containment, détente, post-Cold War primacy) rather than one fixed doctrine; and use case-study depth rather than exhaustive lists for broad topics such as international conflicts, international concerns, and global perceptions.</w:t>
      </w:r>
    </w:p>
    <w:bookmarkEnd w:id="173"/>
    <w:bookmarkStart w:id="175" w:name="references-and-further-reading"/>
    <w:p>
      <w:pPr>
        <w:pStyle w:val="Heading1"/>
        <w:pageBreakBefore/>
      </w:pPr>
      <w:r>
        <w:t xml:space="preserve">References and Further Reading</w:t>
      </w:r>
    </w:p>
    <w:p>
      <w:pPr>
        <w:numPr>
          <w:ilvl w:val="0"/>
          <w:numId w:val="1106"/>
        </w:numPr>
        <w:pStyle w:val="Compact"/>
      </w:pPr>
      <w:r>
        <w:t xml:space="preserve">Eric Foner,</w:t>
      </w:r>
      <w:r>
        <w:t xml:space="preserve"> </w:t>
      </w:r>
      <w:r>
        <w:rPr>
          <w:iCs/>
          <w:i/>
        </w:rPr>
        <w:t xml:space="preserve">Give Me Liberty! An American History</w:t>
      </w:r>
      <w:r>
        <w:t xml:space="preserve"> </w:t>
      </w:r>
      <w:r>
        <w:t xml:space="preserve">— a widely used comprehensive survey covering the full chronological range of this subject.</w:t>
      </w:r>
    </w:p>
    <w:p>
      <w:pPr>
        <w:numPr>
          <w:ilvl w:val="0"/>
          <w:numId w:val="1106"/>
        </w:numPr>
        <w:pStyle w:val="Compact"/>
      </w:pPr>
      <w:r>
        <w:t xml:space="preserve">George Brown Tindall and David Emory Shi,</w:t>
      </w:r>
      <w:r>
        <w:t xml:space="preserve"> </w:t>
      </w:r>
      <w:r>
        <w:rPr>
          <w:iCs/>
          <w:i/>
        </w:rPr>
        <w:t xml:space="preserve">America: A Narrative History</w:t>
      </w:r>
      <w:r>
        <w:t xml:space="preserve"> </w:t>
      </w:r>
      <w:r>
        <w:t xml:space="preserve">— a standard alternative survey text.</w:t>
      </w:r>
    </w:p>
    <w:p>
      <w:pPr>
        <w:numPr>
          <w:ilvl w:val="0"/>
          <w:numId w:val="1106"/>
        </w:numPr>
        <w:pStyle w:val="Compact"/>
      </w:pPr>
      <w:r>
        <w:t xml:space="preserve">U.S. National Archives — Constitution, Electoral College and statehood proclamations: https://www.archives.gov/</w:t>
      </w:r>
    </w:p>
    <w:p>
      <w:pPr>
        <w:numPr>
          <w:ilvl w:val="0"/>
          <w:numId w:val="1106"/>
        </w:numPr>
        <w:pStyle w:val="Compact"/>
      </w:pPr>
      <w:r>
        <w:t xml:space="preserve">U.S. Senate — Constitution, impeachment, treaty and institutional powers: https://www.senate.gov/</w:t>
      </w:r>
    </w:p>
    <w:p>
      <w:pPr>
        <w:numPr>
          <w:ilvl w:val="0"/>
          <w:numId w:val="1106"/>
        </w:numPr>
        <w:pStyle w:val="Compact"/>
      </w:pPr>
      <w:r>
        <w:t xml:space="preserve">Federal Public Service Commission — CSS Syllabi: https://www.fpsc.gov.pk/category/css-syllabi</w:t>
      </w:r>
    </w:p>
    <w:bookmarkStart w:id="174" w:name="important-note-on-historical-accuracy"/>
    <w:p>
      <w:pPr>
        <w:pStyle w:val="Heading2"/>
      </w:pPr>
      <w:r>
        <w:t xml:space="preserve">Important Note on Historical Accuracy</w:t>
      </w:r>
    </w:p>
    <w:p>
      <w:pPr>
        <w:pStyle w:val="FirstParagraph"/>
      </w:pPr>
      <w:r>
        <w:t xml:space="preserve">This resource has corrected two historical inaccuracies printed in the official FPSC syllabus headings (the</w:t>
      </w:r>
      <w:r>
        <w:t xml:space="preserve"> </w:t>
      </w:r>
      <w:r>
        <w:t xml:space="preserve">“</w:t>
      </w:r>
      <w:r>
        <w:t xml:space="preserve">13 to 50 States (1820–1949)</w:t>
      </w:r>
      <w:r>
        <w:t xml:space="preserve">”</w:t>
      </w:r>
      <w:r>
        <w:t xml:space="preserve"> </w:t>
      </w:r>
      <w:r>
        <w:t xml:space="preserve">date range in Topic 4, and the phrase</w:t>
      </w:r>
      <w:r>
        <w:t xml:space="preserve"> </w:t>
      </w:r>
      <w:r>
        <w:t xml:space="preserve">“</w:t>
      </w:r>
      <w:r>
        <w:t xml:space="preserve">North and East</w:t>
      </w:r>
      <w:r>
        <w:t xml:space="preserve">”</w:t>
      </w:r>
      <w:r>
        <w:t xml:space="preserve"> </w:t>
      </w:r>
      <w:r>
        <w:t xml:space="preserve">in Topic 6) while preserving the official wording as the syllabus heading itself, exactly as the original crash-course notes did. Where historical interpretation is genuinely disputed — for instance, the balance of causes behind the Great Depression, or the effectiveness of specific New Deal programmes — this resource presents the balance of evidence rather than a single simplified verdict.</w:t>
      </w:r>
    </w:p>
    <w:bookmarkEnd w:id="174"/>
    <w:bookmarkEnd w:id="175"/>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pPr>
    <w:rPr>
      <w:rFonts w:ascii="Calibri" w:hAnsi="Calibri"/>
      <w:b w:val="0"/>
      <w:sz w:val="23"/>
    </w:rPr>
  </w:style>
  <w:style w:styleId="BodyText" w:type="paragraph">
    <w:name w:val="Body Text"/>
    <w:basedOn w:val="Normal"/>
    <w:link w:val="BodyTextChar"/>
    <w:pPr>
      <w:spacing w:after="160" w:before="180"/>
    </w:pPr>
    <w:qFormat/>
    <w:rPr>
      <w:rFonts w:ascii="Calibri" w:hAnsi="Calibri"/>
      <w:sz w:val="23"/>
    </w:rPr>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36"/>
    </w:pPr>
    <w:rPr>
      <w:rFonts w:ascii="Calibri" w:hAnsi="Calibri"/>
      <w:sz w:val="23"/>
    </w:rPr>
  </w:style>
  <w:style w:styleId="Title" w:type="paragraph">
    <w:name w:val="Title"/>
    <w:basedOn w:val="Normal"/>
    <w:next w:val="BodyText"/>
    <w:qFormat/>
    <w:pPr>
      <w:keepNext/>
      <w:keepLines/>
      <w:spacing w:after="120" w:before="480"/>
      <w:jc w:val="center"/>
    </w:pPr>
    <w:rPr>
      <w:rFonts w:ascii="Calibri" w:asciiTheme="majorHAnsi" w:cstheme="majorBidi" w:eastAsiaTheme="majorEastAsia" w:hAnsi="Calibri" w:hAnsiTheme="majorHAnsi"/>
      <w:b/>
      <w:bCs/>
      <w:color w:val="1B2A4A"/>
      <w:sz w:val="52"/>
      <w:szCs w:val="36"/>
    </w:rPr>
  </w:style>
  <w:style w:styleId="Subtitle" w:type="paragraph">
    <w:name w:val="Subtitle"/>
    <w:basedOn w:val="Title"/>
    <w:next w:val="BodyText"/>
    <w:qFormat/>
    <w:pPr>
      <w:keepNext/>
      <w:keepLines/>
      <w:spacing w:after="360" w:before="240"/>
      <w:jc w:val="center"/>
    </w:pPr>
    <w:rPr>
      <w:rFonts w:ascii="Calibri" w:hAnsi="Calibri"/>
      <w:b w:val="0"/>
      <w:color w:val="55555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pPr>
    <w:rPr>
      <w:rFonts w:ascii="Calibri" w:hAnsi="Calibri"/>
      <w:sz w:val="22"/>
    </w:rPr>
  </w:style>
  <w:style w:styleId="Heading1" w:type="paragraph">
    <w:name w:val="Heading 1"/>
    <w:basedOn w:val="Normal"/>
    <w:next w:val="BodyText"/>
    <w:uiPriority w:val="9"/>
    <w:qFormat/>
    <w:pPr>
      <w:keepNext/>
      <w:keepLines/>
      <w:spacing w:after="200" w:before="480"/>
      <w:outlineLvl w:val="0"/>
    </w:pPr>
    <w:rPr>
      <w:rFonts w:ascii="Calibri" w:asciiTheme="majorHAnsi" w:cstheme="majorBidi" w:eastAsiaTheme="majorEastAsia" w:hAnsi="Calibri" w:hAnsiTheme="majorHAnsi"/>
      <w:b/>
      <w:bCs/>
      <w:color w:val="1B2A4A"/>
      <w:sz w:val="40"/>
      <w:szCs w:val="32"/>
    </w:rPr>
  </w:style>
  <w:style w:styleId="Heading2" w:type="paragraph">
    <w:name w:val="Heading 2"/>
    <w:basedOn w:val="Normal"/>
    <w:next w:val="BodyText"/>
    <w:uiPriority w:val="9"/>
    <w:unhideWhenUsed/>
    <w:qFormat/>
    <w:pPr>
      <w:keepNext/>
      <w:keepLines/>
      <w:spacing w:after="160" w:before="320"/>
      <w:outlineLvl w:val="1"/>
    </w:pPr>
    <w:rPr>
      <w:rFonts w:ascii="Calibri" w:asciiTheme="majorHAnsi" w:cstheme="majorBidi" w:eastAsiaTheme="majorEastAsia" w:hAnsi="Calibri" w:hAnsiTheme="majorHAnsi"/>
      <w:b/>
      <w:bCs/>
      <w:color w:val="2B446B"/>
      <w:sz w:val="30"/>
      <w:szCs w:val="28"/>
    </w:rPr>
  </w:style>
  <w:style w:styleId="Heading3" w:type="paragraph">
    <w:name w:val="Heading 3"/>
    <w:basedOn w:val="Normal"/>
    <w:next w:val="BodyText"/>
    <w:uiPriority w:val="9"/>
    <w:unhideWhenUsed/>
    <w:qFormat/>
    <w:pPr>
      <w:keepNext/>
      <w:keepLines/>
      <w:spacing w:after="120" w:before="240"/>
      <w:outlineLvl w:val="2"/>
    </w:pPr>
    <w:rPr>
      <w:rFonts w:ascii="Calibri" w:asciiTheme="majorHAnsi" w:cstheme="majorBidi" w:eastAsiaTheme="majorEastAsia" w:hAnsi="Calibri" w:hAnsiTheme="majorHAnsi"/>
      <w:b/>
      <w:bCs/>
      <w:color w:val="3D5A80"/>
      <w:sz w:val="25"/>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theme="majorBidi" w:eastAsiaTheme="majorEastAsia" w:hAnsi="Calibri" w:hAnsiTheme="majorHAnsi"/>
      <w:i/>
      <w:b/>
      <w:bCs/>
      <w:color w:val="3D5A80"/>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Calibri" w:hAnsi="Calibri"/>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of USA</dc:title>
  <dc:creator/>
  <cp:keywords/>
  <dcterms:created xsi:type="dcterms:W3CDTF">2026-09-18T18:05:15Z</dcterms:created>
  <dcterms:modified xsi:type="dcterms:W3CDTF">2026-09-18T18:05:15Z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Expanded Master Study Resource — FPSC Group IV Optional Subject (Code 30, 100 Marks)</vt:lpwstr>
  </property>
</Properties>
</file>