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Islamic History &amp; Culture</w:t>
      </w:r>
    </w:p>
    <w:p>
      <w:pPr>
        <w:pStyle w:val="Subtitle"/>
      </w:pPr>
      <w:r>
        <w:t xml:space="preserve">Expanded</w:t>
      </w:r>
      <w:r>
        <w:t xml:space="preserve"> </w:t>
      </w:r>
      <w:r>
        <w:t xml:space="preserve">Master</w:t>
      </w:r>
      <w:r>
        <w:t xml:space="preserve"> </w:t>
      </w:r>
      <w:r>
        <w:t xml:space="preserve">Study</w:t>
      </w:r>
      <w:r>
        <w:t xml:space="preserve"> </w:t>
      </w:r>
      <w:r>
        <w:t xml:space="preserve">Resource</w:t>
      </w:r>
      <w:r>
        <w:t xml:space="preserve"> </w:t>
      </w:r>
      <w:r>
        <w:t xml:space="preserve">—</w:t>
      </w:r>
      <w:r>
        <w:t xml:space="preserve"> </w:t>
      </w:r>
      <w:r>
        <w:t xml:space="preserve">FPSC</w:t>
      </w:r>
      <w:r>
        <w:t xml:space="preserve"> </w:t>
      </w:r>
      <w:r>
        <w:t xml:space="preserve">Group</w:t>
      </w:r>
      <w:r>
        <w:t xml:space="preserve"> </w:t>
      </w:r>
      <w:r>
        <w:t xml:space="preserve">IV</w:t>
      </w:r>
      <w:r>
        <w:t xml:space="preserve"> </w:t>
      </w:r>
      <w:r>
        <w:t xml:space="preserve">Optional</w:t>
      </w:r>
      <w:r>
        <w:t xml:space="preserve"> </w:t>
      </w:r>
      <w:r>
        <w:t xml:space="preserve">Subject</w:t>
      </w:r>
      <w:r>
        <w:t xml:space="preserve"> </w:t>
      </w:r>
      <w:r>
        <w:t xml:space="preserve">(Code</w:t>
      </w:r>
      <w:r>
        <w:t xml:space="preserve"> </w:t>
      </w:r>
      <w:r>
        <w:t xml:space="preserve">27,</w:t>
      </w:r>
      <w:r>
        <w:t xml:space="preserve"> </w:t>
      </w:r>
      <w:r>
        <w:t xml:space="preserve">100</w:t>
      </w:r>
      <w:r>
        <w:t xml:space="preserve"> </w:t>
      </w:r>
      <w:r>
        <w:t xml:space="preserve">Marks)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how-to-use-this-resource"/>
    <w:p>
      <w:pPr>
        <w:pStyle w:val="Heading1"/>
      </w:pPr>
      <w:r>
        <w:t xml:space="preserve">How to Use This Resource</w:t>
      </w:r>
    </w:p>
    <w:p>
      <w:pPr>
        <w:pStyle w:val="FirstParagraph"/>
      </w:pPr>
      <w:r>
        <w:t xml:space="preserve">This resource expands the original</w:t>
      </w:r>
      <w:r>
        <w:t xml:space="preserve"> </w:t>
      </w:r>
      <w:r>
        <w:rPr>
          <w:iCs/>
          <w:i/>
        </w:rPr>
        <w:t xml:space="preserve">Group IV Easy Crash Course</w:t>
      </w:r>
      <w:r>
        <w:t xml:space="preserve"> </w:t>
      </w:r>
      <w:r>
        <w:t xml:space="preserve">chapter on Islamic History &amp; Culture into a fuller teaching text, while preserving every preparation checklist,</w:t>
      </w:r>
      <w:r>
        <w:t xml:space="preserve"> </w:t>
      </w:r>
      <w:r>
        <w:t xml:space="preserve">“</w:t>
      </w:r>
      <w:r>
        <w:t xml:space="preserve">common confusion,</w:t>
      </w:r>
      <w:r>
        <w:t xml:space="preserve">”</w:t>
      </w:r>
      <w:r>
        <w:t xml:space="preserve"> </w:t>
      </w:r>
      <w:r>
        <w:t xml:space="preserve">and</w:t>
      </w:r>
      <w:r>
        <w:t xml:space="preserve"> </w:t>
      </w:r>
      <w:r>
        <w:t xml:space="preserve">“</w:t>
      </w:r>
      <w:r>
        <w:t xml:space="preserve">easy revision point</w:t>
      </w:r>
      <w:r>
        <w:t xml:space="preserve">”</w:t>
      </w:r>
      <w:r>
        <w:t xml:space="preserve"> </w:t>
      </w:r>
      <w:r>
        <w:t xml:space="preserve">from the original notes. Each topic below adds background, a fuller explanation of the concepts the original bullets only named, key terms, and a closing</w:t>
      </w:r>
      <w:r>
        <w:t xml:space="preserve"> </w:t>
      </w:r>
      <w:r>
        <w:t xml:space="preserve">“</w:t>
      </w:r>
      <w:r>
        <w:t xml:space="preserve">Key Takeaways</w:t>
      </w:r>
      <w:r>
        <w:t xml:space="preserve">”</w:t>
      </w:r>
      <w:r>
        <w:t xml:space="preserve"> </w:t>
      </w:r>
      <w:r>
        <w:t xml:space="preserve">section.</w:t>
      </w:r>
    </w:p>
    <w:p>
      <w:pPr>
        <w:pStyle w:val="BodyText"/>
      </w:pPr>
      <w:r>
        <w:t xml:space="preserve">A general caution for this whole subject: it covers religious history, sectarian disputes, and colonial-era reform debates, all of which remain intellectually and sometimes politically sensitive. This resource follows the original notes’ own approach — careful, descriptive historical language, explicit acknowledgment of where scholarly or sectarian interpretation differs, and avoidance of both devotional legend presented as verified fact and reductive, one-line civilizational narratives in either direction.</w:t>
      </w:r>
    </w:p>
    <w:bookmarkStart w:id="20" w:name="official-syllabus-at-a-glance"/>
    <w:p>
      <w:pPr>
        <w:pStyle w:val="Heading2"/>
      </w:pPr>
      <w:r>
        <w:t xml:space="preserve">Official Syllabus at a Glance</w:t>
      </w:r>
    </w:p>
    <w:p>
      <w:pPr>
        <w:numPr>
          <w:ilvl w:val="0"/>
          <w:numId w:val="1001"/>
        </w:numPr>
        <w:pStyle w:val="Compact"/>
      </w:pPr>
      <w:r>
        <w:rPr>
          <w:bCs/>
          <w:b/>
        </w:rPr>
        <w:t xml:space="preserve">I. Pre-Islamic Near East:</w:t>
      </w:r>
      <w:r>
        <w:t xml:space="preserve"> </w:t>
      </w:r>
      <w:r>
        <w:t xml:space="preserve">political, social, economic and religious conditions of Arabia and neighboring empires.</w:t>
      </w:r>
    </w:p>
    <w:p>
      <w:pPr>
        <w:numPr>
          <w:ilvl w:val="0"/>
          <w:numId w:val="1001"/>
        </w:numPr>
        <w:pStyle w:val="Compact"/>
      </w:pPr>
      <w:r>
        <w:rPr>
          <w:bCs/>
          <w:b/>
        </w:rPr>
        <w:t xml:space="preserve">II. The Prophetic Age (570–632 CE):</w:t>
      </w:r>
      <w:r>
        <w:t xml:space="preserve"> </w:t>
      </w:r>
      <w:r>
        <w:t xml:space="preserve">life and mission of the Prophet Muhammad ﷺ, including his roles as Da’i, military strategist and political leader.</w:t>
      </w:r>
    </w:p>
    <w:p>
      <w:pPr>
        <w:numPr>
          <w:ilvl w:val="0"/>
          <w:numId w:val="1001"/>
        </w:numPr>
        <w:pStyle w:val="Compact"/>
      </w:pPr>
      <w:r>
        <w:rPr>
          <w:bCs/>
          <w:b/>
        </w:rPr>
        <w:t xml:space="preserve">III. The Pious Caliphate:</w:t>
      </w:r>
      <w:r>
        <w:t xml:space="preserve"> </w:t>
      </w:r>
      <w:r>
        <w:t xml:space="preserve">Abu Bakr, Umar, Uthman, Ali, Hasan and the transition to Umayyad rule.</w:t>
      </w:r>
    </w:p>
    <w:p>
      <w:pPr>
        <w:numPr>
          <w:ilvl w:val="0"/>
          <w:numId w:val="1001"/>
        </w:numPr>
        <w:pStyle w:val="Compact"/>
      </w:pPr>
      <w:r>
        <w:rPr>
          <w:bCs/>
          <w:b/>
        </w:rPr>
        <w:t xml:space="preserve">IV. Political System of Islam:</w:t>
      </w:r>
      <w:r>
        <w:t xml:space="preserve"> </w:t>
      </w:r>
      <w:r>
        <w:t xml:space="preserve">nature and form of the Islamic state, functions, sovereignty, vicegerency, appointment of the Caliph and Shura.</w:t>
      </w:r>
    </w:p>
    <w:p>
      <w:pPr>
        <w:numPr>
          <w:ilvl w:val="0"/>
          <w:numId w:val="1001"/>
        </w:numPr>
        <w:pStyle w:val="Compact"/>
      </w:pPr>
      <w:r>
        <w:rPr>
          <w:bCs/>
          <w:b/>
        </w:rPr>
        <w:t xml:space="preserve">V. Institutional Development:</w:t>
      </w:r>
      <w:r>
        <w:t xml:space="preserve"> </w:t>
      </w:r>
      <w:r>
        <w:t xml:space="preserve">law, administration, defense, education, propagation of faith, finance and culture.</w:t>
      </w:r>
    </w:p>
    <w:p>
      <w:pPr>
        <w:numPr>
          <w:ilvl w:val="0"/>
          <w:numId w:val="1001"/>
        </w:numPr>
        <w:pStyle w:val="Compact"/>
      </w:pPr>
      <w:r>
        <w:rPr>
          <w:bCs/>
          <w:b/>
        </w:rPr>
        <w:t xml:space="preserve">VI. Umayyads:</w:t>
      </w:r>
      <w:r>
        <w:t xml:space="preserve"> </w:t>
      </w:r>
      <w:r>
        <w:t xml:space="preserve">political history, administration, society, Arabic literature and culture.</w:t>
      </w:r>
    </w:p>
    <w:p>
      <w:pPr>
        <w:numPr>
          <w:ilvl w:val="0"/>
          <w:numId w:val="1001"/>
        </w:numPr>
        <w:pStyle w:val="Compact"/>
      </w:pPr>
      <w:r>
        <w:rPr>
          <w:bCs/>
          <w:b/>
        </w:rPr>
        <w:t xml:space="preserve">VII. Abbasids:</w:t>
      </w:r>
      <w:r>
        <w:t xml:space="preserve"> </w:t>
      </w:r>
      <w:r>
        <w:t xml:space="preserve">political development, administration, intellectual life, science, literature, art and culture.</w:t>
      </w:r>
    </w:p>
    <w:p>
      <w:pPr>
        <w:numPr>
          <w:ilvl w:val="0"/>
          <w:numId w:val="1001"/>
        </w:numPr>
        <w:pStyle w:val="Compact"/>
      </w:pPr>
      <w:r>
        <w:rPr>
          <w:bCs/>
          <w:b/>
        </w:rPr>
        <w:t xml:space="preserve">VIII. Muslim Spain:</w:t>
      </w:r>
      <w:r>
        <w:t xml:space="preserve"> </w:t>
      </w:r>
      <w:r>
        <w:t xml:space="preserve">conquest, Umayyad rule in al-Andalus, later dynasties, society, scholarship, arts and decline.</w:t>
      </w:r>
    </w:p>
    <w:p>
      <w:pPr>
        <w:numPr>
          <w:ilvl w:val="0"/>
          <w:numId w:val="1001"/>
        </w:numPr>
        <w:pStyle w:val="Compact"/>
      </w:pPr>
      <w:r>
        <w:rPr>
          <w:bCs/>
          <w:b/>
        </w:rPr>
        <w:t xml:space="preserve">IX. Crusades:</w:t>
      </w:r>
      <w:r>
        <w:t xml:space="preserve"> </w:t>
      </w:r>
      <w:r>
        <w:t xml:space="preserve">causes, major phases, Muslim response and consequences.</w:t>
      </w:r>
    </w:p>
    <w:p>
      <w:pPr>
        <w:numPr>
          <w:ilvl w:val="0"/>
          <w:numId w:val="1001"/>
        </w:numPr>
        <w:pStyle w:val="Compact"/>
      </w:pPr>
      <w:r>
        <w:rPr>
          <w:bCs/>
          <w:b/>
        </w:rPr>
        <w:t xml:space="preserve">X. Ottoman Empire:</w:t>
      </w:r>
      <w:r>
        <w:t xml:space="preserve"> </w:t>
      </w:r>
      <w:r>
        <w:t xml:space="preserve">rise, institutions, expansion, culture, reform, decline and transition to modern Turkey.</w:t>
      </w:r>
    </w:p>
    <w:p>
      <w:pPr>
        <w:numPr>
          <w:ilvl w:val="0"/>
          <w:numId w:val="1001"/>
        </w:numPr>
        <w:pStyle w:val="Compact"/>
      </w:pPr>
      <w:r>
        <w:rPr>
          <w:bCs/>
          <w:b/>
        </w:rPr>
        <w:t xml:space="preserve">XI. Sufism:</w:t>
      </w:r>
      <w:r>
        <w:t xml:space="preserve"> </w:t>
      </w:r>
      <w:r>
        <w:t xml:space="preserve">origins, major ideas, important figures/orders, social influence and relationship with political authority.</w:t>
      </w:r>
    </w:p>
    <w:p>
      <w:pPr>
        <w:numPr>
          <w:ilvl w:val="0"/>
          <w:numId w:val="1001"/>
        </w:numPr>
        <w:pStyle w:val="Compact"/>
      </w:pPr>
      <w:r>
        <w:rPr>
          <w:bCs/>
          <w:b/>
        </w:rPr>
        <w:t xml:space="preserve">XII. Islam and Modernity:</w:t>
      </w:r>
      <w:r>
        <w:t xml:space="preserve"> </w:t>
      </w:r>
      <w:r>
        <w:t xml:space="preserve">responses of Muslim thinkers to modern education, science, politics, economics, colonialism and intellectual change.</w:t>
      </w:r>
    </w:p>
    <w:bookmarkEnd w:id="20"/>
    <w:bookmarkStart w:id="21" w:name="how-to-approach-this-subject"/>
    <w:p>
      <w:pPr>
        <w:pStyle w:val="Heading2"/>
      </w:pPr>
      <w:r>
        <w:t xml:space="preserve">How to Approach This Subject</w:t>
      </w:r>
    </w:p>
    <w:p>
      <w:pPr>
        <w:numPr>
          <w:ilvl w:val="0"/>
          <w:numId w:val="1002"/>
        </w:numPr>
        <w:pStyle w:val="Compact"/>
      </w:pPr>
      <w:r>
        <w:t xml:space="preserve">Learn the broad chronology first: pre-Islamic Arabia → Prophetic period → Rightly Guided Caliphs → Umayyads → Abbasids → the major regional Muslim civilisations (al-Andalus, the Ottomans) → the modern reform era.</w:t>
      </w:r>
    </w:p>
    <w:p>
      <w:pPr>
        <w:numPr>
          <w:ilvl w:val="0"/>
          <w:numId w:val="1002"/>
        </w:numPr>
        <w:pStyle w:val="Compact"/>
      </w:pPr>
      <w:r>
        <w:t xml:space="preserve">Separate political history from civilisation throughout. A ruler-based answer alone is weak whenever a question asks about administration, science, culture or society — which the syllabus does explicitly and repeatedly.</w:t>
      </w:r>
    </w:p>
    <w:p>
      <w:pPr>
        <w:numPr>
          <w:ilvl w:val="0"/>
          <w:numId w:val="1002"/>
        </w:numPr>
        <w:pStyle w:val="Compact"/>
      </w:pPr>
      <w:r>
        <w:t xml:space="preserve">For religious-political concepts (sovereignty, vicegerency, Shura, bay’ah), define the principle first from recognised Islamic political thought, then explain how historical practice varied — never assume one fixed, modern-sounding institutional form existed throughout.</w:t>
      </w:r>
    </w:p>
    <w:p>
      <w:pPr>
        <w:numPr>
          <w:ilvl w:val="0"/>
          <w:numId w:val="1002"/>
        </w:numPr>
        <w:pStyle w:val="Compact"/>
      </w:pPr>
      <w:r>
        <w:t xml:space="preserve">For intellectual and devotional history, explain documented contributions and be explicit when a popular story is a devotional tradition rather than an independently verifiable historical fact.</w:t>
      </w:r>
    </w:p>
    <w:p>
      <w:pPr>
        <w:numPr>
          <w:ilvl w:val="0"/>
          <w:numId w:val="1002"/>
        </w:numPr>
        <w:pStyle w:val="Compact"/>
      </w:pPr>
      <w:r>
        <w:t xml:space="preserve">Use maps for Arab expansion, Abbasid administrative centres, al-Andalus, the Crusader states, and Ottoman territorial growth.</w:t>
      </w:r>
    </w:p>
    <w:bookmarkEnd w:id="21"/>
    <w:bookmarkEnd w:id="22"/>
    <w:bookmarkStart w:id="30" w:name="pre-islamic-near-east-and-arabia"/>
    <w:p>
      <w:pPr>
        <w:pStyle w:val="Heading1"/>
        <w:pageBreakBefore/>
      </w:pPr>
      <w:r>
        <w:t xml:space="preserve">1. Pre-Islamic Near East and Arabia</w:t>
      </w:r>
    </w:p>
    <w:bookmarkStart w:id="23" w:name="why-this-topic-matters"/>
    <w:p>
      <w:pPr>
        <w:pStyle w:val="Heading2"/>
      </w:pPr>
      <w:r>
        <w:t xml:space="preserve">Why This Topic Matters</w:t>
      </w:r>
    </w:p>
    <w:p>
      <w:pPr>
        <w:pStyle w:val="FirstParagraph"/>
      </w:pPr>
      <w:r>
        <w:t xml:space="preserve">This topic supplies the background needed to understand why the rise of Islam transformed Arabia and the wider Near East so rapidly. Arabia in 600 CE was not an empty or static backdrop waiting for history to begin — it had real institutions, economies, and religious diversity — and the two neighbouring empires it bordered were themselves entering a period of unusual weakness. Both facts help explain the pace and direction of what followed.</w:t>
      </w:r>
    </w:p>
    <w:bookmarkEnd w:id="23"/>
    <w:bookmarkStart w:id="24" w:name="X5d30aa269a1af68c377c433611795da2a8e19e0"/>
    <w:p>
      <w:pPr>
        <w:pStyle w:val="Heading2"/>
      </w:pPr>
      <w:r>
        <w:t xml:space="preserve">Arabia’s Geography, Economy and Tribal Order</w:t>
      </w:r>
    </w:p>
    <w:p>
      <w:pPr>
        <w:pStyle w:val="FirstParagraph"/>
      </w:pPr>
      <w:r>
        <w:t xml:space="preserve">Arabia’s physical geography — vast interior deserts, scattered oases, mountainous zones in the south-west, and a long coastline — shaped how people lived and organised themselves. Central and northern Arabia depended heavily on pastoral, herding and caravan-trading life, while Yemen and various oasis settlements supported established agricultural traditions, including sophisticated irrigation works in southern Arabia predating Islam by many centuries. Political order was organised primarily through the tribe rather than any single centralised Arabian state: tribal identity provided protection, resolved disputes, and structured leadership through a combination of lineage, personal prestige, and negotiated alliance rather than a fixed constitutional hierarchy. Mecca occupied a distinctive position within this world — an important religious centre associated with the Ka’ba, a shrine that drew pilgrims from across Arabia, and simultaneously a hub of long-distance caravan trade. The Quraysh, Mecca’s dominant tribe, derived status and material benefit from both functions together, combining religious prestige with commercial networking across the peninsula.</w:t>
      </w:r>
    </w:p>
    <w:bookmarkEnd w:id="24"/>
    <w:bookmarkStart w:id="25" w:name="religious-diversity-and-social-life"/>
    <w:p>
      <w:pPr>
        <w:pStyle w:val="Heading2"/>
      </w:pPr>
      <w:r>
        <w:t xml:space="preserve">Religious Diversity and Social Life</w:t>
      </w:r>
    </w:p>
    <w:p>
      <w:pPr>
        <w:pStyle w:val="FirstParagraph"/>
      </w:pPr>
      <w:r>
        <w:t xml:space="preserve">Polytheism was widespread across Arabia, but it existed alongside established Jewish communities (particularly in Yathrib, later Medina, and in Yemen) and Christian communities (particularly in the north and in areas with closer contact with Byzantine and Ethiopian Christianity), meaning religious ideas already circulated across the peninsula well before Islam’s emergence rather than arriving into a religious vacuum. Social life combined institutions and values later affirmed by Islamic teaching — hospitality, poetry, kinship loyalty, and established commercial custom — alongside practices Islamic teaching would go on to criticise and reform, such as certain patterns of tribal vengeance and forms of social injustice toward the vulnerable. A historically careful account distinguishes moral critique found in religious sources from an inaccurate claim that no social order existed at all before Islam; the term</w:t>
      </w:r>
      <w:r>
        <w:t xml:space="preserve"> </w:t>
      </w:r>
      <w:r>
        <w:rPr>
          <w:iCs/>
          <w:i/>
        </w:rPr>
        <w:t xml:space="preserve">Jahiliyyah</w:t>
      </w:r>
      <w:r>
        <w:t xml:space="preserve">, often translated</w:t>
      </w:r>
      <w:r>
        <w:t xml:space="preserve"> </w:t>
      </w:r>
      <w:r>
        <w:t xml:space="preserve">“</w:t>
      </w:r>
      <w:r>
        <w:t xml:space="preserve">age of ignorance,</w:t>
      </w:r>
      <w:r>
        <w:t xml:space="preserve">”</w:t>
      </w:r>
      <w:r>
        <w:t xml:space="preserve"> </w:t>
      </w:r>
      <w:r>
        <w:t xml:space="preserve">carries a specific religious and moral meaning in Islamic sources about a lack of revealed guidance, not a claim that Arabia lacked culture, trade, poetry or functioning institutions.</w:t>
      </w:r>
    </w:p>
    <w:bookmarkEnd w:id="25"/>
    <w:bookmarkStart w:id="26" w:name="the-byzantine-sasanian-rivalry"/>
    <w:p>
      <w:pPr>
        <w:pStyle w:val="Heading2"/>
      </w:pPr>
      <w:r>
        <w:t xml:space="preserve">The Byzantine-Sasanian Rivalry</w:t>
      </w:r>
    </w:p>
    <w:p>
      <w:pPr>
        <w:pStyle w:val="FirstParagraph"/>
      </w:pPr>
      <w:r>
        <w:t xml:space="preserve">To the north and east, the Byzantine and Sasanian Persian empires had spent much of the sixth and early seventh centuries locked in exhausting, repeated warfare over control of the Fertile Crescent and influence among Arab frontier tribes allied to each side. This prolonged rivalry — culminating in a particularly devastating conflict in the early seventh century, immediately before the Arab-Muslim conquests began — left both empires militarily and financially weakened at exactly the moment a newly unified Arabian polity emerged to their south. This timing is one of the most important, and most frequently underexplained, factors behind the remarkable speed of the early Islamic conquests: the conquests did not occur against two empires at full strength, but against two empires that had just exhausted each other.</w:t>
      </w:r>
    </w:p>
    <w:bookmarkEnd w:id="26"/>
    <w:bookmarkStart w:id="27" w:name="key-terms-and-concepts"/>
    <w:p>
      <w:pPr>
        <w:pStyle w:val="Heading2"/>
      </w:pPr>
      <w:r>
        <w:t xml:space="preserve">Key Terms and Concepts</w:t>
      </w:r>
    </w:p>
    <w:p>
      <w:pPr>
        <w:numPr>
          <w:ilvl w:val="0"/>
          <w:numId w:val="1003"/>
        </w:numPr>
        <w:pStyle w:val="Compact"/>
      </w:pPr>
      <w:r>
        <w:rPr>
          <w:bCs/>
          <w:b/>
        </w:rPr>
        <w:t xml:space="preserve">Jahiliyyah:</w:t>
      </w:r>
      <w:r>
        <w:t xml:space="preserve"> </w:t>
      </w:r>
      <w:r>
        <w:t xml:space="preserve">The Islamic-source term for the pre-Islamic period, referring specifically to the absence of revealed guidance rather than an absence of culture or institutions.</w:t>
      </w:r>
    </w:p>
    <w:p>
      <w:pPr>
        <w:numPr>
          <w:ilvl w:val="0"/>
          <w:numId w:val="1003"/>
        </w:numPr>
        <w:pStyle w:val="Compact"/>
      </w:pPr>
      <w:r>
        <w:rPr>
          <w:bCs/>
          <w:b/>
        </w:rPr>
        <w:t xml:space="preserve">Quraysh:</w:t>
      </w:r>
      <w:r>
        <w:t xml:space="preserve"> </w:t>
      </w:r>
      <w:r>
        <w:t xml:space="preserve">Mecca’s dominant tribe, whose status combined religious custodianship of the Ka’ba with control of regional trade networks.</w:t>
      </w:r>
    </w:p>
    <w:p>
      <w:pPr>
        <w:numPr>
          <w:ilvl w:val="0"/>
          <w:numId w:val="1003"/>
        </w:numPr>
        <w:pStyle w:val="Compact"/>
      </w:pPr>
      <w:r>
        <w:rPr>
          <w:bCs/>
          <w:b/>
        </w:rPr>
        <w:t xml:space="preserve">Ka’ba:</w:t>
      </w:r>
      <w:r>
        <w:t xml:space="preserve"> </w:t>
      </w:r>
      <w:r>
        <w:t xml:space="preserve">The shrine at Mecca central to Arabian pilgrimage before and after the rise of Islam.</w:t>
      </w:r>
    </w:p>
    <w:bookmarkEnd w:id="27"/>
    <w:bookmarkStart w:id="28" w:name="preparation-toolkit"/>
    <w:p>
      <w:pPr>
        <w:pStyle w:val="Heading2"/>
      </w:pPr>
      <w:r>
        <w:t xml:space="preserve">Preparation Toolkit</w:t>
      </w:r>
    </w:p>
    <w:p>
      <w:pPr>
        <w:pStyle w:val="FirstParagraph"/>
      </w:pPr>
      <w:r>
        <w:rPr>
          <w:bCs/>
          <w:b/>
        </w:rPr>
        <w:t xml:space="preserve">Preparation Checklist</w:t>
      </w:r>
    </w:p>
    <w:p>
      <w:pPr>
        <w:numPr>
          <w:ilvl w:val="0"/>
          <w:numId w:val="1004"/>
        </w:numPr>
        <w:pStyle w:val="Compact"/>
      </w:pPr>
      <w:r>
        <w:t xml:space="preserve">Prepare a map of Arabia and the Byzantine-Sasanian frontier before adding narrative detail.</w:t>
      </w:r>
    </w:p>
    <w:p>
      <w:pPr>
        <w:numPr>
          <w:ilvl w:val="0"/>
          <w:numId w:val="1004"/>
        </w:numPr>
        <w:pStyle w:val="Compact"/>
      </w:pPr>
      <w:r>
        <w:t xml:space="preserve">Divide notes into political organisation, economy, social structure and religion, rather than one continuous narrative.</w:t>
      </w:r>
    </w:p>
    <w:p>
      <w:pPr>
        <w:numPr>
          <w:ilvl w:val="0"/>
          <w:numId w:val="1004"/>
        </w:numPr>
        <w:pStyle w:val="Compact"/>
      </w:pPr>
      <w:r>
        <w:t xml:space="preserve">Keep dates and institutions selective for this topic; give more space to principles, economy, society and religion than to precise chronology.</w:t>
      </w:r>
    </w:p>
    <w:p>
      <w:pPr>
        <w:numPr>
          <w:ilvl w:val="0"/>
          <w:numId w:val="1004"/>
        </w:numPr>
        <w:pStyle w:val="Compact"/>
      </w:pPr>
      <w:r>
        <w:t xml:space="preserve">Practise one analytical outline answering:</w:t>
      </w:r>
      <w:r>
        <w:t xml:space="preserve"> </w:t>
      </w:r>
      <w:r>
        <w:t xml:space="preserve">“</w:t>
      </w:r>
      <w:r>
        <w:t xml:space="preserve">How did Arabia’s tribal, economic and religious conditions, together with Byzantine-Sasanian exhaustion, shape the environment into which Islam emerged?</w:t>
      </w:r>
      <w:r>
        <w:t xml:space="preserve">”</w:t>
      </w:r>
    </w:p>
    <w:p>
      <w:pPr>
        <w:pStyle w:val="FirstParagraph"/>
      </w:pPr>
      <w:r>
        <w:rPr>
          <w:bCs/>
          <w:b/>
        </w:rPr>
        <w:t xml:space="preserve">Common Confusions to Avoid</w:t>
      </w:r>
    </w:p>
    <w:p>
      <w:pPr>
        <w:numPr>
          <w:ilvl w:val="0"/>
          <w:numId w:val="1005"/>
        </w:numPr>
        <w:pStyle w:val="Compact"/>
      </w:pPr>
      <w:r>
        <w:t xml:space="preserve">Do not describe all of Arabia as nomadic; settled towns and agricultural regions (especially in Yemen) were historically important.</w:t>
      </w:r>
    </w:p>
    <w:p>
      <w:pPr>
        <w:numPr>
          <w:ilvl w:val="0"/>
          <w:numId w:val="1005"/>
        </w:numPr>
        <w:pStyle w:val="Compact"/>
      </w:pPr>
      <w:r>
        <w:t xml:space="preserve">Do not use</w:t>
      </w:r>
      <w:r>
        <w:t xml:space="preserve"> </w:t>
      </w:r>
      <w:r>
        <w:rPr>
          <w:iCs/>
          <w:i/>
        </w:rPr>
        <w:t xml:space="preserve">Jahiliyyah</w:t>
      </w:r>
      <w:r>
        <w:t xml:space="preserve"> </w:t>
      </w:r>
      <w:r>
        <w:t xml:space="preserve">to mean Arabs had no culture, trade, poetry or social institutions before Islam.</w:t>
      </w:r>
    </w:p>
    <w:p>
      <w:pPr>
        <w:numPr>
          <w:ilvl w:val="0"/>
          <w:numId w:val="1005"/>
        </w:numPr>
        <w:pStyle w:val="Compact"/>
      </w:pPr>
      <w:r>
        <w:t xml:space="preserve">Do not study Byzantium and Persia as an unrelated side topic; their mutual exhaustion is a direct and important part of the explanation for the pace of the early conquests.</w:t>
      </w:r>
    </w:p>
    <w:p>
      <w:pPr>
        <w:pStyle w:val="FirstParagraph"/>
      </w:pPr>
      <w:r>
        <w:rPr>
          <w:bCs/>
          <w:b/>
        </w:rPr>
        <w:t xml:space="preserve">Easy Revision Points</w:t>
      </w:r>
    </w:p>
    <w:p>
      <w:pPr>
        <w:numPr>
          <w:ilvl w:val="0"/>
          <w:numId w:val="1006"/>
        </w:numPr>
        <w:pStyle w:val="Compact"/>
      </w:pPr>
      <w:r>
        <w:t xml:space="preserve">Arabia contained nomadic, semi-nomadic and settled communities; it was not one uniform society.</w:t>
      </w:r>
    </w:p>
    <w:p>
      <w:pPr>
        <w:numPr>
          <w:ilvl w:val="0"/>
          <w:numId w:val="1006"/>
        </w:numPr>
        <w:pStyle w:val="Compact"/>
      </w:pPr>
      <w:r>
        <w:t xml:space="preserve">Tribal kinship and alliance were the major sources of protection and political organisation.</w:t>
      </w:r>
    </w:p>
    <w:p>
      <w:pPr>
        <w:numPr>
          <w:ilvl w:val="0"/>
          <w:numId w:val="1006"/>
        </w:numPr>
        <w:pStyle w:val="Compact"/>
      </w:pPr>
      <w:r>
        <w:t xml:space="preserve">Mecca was an important religious and commercial centre associated with the Ka’ba and the Quraysh.</w:t>
      </w:r>
    </w:p>
    <w:p>
      <w:pPr>
        <w:numPr>
          <w:ilvl w:val="0"/>
          <w:numId w:val="1006"/>
        </w:numPr>
        <w:pStyle w:val="Compact"/>
      </w:pPr>
      <w:r>
        <w:t xml:space="preserve">Byzantium and Sasanian Persia were the two major neighbouring imperial powers and fought a prolonged, mutually exhausting war in the early seventh century, shortly before the Arab-Muslim conquests.</w:t>
      </w:r>
    </w:p>
    <w:p>
      <w:pPr>
        <w:numPr>
          <w:ilvl w:val="0"/>
          <w:numId w:val="1006"/>
        </w:numPr>
        <w:pStyle w:val="Compact"/>
      </w:pPr>
      <w:r>
        <w:t xml:space="preserve">Jewish and Christian communities existed in parts of Arabia alongside polytheist traditions.</w:t>
      </w:r>
    </w:p>
    <w:bookmarkEnd w:id="28"/>
    <w:bookmarkStart w:id="29" w:name="key-takeaways"/>
    <w:p>
      <w:pPr>
        <w:pStyle w:val="Heading2"/>
      </w:pPr>
      <w:r>
        <w:t xml:space="preserve">Key Takeaways</w:t>
      </w:r>
    </w:p>
    <w:p>
      <w:pPr>
        <w:numPr>
          <w:ilvl w:val="0"/>
          <w:numId w:val="1007"/>
        </w:numPr>
        <w:pStyle w:val="Compact"/>
      </w:pPr>
      <w:r>
        <w:t xml:space="preserve">Arabia before Islam had real tribal, economic, and religious institutions; understanding them, not stereotyping them away, is the foundation for the rest of this subject.</w:t>
      </w:r>
    </w:p>
    <w:p>
      <w:pPr>
        <w:numPr>
          <w:ilvl w:val="0"/>
          <w:numId w:val="1007"/>
        </w:numPr>
        <w:pStyle w:val="Compact"/>
      </w:pPr>
      <w:r>
        <w:t xml:space="preserve">Mecca’s dual role as religious shrine-centre and trading hub explains both the Quraysh’s regional standing and the specific nature of early opposition to the Prophet’s message.</w:t>
      </w:r>
    </w:p>
    <w:p>
      <w:pPr>
        <w:numPr>
          <w:ilvl w:val="0"/>
          <w:numId w:val="1007"/>
        </w:numPr>
        <w:pStyle w:val="Compact"/>
      </w:pPr>
      <w:r>
        <w:t xml:space="preserve">The timing of Byzantine-Sasanian mutual exhaustion immediately before the Arab conquests is one of the single most important, and most often omitted, explanatory factors for what follows in Topic 3.</w:t>
      </w:r>
    </w:p>
    <w:bookmarkEnd w:id="29"/>
    <w:bookmarkEnd w:id="30"/>
    <w:bookmarkStart w:id="39" w:name="the-prophetic-age-570632-ce"/>
    <w:p>
      <w:pPr>
        <w:pStyle w:val="Heading1"/>
        <w:pageBreakBefore/>
      </w:pPr>
      <w:r>
        <w:t xml:space="preserve">2. The Prophetic Age (570–632 CE)</w:t>
      </w:r>
    </w:p>
    <w:bookmarkStart w:id="31" w:name="why-this-topic-matters-1"/>
    <w:p>
      <w:pPr>
        <w:pStyle w:val="Heading2"/>
      </w:pPr>
      <w:r>
        <w:t xml:space="preserve">Why This Topic Matters</w:t>
      </w:r>
    </w:p>
    <w:p>
      <w:pPr>
        <w:pStyle w:val="FirstParagraph"/>
      </w:pPr>
      <w:r>
        <w:t xml:space="preserve">The syllabus specifically requires three roles to be addressed together — Da’i (caller to faith), military strategist, and political leader — and a strong answer must show evidence of all three rather than defaulting to a purely devotional or purely military narrative. This period also establishes the institutional and diplomatic patterns (community agreement, treaty-making, delegation-based diplomacy) that shape the rest of the subject.</w:t>
      </w:r>
    </w:p>
    <w:bookmarkEnd w:id="31"/>
    <w:bookmarkStart w:id="32" w:name="the-meccan-mission-and-persecution"/>
    <w:p>
      <w:pPr>
        <w:pStyle w:val="Heading2"/>
      </w:pPr>
      <w:r>
        <w:t xml:space="preserve">The Meccan Mission and Persecution</w:t>
      </w:r>
    </w:p>
    <w:p>
      <w:pPr>
        <w:pStyle w:val="FirstParagraph"/>
      </w:pPr>
      <w:r>
        <w:t xml:space="preserve">The Prophet Muhammad’s ﷺ mission, beginning around 610 CE, centred on monotheism, moral accountability before God, and social reform — a message that directly challenged existing Meccan religious practice, tribal social hierarchy, and the economic interests tied to the Ka’ba’s polytheistic pilgrimage traffic. Opposition grew accordingly, and early Muslims faced social pressure, economic boycott, and outright persecution. The migrations of some early Muslims to Christian Abyssinia, and subsequent contact with tribal leaders from Yathrib, show a consistent early Muslim strategy of seeking a secure environment in which the community’s religious life and safety could be protected — a strategic, not merely spiritual, pattern worth noting explicitly.</w:t>
      </w:r>
    </w:p>
    <w:bookmarkEnd w:id="32"/>
    <w:bookmarkStart w:id="33" w:name="the-hijra-and-the-madinan-social-order"/>
    <w:p>
      <w:pPr>
        <w:pStyle w:val="Heading2"/>
      </w:pPr>
      <w:r>
        <w:t xml:space="preserve">The Hijra and the Madinan Social Order</w:t>
      </w:r>
    </w:p>
    <w:p>
      <w:pPr>
        <w:pStyle w:val="FirstParagraph"/>
      </w:pPr>
      <w:r>
        <w:t xml:space="preserve">The 622 CE migration (Hijra) to Medina created an entirely new political setting: the Prophet became the leader of a mixed community including Meccan emigrants (Muhajirun), Medinan hosts (Ansar), and other groups already resident in the city, including Jewish tribes, requiring formal agreements, dispute-settlement mechanisms, and collective defence arrangements. The document commonly called the Constitution (or Charter) of Medina is generally studied as an agreement regulating relations among these different groups within the city — establishing mutual obligations of defence and conduct across communal lines. Brotherhood between Muhajirun and Ansar, regulation of the market, and organised charity became parts of a developing social and economic order distinct from anything that had existed in pre-Hijra Mecca.</w:t>
      </w:r>
    </w:p>
    <w:bookmarkEnd w:id="33"/>
    <w:bookmarkStart w:id="34" w:name="Xc75d79388be5aa2dcbace7253afdf3da40cb77e"/>
    <w:p>
      <w:pPr>
        <w:pStyle w:val="Heading2"/>
      </w:pPr>
      <w:r>
        <w:t xml:space="preserve">Military Strategy: Badr, Uhud and the Trench</w:t>
      </w:r>
    </w:p>
    <w:p>
      <w:pPr>
        <w:pStyle w:val="FirstParagraph"/>
      </w:pPr>
      <w:r>
        <w:t xml:space="preserve">The three major military encounters of the Madinan period illustrate three distinct strategic situations rather than a single undifferentiated pattern of warfare: Badr (624) involved a decisive engagement fought from a position of numerical disadvantage; Uhud (625) demonstrated the consequences of a partial breakdown in battlefield discipline; and the Battle of the Trench/Khandaq (627) showed sophisticated defensive innovation (a fortification tactic new to Arabian warfare) under a coordinated multi-tribal siege. A strong answer studies these engagements through planning, intelligence-gathering, morale management, discipline, alliance-building and political objective — the framework the syllabus specifically calls for — rather than as a simple sequence of victories and setbacks.</w:t>
      </w:r>
    </w:p>
    <w:bookmarkEnd w:id="34"/>
    <w:bookmarkStart w:id="35" w:name="diplomacy-and-the-conquest-of-mecca"/>
    <w:p>
      <w:pPr>
        <w:pStyle w:val="Heading2"/>
      </w:pPr>
      <w:r>
        <w:t xml:space="preserve">Diplomacy and the Conquest of Mecca</w:t>
      </w:r>
    </w:p>
    <w:p>
      <w:pPr>
        <w:pStyle w:val="FirstParagraph"/>
      </w:pPr>
      <w:r>
        <w:t xml:space="preserve">The Treaty of Hudaybiyyah (628) is a central case study in strategic patience: its terms appeared unfavourable to the Muslim community at the time of signing, yet it secured a truce that allowed the young Muslim polity to consolidate, expand alliances, and communicate more widely — including through letters and delegations sent to regional rulers — and it is generally read by historians as a major strategic success precisely because of what it enabled afterward, not despite its immediate terms. The conquest of Mecca in 630 followed changed political conditions and largely ended organised Quraysh resistance without major bloodshed, followed by widening allegiance across Arabia. The Farewell Pilgrimage and the Prophet’s final sermon, shortly before his death in 632, are significant for the ethical and communal principles they articulate at the close of his mission.</w:t>
      </w:r>
    </w:p>
    <w:bookmarkEnd w:id="35"/>
    <w:bookmarkStart w:id="36" w:name="key-terms-and-concepts-1"/>
    <w:p>
      <w:pPr>
        <w:pStyle w:val="Heading2"/>
      </w:pPr>
      <w:r>
        <w:t xml:space="preserve">Key Terms and Concepts</w:t>
      </w:r>
    </w:p>
    <w:p>
      <w:pPr>
        <w:numPr>
          <w:ilvl w:val="0"/>
          <w:numId w:val="1008"/>
        </w:numPr>
        <w:pStyle w:val="Compact"/>
      </w:pPr>
      <w:r>
        <w:rPr>
          <w:bCs/>
          <w:b/>
        </w:rPr>
        <w:t xml:space="preserve">Hijra:</w:t>
      </w:r>
      <w:r>
        <w:t xml:space="preserve"> </w:t>
      </w:r>
      <w:r>
        <w:t xml:space="preserve">The 622 CE migration from Mecca to Medina, marking the start of the Islamic calendar and a new phase of community and state formation.</w:t>
      </w:r>
    </w:p>
    <w:p>
      <w:pPr>
        <w:numPr>
          <w:ilvl w:val="0"/>
          <w:numId w:val="1008"/>
        </w:numPr>
        <w:pStyle w:val="Compact"/>
      </w:pPr>
      <w:r>
        <w:rPr>
          <w:bCs/>
          <w:b/>
        </w:rPr>
        <w:t xml:space="preserve">Constitution of Medina:</w:t>
      </w:r>
      <w:r>
        <w:t xml:space="preserve"> </w:t>
      </w:r>
      <w:r>
        <w:t xml:space="preserve">The agreement generally understood to have regulated relations among the diverse communities of Medina after the Hijra.</w:t>
      </w:r>
    </w:p>
    <w:p>
      <w:pPr>
        <w:numPr>
          <w:ilvl w:val="0"/>
          <w:numId w:val="1008"/>
        </w:numPr>
        <w:pStyle w:val="Compact"/>
      </w:pPr>
      <w:r>
        <w:rPr>
          <w:bCs/>
          <w:b/>
        </w:rPr>
        <w:t xml:space="preserve">Hudaybiyyah:</w:t>
      </w:r>
      <w:r>
        <w:t xml:space="preserve"> </w:t>
      </w:r>
      <w:r>
        <w:t xml:space="preserve">The 628 treaty widely read as a strategic success despite seemingly unfavourable immediate terms.</w:t>
      </w:r>
    </w:p>
    <w:bookmarkEnd w:id="36"/>
    <w:bookmarkStart w:id="37" w:name="preparation-toolkit-1"/>
    <w:p>
      <w:pPr>
        <w:pStyle w:val="Heading2"/>
      </w:pPr>
      <w:r>
        <w:t xml:space="preserve">Preparation Toolkit</w:t>
      </w:r>
    </w:p>
    <w:p>
      <w:pPr>
        <w:pStyle w:val="FirstParagraph"/>
      </w:pPr>
      <w:r>
        <w:rPr>
          <w:bCs/>
          <w:b/>
        </w:rPr>
        <w:t xml:space="preserve">Preparation Checklist</w:t>
      </w:r>
    </w:p>
    <w:p>
      <w:pPr>
        <w:numPr>
          <w:ilvl w:val="0"/>
          <w:numId w:val="1009"/>
        </w:numPr>
        <w:pStyle w:val="Compact"/>
      </w:pPr>
      <w:r>
        <w:t xml:space="preserve">Build a two-part timeline: Meccan phase and Madinan phase; for each major event record context, decision, immediate outcome, and long-term significance.</w:t>
      </w:r>
    </w:p>
    <w:p>
      <w:pPr>
        <w:numPr>
          <w:ilvl w:val="0"/>
          <w:numId w:val="1009"/>
        </w:numPr>
        <w:pStyle w:val="Compact"/>
      </w:pPr>
      <w:r>
        <w:t xml:space="preserve">When discussing military leadership, organise your answer around strategy, diplomacy, discipline and political objective rather than a simple list of battles.</w:t>
      </w:r>
    </w:p>
    <w:p>
      <w:pPr>
        <w:numPr>
          <w:ilvl w:val="0"/>
          <w:numId w:val="1009"/>
        </w:numPr>
        <w:pStyle w:val="Compact"/>
      </w:pPr>
      <w:r>
        <w:t xml:space="preserve">Practise one analytical outline covering all three required roles — Da’i, strategist, statesman — each supported by a specific event.</w:t>
      </w:r>
    </w:p>
    <w:p>
      <w:pPr>
        <w:pStyle w:val="FirstParagraph"/>
      </w:pPr>
      <w:r>
        <w:rPr>
          <w:bCs/>
          <w:b/>
        </w:rPr>
        <w:t xml:space="preserve">Common Confusions to Avoid</w:t>
      </w:r>
    </w:p>
    <w:p>
      <w:pPr>
        <w:numPr>
          <w:ilvl w:val="0"/>
          <w:numId w:val="1010"/>
        </w:numPr>
        <w:pStyle w:val="Compact"/>
      </w:pPr>
      <w:r>
        <w:t xml:space="preserve">Do not treat the Madinan period as only a sequence of battles; governance, law, diplomacy and community-building are equally important and equally testable.</w:t>
      </w:r>
    </w:p>
    <w:p>
      <w:pPr>
        <w:numPr>
          <w:ilvl w:val="0"/>
          <w:numId w:val="1010"/>
        </w:numPr>
        <w:pStyle w:val="Compact"/>
      </w:pPr>
      <w:r>
        <w:t xml:space="preserve">Do not describe Hudaybiyyah as a military defeat; its political consequences made it a major strategic success.</w:t>
      </w:r>
    </w:p>
    <w:p>
      <w:pPr>
        <w:numPr>
          <w:ilvl w:val="0"/>
          <w:numId w:val="1010"/>
        </w:numPr>
        <w:pStyle w:val="Compact"/>
      </w:pPr>
      <w:r>
        <w:t xml:space="preserve">When discussing military events, focus on context, objectives, rules of engagement, diplomacy and leadership rather than battlefield glorification.</w:t>
      </w:r>
    </w:p>
    <w:p>
      <w:pPr>
        <w:pStyle w:val="FirstParagraph"/>
      </w:pPr>
      <w:r>
        <w:rPr>
          <w:bCs/>
          <w:b/>
        </w:rPr>
        <w:t xml:space="preserve">Easy Revision Points</w:t>
      </w:r>
    </w:p>
    <w:p>
      <w:pPr>
        <w:numPr>
          <w:ilvl w:val="0"/>
          <w:numId w:val="1011"/>
        </w:numPr>
        <w:pStyle w:val="Compact"/>
      </w:pPr>
      <w:r>
        <w:t xml:space="preserve">The Prophet Muhammad ﷺ was born in Mecca around 570 CE; the first revelation is conventionally dated to about 610 CE.</w:t>
      </w:r>
    </w:p>
    <w:p>
      <w:pPr>
        <w:numPr>
          <w:ilvl w:val="0"/>
          <w:numId w:val="1011"/>
        </w:numPr>
        <w:pStyle w:val="Compact"/>
      </w:pPr>
      <w:r>
        <w:t xml:space="preserve">The Hijra occurred in 622 CE and marks the starting point of the Islamic Hijri calendar.</w:t>
      </w:r>
    </w:p>
    <w:p>
      <w:pPr>
        <w:numPr>
          <w:ilvl w:val="0"/>
          <w:numId w:val="1011"/>
        </w:numPr>
        <w:pStyle w:val="Compact"/>
      </w:pPr>
      <w:r>
        <w:t xml:space="preserve">Major encounters included Badr (624), Uhud (625) and the Battle of the Trench/Khandaq (627).</w:t>
      </w:r>
    </w:p>
    <w:p>
      <w:pPr>
        <w:numPr>
          <w:ilvl w:val="0"/>
          <w:numId w:val="1011"/>
        </w:numPr>
        <w:pStyle w:val="Compact"/>
      </w:pPr>
      <w:r>
        <w:t xml:space="preserve">The Treaty of Hudaybiyyah was concluded in 628 and is a key example of strategic diplomacy.</w:t>
      </w:r>
    </w:p>
    <w:p>
      <w:pPr>
        <w:numPr>
          <w:ilvl w:val="0"/>
          <w:numId w:val="1011"/>
        </w:numPr>
        <w:pStyle w:val="Compact"/>
      </w:pPr>
      <w:r>
        <w:t xml:space="preserve">Mecca came under Muslim control in 630; the Prophet ﷺ died in Medina in 632.</w:t>
      </w:r>
    </w:p>
    <w:bookmarkEnd w:id="37"/>
    <w:bookmarkStart w:id="38" w:name="key-takeaways-1"/>
    <w:p>
      <w:pPr>
        <w:pStyle w:val="Heading2"/>
      </w:pPr>
      <w:r>
        <w:t xml:space="preserve">Key Takeaways</w:t>
      </w:r>
    </w:p>
    <w:p>
      <w:pPr>
        <w:numPr>
          <w:ilvl w:val="0"/>
          <w:numId w:val="1012"/>
        </w:numPr>
        <w:pStyle w:val="Compact"/>
      </w:pPr>
      <w:r>
        <w:t xml:space="preserve">The syllabus’s three required roles — caller to faith, military strategist, political leader — should each be demonstrated with specific evidence, not treated as separate, self-contained mini-topics.</w:t>
      </w:r>
    </w:p>
    <w:p>
      <w:pPr>
        <w:numPr>
          <w:ilvl w:val="0"/>
          <w:numId w:val="1012"/>
        </w:numPr>
        <w:pStyle w:val="Compact"/>
      </w:pPr>
      <w:r>
        <w:t xml:space="preserve">Hudaybiyyah is the clearest single case study of how an apparently unfavourable agreement can be strategically superior to continued conflict — a point worth using in any question on Islamic diplomacy.</w:t>
      </w:r>
    </w:p>
    <w:p>
      <w:pPr>
        <w:numPr>
          <w:ilvl w:val="0"/>
          <w:numId w:val="1012"/>
        </w:numPr>
        <w:pStyle w:val="Compact"/>
      </w:pPr>
      <w:r>
        <w:t xml:space="preserve">The Constitution of Medina establishes a pattern of formal, multi-community political agreement that is directly relevant background for Topic 4’s discussion of the Islamic political system.</w:t>
      </w:r>
    </w:p>
    <w:bookmarkEnd w:id="38"/>
    <w:bookmarkEnd w:id="39"/>
    <w:bookmarkStart w:id="49" w:name="the-pious-caliphate"/>
    <w:p>
      <w:pPr>
        <w:pStyle w:val="Heading1"/>
        <w:pageBreakBefore/>
      </w:pPr>
      <w:r>
        <w:t xml:space="preserve">3. The Pious Caliphate</w:t>
      </w:r>
    </w:p>
    <w:bookmarkStart w:id="40" w:name="why-this-topic-matters-2"/>
    <w:p>
      <w:pPr>
        <w:pStyle w:val="Heading2"/>
      </w:pPr>
      <w:r>
        <w:t xml:space="preserve">Why This Topic Matters</w:t>
      </w:r>
    </w:p>
    <w:p>
      <w:pPr>
        <w:pStyle w:val="FirstParagraph"/>
      </w:pPr>
      <w:r>
        <w:t xml:space="preserve">This period shows how the Muslim community handled succession, rapid territorial expansion, new administrative responsibility, and serious internal political conflict, all within roughly three decades. The syllabus explicitly requires attention to the transition to Umayyad rule, meaning the topic must be read as leading somewhere, not as a closed chapter — the political tensions that emerge here (succession disputes, provincial administration, competing claims to legitimacy) directly shape everything from Topic 4’s political theory to Topic 6’s Umayyad narrative.</w:t>
      </w:r>
    </w:p>
    <w:bookmarkEnd w:id="40"/>
    <w:bookmarkStart w:id="41" w:name="abu-bakr-consolidation-under-pressure"/>
    <w:p>
      <w:pPr>
        <w:pStyle w:val="Heading2"/>
      </w:pPr>
      <w:r>
        <w:t xml:space="preserve">Abu Bakr: Consolidation Under Pressure</w:t>
      </w:r>
    </w:p>
    <w:p>
      <w:pPr>
        <w:pStyle w:val="FirstParagraph"/>
      </w:pPr>
      <w:r>
        <w:t xml:space="preserve">Abu Bakr (632–634) faced the</w:t>
      </w:r>
      <w:r>
        <w:t xml:space="preserve"> </w:t>
      </w:r>
      <w:r>
        <w:rPr>
          <w:iCs/>
          <w:i/>
        </w:rPr>
        <w:t xml:space="preserve">Ridda</w:t>
      </w:r>
      <w:r>
        <w:t xml:space="preserve"> </w:t>
      </w:r>
      <w:r>
        <w:t xml:space="preserve">(</w:t>
      </w:r>
      <w:r>
        <w:t xml:space="preserve">“</w:t>
      </w:r>
      <w:r>
        <w:t xml:space="preserve">apostasy</w:t>
      </w:r>
      <w:r>
        <w:t xml:space="preserve">”</w:t>
      </w:r>
      <w:r>
        <w:t xml:space="preserve"> </w:t>
      </w:r>
      <w:r>
        <w:t xml:space="preserve">or secession) conflicts, in which various Arabian tribes and claimants to prophethood challenged the new political order following the Prophet’s death. His short caliphate was chiefly concerned with restoring central political authority and preserving the unity of the young Muslim polity — a foundational, defensive achievement without which the subsequent expansion under Umar would not have been possible.</w:t>
      </w:r>
    </w:p>
    <w:bookmarkEnd w:id="41"/>
    <w:bookmarkStart w:id="42" w:name="X6c95f25cdc2c3bbbefc11da04bc0c5263451c87"/>
    <w:p>
      <w:pPr>
        <w:pStyle w:val="Heading2"/>
      </w:pPr>
      <w:r>
        <w:t xml:space="preserve">Umar: Expansion and Administrative Foundation</w:t>
      </w:r>
    </w:p>
    <w:p>
      <w:pPr>
        <w:pStyle w:val="FirstParagraph"/>
      </w:pPr>
      <w:r>
        <w:t xml:space="preserve">Under Umar (634–644), Muslim rule expanded rapidly into former Byzantine territory in the Levant and Egypt and former Sasanian territory in Iraq and Iran. This expansion required entirely new administrative capacity: provincial governance structures, garrison towns (</w:t>
      </w:r>
      <w:r>
        <w:rPr>
          <w:iCs/>
          <w:i/>
        </w:rPr>
        <w:t xml:space="preserve">amsar</w:t>
      </w:r>
      <w:r>
        <w:t xml:space="preserve">) housing Arab troops separate from conquered urban populations, a register (</w:t>
      </w:r>
      <w:r>
        <w:rPr>
          <w:iCs/>
          <w:i/>
        </w:rPr>
        <w:t xml:space="preserve">diwan</w:t>
      </w:r>
      <w:r>
        <w:t xml:space="preserve">) for organising military stipends, and new fiscal and judicial arrangements. Umar’s reign is generally regarded as the point at which the Muslim polity had to develop genuine administrative institutions rather than relying on the smaller-scale arrangements sufficient for Medina alone.</w:t>
      </w:r>
    </w:p>
    <w:bookmarkEnd w:id="42"/>
    <w:bookmarkStart w:id="43" w:name="Xaa54c2db7db99a348ebce5f5e47918bd1b02ea0"/>
    <w:p>
      <w:pPr>
        <w:pStyle w:val="Heading2"/>
      </w:pPr>
      <w:r>
        <w:t xml:space="preserve">Uthman: Codification and Growing Opposition</w:t>
      </w:r>
    </w:p>
    <w:p>
      <w:pPr>
        <w:pStyle w:val="FirstParagraph"/>
      </w:pPr>
      <w:r>
        <w:t xml:space="preserve">Uthman’s reign (644–656) saw continued territorial expansion alongside a development of major long-term significance: the standardisation and distribution of an authoritative Qur’anic consonantal text, according to the dominant Islamic historical account — a project generally credited with helping preserve textual uniformity across an increasingly dispersed and diverse Muslim community. At the same time, criticism of provincial administration, allegations of favouritism toward Uthman’s own kinsmen in senior appointments, and broader political discontent grew during his reign, ultimately contributing to his assassination in 656 — an event with severe and lasting political consequences for the rest of the period.</w:t>
      </w:r>
    </w:p>
    <w:bookmarkEnd w:id="43"/>
    <w:bookmarkStart w:id="44" w:name="ali-and-the-first-civil-war"/>
    <w:p>
      <w:pPr>
        <w:pStyle w:val="Heading2"/>
      </w:pPr>
      <w:r>
        <w:t xml:space="preserve">Ali and the First Civil War</w:t>
      </w:r>
    </w:p>
    <w:p>
      <w:pPr>
        <w:pStyle w:val="FirstParagraph"/>
      </w:pPr>
      <w:r>
        <w:t xml:space="preserve">Ali’s caliphate (656–661) began under the shadow of Uthman’s killing and a resulting legitimacy crisis: many held Ali responsible for not pursuing the killers, or contested his succession on other grounds. The</w:t>
      </w:r>
      <w:r>
        <w:t xml:space="preserve"> </w:t>
      </w:r>
      <w:r>
        <w:rPr>
          <w:bCs/>
          <w:b/>
        </w:rPr>
        <w:t xml:space="preserve">Battle of the Camel</w:t>
      </w:r>
      <w:r>
        <w:t xml:space="preserve"> </w:t>
      </w:r>
      <w:r>
        <w:t xml:space="preserve">(656, against forces led in part by the Prophet’s widow Aisha) and the</w:t>
      </w:r>
      <w:r>
        <w:t xml:space="preserve"> </w:t>
      </w:r>
      <w:r>
        <w:rPr>
          <w:bCs/>
          <w:b/>
        </w:rPr>
        <w:t xml:space="preserve">Battle of Siffin</w:t>
      </w:r>
      <w:r>
        <w:t xml:space="preserve"> </w:t>
      </w:r>
      <w:r>
        <w:t xml:space="preserve">(657, against Muawiya, the governor of Syria and Uthman’s kinsman) marked open civil war within the Muslim community — usually referred to as the</w:t>
      </w:r>
      <w:r>
        <w:t xml:space="preserve"> </w:t>
      </w:r>
      <w:r>
        <w:rPr>
          <w:iCs/>
          <w:i/>
        </w:rPr>
        <w:t xml:space="preserve">Fitna</w:t>
      </w:r>
      <w:r>
        <w:t xml:space="preserve">. Siffin’s inconclusive arbitration process led to the emergence of the</w:t>
      </w:r>
      <w:r>
        <w:t xml:space="preserve"> </w:t>
      </w:r>
      <w:r>
        <w:rPr>
          <w:bCs/>
          <w:b/>
        </w:rPr>
        <w:t xml:space="preserve">Kharijites</w:t>
      </w:r>
      <w:r>
        <w:t xml:space="preserve">, a group that rejected the arbitration and adopted increasingly radical positions on leadership and legitimacy, eventually assassinating Ali himself in 661.</w:t>
      </w:r>
    </w:p>
    <w:bookmarkEnd w:id="44"/>
    <w:bookmarkStart w:id="45" w:name="hasan-and-the-transition-to-umayyad-rule"/>
    <w:p>
      <w:pPr>
        <w:pStyle w:val="Heading2"/>
      </w:pPr>
      <w:r>
        <w:t xml:space="preserve">Hasan and the Transition to Umayyad Rule</w:t>
      </w:r>
    </w:p>
    <w:p>
      <w:pPr>
        <w:pStyle w:val="FirstParagraph"/>
      </w:pPr>
      <w:r>
        <w:t xml:space="preserve">Ali’s son Hasan briefly succeeded him but, recognising the military and political balance of power, reached a negotiated settlement with Muawiya later in 661, ceding the caliphate in exchange for guarantees — an agreement that ended this particular phase of civil war and directly opened the way to Umayyad dynastic rule, the subject of Topic 6.</w:t>
      </w:r>
    </w:p>
    <w:bookmarkEnd w:id="45"/>
    <w:bookmarkStart w:id="46" w:name="key-terms-and-concepts-2"/>
    <w:p>
      <w:pPr>
        <w:pStyle w:val="Heading2"/>
      </w:pPr>
      <w:r>
        <w:t xml:space="preserve">Key Terms and Concepts</w:t>
      </w:r>
    </w:p>
    <w:p>
      <w:pPr>
        <w:numPr>
          <w:ilvl w:val="0"/>
          <w:numId w:val="1013"/>
        </w:numPr>
        <w:pStyle w:val="Compact"/>
      </w:pPr>
      <w:r>
        <w:rPr>
          <w:bCs/>
          <w:b/>
        </w:rPr>
        <w:t xml:space="preserve">Ridda:</w:t>
      </w:r>
      <w:r>
        <w:t xml:space="preserve"> </w:t>
      </w:r>
      <w:r>
        <w:t xml:space="preserve">The post-Prophetic</w:t>
      </w:r>
      <w:r>
        <w:t xml:space="preserve"> </w:t>
      </w:r>
      <w:r>
        <w:t xml:space="preserve">“</w:t>
      </w:r>
      <w:r>
        <w:t xml:space="preserve">apostasy</w:t>
      </w:r>
      <w:r>
        <w:t xml:space="preserve">”</w:t>
      </w:r>
      <w:r>
        <w:t xml:space="preserve"> </w:t>
      </w:r>
      <w:r>
        <w:t xml:space="preserve">or secession conflicts that Abu Bakr’s caliphate suppressed.</w:t>
      </w:r>
    </w:p>
    <w:p>
      <w:pPr>
        <w:numPr>
          <w:ilvl w:val="0"/>
          <w:numId w:val="1013"/>
        </w:numPr>
        <w:pStyle w:val="Compact"/>
      </w:pPr>
      <w:r>
        <w:rPr>
          <w:bCs/>
          <w:b/>
        </w:rPr>
        <w:t xml:space="preserve">Diwan:</w:t>
      </w:r>
      <w:r>
        <w:t xml:space="preserve"> </w:t>
      </w:r>
      <w:r>
        <w:t xml:space="preserve">The register system, developed significantly under Umar, organising military stipends and administrative record-keeping.</w:t>
      </w:r>
    </w:p>
    <w:p>
      <w:pPr>
        <w:numPr>
          <w:ilvl w:val="0"/>
          <w:numId w:val="1013"/>
        </w:numPr>
        <w:pStyle w:val="Compact"/>
      </w:pPr>
      <w:r>
        <w:rPr>
          <w:bCs/>
          <w:b/>
        </w:rPr>
        <w:t xml:space="preserve">Fitna:</w:t>
      </w:r>
      <w:r>
        <w:t xml:space="preserve"> </w:t>
      </w:r>
      <w:r>
        <w:t xml:space="preserve">The term generally used for the first Muslim civil war, encompassing the Camel, Siffin, and the resulting Kharijite emergence.</w:t>
      </w:r>
    </w:p>
    <w:bookmarkEnd w:id="46"/>
    <w:bookmarkStart w:id="47" w:name="preparation-toolkit-2"/>
    <w:p>
      <w:pPr>
        <w:pStyle w:val="Heading2"/>
      </w:pPr>
      <w:r>
        <w:t xml:space="preserve">Preparation Toolkit</w:t>
      </w:r>
    </w:p>
    <w:p>
      <w:pPr>
        <w:pStyle w:val="FirstParagraph"/>
      </w:pPr>
      <w:r>
        <w:rPr>
          <w:bCs/>
          <w:b/>
        </w:rPr>
        <w:t xml:space="preserve">Preparation Checklist</w:t>
      </w:r>
    </w:p>
    <w:p>
      <w:pPr>
        <w:numPr>
          <w:ilvl w:val="0"/>
          <w:numId w:val="1014"/>
        </w:numPr>
        <w:pStyle w:val="Compact"/>
      </w:pPr>
      <w:r>
        <w:t xml:space="preserve">Prepare each caliph in the same format: accession, major internal problem, expansion/administration, key institutional contribution, opposition or crisis, and legacy.</w:t>
      </w:r>
    </w:p>
    <w:p>
      <w:pPr>
        <w:numPr>
          <w:ilvl w:val="0"/>
          <w:numId w:val="1014"/>
        </w:numPr>
        <w:pStyle w:val="Compact"/>
      </w:pPr>
      <w:r>
        <w:t xml:space="preserve">Keep sectarian polemic out of descriptive answers; use careful historical language and distinguish reported tradition from interpretation.</w:t>
      </w:r>
    </w:p>
    <w:p>
      <w:pPr>
        <w:numPr>
          <w:ilvl w:val="0"/>
          <w:numId w:val="1014"/>
        </w:numPr>
        <w:pStyle w:val="Compact"/>
      </w:pPr>
      <w:r>
        <w:t xml:space="preserve">Practise one analytical outline answering:</w:t>
      </w:r>
      <w:r>
        <w:t xml:space="preserve"> </w:t>
      </w:r>
      <w:r>
        <w:t xml:space="preserve">“</w:t>
      </w:r>
      <w:r>
        <w:t xml:space="preserve">How did the administrative and political challenges of rapid expansion contribute to the civil conflict of Ali’s caliphate?</w:t>
      </w:r>
      <w:r>
        <w:t xml:space="preserve">”</w:t>
      </w:r>
    </w:p>
    <w:p>
      <w:pPr>
        <w:pStyle w:val="FirstParagraph"/>
      </w:pPr>
      <w:r>
        <w:rPr>
          <w:bCs/>
          <w:b/>
        </w:rPr>
        <w:t xml:space="preserve">Common Confusions to Avoid</w:t>
      </w:r>
    </w:p>
    <w:p>
      <w:pPr>
        <w:numPr>
          <w:ilvl w:val="0"/>
          <w:numId w:val="1015"/>
        </w:numPr>
        <w:pStyle w:val="Compact"/>
      </w:pPr>
      <w:r>
        <w:t xml:space="preserve">Do not describe all four accessions as following one identical constitutional mechanism; the processes (communal acclamation, nomination, a small consultative council, and a contested succession) differed meaningfully across the four caliphs.</w:t>
      </w:r>
    </w:p>
    <w:p>
      <w:pPr>
        <w:numPr>
          <w:ilvl w:val="0"/>
          <w:numId w:val="1015"/>
        </w:numPr>
        <w:pStyle w:val="Compact"/>
      </w:pPr>
      <w:r>
        <w:t xml:space="preserve">Do not treat expansion as automatic or unproblematic; it created large-scale administrative and fiscal challenges that shaped the state’s later development.</w:t>
      </w:r>
    </w:p>
    <w:p>
      <w:pPr>
        <w:numPr>
          <w:ilvl w:val="0"/>
          <w:numId w:val="1015"/>
        </w:numPr>
        <w:pStyle w:val="Compact"/>
      </w:pPr>
      <w:r>
        <w:t xml:space="preserve">Use careful, non-polemical language regarding the disputes of this period; distinguish established chronology from later sectarian interpretation.</w:t>
      </w:r>
    </w:p>
    <w:p>
      <w:pPr>
        <w:pStyle w:val="FirstParagraph"/>
      </w:pPr>
      <w:r>
        <w:rPr>
          <w:bCs/>
          <w:b/>
        </w:rPr>
        <w:t xml:space="preserve">Easy Revision Points</w:t>
      </w:r>
    </w:p>
    <w:p>
      <w:pPr>
        <w:numPr>
          <w:ilvl w:val="0"/>
          <w:numId w:val="1016"/>
        </w:numPr>
        <w:pStyle w:val="Compact"/>
      </w:pPr>
      <w:r>
        <w:t xml:space="preserve">Abu Bakr (632–634) faced the Ridda conflicts and restored political authority across Arabia.</w:t>
      </w:r>
    </w:p>
    <w:p>
      <w:pPr>
        <w:numPr>
          <w:ilvl w:val="0"/>
          <w:numId w:val="1016"/>
        </w:numPr>
        <w:pStyle w:val="Compact"/>
      </w:pPr>
      <w:r>
        <w:t xml:space="preserve">Umar (634–644) presided over major territorial expansion and developed key administrative arrangements including the diwan and provincial governance.</w:t>
      </w:r>
    </w:p>
    <w:p>
      <w:pPr>
        <w:numPr>
          <w:ilvl w:val="0"/>
          <w:numId w:val="1016"/>
        </w:numPr>
        <w:pStyle w:val="Compact"/>
      </w:pPr>
      <w:r>
        <w:t xml:space="preserve">Uthman (644–656) is associated with the standardisation of an authoritative Qur’anic consonantal text, according to the dominant Islamic historical tradition.</w:t>
      </w:r>
    </w:p>
    <w:p>
      <w:pPr>
        <w:numPr>
          <w:ilvl w:val="0"/>
          <w:numId w:val="1016"/>
        </w:numPr>
        <w:pStyle w:val="Compact"/>
      </w:pPr>
      <w:r>
        <w:t xml:space="preserve">Ali (656–661) faced severe internal conflict, including the battles of the Camel and Siffin.</w:t>
      </w:r>
    </w:p>
    <w:p>
      <w:pPr>
        <w:numPr>
          <w:ilvl w:val="0"/>
          <w:numId w:val="1016"/>
        </w:numPr>
        <w:pStyle w:val="Compact"/>
      </w:pPr>
      <w:r>
        <w:t xml:space="preserve">Hasan ibn Ali briefly succeeded Ali and reached an agreement with Muawiya in 661, opening the transition to Umayyad rule.</w:t>
      </w:r>
    </w:p>
    <w:bookmarkEnd w:id="47"/>
    <w:bookmarkStart w:id="48" w:name="key-takeaways-2"/>
    <w:p>
      <w:pPr>
        <w:pStyle w:val="Heading2"/>
      </w:pPr>
      <w:r>
        <w:t xml:space="preserve">Key Takeaways</w:t>
      </w:r>
    </w:p>
    <w:p>
      <w:pPr>
        <w:numPr>
          <w:ilvl w:val="0"/>
          <w:numId w:val="1017"/>
        </w:numPr>
        <w:pStyle w:val="Compact"/>
      </w:pPr>
      <w:r>
        <w:t xml:space="preserve">This period should be studied as state formation under pressure — unity, expansion, administration and emerging political conflict together — not as a simple list of four righteous rulers.</w:t>
      </w:r>
    </w:p>
    <w:p>
      <w:pPr>
        <w:numPr>
          <w:ilvl w:val="0"/>
          <w:numId w:val="1017"/>
        </w:numPr>
        <w:pStyle w:val="Compact"/>
      </w:pPr>
      <w:r>
        <w:t xml:space="preserve">The administrative institutions developed under Umar (the diwan, garrison towns, provincial governance) are as historically significant as any single military victory of the period.</w:t>
      </w:r>
    </w:p>
    <w:p>
      <w:pPr>
        <w:numPr>
          <w:ilvl w:val="0"/>
          <w:numId w:val="1017"/>
        </w:numPr>
        <w:pStyle w:val="Compact"/>
      </w:pPr>
      <w:r>
        <w:t xml:space="preserve">The civil conflict beginning with Uthman’s assassination directly explains the transition to Umayyad dynastic rule and should be read forward into Topic 6, not treated as a closed, self-contained episode.</w:t>
      </w:r>
    </w:p>
    <w:bookmarkEnd w:id="48"/>
    <w:bookmarkEnd w:id="49"/>
    <w:bookmarkStart w:id="57" w:name="political-system-of-islam"/>
    <w:p>
      <w:pPr>
        <w:pStyle w:val="Heading1"/>
        <w:pageBreakBefore/>
      </w:pPr>
      <w:r>
        <w:t xml:space="preserve">4. Political System of Islam</w:t>
      </w:r>
    </w:p>
    <w:bookmarkStart w:id="50" w:name="why-this-topic-matters-3"/>
    <w:p>
      <w:pPr>
        <w:pStyle w:val="Heading2"/>
      </w:pPr>
      <w:r>
        <w:t xml:space="preserve">Why This Topic Matters</w:t>
      </w:r>
    </w:p>
    <w:p>
      <w:pPr>
        <w:pStyle w:val="FirstParagraph"/>
      </w:pPr>
      <w:r>
        <w:t xml:space="preserve">This is a concepts topic rather than a narrative one, and it is frequently mishandled by candidates who either force modern political-science labels (</w:t>
      </w:r>
      <w:r>
        <w:t xml:space="preserve">“</w:t>
      </w:r>
      <w:r>
        <w:t xml:space="preserve">democracy,</w:t>
      </w:r>
      <w:r>
        <w:t xml:space="preserve">”</w:t>
      </w:r>
      <w:r>
        <w:t xml:space="preserve"> </w:t>
      </w:r>
      <w:r>
        <w:t xml:space="preserve">“</w:t>
      </w:r>
      <w:r>
        <w:t xml:space="preserve">theocracy</w:t>
      </w:r>
      <w:r>
        <w:t xml:space="preserve">”</w:t>
      </w:r>
      <w:r>
        <w:t xml:space="preserve">) onto early Islamic institutions without explanation, or who describe later dynastic practice as if it were automatically identical with normative political theory. Getting the ideal-versus-practice distinction right is the single most valuable skill for this entire topic.</w:t>
      </w:r>
    </w:p>
    <w:bookmarkEnd w:id="50"/>
    <w:bookmarkStart w:id="51" w:name="X2f3854b699834919e43f445131865cc0afeeec8"/>
    <w:p>
      <w:pPr>
        <w:pStyle w:val="Heading2"/>
      </w:pPr>
      <w:r>
        <w:t xml:space="preserve">Sovereignty, Vicegerency and the Limits on Human Authority</w:t>
      </w:r>
    </w:p>
    <w:p>
      <w:pPr>
        <w:pStyle w:val="FirstParagraph"/>
      </w:pPr>
      <w:r>
        <w:t xml:space="preserve">Classical Islamic political thought begins from the premise that ultimate moral and legal authority belongs to God; human political institutions therefore operate within ethical and legal limits rather than claiming unlimited sovereignty in an absolute, self-originating sense. Human beings are understood, in this framework, as responsible trustees (a concept often rendered as</w:t>
      </w:r>
      <w:r>
        <w:t xml:space="preserve"> </w:t>
      </w:r>
      <w:r>
        <w:rPr>
          <w:iCs/>
          <w:i/>
        </w:rPr>
        <w:t xml:space="preserve">khilafah</w:t>
      </w:r>
      <w:r>
        <w:t xml:space="preserve"> </w:t>
      </w:r>
      <w:r>
        <w:t xml:space="preserve">or vicegerency in a general, non-office-specific sense) — meaning political authority is exercised as a responsibility oriented toward justice and public welfare, not as an unconditional personal possession of the ruler.</w:t>
      </w:r>
    </w:p>
    <w:bookmarkEnd w:id="51"/>
    <w:bookmarkStart w:id="52" w:name="the-caliphate-bayah-and-shura"/>
    <w:p>
      <w:pPr>
        <w:pStyle w:val="Heading2"/>
      </w:pPr>
      <w:r>
        <w:t xml:space="preserve">The Caliphate, Bay’ah and Shura</w:t>
      </w:r>
    </w:p>
    <w:p>
      <w:pPr>
        <w:pStyle w:val="FirstParagraph"/>
      </w:pPr>
      <w:r>
        <w:t xml:space="preserve">The caliph historically functioned as the political head of the Muslim community following the Prophet’s death, though classical jurists and political theorists debated the precise qualifications, duties, and correct method of appointment at length, and actual historical practice (as Topic 3 demonstrates) varied considerably across the four Pious Caliphs alone.</w:t>
      </w:r>
      <w:r>
        <w:t xml:space="preserve"> </w:t>
      </w:r>
      <w:r>
        <w:rPr>
          <w:bCs/>
          <w:b/>
        </w:rPr>
        <w:t xml:space="preserve">Bay’ah</w:t>
      </w:r>
      <w:r>
        <w:t xml:space="preserve"> </w:t>
      </w:r>
      <w:r>
        <w:t xml:space="preserve">refers to a pledge of allegiance and a recognised form of political legitimation — an important concept for discussions of consent and legitimacy, though it should not be described as identical to a modern election in mechanism or scope.</w:t>
      </w:r>
      <w:r>
        <w:t xml:space="preserve"> </w:t>
      </w:r>
      <w:r>
        <w:rPr>
          <w:bCs/>
          <w:b/>
        </w:rPr>
        <w:t xml:space="preserve">Shura</w:t>
      </w:r>
      <w:r>
        <w:t xml:space="preserve"> </w:t>
      </w:r>
      <w:r>
        <w:t xml:space="preserve">(consultation) is a recurring Qur’anic and political principle, but historical mechanisms for implementing it varied significantly by period and ruler; a strong answer explains the underlying principle without inventing a single, fixed, modern-sounding institutional procedure that supposedly operated identically throughout Islamic history.</w:t>
      </w:r>
    </w:p>
    <w:bookmarkEnd w:id="52"/>
    <w:bookmarkStart w:id="53" w:name="X6d2eb8cb0097eb40459705a188a03b0c5d68e26"/>
    <w:p>
      <w:pPr>
        <w:pStyle w:val="Heading2"/>
      </w:pPr>
      <w:r>
        <w:t xml:space="preserve">Justice, Accountability, and the Gap Between Ideal and Practice</w:t>
      </w:r>
    </w:p>
    <w:p>
      <w:pPr>
        <w:pStyle w:val="FirstParagraph"/>
      </w:pPr>
      <w:r>
        <w:t xml:space="preserve">Administration of justice, protection of life and property, fair taxation, security, and public welfare are treated as central state responsibilities in classical Islamic political thought, with rulers held morally accountable for abuse of authority. In practice, the Umayyad, Abbasid, Ottoman, and other historical Muslim dynasties (covered in Topics 6, 7 and 10) did not always match these normative theories in full — a point the syllabus and this resource treat as a legitimate object of historical analysis rather than an embarrassment to be minimised: the productive exam question is precisely</w:t>
      </w:r>
      <w:r>
        <w:t xml:space="preserve"> </w:t>
      </w:r>
      <w:r>
        <w:rPr>
          <w:iCs/>
          <w:i/>
        </w:rPr>
        <w:t xml:space="preserve">how far</w:t>
      </w:r>
      <w:r>
        <w:t xml:space="preserve"> </w:t>
      </w:r>
      <w:r>
        <w:t xml:space="preserve">a given historical institution reflected, modified, or departed from the stated political ideal, and why.</w:t>
      </w:r>
    </w:p>
    <w:bookmarkEnd w:id="53"/>
    <w:bookmarkStart w:id="54" w:name="key-terms-and-concepts-3"/>
    <w:p>
      <w:pPr>
        <w:pStyle w:val="Heading2"/>
      </w:pPr>
      <w:r>
        <w:t xml:space="preserve">Key Terms and Concepts</w:t>
      </w:r>
    </w:p>
    <w:p>
      <w:pPr>
        <w:numPr>
          <w:ilvl w:val="0"/>
          <w:numId w:val="1018"/>
        </w:numPr>
        <w:pStyle w:val="Compact"/>
      </w:pPr>
      <w:r>
        <w:rPr>
          <w:bCs/>
          <w:b/>
        </w:rPr>
        <w:t xml:space="preserve">Vicegerency (Khilafah, general sense):</w:t>
      </w:r>
      <w:r>
        <w:t xml:space="preserve"> </w:t>
      </w:r>
      <w:r>
        <w:t xml:space="preserve">The concept of humans as responsible trustees exercising delegated authority.</w:t>
      </w:r>
    </w:p>
    <w:p>
      <w:pPr>
        <w:numPr>
          <w:ilvl w:val="0"/>
          <w:numId w:val="1018"/>
        </w:numPr>
        <w:pStyle w:val="Compact"/>
      </w:pPr>
      <w:r>
        <w:rPr>
          <w:bCs/>
          <w:b/>
        </w:rPr>
        <w:t xml:space="preserve">Bay’ah:</w:t>
      </w:r>
      <w:r>
        <w:t xml:space="preserve"> </w:t>
      </w:r>
      <w:r>
        <w:t xml:space="preserve">A pledge of allegiance functioning as a form of political legitimation, distinct from a modern election.</w:t>
      </w:r>
    </w:p>
    <w:p>
      <w:pPr>
        <w:numPr>
          <w:ilvl w:val="0"/>
          <w:numId w:val="1018"/>
        </w:numPr>
        <w:pStyle w:val="Compact"/>
      </w:pPr>
      <w:r>
        <w:rPr>
          <w:bCs/>
          <w:b/>
        </w:rPr>
        <w:t xml:space="preserve">Shura:</w:t>
      </w:r>
      <w:r>
        <w:t xml:space="preserve"> </w:t>
      </w:r>
      <w:r>
        <w:t xml:space="preserve">The Qur’anic and political principle of consultation, implemented through varying historical mechanisms rather than one fixed procedure.</w:t>
      </w:r>
    </w:p>
    <w:bookmarkEnd w:id="54"/>
    <w:bookmarkStart w:id="55" w:name="preparation-toolkit-3"/>
    <w:p>
      <w:pPr>
        <w:pStyle w:val="Heading2"/>
      </w:pPr>
      <w:r>
        <w:t xml:space="preserve">Preparation Toolkit</w:t>
      </w:r>
    </w:p>
    <w:p>
      <w:pPr>
        <w:pStyle w:val="FirstParagraph"/>
      </w:pPr>
      <w:r>
        <w:rPr>
          <w:bCs/>
          <w:b/>
        </w:rPr>
        <w:t xml:space="preserve">Preparation Checklist</w:t>
      </w:r>
    </w:p>
    <w:p>
      <w:pPr>
        <w:numPr>
          <w:ilvl w:val="0"/>
          <w:numId w:val="1019"/>
        </w:numPr>
        <w:pStyle w:val="Compact"/>
      </w:pPr>
      <w:r>
        <w:t xml:space="preserve">Define each concept from recognised Islamic political thought first, then show how it appeared (or did not fully appear) in early history.</w:t>
      </w:r>
    </w:p>
    <w:p>
      <w:pPr>
        <w:numPr>
          <w:ilvl w:val="0"/>
          <w:numId w:val="1019"/>
        </w:numPr>
        <w:pStyle w:val="Compact"/>
      </w:pPr>
      <w:r>
        <w:t xml:space="preserve">Prepare a direct comparison between at least two caliphs’ methods of accession to illustrate that</w:t>
      </w:r>
      <w:r>
        <w:t xml:space="preserve"> </w:t>
      </w:r>
      <w:r>
        <w:t xml:space="preserve">“</w:t>
      </w:r>
      <w:r>
        <w:t xml:space="preserve">the caliphate</w:t>
      </w:r>
      <w:r>
        <w:t xml:space="preserve">”</w:t>
      </w:r>
      <w:r>
        <w:t xml:space="preserve"> </w:t>
      </w:r>
      <w:r>
        <w:t xml:space="preserve">did not have one single historical selection mechanism.</w:t>
      </w:r>
    </w:p>
    <w:p>
      <w:pPr>
        <w:numPr>
          <w:ilvl w:val="0"/>
          <w:numId w:val="1019"/>
        </w:numPr>
        <w:pStyle w:val="Compact"/>
      </w:pPr>
      <w:r>
        <w:t xml:space="preserve">Practise one analytical outline answering:</w:t>
      </w:r>
      <w:r>
        <w:t xml:space="preserve"> </w:t>
      </w:r>
      <w:r>
        <w:t xml:space="preserve">“</w:t>
      </w:r>
      <w:r>
        <w:t xml:space="preserve">To what extent did later Muslim dynasties reflect the political principles of sovereignty, Shura and accountability discussed in classical Islamic political thought?</w:t>
      </w:r>
      <w:r>
        <w:t xml:space="preserve">”</w:t>
      </w:r>
    </w:p>
    <w:p>
      <w:pPr>
        <w:pStyle w:val="FirstParagraph"/>
      </w:pPr>
      <w:r>
        <w:rPr>
          <w:bCs/>
          <w:b/>
        </w:rPr>
        <w:t xml:space="preserve">Common Confusions to Avoid</w:t>
      </w:r>
    </w:p>
    <w:p>
      <w:pPr>
        <w:numPr>
          <w:ilvl w:val="0"/>
          <w:numId w:val="1020"/>
        </w:numPr>
        <w:pStyle w:val="Compact"/>
      </w:pPr>
      <w:r>
        <w:t xml:space="preserve">Do not label the early Islamic state simply as a modern democracy or a modern theocracy without extensive explanation of what is and is not being claimed by either label.</w:t>
      </w:r>
    </w:p>
    <w:p>
      <w:pPr>
        <w:numPr>
          <w:ilvl w:val="0"/>
          <w:numId w:val="1020"/>
        </w:numPr>
        <w:pStyle w:val="Compact"/>
      </w:pPr>
      <w:r>
        <w:t xml:space="preserve">Do not assume Shura followed one detailed constitutional procedure in every period.</w:t>
      </w:r>
    </w:p>
    <w:p>
      <w:pPr>
        <w:numPr>
          <w:ilvl w:val="0"/>
          <w:numId w:val="1020"/>
        </w:numPr>
        <w:pStyle w:val="Compact"/>
      </w:pPr>
      <w:r>
        <w:t xml:space="preserve">Do not describe every later Muslim dynasty as an exact, unmodified continuation of early caliphate political practice.</w:t>
      </w:r>
    </w:p>
    <w:p>
      <w:pPr>
        <w:pStyle w:val="FirstParagraph"/>
      </w:pPr>
      <w:r>
        <w:rPr>
          <w:bCs/>
          <w:b/>
        </w:rPr>
        <w:t xml:space="preserve">Easy Revision Points</w:t>
      </w:r>
    </w:p>
    <w:p>
      <w:pPr>
        <w:numPr>
          <w:ilvl w:val="0"/>
          <w:numId w:val="1021"/>
        </w:numPr>
        <w:pStyle w:val="Compact"/>
      </w:pPr>
      <w:r>
        <w:t xml:space="preserve">Islamic political thought treats ultimate moral and legal authority as belonging to God, with human rulers exercising delegated responsibility.</w:t>
      </w:r>
    </w:p>
    <w:p>
      <w:pPr>
        <w:numPr>
          <w:ilvl w:val="0"/>
          <w:numId w:val="1021"/>
        </w:numPr>
        <w:pStyle w:val="Compact"/>
      </w:pPr>
      <w:r>
        <w:t xml:space="preserve">Shura means consultation and is a recurring principle in Islamic political discourse, implemented differently across periods.</w:t>
      </w:r>
    </w:p>
    <w:p>
      <w:pPr>
        <w:numPr>
          <w:ilvl w:val="0"/>
          <w:numId w:val="1021"/>
        </w:numPr>
        <w:pStyle w:val="Compact"/>
      </w:pPr>
      <w:r>
        <w:t xml:space="preserve">Bay’ah refers to a pledge of allegiance and historically formed part of political legitimation.</w:t>
      </w:r>
    </w:p>
    <w:p>
      <w:pPr>
        <w:numPr>
          <w:ilvl w:val="0"/>
          <w:numId w:val="1021"/>
        </w:numPr>
        <w:pStyle w:val="Compact"/>
      </w:pPr>
      <w:r>
        <w:t xml:space="preserve">Justice, protection of the community, administration of law and public welfare are central governmental responsibilities in classical discussion.</w:t>
      </w:r>
    </w:p>
    <w:p>
      <w:pPr>
        <w:numPr>
          <w:ilvl w:val="0"/>
          <w:numId w:val="1021"/>
        </w:numPr>
        <w:pStyle w:val="Compact"/>
      </w:pPr>
      <w:r>
        <w:t xml:space="preserve">Early caliphs came to office through different combinations of designation, consultation and communal allegiance — not one uniform mechanism.</w:t>
      </w:r>
    </w:p>
    <w:bookmarkEnd w:id="55"/>
    <w:bookmarkStart w:id="56" w:name="key-takeaways-3"/>
    <w:p>
      <w:pPr>
        <w:pStyle w:val="Heading2"/>
      </w:pPr>
      <w:r>
        <w:t xml:space="preserve">Key Takeaways</w:t>
      </w:r>
    </w:p>
    <w:p>
      <w:pPr>
        <w:numPr>
          <w:ilvl w:val="0"/>
          <w:numId w:val="1022"/>
        </w:numPr>
        <w:pStyle w:val="Compact"/>
      </w:pPr>
      <w:r>
        <w:t xml:space="preserve">Every answer on this topic should explain the principle first and then supply historical evidence — never assume later dynastic practice was automatically identical to the ideal.</w:t>
      </w:r>
    </w:p>
    <w:p>
      <w:pPr>
        <w:numPr>
          <w:ilvl w:val="0"/>
          <w:numId w:val="1022"/>
        </w:numPr>
        <w:pStyle w:val="Compact"/>
      </w:pPr>
      <w:r>
        <w:t xml:space="preserve">Bay’ah and Shura are genuine Islamic political concepts with real historical content, but neither should be mapped onto modern institutional forms (elections, parliaments) without careful qualification.</w:t>
      </w:r>
    </w:p>
    <w:p>
      <w:pPr>
        <w:numPr>
          <w:ilvl w:val="0"/>
          <w:numId w:val="1022"/>
        </w:numPr>
        <w:pStyle w:val="Compact"/>
      </w:pPr>
      <w:r>
        <w:t xml:space="preserve">The productive analytical question throughout this topic is the gap between normative theory and historical practice — a theme that carries forward directly into Topics 6, 7 and 10.</w:t>
      </w:r>
    </w:p>
    <w:bookmarkEnd w:id="56"/>
    <w:bookmarkEnd w:id="57"/>
    <w:bookmarkStart w:id="65" w:name="X94439a2273875da16d336be074473f813a917fb"/>
    <w:p>
      <w:pPr>
        <w:pStyle w:val="Heading1"/>
        <w:pageBreakBefore/>
      </w:pPr>
      <w:r>
        <w:t xml:space="preserve">5. Institutional Development in the Muslim State</w:t>
      </w:r>
    </w:p>
    <w:bookmarkStart w:id="58" w:name="why-this-topic-matters-4"/>
    <w:p>
      <w:pPr>
        <w:pStyle w:val="Heading2"/>
      </w:pPr>
      <w:r>
        <w:t xml:space="preserve">Why This Topic Matters</w:t>
      </w:r>
    </w:p>
    <w:p>
      <w:pPr>
        <w:pStyle w:val="FirstParagraph"/>
      </w:pPr>
      <w:r>
        <w:t xml:space="preserve">As Muslim territory expanded far beyond what simple community-level arrangements could manage, the state needed judges, governors, tax systems, military organisation, public finance, record-keeping, education and communication infrastructure. This topic asks candidates to explain institutions by function and evolution — what each institution actually did and why it became necessary — rather than reducing institutional history to</w:t>
      </w:r>
      <w:r>
        <w:t xml:space="preserve"> </w:t>
      </w:r>
      <w:r>
        <w:t xml:space="preserve">“</w:t>
      </w:r>
      <w:r>
        <w:t xml:space="preserve">who founded what.</w:t>
      </w:r>
      <w:r>
        <w:t xml:space="preserve">”</w:t>
      </w:r>
    </w:p>
    <w:bookmarkEnd w:id="58"/>
    <w:bookmarkStart w:id="59" w:name="X666dc71da5b11df208659519e74475c0f951f45"/>
    <w:p>
      <w:pPr>
        <w:pStyle w:val="Heading2"/>
      </w:pPr>
      <w:r>
        <w:t xml:space="preserve">Provincial Administration and the Judiciary</w:t>
      </w:r>
    </w:p>
    <w:p>
      <w:pPr>
        <w:pStyle w:val="FirstParagraph"/>
      </w:pPr>
      <w:r>
        <w:t xml:space="preserve">Governors represented central authority in the provinces, handling security, taxation and public order on the caliphate’s behalf; as the empire grew, effective supervision of governors — preventing them from becoming excessively autonomous or abusive of their position — became a major and recurring political problem, one that reappears throughout Topics 6 and 7. The</w:t>
      </w:r>
      <w:r>
        <w:t xml:space="preserve"> </w:t>
      </w:r>
      <w:r>
        <w:rPr>
          <w:bCs/>
          <w:b/>
        </w:rPr>
        <w:t xml:space="preserve">qadi</w:t>
      </w:r>
      <w:r>
        <w:t xml:space="preserve"> </w:t>
      </w:r>
      <w:r>
        <w:t xml:space="preserve">(judge) developed as a specialist office applying Islamic legal norms and administrative practice, with judicial organisation becoming progressively more formal through the later Umayyad and Abbasid periods as the volume and complexity of legal administration grew.</w:t>
      </w:r>
    </w:p>
    <w:bookmarkEnd w:id="59"/>
    <w:bookmarkStart w:id="60" w:name="X1bd54fb641ab101e3689bd85480b6538aa97e35"/>
    <w:p>
      <w:pPr>
        <w:pStyle w:val="Heading2"/>
      </w:pPr>
      <w:r>
        <w:t xml:space="preserve">The Diwan, Public Finance, and Military Organisation</w:t>
      </w:r>
    </w:p>
    <w:p>
      <w:pPr>
        <w:pStyle w:val="FirstParagraph"/>
      </w:pPr>
      <w:r>
        <w:t xml:space="preserve">The</w:t>
      </w:r>
      <w:r>
        <w:t xml:space="preserve"> </w:t>
      </w:r>
      <w:r>
        <w:rPr>
          <w:bCs/>
          <w:b/>
        </w:rPr>
        <w:t xml:space="preserve">diwan</w:t>
      </w:r>
      <w:r>
        <w:t xml:space="preserve">, discussed already in Topic 3, began as a register connected to military stipends under Umar and expanded over time into broader administrative departments covering a wide range of state functions; written record-keeping became essential for taxation, salary payment, and provincial communication across an increasingly large and dispersed empire. The</w:t>
      </w:r>
      <w:r>
        <w:t xml:space="preserve"> </w:t>
      </w:r>
      <w:r>
        <w:rPr>
          <w:bCs/>
          <w:b/>
        </w:rPr>
        <w:t xml:space="preserve">bayt al-mal</w:t>
      </w:r>
      <w:r>
        <w:t xml:space="preserve"> </w:t>
      </w:r>
      <w:r>
        <w:t xml:space="preserve">(public treasury) took varying institutional forms across different periods and regions, while revenue categories such as</w:t>
      </w:r>
      <w:r>
        <w:t xml:space="preserve"> </w:t>
      </w:r>
      <w:r>
        <w:rPr>
          <w:bCs/>
          <w:b/>
        </w:rPr>
        <w:t xml:space="preserve">zakat</w:t>
      </w:r>
      <w:r>
        <w:t xml:space="preserve"> </w:t>
      </w:r>
      <w:r>
        <w:t xml:space="preserve">(obligatory almsgiving),</w:t>
      </w:r>
      <w:r>
        <w:t xml:space="preserve"> </w:t>
      </w:r>
      <w:r>
        <w:rPr>
          <w:bCs/>
          <w:b/>
        </w:rPr>
        <w:t xml:space="preserve">kharaj</w:t>
      </w:r>
      <w:r>
        <w:t xml:space="preserve"> </w:t>
      </w:r>
      <w:r>
        <w:t xml:space="preserve">(generally land revenue),</w:t>
      </w:r>
      <w:r>
        <w:t xml:space="preserve"> </w:t>
      </w:r>
      <w:r>
        <w:rPr>
          <w:bCs/>
          <w:b/>
        </w:rPr>
        <w:t xml:space="preserve">jizya</w:t>
      </w:r>
      <w:r>
        <w:t xml:space="preserve"> </w:t>
      </w:r>
      <w:r>
        <w:t xml:space="preserve">(a poll tax historically applied to specified non-Muslim subjects) and</w:t>
      </w:r>
      <w:r>
        <w:t xml:space="preserve"> </w:t>
      </w:r>
      <w:r>
        <w:rPr>
          <w:bCs/>
          <w:b/>
        </w:rPr>
        <w:t xml:space="preserve">’ushr</w:t>
      </w:r>
      <w:r>
        <w:t xml:space="preserve"> </w:t>
      </w:r>
      <w:r>
        <w:t xml:space="preserve">(a tithe on certain agricultural produce or trade) each had distinct legal functions whose precise application varied considerably by time and place — a point worth stating explicitly, since assuming uniform rates and application across all of Islamic history is a common and costly exam error. Military organisation evolved correspondingly, from early tribal levies into more structured armies, garrison settlements, and — in later periods — specialised or slave-soldier military formations whose financing arrangements often had significant political consequences.</w:t>
      </w:r>
    </w:p>
    <w:bookmarkEnd w:id="60"/>
    <w:bookmarkStart w:id="61" w:name="education-knowledge-and-urban-culture"/>
    <w:p>
      <w:pPr>
        <w:pStyle w:val="Heading2"/>
      </w:pPr>
      <w:r>
        <w:t xml:space="preserve">Education, Knowledge, and Urban Culture</w:t>
      </w:r>
    </w:p>
    <w:p>
      <w:pPr>
        <w:pStyle w:val="FirstParagraph"/>
      </w:pPr>
      <w:r>
        <w:t xml:space="preserve">Mosques functioned not only as places of worship but as important centres of teaching and community activity, supporting study circles, scholars, and eventually more formal institutions such as libraries and madrasas, with patronage coming from caliphs, officials, merchants and scholars across different cities and periods. Religious sciences developed alongside medicine, philosophy, mathematics and literature in major urban centres — a dimension developed much further in Topic 7’s treatment of Abbasid intellectual life. Institutional development in this period also extended into urban public works: roads, markets, charitable religious endowments (</w:t>
      </w:r>
      <w:r>
        <w:rPr>
          <w:iCs/>
          <w:i/>
        </w:rPr>
        <w:t xml:space="preserve">waqf</w:t>
      </w:r>
      <w:r>
        <w:t xml:space="preserve">), hospitals, and other infrastructure became defining features of Muslim civilisation in many regions, meaning institutional history in this topic reaches well beyond formal government offices alone.</w:t>
      </w:r>
    </w:p>
    <w:bookmarkEnd w:id="61"/>
    <w:bookmarkStart w:id="62" w:name="key-terms-and-concepts-4"/>
    <w:p>
      <w:pPr>
        <w:pStyle w:val="Heading2"/>
      </w:pPr>
      <w:r>
        <w:t xml:space="preserve">Key Terms and Concepts</w:t>
      </w:r>
    </w:p>
    <w:p>
      <w:pPr>
        <w:numPr>
          <w:ilvl w:val="0"/>
          <w:numId w:val="1023"/>
        </w:numPr>
        <w:pStyle w:val="Compact"/>
      </w:pPr>
      <w:r>
        <w:rPr>
          <w:bCs/>
          <w:b/>
        </w:rPr>
        <w:t xml:space="preserve">Qadi:</w:t>
      </w:r>
      <w:r>
        <w:t xml:space="preserve"> </w:t>
      </w:r>
      <w:r>
        <w:t xml:space="preserve">A specialist judge applying Islamic legal norms, with increasingly formal organisation over time.</w:t>
      </w:r>
    </w:p>
    <w:p>
      <w:pPr>
        <w:numPr>
          <w:ilvl w:val="0"/>
          <w:numId w:val="1023"/>
        </w:numPr>
        <w:pStyle w:val="Compact"/>
      </w:pPr>
      <w:r>
        <w:rPr>
          <w:bCs/>
          <w:b/>
        </w:rPr>
        <w:t xml:space="preserve">Bayt al-mal:</w:t>
      </w:r>
      <w:r>
        <w:t xml:space="preserve"> </w:t>
      </w:r>
      <w:r>
        <w:t xml:space="preserve">The public treasury, taking varying institutional forms across periods and regions.</w:t>
      </w:r>
    </w:p>
    <w:p>
      <w:pPr>
        <w:numPr>
          <w:ilvl w:val="0"/>
          <w:numId w:val="1023"/>
        </w:numPr>
        <w:pStyle w:val="Compact"/>
      </w:pPr>
      <w:r>
        <w:rPr>
          <w:bCs/>
          <w:b/>
        </w:rPr>
        <w:t xml:space="preserve">Kharaj / Jizya / Zakat / ’Ushr:</w:t>
      </w:r>
      <w:r>
        <w:t xml:space="preserve"> </w:t>
      </w:r>
      <w:r>
        <w:t xml:space="preserve">Distinct revenue categories (land revenue, a poll tax on specified non-Muslim subjects, obligatory almsgiving, and a tithe respectively) whose application varied by time and place.</w:t>
      </w:r>
    </w:p>
    <w:bookmarkEnd w:id="62"/>
    <w:bookmarkStart w:id="63" w:name="preparation-toolkit-4"/>
    <w:p>
      <w:pPr>
        <w:pStyle w:val="Heading2"/>
      </w:pPr>
      <w:r>
        <w:t xml:space="preserve">Preparation Toolkit</w:t>
      </w:r>
    </w:p>
    <w:p>
      <w:pPr>
        <w:pStyle w:val="FirstParagraph"/>
      </w:pPr>
      <w:r>
        <w:rPr>
          <w:bCs/>
          <w:b/>
        </w:rPr>
        <w:t xml:space="preserve">Preparation Checklist</w:t>
      </w:r>
    </w:p>
    <w:p>
      <w:pPr>
        <w:numPr>
          <w:ilvl w:val="0"/>
          <w:numId w:val="1024"/>
        </w:numPr>
        <w:pStyle w:val="Compact"/>
      </w:pPr>
      <w:r>
        <w:t xml:space="preserve">Make seven mini-files: law, administration, defence, education, da’wah (propagation of faith), finance and culture; for each, record origin, function, major development under the early caliphs/Umayyads/Abbasids, and historical importance.</w:t>
      </w:r>
    </w:p>
    <w:p>
      <w:pPr>
        <w:numPr>
          <w:ilvl w:val="0"/>
          <w:numId w:val="1024"/>
        </w:numPr>
        <w:pStyle w:val="Compact"/>
      </w:pPr>
      <w:r>
        <w:t xml:space="preserve">Build a concept sheet defining each core institutional term in easy language, attaching one historical example and one effect to each.</w:t>
      </w:r>
    </w:p>
    <w:p>
      <w:pPr>
        <w:numPr>
          <w:ilvl w:val="0"/>
          <w:numId w:val="1024"/>
        </w:numPr>
        <w:pStyle w:val="Compact"/>
      </w:pPr>
      <w:r>
        <w:t xml:space="preserve">Practise one analytical outline answering:</w:t>
      </w:r>
      <w:r>
        <w:t xml:space="preserve"> </w:t>
      </w:r>
      <w:r>
        <w:t xml:space="preserve">“</w:t>
      </w:r>
      <w:r>
        <w:t xml:space="preserve">How did Muslim administrative institutions evolve as the state grew from an Arabian polity into a large imperial administration?</w:t>
      </w:r>
      <w:r>
        <w:t xml:space="preserve">”</w:t>
      </w:r>
    </w:p>
    <w:p>
      <w:pPr>
        <w:pStyle w:val="FirstParagraph"/>
      </w:pPr>
      <w:r>
        <w:rPr>
          <w:bCs/>
          <w:b/>
        </w:rPr>
        <w:t xml:space="preserve">Common Confusions to Avoid</w:t>
      </w:r>
    </w:p>
    <w:p>
      <w:pPr>
        <w:numPr>
          <w:ilvl w:val="0"/>
          <w:numId w:val="1025"/>
        </w:numPr>
        <w:pStyle w:val="Compact"/>
      </w:pPr>
      <w:r>
        <w:t xml:space="preserve">Do not assume every tax term had exactly the same rate and application throughout all of Islamic history.</w:t>
      </w:r>
    </w:p>
    <w:p>
      <w:pPr>
        <w:numPr>
          <w:ilvl w:val="0"/>
          <w:numId w:val="1025"/>
        </w:numPr>
        <w:pStyle w:val="Compact"/>
      </w:pPr>
      <w:r>
        <w:t xml:space="preserve">Do not confuse the early diwan with a modern ministry in every respect; its functions evolved substantially over time.</w:t>
      </w:r>
    </w:p>
    <w:p>
      <w:pPr>
        <w:numPr>
          <w:ilvl w:val="0"/>
          <w:numId w:val="1025"/>
        </w:numPr>
        <w:pStyle w:val="Compact"/>
      </w:pPr>
      <w:r>
        <w:t xml:space="preserve">Do not reduce institutional history to</w:t>
      </w:r>
      <w:r>
        <w:t xml:space="preserve"> </w:t>
      </w:r>
      <w:r>
        <w:t xml:space="preserve">“</w:t>
      </w:r>
      <w:r>
        <w:t xml:space="preserve">who founded what</w:t>
      </w:r>
      <w:r>
        <w:t xml:space="preserve">”</w:t>
      </w:r>
      <w:r>
        <w:t xml:space="preserve">; explain what each institution did and why it became necessary.</w:t>
      </w:r>
    </w:p>
    <w:p>
      <w:pPr>
        <w:pStyle w:val="FirstParagraph"/>
      </w:pPr>
      <w:r>
        <w:rPr>
          <w:bCs/>
          <w:b/>
        </w:rPr>
        <w:t xml:space="preserve">Easy Revision Points</w:t>
      </w:r>
    </w:p>
    <w:p>
      <w:pPr>
        <w:numPr>
          <w:ilvl w:val="0"/>
          <w:numId w:val="1026"/>
        </w:numPr>
        <w:pStyle w:val="Compact"/>
      </w:pPr>
      <w:r>
        <w:t xml:space="preserve">Territorial expansion required provincial governors, fiscal officials, judges and written administrative records.</w:t>
      </w:r>
    </w:p>
    <w:p>
      <w:pPr>
        <w:numPr>
          <w:ilvl w:val="0"/>
          <w:numId w:val="1026"/>
        </w:numPr>
        <w:pStyle w:val="Compact"/>
      </w:pPr>
      <w:r>
        <w:t xml:space="preserve">The diwan system developed as a register and administrative mechanism, particularly under Umar’s caliphate.</w:t>
      </w:r>
    </w:p>
    <w:p>
      <w:pPr>
        <w:numPr>
          <w:ilvl w:val="0"/>
          <w:numId w:val="1026"/>
        </w:numPr>
        <w:pStyle w:val="Compact"/>
      </w:pPr>
      <w:r>
        <w:t xml:space="preserve">The bayt al-mal served as a public treasury in varying institutional forms across periods.</w:t>
      </w:r>
    </w:p>
    <w:p>
      <w:pPr>
        <w:numPr>
          <w:ilvl w:val="0"/>
          <w:numId w:val="1026"/>
        </w:numPr>
        <w:pStyle w:val="Compact"/>
      </w:pPr>
      <w:r>
        <w:t xml:space="preserve">Kharaj generally referred to land revenue; jizya to a poll tax applied historically to specified non-Muslim subjects; details varied by place and time.</w:t>
      </w:r>
    </w:p>
    <w:p>
      <w:pPr>
        <w:numPr>
          <w:ilvl w:val="0"/>
          <w:numId w:val="1026"/>
        </w:numPr>
        <w:pStyle w:val="Compact"/>
      </w:pPr>
      <w:r>
        <w:t xml:space="preserve">Mosques functioned as centres of teaching and community activity, not only worship.</w:t>
      </w:r>
    </w:p>
    <w:bookmarkEnd w:id="63"/>
    <w:bookmarkStart w:id="64" w:name="key-takeaways-4"/>
    <w:p>
      <w:pPr>
        <w:pStyle w:val="Heading2"/>
      </w:pPr>
      <w:r>
        <w:t xml:space="preserve">Key Takeaways</w:t>
      </w:r>
    </w:p>
    <w:p>
      <w:pPr>
        <w:numPr>
          <w:ilvl w:val="0"/>
          <w:numId w:val="1027"/>
        </w:numPr>
        <w:pStyle w:val="Compact"/>
      </w:pPr>
      <w:r>
        <w:t xml:space="preserve">Institutions in this topic should be studied by function and evolution; the names of rulers matter mainly insofar as they explain institutional change.</w:t>
      </w:r>
    </w:p>
    <w:p>
      <w:pPr>
        <w:numPr>
          <w:ilvl w:val="0"/>
          <w:numId w:val="1027"/>
        </w:numPr>
        <w:pStyle w:val="Compact"/>
      </w:pPr>
      <w:r>
        <w:t xml:space="preserve">Revenue terminology (kharaj, jizya, zakat, ’ushr) requires careful, non-uniform treatment across time and place — this is one of the highest-value precision points in the whole subject.</w:t>
      </w:r>
    </w:p>
    <w:p>
      <w:pPr>
        <w:numPr>
          <w:ilvl w:val="0"/>
          <w:numId w:val="1027"/>
        </w:numPr>
        <w:pStyle w:val="Compact"/>
      </w:pPr>
      <w:r>
        <w:t xml:space="preserve">Institutional development extended well beyond formal government offices into education, urban infrastructure and charitable endowment, a dimension worth including explicitly in any broad</w:t>
      </w:r>
      <w:r>
        <w:t xml:space="preserve"> </w:t>
      </w:r>
      <w:r>
        <w:t xml:space="preserve">“</w:t>
      </w:r>
      <w:r>
        <w:t xml:space="preserve">institutional development</w:t>
      </w:r>
      <w:r>
        <w:t xml:space="preserve">”</w:t>
      </w:r>
      <w:r>
        <w:t xml:space="preserve"> </w:t>
      </w:r>
      <w:r>
        <w:t xml:space="preserve">answer.</w:t>
      </w:r>
    </w:p>
    <w:bookmarkEnd w:id="64"/>
    <w:bookmarkEnd w:id="65"/>
    <w:bookmarkStart w:id="74" w:name="the-umayyads"/>
    <w:p>
      <w:pPr>
        <w:pStyle w:val="Heading1"/>
        <w:pageBreakBefore/>
      </w:pPr>
      <w:r>
        <w:t xml:space="preserve">6. The Umayyads</w:t>
      </w:r>
    </w:p>
    <w:bookmarkStart w:id="66" w:name="why-this-topic-matters-5"/>
    <w:p>
      <w:pPr>
        <w:pStyle w:val="Heading2"/>
      </w:pPr>
      <w:r>
        <w:t xml:space="preserve">Why This Topic Matters</w:t>
      </w:r>
    </w:p>
    <w:p>
      <w:pPr>
        <w:pStyle w:val="FirstParagraph"/>
      </w:pPr>
      <w:r>
        <w:t xml:space="preserve">The Umayyad period turned the early caliphate into a vast imperial state stretching from Iberia to Central and South Asia, and it is where several institutional and social tensions first introduced in Topics 3, 4 and 5 (succession, provincial autonomy, the treatment of non-Arab converts) become concrete, empire-scale political problems with lasting consequences.</w:t>
      </w:r>
    </w:p>
    <w:bookmarkEnd w:id="66"/>
    <w:bookmarkStart w:id="67" w:name="Xeb45c11e72d37459dd667c636afc9d3eb596689"/>
    <w:p>
      <w:pPr>
        <w:pStyle w:val="Heading2"/>
      </w:pPr>
      <w:r>
        <w:t xml:space="preserve">Foundation Under Muawiya and Imperial Expansion</w:t>
      </w:r>
    </w:p>
    <w:p>
      <w:pPr>
        <w:pStyle w:val="FirstParagraph"/>
      </w:pPr>
      <w:r>
        <w:t xml:space="preserve">After the first civil war (Topic 3), Muawiya established stable rule from Damascus and developed a more clearly dynastic pattern of succession than the Pious Caliphate had followed, with Syrian military support becoming a central pillar of the new regime. Umayyad armies subsequently expanded the empire dramatically: westward into North Africa and Iberia (Topic 8), and eastward into Central Asia and Sindh (directly relevant to Topic 1 of the History of Pakistan &amp; India subject). This expansion brought substantial wealth and prestige but also increased administrative diversity and rising military costs — a scale of empire the earlier, smaller Arabian-centred polity had not needed to manage.</w:t>
      </w:r>
    </w:p>
    <w:bookmarkEnd w:id="67"/>
    <w:bookmarkStart w:id="68" w:name="Xf8dc198f8617bf034fe08ea32712e5ddd1e9a4a"/>
    <w:p>
      <w:pPr>
        <w:pStyle w:val="Heading2"/>
      </w:pPr>
      <w:r>
        <w:t xml:space="preserve">Administrative Arabization and Provincial Government</w:t>
      </w:r>
    </w:p>
    <w:p>
      <w:pPr>
        <w:pStyle w:val="FirstParagraph"/>
      </w:pPr>
      <w:r>
        <w:t xml:space="preserve">Caliph Abd al-Malik (r. 685–705) is particularly associated with making Arabic more central to state administration and with a significant coinage reform, measures that strengthened a distinct imperial identity and reduced the new state’s dependence on inherited Byzantine and Persian bureaucratic language and practice. Provincial governors carried substantial responsibility for security and taxation; while strong governors could stabilise difficult provinces, the same concentration of power could also make them politically dangerous to central authority — precisely the supervision problem flagged in Topic 5.</w:t>
      </w:r>
    </w:p>
    <w:bookmarkEnd w:id="68"/>
    <w:bookmarkStart w:id="69" w:name="society-the-mawali-and-culture"/>
    <w:p>
      <w:pPr>
        <w:pStyle w:val="Heading2"/>
      </w:pPr>
      <w:r>
        <w:t xml:space="preserve">Society, the Mawali, and Culture</w:t>
      </w:r>
    </w:p>
    <w:p>
      <w:pPr>
        <w:pStyle w:val="FirstParagraph"/>
      </w:pPr>
      <w:r>
        <w:t xml:space="preserve">Non-Arab converts to Islam (</w:t>
      </w:r>
      <w:r>
        <w:rPr>
          <w:iCs/>
          <w:i/>
        </w:rPr>
        <w:t xml:space="preserve">mawali</w:t>
      </w:r>
      <w:r>
        <w:t xml:space="preserve">) entered the Muslim community in growing numbers as the empire expanded, but differences in taxation, patronage, and social status between Arab Muslims and mawali contributed to real grievances in several regions, which later became an important element of anti-Umayyad political mobilisation (developed further in Topic 7). Culturally, the period produced major architectural achievements — the Dome of the Rock in Jerusalem and the Great Mosque of Damascus among the most significant — expressing both religious meaning and imperial power, alongside a flourishing of Arabic poetry and literary culture at court and beyond.</w:t>
      </w:r>
    </w:p>
    <w:bookmarkEnd w:id="69"/>
    <w:bookmarkStart w:id="70" w:name="the-fall-of-the-dynasty"/>
    <w:p>
      <w:pPr>
        <w:pStyle w:val="Heading2"/>
      </w:pPr>
      <w:r>
        <w:t xml:space="preserve">The Fall of the Dynasty</w:t>
      </w:r>
    </w:p>
    <w:p>
      <w:pPr>
        <w:pStyle w:val="FirstParagraph"/>
      </w:pPr>
      <w:r>
        <w:t xml:space="preserve">Umayyad collapse in 750 resulted from several interacting causes rather than any single failure: persistent tribal factionalism among Arab military elites, recurring disputes over dynastic legitimacy, growing provincial opposition, mawali grievances over unequal treatment, and highly effective Abbasid organisational efforts in Khurasan (in the empire’s eastern provinces) that mobilised these various discontents into a coordinated revolutionary movement. A branch of the Umayyad family escaped the resulting purge and later established a separate, long-lasting state in al-Andalus — the direct link to Topic 8.</w:t>
      </w:r>
    </w:p>
    <w:bookmarkEnd w:id="70"/>
    <w:bookmarkStart w:id="71" w:name="key-terms-and-concepts-5"/>
    <w:p>
      <w:pPr>
        <w:pStyle w:val="Heading2"/>
      </w:pPr>
      <w:r>
        <w:t xml:space="preserve">Key Terms and Concepts</w:t>
      </w:r>
    </w:p>
    <w:p>
      <w:pPr>
        <w:numPr>
          <w:ilvl w:val="0"/>
          <w:numId w:val="1028"/>
        </w:numPr>
        <w:pStyle w:val="Compact"/>
      </w:pPr>
      <w:r>
        <w:rPr>
          <w:bCs/>
          <w:b/>
        </w:rPr>
        <w:t xml:space="preserve">Mawali:</w:t>
      </w:r>
      <w:r>
        <w:t xml:space="preserve"> </w:t>
      </w:r>
      <w:r>
        <w:t xml:space="preserve">Non-Arab converts to Islam, whose unequal treatment relative to Arab Muslims became an important source of political grievance.</w:t>
      </w:r>
    </w:p>
    <w:p>
      <w:pPr>
        <w:numPr>
          <w:ilvl w:val="0"/>
          <w:numId w:val="1028"/>
        </w:numPr>
        <w:pStyle w:val="Compact"/>
      </w:pPr>
      <w:r>
        <w:rPr>
          <w:bCs/>
          <w:b/>
        </w:rPr>
        <w:t xml:space="preserve">Arabization (administrative):</w:t>
      </w:r>
      <w:r>
        <w:t xml:space="preserve"> </w:t>
      </w:r>
      <w:r>
        <w:t xml:space="preserve">Abd al-Malik’s policy of centring Arabic in state administration, alongside coinage reform.</w:t>
      </w:r>
    </w:p>
    <w:bookmarkEnd w:id="71"/>
    <w:bookmarkStart w:id="72" w:name="preparation-toolkit-5"/>
    <w:p>
      <w:pPr>
        <w:pStyle w:val="Heading2"/>
      </w:pPr>
      <w:r>
        <w:t xml:space="preserve">Preparation Toolkit</w:t>
      </w:r>
    </w:p>
    <w:p>
      <w:pPr>
        <w:pStyle w:val="FirstParagraph"/>
      </w:pPr>
      <w:r>
        <w:rPr>
          <w:bCs/>
          <w:b/>
        </w:rPr>
        <w:t xml:space="preserve">Preparation Checklist</w:t>
      </w:r>
    </w:p>
    <w:p>
      <w:pPr>
        <w:numPr>
          <w:ilvl w:val="0"/>
          <w:numId w:val="1029"/>
        </w:numPr>
        <w:pStyle w:val="Compact"/>
      </w:pPr>
      <w:r>
        <w:t xml:space="preserve">Use three headings: state-building, civilisation, and decline; learn a small number of key rulers (Muawiya, Abd al-Malik, al-Walid, Umar II) as illustrations of institutional patterns rather than attempting a complete ruler list.</w:t>
      </w:r>
    </w:p>
    <w:p>
      <w:pPr>
        <w:numPr>
          <w:ilvl w:val="0"/>
          <w:numId w:val="1029"/>
        </w:numPr>
        <w:pStyle w:val="Compact"/>
      </w:pPr>
      <w:r>
        <w:t xml:space="preserve">Prepare mawali grievances specifically as a bridge concept connecting Topic 5’s institutional themes to Topic 7’s account of the Abbasid revolution.</w:t>
      </w:r>
    </w:p>
    <w:p>
      <w:pPr>
        <w:numPr>
          <w:ilvl w:val="0"/>
          <w:numId w:val="1029"/>
        </w:numPr>
        <w:pStyle w:val="Compact"/>
      </w:pPr>
      <w:r>
        <w:t xml:space="preserve">Practise one analytical outline answering:</w:t>
      </w:r>
      <w:r>
        <w:t xml:space="preserve"> </w:t>
      </w:r>
      <w:r>
        <w:t xml:space="preserve">“</w:t>
      </w:r>
      <w:r>
        <w:t xml:space="preserve">What combination of causes explains the fall of the Umayyad dynasty in 750?</w:t>
      </w:r>
      <w:r>
        <w:t xml:space="preserve">”</w:t>
      </w:r>
    </w:p>
    <w:p>
      <w:pPr>
        <w:pStyle w:val="FirstParagraph"/>
      </w:pPr>
      <w:r>
        <w:rPr>
          <w:bCs/>
          <w:b/>
        </w:rPr>
        <w:t xml:space="preserve">Common Confusions to Avoid</w:t>
      </w:r>
    </w:p>
    <w:p>
      <w:pPr>
        <w:numPr>
          <w:ilvl w:val="0"/>
          <w:numId w:val="1030"/>
        </w:numPr>
        <w:pStyle w:val="Compact"/>
      </w:pPr>
      <w:r>
        <w:t xml:space="preserve">Do not explain Umayyad decline only as</w:t>
      </w:r>
      <w:r>
        <w:t xml:space="preserve"> </w:t>
      </w:r>
      <w:r>
        <w:t xml:space="preserve">“</w:t>
      </w:r>
      <w:r>
        <w:t xml:space="preserve">luxury</w:t>
      </w:r>
      <w:r>
        <w:t xml:space="preserve">”</w:t>
      </w:r>
      <w:r>
        <w:t xml:space="preserve"> </w:t>
      </w:r>
      <w:r>
        <w:t xml:space="preserve">or moral decay; political and social structural causes matter far more for a strong answer.</w:t>
      </w:r>
    </w:p>
    <w:p>
      <w:pPr>
        <w:numPr>
          <w:ilvl w:val="0"/>
          <w:numId w:val="1030"/>
        </w:numPr>
        <w:pStyle w:val="Compact"/>
      </w:pPr>
      <w:r>
        <w:t xml:space="preserve">Do not assume non-Arab Muslims had the same experience everywhere; policies and treatment varied by province and ruler.</w:t>
      </w:r>
    </w:p>
    <w:p>
      <w:pPr>
        <w:numPr>
          <w:ilvl w:val="0"/>
          <w:numId w:val="1030"/>
        </w:numPr>
        <w:pStyle w:val="Compact"/>
      </w:pPr>
      <w:r>
        <w:t xml:space="preserve">Do not forget that an Umayyad branch survived the 750 revolution and later ruled in al-Andalus.</w:t>
      </w:r>
    </w:p>
    <w:p>
      <w:pPr>
        <w:pStyle w:val="FirstParagraph"/>
      </w:pPr>
      <w:r>
        <w:rPr>
          <w:bCs/>
          <w:b/>
        </w:rPr>
        <w:t xml:space="preserve">Easy Revision Points</w:t>
      </w:r>
    </w:p>
    <w:p>
      <w:pPr>
        <w:numPr>
          <w:ilvl w:val="0"/>
          <w:numId w:val="1031"/>
        </w:numPr>
        <w:pStyle w:val="Compact"/>
      </w:pPr>
      <w:r>
        <w:t xml:space="preserve">The Umayyad dynasty ruled the central caliphate from 661 to 750 CE, with Damascus as its capital.</w:t>
      </w:r>
    </w:p>
    <w:p>
      <w:pPr>
        <w:numPr>
          <w:ilvl w:val="0"/>
          <w:numId w:val="1031"/>
        </w:numPr>
        <w:pStyle w:val="Compact"/>
      </w:pPr>
      <w:r>
        <w:t xml:space="preserve">Abd al-Malik is associated with important administrative Arabization and an Islamic coinage reform.</w:t>
      </w:r>
    </w:p>
    <w:p>
      <w:pPr>
        <w:numPr>
          <w:ilvl w:val="0"/>
          <w:numId w:val="1031"/>
        </w:numPr>
        <w:pStyle w:val="Compact"/>
      </w:pPr>
      <w:r>
        <w:t xml:space="preserve">Territorial expansion reached Iberia in the west and Sindh/Central Asian regions in the east during the Umayyad era.</w:t>
      </w:r>
    </w:p>
    <w:p>
      <w:pPr>
        <w:numPr>
          <w:ilvl w:val="0"/>
          <w:numId w:val="1031"/>
        </w:numPr>
        <w:pStyle w:val="Compact"/>
      </w:pPr>
      <w:r>
        <w:t xml:space="preserve">Major architectural works of the period include the Dome of the Rock in Jerusalem and the Great Mosque of Damascus.</w:t>
      </w:r>
    </w:p>
    <w:p>
      <w:pPr>
        <w:numPr>
          <w:ilvl w:val="0"/>
          <w:numId w:val="1031"/>
        </w:numPr>
        <w:pStyle w:val="Compact"/>
      </w:pPr>
      <w:r>
        <w:t xml:space="preserve">The Abbasid revolution overthrew the central Umayyad regime in 750; an Umayyad branch later established itself in al-Andalus.</w:t>
      </w:r>
    </w:p>
    <w:bookmarkEnd w:id="72"/>
    <w:bookmarkStart w:id="73" w:name="key-takeaways-5"/>
    <w:p>
      <w:pPr>
        <w:pStyle w:val="Heading2"/>
      </w:pPr>
      <w:r>
        <w:t xml:space="preserve">Key Takeaways</w:t>
      </w:r>
    </w:p>
    <w:p>
      <w:pPr>
        <w:numPr>
          <w:ilvl w:val="0"/>
          <w:numId w:val="1032"/>
        </w:numPr>
        <w:pStyle w:val="Compact"/>
      </w:pPr>
      <w:r>
        <w:t xml:space="preserve">Umayyad decline requires a multi-causal explanation — tribal factionalism, legitimacy disputes, provincial opposition, mawali grievance, and effective Abbasid organisation — never a single-cause</w:t>
      </w:r>
      <w:r>
        <w:t xml:space="preserve"> </w:t>
      </w:r>
      <w:r>
        <w:t xml:space="preserve">“</w:t>
      </w:r>
      <w:r>
        <w:t xml:space="preserve">moral decay</w:t>
      </w:r>
      <w:r>
        <w:t xml:space="preserve">”</w:t>
      </w:r>
      <w:r>
        <w:t xml:space="preserve"> </w:t>
      </w:r>
      <w:r>
        <w:t xml:space="preserve">story.</w:t>
      </w:r>
    </w:p>
    <w:p>
      <w:pPr>
        <w:numPr>
          <w:ilvl w:val="0"/>
          <w:numId w:val="1032"/>
        </w:numPr>
        <w:pStyle w:val="Compact"/>
      </w:pPr>
      <w:r>
        <w:t xml:space="preserve">Administrative Arabization under Abd al-Malik should be read as a deliberate empire-building strategy, directly comparable to similar centralising reforms studied elsewhere in this subject.</w:t>
      </w:r>
    </w:p>
    <w:p>
      <w:pPr>
        <w:numPr>
          <w:ilvl w:val="0"/>
          <w:numId w:val="1032"/>
        </w:numPr>
        <w:pStyle w:val="Compact"/>
      </w:pPr>
      <w:r>
        <w:t xml:space="preserve">The Umayyad survival in al-Andalus (Topic 8) means this dynasty’s story does not end in 750, a point worth stating explicitly in any broad Umayyad question.</w:t>
      </w:r>
    </w:p>
    <w:bookmarkEnd w:id="73"/>
    <w:bookmarkEnd w:id="74"/>
    <w:bookmarkStart w:id="82" w:name="the-abbasids"/>
    <w:p>
      <w:pPr>
        <w:pStyle w:val="Heading1"/>
        <w:pageBreakBefore/>
      </w:pPr>
      <w:r>
        <w:t xml:space="preserve">7. The Abbasids</w:t>
      </w:r>
    </w:p>
    <w:bookmarkStart w:id="75" w:name="why-this-topic-matters-6"/>
    <w:p>
      <w:pPr>
        <w:pStyle w:val="Heading2"/>
      </w:pPr>
      <w:r>
        <w:t xml:space="preserve">Why This Topic Matters</w:t>
      </w:r>
    </w:p>
    <w:p>
      <w:pPr>
        <w:pStyle w:val="FirstParagraph"/>
      </w:pPr>
      <w:r>
        <w:t xml:space="preserve">The Abbasid era matters more for its civilisational than its narrowly political significance: Baghdad became a centre of administration, trade and scholarship in a highly cosmopolitan Islamic world, and political fragmentation from the ninth century onward did not equal civilisational collapse — a distinction the syllabus and this resource treat as essential to a sophisticated answer.</w:t>
      </w:r>
    </w:p>
    <w:bookmarkEnd w:id="75"/>
    <w:bookmarkStart w:id="76" w:name="Xcebfcb287d1491f99f76cd81a0766327352a1f1"/>
    <w:p>
      <w:pPr>
        <w:pStyle w:val="Heading2"/>
      </w:pPr>
      <w:r>
        <w:t xml:space="preserve">Revolution, Baghdad, and a New Style of Administration</w:t>
      </w:r>
    </w:p>
    <w:p>
      <w:pPr>
        <w:pStyle w:val="FirstParagraph"/>
      </w:pPr>
      <w:r>
        <w:t xml:space="preserve">The Abbasids mobilised support against Umayyad rule, especially in the eastern province of Khurasan, exploiting grievances about political legitimacy and provincial inequality (Topic 6) to bring about the 750 revolution. Caliph al-Mansur founded Baghdad in 762 as the new imperial capital, and Abbasid government subsequently developed a more elaborate bureaucracy than its Umayyad predecessor, with Persian administrative traditions and personnel becoming increasingly influential at court and in state organisation — a notable shift from the more Arab-centred administrative style of the Umayyad period.</w:t>
      </w:r>
    </w:p>
    <w:bookmarkEnd w:id="76"/>
    <w:bookmarkStart w:id="77" w:name="X78334471bd5b1a633a3e73e80e3d627c5bb739e"/>
    <w:p>
      <w:pPr>
        <w:pStyle w:val="Heading2"/>
      </w:pPr>
      <w:r>
        <w:t xml:space="preserve">Economy, Translation, and Intellectual Life</w:t>
      </w:r>
    </w:p>
    <w:p>
      <w:pPr>
        <w:pStyle w:val="FirstParagraph"/>
      </w:pPr>
      <w:r>
        <w:t xml:space="preserve">The Abbasid caliphate sat astride trade routes linking the Mediterranean, the Indian Ocean, Central Asia and East Africa, and its cities, agriculture, craft production and commercial finance supported a substantial urban economy. A major and historically significant translation movement rendered works from Greek, Syriac, Persian, Sanskrit and other traditions into Arabic; crucially, Abbasid-era scholars did not merely preserve this material but actively criticised, extended and built upon it, producing original advances across mathematics, astronomy, medicine, philosophy, geography, and literature, supported by patronage from caliphs, officials, merchants and scholars across multiple cities, not from Baghdad alone.</w:t>
      </w:r>
    </w:p>
    <w:bookmarkEnd w:id="77"/>
    <w:bookmarkStart w:id="78" w:name="political-fragmentation-and-1258"/>
    <w:p>
      <w:pPr>
        <w:pStyle w:val="Heading2"/>
      </w:pPr>
      <w:r>
        <w:t xml:space="preserve">Political Fragmentation and 1258</w:t>
      </w:r>
    </w:p>
    <w:p>
      <w:pPr>
        <w:pStyle w:val="FirstParagraph"/>
      </w:pPr>
      <w:r>
        <w:t xml:space="preserve">From the ninth century onward, military commanders and provincial dynasties gained progressively greater autonomy from the central Abbasid court, with the caliph often retaining symbolic and religious authority even as direct political control over distant provinces weakened substantially. This process culminated when Mongol forces under Hülegü captured Baghdad in 1258, ending the Abbasid caliphate in that city — a genuine political rupture, but not, as this resource stresses, the end of Islamic intellectual or civilisational life, which continued vigorously in Cairo, Damascus, Persia, Central Asia, India and other centres for centuries afterward.</w:t>
      </w:r>
    </w:p>
    <w:bookmarkEnd w:id="78"/>
    <w:bookmarkStart w:id="79" w:name="key-terms-and-concepts-6"/>
    <w:p>
      <w:pPr>
        <w:pStyle w:val="Heading2"/>
      </w:pPr>
      <w:r>
        <w:t xml:space="preserve">Key Terms and Concepts</w:t>
      </w:r>
    </w:p>
    <w:p>
      <w:pPr>
        <w:numPr>
          <w:ilvl w:val="0"/>
          <w:numId w:val="1033"/>
        </w:numPr>
        <w:pStyle w:val="Compact"/>
      </w:pPr>
      <w:r>
        <w:rPr>
          <w:bCs/>
          <w:b/>
        </w:rPr>
        <w:t xml:space="preserve">Bayt al-Hikma:</w:t>
      </w:r>
      <w:r>
        <w:t xml:space="preserve"> </w:t>
      </w:r>
      <w:r>
        <w:t xml:space="preserve">A scholarly institution associated with Abbasid-era translation and learning, though popular accounts often exaggerate it into a single, fully documented modern-style university — a claim careful historical writing should avoid.</w:t>
      </w:r>
    </w:p>
    <w:p>
      <w:pPr>
        <w:numPr>
          <w:ilvl w:val="0"/>
          <w:numId w:val="1033"/>
        </w:numPr>
        <w:pStyle w:val="Compact"/>
      </w:pPr>
      <w:r>
        <w:rPr>
          <w:bCs/>
          <w:b/>
        </w:rPr>
        <w:t xml:space="preserve">Translation movement:</w:t>
      </w:r>
      <w:r>
        <w:t xml:space="preserve"> </w:t>
      </w:r>
      <w:r>
        <w:t xml:space="preserve">The large-scale Abbasid-era project of rendering Greek, Syriac, Persian and Sanskrit works into Arabic, followed by original scholarly development rather than passive preservation alone.</w:t>
      </w:r>
    </w:p>
    <w:bookmarkEnd w:id="79"/>
    <w:bookmarkStart w:id="80" w:name="preparation-toolkit-6"/>
    <w:p>
      <w:pPr>
        <w:pStyle w:val="Heading2"/>
      </w:pPr>
      <w:r>
        <w:t xml:space="preserve">Preparation Toolkit</w:t>
      </w:r>
    </w:p>
    <w:p>
      <w:pPr>
        <w:pStyle w:val="FirstParagraph"/>
      </w:pPr>
      <w:r>
        <w:rPr>
          <w:bCs/>
          <w:b/>
        </w:rPr>
        <w:t xml:space="preserve">Preparation Checklist</w:t>
      </w:r>
    </w:p>
    <w:p>
      <w:pPr>
        <w:numPr>
          <w:ilvl w:val="0"/>
          <w:numId w:val="1034"/>
        </w:numPr>
        <w:pStyle w:val="Compact"/>
      </w:pPr>
      <w:r>
        <w:t xml:space="preserve">Separate the</w:t>
      </w:r>
      <w:r>
        <w:t xml:space="preserve"> </w:t>
      </w:r>
      <w:r>
        <w:t xml:space="preserve">“</w:t>
      </w:r>
      <w:r>
        <w:t xml:space="preserve">central caliphate</w:t>
      </w:r>
      <w:r>
        <w:t xml:space="preserve">”</w:t>
      </w:r>
      <w:r>
        <w:t xml:space="preserve"> </w:t>
      </w:r>
      <w:r>
        <w:t xml:space="preserve">from the broader</w:t>
      </w:r>
      <w:r>
        <w:t xml:space="preserve"> </w:t>
      </w:r>
      <w:r>
        <w:t xml:space="preserve">“</w:t>
      </w:r>
      <w:r>
        <w:t xml:space="preserve">Abbasid age</w:t>
      </w:r>
      <w:r>
        <w:t xml:space="preserve">”</w:t>
      </w:r>
      <w:r>
        <w:t xml:space="preserve">: political power weakened long before intellectual and commercial life declined.</w:t>
      </w:r>
    </w:p>
    <w:p>
      <w:pPr>
        <w:numPr>
          <w:ilvl w:val="0"/>
          <w:numId w:val="1034"/>
        </w:numPr>
        <w:pStyle w:val="Compact"/>
      </w:pPr>
      <w:r>
        <w:t xml:space="preserve">Prepare state, economy, scholarship and political fragmentation as four distinct themes rather than one continuous narrative.</w:t>
      </w:r>
    </w:p>
    <w:p>
      <w:pPr>
        <w:numPr>
          <w:ilvl w:val="0"/>
          <w:numId w:val="1034"/>
        </w:numPr>
        <w:pStyle w:val="Compact"/>
      </w:pPr>
      <w:r>
        <w:t xml:space="preserve">Practise one analytical outline answering:</w:t>
      </w:r>
      <w:r>
        <w:t xml:space="preserve"> </w:t>
      </w:r>
      <w:r>
        <w:t xml:space="preserve">“</w:t>
      </w:r>
      <w:r>
        <w:t xml:space="preserve">Why should political decentralisation after the ninth century not be equated with civilisational decline in the Abbasid period?</w:t>
      </w:r>
      <w:r>
        <w:t xml:space="preserve">”</w:t>
      </w:r>
    </w:p>
    <w:p>
      <w:pPr>
        <w:pStyle w:val="FirstParagraph"/>
      </w:pPr>
      <w:r>
        <w:rPr>
          <w:bCs/>
          <w:b/>
        </w:rPr>
        <w:t xml:space="preserve">Common Confusions to Avoid</w:t>
      </w:r>
    </w:p>
    <w:p>
      <w:pPr>
        <w:numPr>
          <w:ilvl w:val="0"/>
          <w:numId w:val="1035"/>
        </w:numPr>
        <w:pStyle w:val="Compact"/>
      </w:pPr>
      <w:r>
        <w:t xml:space="preserve">Do not describe the Bayt al-Hikma as if it were exactly a modern university with a fully known institutional structure.</w:t>
      </w:r>
    </w:p>
    <w:p>
      <w:pPr>
        <w:numPr>
          <w:ilvl w:val="0"/>
          <w:numId w:val="1035"/>
        </w:numPr>
        <w:pStyle w:val="Compact"/>
      </w:pPr>
      <w:r>
        <w:t xml:space="preserve">Do not call the entire Abbasid period a single, uninterrupted</w:t>
      </w:r>
      <w:r>
        <w:t xml:space="preserve"> </w:t>
      </w:r>
      <w:r>
        <w:t xml:space="preserve">“</w:t>
      </w:r>
      <w:r>
        <w:t xml:space="preserve">golden age</w:t>
      </w:r>
      <w:r>
        <w:t xml:space="preserve">”</w:t>
      </w:r>
      <w:r>
        <w:t xml:space="preserve">; political and intellectual conditions changed substantially over five centuries.</w:t>
      </w:r>
    </w:p>
    <w:p>
      <w:pPr>
        <w:numPr>
          <w:ilvl w:val="0"/>
          <w:numId w:val="1035"/>
        </w:numPr>
        <w:pStyle w:val="Compact"/>
      </w:pPr>
      <w:r>
        <w:t xml:space="preserve">Do not treat 1258 as the end of Muslim intellectual history.</w:t>
      </w:r>
    </w:p>
    <w:p>
      <w:pPr>
        <w:pStyle w:val="FirstParagraph"/>
      </w:pPr>
      <w:r>
        <w:rPr>
          <w:bCs/>
          <w:b/>
        </w:rPr>
        <w:t xml:space="preserve">Easy Revision Points</w:t>
      </w:r>
    </w:p>
    <w:p>
      <w:pPr>
        <w:numPr>
          <w:ilvl w:val="0"/>
          <w:numId w:val="1036"/>
        </w:numPr>
        <w:pStyle w:val="Compact"/>
      </w:pPr>
      <w:r>
        <w:t xml:space="preserve">The Abbasids overthrew the Umayyads in 750 CE.</w:t>
      </w:r>
    </w:p>
    <w:p>
      <w:pPr>
        <w:numPr>
          <w:ilvl w:val="0"/>
          <w:numId w:val="1036"/>
        </w:numPr>
        <w:pStyle w:val="Compact"/>
      </w:pPr>
      <w:r>
        <w:t xml:space="preserve">Caliph al-Mansur founded Baghdad in 762, and the city became a major commercial and intellectual hub as well as the Abbasid capital.</w:t>
      </w:r>
    </w:p>
    <w:p>
      <w:pPr>
        <w:numPr>
          <w:ilvl w:val="0"/>
          <w:numId w:val="1036"/>
        </w:numPr>
        <w:pStyle w:val="Compact"/>
      </w:pPr>
      <w:r>
        <w:t xml:space="preserve">Translation from Greek, Syriac, Persian and other traditions into Arabic supported major developments in philosophy and science.</w:t>
      </w:r>
    </w:p>
    <w:p>
      <w:pPr>
        <w:numPr>
          <w:ilvl w:val="0"/>
          <w:numId w:val="1036"/>
        </w:numPr>
        <w:pStyle w:val="Compact"/>
      </w:pPr>
      <w:r>
        <w:t xml:space="preserve">Provincial dynasties and military elites gained increasing power over time while the caliphs’ direct political control contracted.</w:t>
      </w:r>
    </w:p>
    <w:p>
      <w:pPr>
        <w:numPr>
          <w:ilvl w:val="0"/>
          <w:numId w:val="1036"/>
        </w:numPr>
        <w:pStyle w:val="Compact"/>
      </w:pPr>
      <w:r>
        <w:t xml:space="preserve">Mongol forces under Hülegü captured Baghdad in 1258, ending the Abbasid caliphate there.</w:t>
      </w:r>
    </w:p>
    <w:bookmarkEnd w:id="80"/>
    <w:bookmarkStart w:id="81" w:name="key-takeaways-6"/>
    <w:p>
      <w:pPr>
        <w:pStyle w:val="Heading2"/>
      </w:pPr>
      <w:r>
        <w:t xml:space="preserve">Key Takeaways</w:t>
      </w:r>
    </w:p>
    <w:p>
      <w:pPr>
        <w:numPr>
          <w:ilvl w:val="0"/>
          <w:numId w:val="1037"/>
        </w:numPr>
        <w:pStyle w:val="Compact"/>
      </w:pPr>
      <w:r>
        <w:t xml:space="preserve">The most important analytical move in this topic is separating political fragmentation (from the ninth century) from civilisational vitality (which continued for centuries afterward, and in multiple centres beyond Baghdad).</w:t>
      </w:r>
    </w:p>
    <w:p>
      <w:pPr>
        <w:numPr>
          <w:ilvl w:val="0"/>
          <w:numId w:val="1037"/>
        </w:numPr>
        <w:pStyle w:val="Compact"/>
      </w:pPr>
      <w:r>
        <w:t xml:space="preserve">The translation movement should be described as active scholarly development, not passive preservation — Abbasid scholars built genuinely original knowledge on the translated foundation.</w:t>
      </w:r>
    </w:p>
    <w:p>
      <w:pPr>
        <w:numPr>
          <w:ilvl w:val="0"/>
          <w:numId w:val="1037"/>
        </w:numPr>
        <w:pStyle w:val="Compact"/>
      </w:pPr>
      <w:r>
        <w:t xml:space="preserve">1258 ends the Abbasid caliphate in Baghdad specifically; it does not mark the end of Islamic intellectual or political history more broadly, a point directly relevant to Topics 8 and 10.</w:t>
      </w:r>
    </w:p>
    <w:bookmarkEnd w:id="81"/>
    <w:bookmarkEnd w:id="82"/>
    <w:bookmarkStart w:id="90" w:name="muslim-spain-al-andalus"/>
    <w:p>
      <w:pPr>
        <w:pStyle w:val="Heading1"/>
        <w:pageBreakBefore/>
      </w:pPr>
      <w:r>
        <w:t xml:space="preserve">8. Muslim Spain (al-Andalus)</w:t>
      </w:r>
    </w:p>
    <w:bookmarkStart w:id="83" w:name="why-this-topic-matters-7"/>
    <w:p>
      <w:pPr>
        <w:pStyle w:val="Heading2"/>
      </w:pPr>
      <w:r>
        <w:t xml:space="preserve">Why This Topic Matters</w:t>
      </w:r>
    </w:p>
    <w:p>
      <w:pPr>
        <w:pStyle w:val="FirstParagraph"/>
      </w:pPr>
      <w:r>
        <w:t xml:space="preserve">Al-Andalus passed through several genuinely distinct political stages over nearly eight centuries — conquest, independent emirate, caliphate, fragmentation, North African dynastic intervention, and finally the Nasrid kingdom of Granada — and the syllabus expects political and cultural history to be learned as related but separate strands, connected through the changing balance of power in Iberia rather than collapsed into a single undifferentiated narrative of</w:t>
      </w:r>
      <w:r>
        <w:t xml:space="preserve"> </w:t>
      </w:r>
      <w:r>
        <w:t xml:space="preserve">“</w:t>
      </w:r>
      <w:r>
        <w:t xml:space="preserve">Muslim Spain.</w:t>
      </w:r>
      <w:r>
        <w:t xml:space="preserve">”</w:t>
      </w:r>
    </w:p>
    <w:bookmarkEnd w:id="83"/>
    <w:bookmarkStart w:id="84" w:name="X5b69101c2013eec4070c151e36a15ac595a1268"/>
    <w:p>
      <w:pPr>
        <w:pStyle w:val="Heading2"/>
      </w:pPr>
      <w:r>
        <w:t xml:space="preserve">From Conquest to the Caliphate of Córdoba</w:t>
      </w:r>
    </w:p>
    <w:p>
      <w:pPr>
        <w:pStyle w:val="FirstParagraph"/>
      </w:pPr>
      <w:r>
        <w:t xml:space="preserve">Muslim forces entered Iberia in 711 and rapidly defeated the Visigothic monarchy, with early al-Andalus initially governed as part of the wider Umayyad world. After the 750 Abbasid revolution (Topic 7), the Umayyad prince Abd al-Rahman I escaped to Iberia and established an independent emirate at Córdoba in 756 — a durable western Umayyad state entirely separate from Abbasid authority. Abd al-Rahman III subsequently proclaimed a full caliphate in 929, and Córdoba under his rule and that of his immediate successors became a major political, commercial and intellectual centre, representing the height of Umayyad Andalusi power before later court and succession struggles weakened central authority.</w:t>
      </w:r>
    </w:p>
    <w:bookmarkEnd w:id="84"/>
    <w:bookmarkStart w:id="85" w:name="Xe06ee81eb62aee7b43742100fd01673efc74b75"/>
    <w:p>
      <w:pPr>
        <w:pStyle w:val="Heading2"/>
      </w:pPr>
      <w:r>
        <w:t xml:space="preserve">Fragmentation, North African Intervention, and Granada</w:t>
      </w:r>
    </w:p>
    <w:p>
      <w:pPr>
        <w:pStyle w:val="FirstParagraph"/>
      </w:pPr>
      <w:r>
        <w:t xml:space="preserve">Following the caliphate’s collapse in the early eleventh century, al-Andalus fractured into competing</w:t>
      </w:r>
      <w:r>
        <w:t xml:space="preserve"> </w:t>
      </w:r>
      <w:r>
        <w:rPr>
          <w:bCs/>
          <w:b/>
        </w:rPr>
        <w:t xml:space="preserve">taifa</w:t>
      </w:r>
      <w:r>
        <w:t xml:space="preserve"> </w:t>
      </w:r>
      <w:r>
        <w:t xml:space="preserve">kingdoms, some of which paid tribute to expanding Christian kingdoms in the north — a fragmentation that made coordinated defence significantly more difficult. Two North African dynasties, the Almoravids and later the Almohads, intervened in Iberia and temporarily restored broader Muslim political unity, while also connecting al-Andalus more closely with religious and political developments in the Maghreb. The Nasrid kingdom of Granada ultimately survived for centuries through skilful diplomacy, tribute payment, and defensible mountainous geography, before its 1492 surrender to Ferdinand and Isabella ended sovereign Muslim rule in Iberia and was followed by increasing pressure on the remaining Muslim and Jewish communities.</w:t>
      </w:r>
    </w:p>
    <w:bookmarkEnd w:id="85"/>
    <w:bookmarkStart w:id="86" w:name="Xfc86ecf168d52c9ecab5fccd2f239fb6f7bbc8d"/>
    <w:p>
      <w:pPr>
        <w:pStyle w:val="Heading2"/>
      </w:pPr>
      <w:r>
        <w:t xml:space="preserve">Scholarship and Culture Across Communities</w:t>
      </w:r>
    </w:p>
    <w:p>
      <w:pPr>
        <w:pStyle w:val="FirstParagraph"/>
      </w:pPr>
      <w:r>
        <w:t xml:space="preserve">Córdoba, Toledo, Seville and Granada, at different periods, supported philosophy, medicine, poetry, architecture, agricultural innovation and translation, with knowledge moving across Muslim, Christian and Jewish scholarly networks rather than through any single channel — an important corrective to accounts that credit all medieval European access to classical and Islamic learning to Iberia alone, when Sicily, Mediterranean trade, and crusading-era contact (Topic 9) were also significant transmission routes.</w:t>
      </w:r>
    </w:p>
    <w:bookmarkEnd w:id="86"/>
    <w:bookmarkStart w:id="87" w:name="key-terms-and-concepts-7"/>
    <w:p>
      <w:pPr>
        <w:pStyle w:val="Heading2"/>
      </w:pPr>
      <w:r>
        <w:t xml:space="preserve">Key Terms and Concepts</w:t>
      </w:r>
    </w:p>
    <w:p>
      <w:pPr>
        <w:numPr>
          <w:ilvl w:val="0"/>
          <w:numId w:val="1038"/>
        </w:numPr>
        <w:pStyle w:val="Compact"/>
      </w:pPr>
      <w:r>
        <w:rPr>
          <w:bCs/>
          <w:b/>
        </w:rPr>
        <w:t xml:space="preserve">Taifa kingdoms:</w:t>
      </w:r>
      <w:r>
        <w:t xml:space="preserve"> </w:t>
      </w:r>
      <w:r>
        <w:t xml:space="preserve">The competing small successor states that emerged after the Córdoba caliphate’s collapse in the early eleventh century.</w:t>
      </w:r>
    </w:p>
    <w:p>
      <w:pPr>
        <w:numPr>
          <w:ilvl w:val="0"/>
          <w:numId w:val="1038"/>
        </w:numPr>
        <w:pStyle w:val="Compact"/>
      </w:pPr>
      <w:r>
        <w:rPr>
          <w:bCs/>
          <w:b/>
        </w:rPr>
        <w:t xml:space="preserve">Nasrid Granada:</w:t>
      </w:r>
      <w:r>
        <w:t xml:space="preserve"> </w:t>
      </w:r>
      <w:r>
        <w:t xml:space="preserve">The final independent Muslim kingdom in Iberia, surviving through diplomacy and geography until 1492.</w:t>
      </w:r>
    </w:p>
    <w:bookmarkEnd w:id="87"/>
    <w:bookmarkStart w:id="88" w:name="preparation-toolkit-7"/>
    <w:p>
      <w:pPr>
        <w:pStyle w:val="Heading2"/>
      </w:pPr>
      <w:r>
        <w:t xml:space="preserve">Preparation Toolkit</w:t>
      </w:r>
    </w:p>
    <w:p>
      <w:pPr>
        <w:pStyle w:val="FirstParagraph"/>
      </w:pPr>
      <w:r>
        <w:rPr>
          <w:bCs/>
          <w:b/>
        </w:rPr>
        <w:t xml:space="preserve">Preparation Checklist</w:t>
      </w:r>
    </w:p>
    <w:p>
      <w:pPr>
        <w:numPr>
          <w:ilvl w:val="0"/>
          <w:numId w:val="1039"/>
        </w:numPr>
        <w:pStyle w:val="Compact"/>
      </w:pPr>
      <w:r>
        <w:t xml:space="preserve">Prepare a political timeline first, since the succession of distinct state names can otherwise become confusing; prepare civilisation and scholarship as a separate theme.</w:t>
      </w:r>
    </w:p>
    <w:p>
      <w:pPr>
        <w:numPr>
          <w:ilvl w:val="0"/>
          <w:numId w:val="1039"/>
        </w:numPr>
        <w:pStyle w:val="Compact"/>
      </w:pPr>
      <w:r>
        <w:t xml:space="preserve">For decline, avoid the simplistic</w:t>
      </w:r>
      <w:r>
        <w:t xml:space="preserve"> </w:t>
      </w:r>
      <w:r>
        <w:t xml:space="preserve">“</w:t>
      </w:r>
      <w:r>
        <w:t xml:space="preserve">luxury caused collapse</w:t>
      </w:r>
      <w:r>
        <w:t xml:space="preserve">”</w:t>
      </w:r>
      <w:r>
        <w:t xml:space="preserve"> </w:t>
      </w:r>
      <w:r>
        <w:t xml:space="preserve">explanation; include political fragmentation, shifting military balance, and expanding Christian kingdoms together.</w:t>
      </w:r>
    </w:p>
    <w:p>
      <w:pPr>
        <w:numPr>
          <w:ilvl w:val="0"/>
          <w:numId w:val="1039"/>
        </w:numPr>
        <w:pStyle w:val="Compact"/>
      </w:pPr>
      <w:r>
        <w:t xml:space="preserve">Practise one analytical outline answering:</w:t>
      </w:r>
      <w:r>
        <w:t xml:space="preserve"> </w:t>
      </w:r>
      <w:r>
        <w:t xml:space="preserve">“</w:t>
      </w:r>
      <w:r>
        <w:t xml:space="preserve">How did political fragmentation after the Córdoba caliphate’s collapse contribute to the eventual end of Muslim rule in Iberia?</w:t>
      </w:r>
      <w:r>
        <w:t xml:space="preserve">”</w:t>
      </w:r>
    </w:p>
    <w:p>
      <w:pPr>
        <w:pStyle w:val="FirstParagraph"/>
      </w:pPr>
      <w:r>
        <w:rPr>
          <w:bCs/>
          <w:b/>
        </w:rPr>
        <w:t xml:space="preserve">Common Confusions to Avoid</w:t>
      </w:r>
    </w:p>
    <w:p>
      <w:pPr>
        <w:numPr>
          <w:ilvl w:val="0"/>
          <w:numId w:val="1040"/>
        </w:numPr>
        <w:pStyle w:val="Compact"/>
      </w:pPr>
      <w:r>
        <w:t xml:space="preserve">Do not describe all eight centuries of Muslim Iberia as one unified, unchanging state.</w:t>
      </w:r>
    </w:p>
    <w:p>
      <w:pPr>
        <w:numPr>
          <w:ilvl w:val="0"/>
          <w:numId w:val="1040"/>
        </w:numPr>
        <w:pStyle w:val="Compact"/>
      </w:pPr>
      <w:r>
        <w:t xml:space="preserve">Do not explain decline only through luxury or moral decay; political fragmentation, military balance and expanding Christian kingdoms were the central causes.</w:t>
      </w:r>
    </w:p>
    <w:p>
      <w:pPr>
        <w:numPr>
          <w:ilvl w:val="0"/>
          <w:numId w:val="1040"/>
        </w:numPr>
        <w:pStyle w:val="Compact"/>
      </w:pPr>
      <w:r>
        <w:t xml:space="preserve">Do not claim all European access to classical or Islamic learning came only through Spain; Sicily, trade, and crusading contact were also significant channels.</w:t>
      </w:r>
    </w:p>
    <w:p>
      <w:pPr>
        <w:pStyle w:val="FirstParagraph"/>
      </w:pPr>
      <w:r>
        <w:rPr>
          <w:bCs/>
          <w:b/>
        </w:rPr>
        <w:t xml:space="preserve">Easy Revision Points</w:t>
      </w:r>
    </w:p>
    <w:p>
      <w:pPr>
        <w:numPr>
          <w:ilvl w:val="0"/>
          <w:numId w:val="1041"/>
        </w:numPr>
        <w:pStyle w:val="Compact"/>
      </w:pPr>
      <w:r>
        <w:t xml:space="preserve">Muslim forces entered Iberia in 711 CE and rapidly defeated the Visigothic kingdom.</w:t>
      </w:r>
    </w:p>
    <w:p>
      <w:pPr>
        <w:numPr>
          <w:ilvl w:val="0"/>
          <w:numId w:val="1041"/>
        </w:numPr>
        <w:pStyle w:val="Compact"/>
      </w:pPr>
      <w:r>
        <w:t xml:space="preserve">Abd al-Rahman I established an independent Umayyad emirate at Córdoba in 756.</w:t>
      </w:r>
    </w:p>
    <w:p>
      <w:pPr>
        <w:numPr>
          <w:ilvl w:val="0"/>
          <w:numId w:val="1041"/>
        </w:numPr>
        <w:pStyle w:val="Compact"/>
      </w:pPr>
      <w:r>
        <w:t xml:space="preserve">Abd al-Rahman III proclaimed a caliphate in 929, marking the height of Umayyad political power in al-Andalus.</w:t>
      </w:r>
    </w:p>
    <w:p>
      <w:pPr>
        <w:numPr>
          <w:ilvl w:val="0"/>
          <w:numId w:val="1041"/>
        </w:numPr>
        <w:pStyle w:val="Compact"/>
      </w:pPr>
      <w:r>
        <w:t xml:space="preserve">After the caliphate collapsed in the early eleventh century, competing taifa kingdoms emerged.</w:t>
      </w:r>
    </w:p>
    <w:p>
      <w:pPr>
        <w:numPr>
          <w:ilvl w:val="0"/>
          <w:numId w:val="1041"/>
        </w:numPr>
        <w:pStyle w:val="Compact"/>
      </w:pPr>
      <w:r>
        <w:t xml:space="preserve">The Nasrid kingdom of Granada survived until 1492, when it surrendered to Ferdinand and Isabella.</w:t>
      </w:r>
    </w:p>
    <w:bookmarkEnd w:id="88"/>
    <w:bookmarkStart w:id="89" w:name="key-takeaways-7"/>
    <w:p>
      <w:pPr>
        <w:pStyle w:val="Heading2"/>
      </w:pPr>
      <w:r>
        <w:t xml:space="preserve">Key Takeaways</w:t>
      </w:r>
    </w:p>
    <w:p>
      <w:pPr>
        <w:numPr>
          <w:ilvl w:val="0"/>
          <w:numId w:val="1042"/>
        </w:numPr>
        <w:pStyle w:val="Compact"/>
      </w:pPr>
      <w:r>
        <w:t xml:space="preserve">Al-Andalus’s political history (conquest, emirate, caliphate, fragmentation, North African intervention, Granada) and its cultural history should be learned as distinct, though related, strands.</w:t>
      </w:r>
    </w:p>
    <w:p>
      <w:pPr>
        <w:numPr>
          <w:ilvl w:val="0"/>
          <w:numId w:val="1042"/>
        </w:numPr>
        <w:pStyle w:val="Compact"/>
      </w:pPr>
      <w:r>
        <w:t xml:space="preserve">Decline is best explained through political fragmentation and shifting regional military balance, not a simplistic</w:t>
      </w:r>
      <w:r>
        <w:t xml:space="preserve"> </w:t>
      </w:r>
      <w:r>
        <w:t xml:space="preserve">“</w:t>
      </w:r>
      <w:r>
        <w:t xml:space="preserve">moral decay</w:t>
      </w:r>
      <w:r>
        <w:t xml:space="preserve">”</w:t>
      </w:r>
      <w:r>
        <w:t xml:space="preserve"> </w:t>
      </w:r>
      <w:r>
        <w:t xml:space="preserve">narrative.</w:t>
      </w:r>
    </w:p>
    <w:p>
      <w:pPr>
        <w:numPr>
          <w:ilvl w:val="0"/>
          <w:numId w:val="1042"/>
        </w:numPr>
        <w:pStyle w:val="Compact"/>
      </w:pPr>
      <w:r>
        <w:t xml:space="preserve">Knowledge transmission from al-Andalus to wider Europe was one channel among several (alongside Sicily and Mediterranean trade), a nuance worth including in any question on Islamic civilisation’s influence on Europe.</w:t>
      </w:r>
    </w:p>
    <w:bookmarkEnd w:id="89"/>
    <w:bookmarkEnd w:id="90"/>
    <w:bookmarkStart w:id="98" w:name="the-crusades"/>
    <w:p>
      <w:pPr>
        <w:pStyle w:val="Heading1"/>
        <w:pageBreakBefore/>
      </w:pPr>
      <w:r>
        <w:t xml:space="preserve">9. The Crusades</w:t>
      </w:r>
    </w:p>
    <w:bookmarkStart w:id="91" w:name="why-this-topic-matters-8"/>
    <w:p>
      <w:pPr>
        <w:pStyle w:val="Heading2"/>
      </w:pPr>
      <w:r>
        <w:t xml:space="preserve">Why This Topic Matters</w:t>
      </w:r>
    </w:p>
    <w:p>
      <w:pPr>
        <w:pStyle w:val="FirstParagraph"/>
      </w:pPr>
      <w:r>
        <w:t xml:space="preserve">The Crusades were not one war but a series of expeditions, states and conflicts spanning two centuries, and the single most important analytical point for this topic is that early Muslim political fragmentation gave way to increasingly effective regional coordination — a dynamic that directly explains why the Crusader states, so successful at their founding, were eventually reversed.</w:t>
      </w:r>
    </w:p>
    <w:bookmarkEnd w:id="91"/>
    <w:bookmarkStart w:id="92" w:name="european-motives-and-the-first-crusade"/>
    <w:p>
      <w:pPr>
        <w:pStyle w:val="Heading2"/>
      </w:pPr>
      <w:r>
        <w:t xml:space="preserve">European Motives and the First Crusade</w:t>
      </w:r>
    </w:p>
    <w:p>
      <w:pPr>
        <w:pStyle w:val="FirstParagraph"/>
      </w:pPr>
      <w:r>
        <w:t xml:space="preserve">Religious motivation — pilgrimage, papal authority, and the promise of spiritual reward — was central to crusading, but aristocratic ambitions for land and status, and Byzantine appeals for military assistance against Seljuk expansion, also shaped participation, meaning different crusaders carried genuinely different motives into the same campaign. The</w:t>
      </w:r>
      <w:r>
        <w:t xml:space="preserve"> </w:t>
      </w:r>
      <w:r>
        <w:rPr>
          <w:bCs/>
          <w:b/>
        </w:rPr>
        <w:t xml:space="preserve">First Crusade</w:t>
      </w:r>
      <w:r>
        <w:t xml:space="preserve">, launched after Pope Urban II’s call in 1095, captured Jerusalem in 1099 and established a set of Crusader states in the Levant. Their early success owed a great deal to the specific political condition of the region at that moment: Seljuk, Fatimid, and various local Muslim rulers were divided against each other, making coordinated resistance to the initial Crusader advance very difficult.</w:t>
      </w:r>
    </w:p>
    <w:bookmarkEnd w:id="92"/>
    <w:bookmarkStart w:id="93" w:name="Xb47216809544492c362392d916ff090d0e1e49b"/>
    <w:p>
      <w:pPr>
        <w:pStyle w:val="Heading2"/>
      </w:pPr>
      <w:r>
        <w:t xml:space="preserve">Muslim Consolidation: Zengi, Nur al-Din, and Saladin</w:t>
      </w:r>
    </w:p>
    <w:p>
      <w:pPr>
        <w:pStyle w:val="FirstParagraph"/>
      </w:pPr>
      <w:r>
        <w:t xml:space="preserve">Later in the twelfth century, the rulers</w:t>
      </w:r>
      <w:r>
        <w:t xml:space="preserve"> </w:t>
      </w:r>
      <w:r>
        <w:rPr>
          <w:bCs/>
          <w:b/>
        </w:rPr>
        <w:t xml:space="preserve">Zengi</w:t>
      </w:r>
      <w:r>
        <w:t xml:space="preserve"> </w:t>
      </w:r>
      <w:r>
        <w:t xml:space="preserve">and his son</w:t>
      </w:r>
      <w:r>
        <w:t xml:space="preserve"> </w:t>
      </w:r>
      <w:r>
        <w:rPr>
          <w:bCs/>
          <w:b/>
        </w:rPr>
        <w:t xml:space="preserve">Nur al-Din</w:t>
      </w:r>
      <w:r>
        <w:t xml:space="preserve"> </w:t>
      </w:r>
      <w:r>
        <w:t xml:space="preserve">built substantially stronger political-military resistance across northern Syria and Mesopotamia, unifying territories that had previously acted independently against the Crusader states; Zengi’s capture of the Crusader-held city of Edessa in 1144 became an important turning point, helping to provoke the (largely unsuccessful) Second Crusade.</w:t>
      </w:r>
      <w:r>
        <w:t xml:space="preserve"> </w:t>
      </w:r>
      <w:r>
        <w:rPr>
          <w:bCs/>
          <w:b/>
        </w:rPr>
        <w:t xml:space="preserve">Saladin</w:t>
      </w:r>
      <w:r>
        <w:t xml:space="preserve"> </w:t>
      </w:r>
      <w:r>
        <w:t xml:space="preserve">then went considerably further, uniting Egypt and much of Syria under a single authority, decisively defeating a major Crusader army at the</w:t>
      </w:r>
      <w:r>
        <w:t xml:space="preserve"> </w:t>
      </w:r>
      <w:r>
        <w:rPr>
          <w:bCs/>
          <w:b/>
        </w:rPr>
        <w:t xml:space="preserve">Battle of Hattin in 1187</w:t>
      </w:r>
      <w:r>
        <w:t xml:space="preserve">, and retaking Jerusalem later the same year — an outcome that demonstrates, as clearly as any episode in this subject, the importance of political consolidation as a precondition for military success, not military skill alone.</w:t>
      </w:r>
    </w:p>
    <w:bookmarkEnd w:id="93"/>
    <w:bookmarkStart w:id="94" w:name="Xa014d61434c62de683e4f169a9e05c0298d4da1"/>
    <w:p>
      <w:pPr>
        <w:pStyle w:val="Heading2"/>
      </w:pPr>
      <w:r>
        <w:t xml:space="preserve">Later Crusades and Long-Term Consequences</w:t>
      </w:r>
    </w:p>
    <w:p>
      <w:pPr>
        <w:pStyle w:val="FirstParagraph"/>
      </w:pPr>
      <w:r>
        <w:t xml:space="preserve">The</w:t>
      </w:r>
      <w:r>
        <w:t xml:space="preserve"> </w:t>
      </w:r>
      <w:r>
        <w:rPr>
          <w:bCs/>
          <w:b/>
        </w:rPr>
        <w:t xml:space="preserve">Third Crusade</w:t>
      </w:r>
      <w:r>
        <w:t xml:space="preserve"> </w:t>
      </w:r>
      <w:r>
        <w:t xml:space="preserve">produced a negotiated settlement between Richard I of England and Saladin, leaving Jerusalem under Muslim political control while permitting Christian pilgrimage access — a compromise outcome worth noting against any assumption that crusading conflicts always ended in decisive military victory for one side. The</w:t>
      </w:r>
      <w:r>
        <w:t xml:space="preserve"> </w:t>
      </w:r>
      <w:r>
        <w:rPr>
          <w:bCs/>
          <w:b/>
        </w:rPr>
        <w:t xml:space="preserve">Fourth Crusade</w:t>
      </w:r>
      <w:r>
        <w:t xml:space="preserve"> </w:t>
      </w:r>
      <w:r>
        <w:t xml:space="preserve">notoriously diverted from its stated purpose and sacked the Christian Byzantine capital of Constantinople in 1204, a striking demonstration that crusading politics could divide Christian powers against each other as readily as unite them against a common Muslim adversary. Longer-term, the Crusades altered regional trade patterns, diplomatic practice, fortification technology, and intergroup political identity and memory across the Mediterranean world — consequences best discussed with careful nuance rather than reduced to a simple story of permanent, unchanging civilizational hostility between</w:t>
      </w:r>
      <w:r>
        <w:t xml:space="preserve"> </w:t>
      </w:r>
      <w:r>
        <w:t xml:space="preserve">“</w:t>
      </w:r>
      <w:r>
        <w:t xml:space="preserve">Islam</w:t>
      </w:r>
      <w:r>
        <w:t xml:space="preserve">”</w:t>
      </w:r>
      <w:r>
        <w:t xml:space="preserve"> </w:t>
      </w:r>
      <w:r>
        <w:t xml:space="preserve">and</w:t>
      </w:r>
      <w:r>
        <w:t xml:space="preserve"> </w:t>
      </w:r>
      <w:r>
        <w:t xml:space="preserve">“</w:t>
      </w:r>
      <w:r>
        <w:t xml:space="preserve">the West.</w:t>
      </w:r>
      <w:r>
        <w:t xml:space="preserve">”</w:t>
      </w:r>
    </w:p>
    <w:bookmarkEnd w:id="94"/>
    <w:bookmarkStart w:id="95" w:name="key-terms-and-concepts-8"/>
    <w:p>
      <w:pPr>
        <w:pStyle w:val="Heading2"/>
      </w:pPr>
      <w:r>
        <w:t xml:space="preserve">Key Terms and Concepts</w:t>
      </w:r>
    </w:p>
    <w:p>
      <w:pPr>
        <w:numPr>
          <w:ilvl w:val="0"/>
          <w:numId w:val="1043"/>
        </w:numPr>
        <w:pStyle w:val="Compact"/>
      </w:pPr>
      <w:r>
        <w:rPr>
          <w:bCs/>
          <w:b/>
        </w:rPr>
        <w:t xml:space="preserve">Crusader states:</w:t>
      </w:r>
      <w:r>
        <w:t xml:space="preserve"> </w:t>
      </w:r>
      <w:r>
        <w:t xml:space="preserve">The set of Latin Christian political entities established in the Levant following the First Crusade’s success in 1099.</w:t>
      </w:r>
    </w:p>
    <w:p>
      <w:pPr>
        <w:numPr>
          <w:ilvl w:val="0"/>
          <w:numId w:val="1043"/>
        </w:numPr>
        <w:pStyle w:val="Compact"/>
      </w:pPr>
      <w:r>
        <w:rPr>
          <w:bCs/>
          <w:b/>
        </w:rPr>
        <w:t xml:space="preserve">Battle of Hattin (1187):</w:t>
      </w:r>
      <w:r>
        <w:t xml:space="preserve"> </w:t>
      </w:r>
      <w:r>
        <w:t xml:space="preserve">Saladin’s decisive victory, made possible by his prior political consolidation of Egypt and Syria.</w:t>
      </w:r>
    </w:p>
    <w:bookmarkEnd w:id="95"/>
    <w:bookmarkStart w:id="96" w:name="preparation-toolkit-8"/>
    <w:p>
      <w:pPr>
        <w:pStyle w:val="Heading2"/>
      </w:pPr>
      <w:r>
        <w:t xml:space="preserve">Preparation Toolkit</w:t>
      </w:r>
    </w:p>
    <w:p>
      <w:pPr>
        <w:pStyle w:val="FirstParagraph"/>
      </w:pPr>
      <w:r>
        <w:rPr>
          <w:bCs/>
          <w:b/>
        </w:rPr>
        <w:t xml:space="preserve">Preparation Checklist</w:t>
      </w:r>
    </w:p>
    <w:p>
      <w:pPr>
        <w:numPr>
          <w:ilvl w:val="0"/>
          <w:numId w:val="1044"/>
        </w:numPr>
        <w:pStyle w:val="Compact"/>
      </w:pPr>
      <w:r>
        <w:t xml:space="preserve">Create a short Crusade timeline, but focus most preparation on the changing state of Muslim political unity rather than a purely European narrative.</w:t>
      </w:r>
    </w:p>
    <w:p>
      <w:pPr>
        <w:numPr>
          <w:ilvl w:val="0"/>
          <w:numId w:val="1044"/>
        </w:numPr>
        <w:pStyle w:val="Compact"/>
      </w:pPr>
      <w:r>
        <w:t xml:space="preserve">Compare the divided Muslim response of 1099 directly with the later consolidation that enabled Saladin’s 1187 victory — this contrast is the topic’s single highest-value analytical point.</w:t>
      </w:r>
    </w:p>
    <w:p>
      <w:pPr>
        <w:numPr>
          <w:ilvl w:val="0"/>
          <w:numId w:val="1044"/>
        </w:numPr>
        <w:pStyle w:val="Compact"/>
      </w:pPr>
      <w:r>
        <w:t xml:space="preserve">Practise one analytical outline answering:</w:t>
      </w:r>
      <w:r>
        <w:t xml:space="preserve"> </w:t>
      </w:r>
      <w:r>
        <w:t xml:space="preserve">“</w:t>
      </w:r>
      <w:r>
        <w:t xml:space="preserve">How did changing levels of Muslim political unity shape the outcome of the Crusades between 1099 and 1187?</w:t>
      </w:r>
      <w:r>
        <w:t xml:space="preserve">”</w:t>
      </w:r>
    </w:p>
    <w:p>
      <w:pPr>
        <w:pStyle w:val="FirstParagraph"/>
      </w:pPr>
      <w:r>
        <w:rPr>
          <w:bCs/>
          <w:b/>
        </w:rPr>
        <w:t xml:space="preserve">Common Confusions to Avoid</w:t>
      </w:r>
    </w:p>
    <w:p>
      <w:pPr>
        <w:numPr>
          <w:ilvl w:val="0"/>
          <w:numId w:val="1045"/>
        </w:numPr>
        <w:pStyle w:val="Compact"/>
      </w:pPr>
      <w:r>
        <w:t xml:space="preserve">Do not call every medieval Christian-Muslim conflict a Crusade.</w:t>
      </w:r>
    </w:p>
    <w:p>
      <w:pPr>
        <w:numPr>
          <w:ilvl w:val="0"/>
          <w:numId w:val="1045"/>
        </w:numPr>
        <w:pStyle w:val="Compact"/>
      </w:pPr>
      <w:r>
        <w:t xml:space="preserve">Do not present Muslims as politically united from the beginning of the Crusading era; fragmentation is essential to explaining early Crusader success.</w:t>
      </w:r>
    </w:p>
    <w:p>
      <w:pPr>
        <w:numPr>
          <w:ilvl w:val="0"/>
          <w:numId w:val="1045"/>
        </w:numPr>
        <w:pStyle w:val="Compact"/>
      </w:pPr>
      <w:r>
        <w:t xml:space="preserve">Do not claim the Crusades alone caused European intellectual or commercial development; they were one channel of contact among several, alongside al-Andalus (Topic 8) and Mediterranean trade.</w:t>
      </w:r>
    </w:p>
    <w:p>
      <w:pPr>
        <w:pStyle w:val="FirstParagraph"/>
      </w:pPr>
      <w:r>
        <w:rPr>
          <w:bCs/>
          <w:b/>
        </w:rPr>
        <w:t xml:space="preserve">Easy Revision Points</w:t>
      </w:r>
    </w:p>
    <w:p>
      <w:pPr>
        <w:numPr>
          <w:ilvl w:val="0"/>
          <w:numId w:val="1046"/>
        </w:numPr>
        <w:pStyle w:val="Compact"/>
      </w:pPr>
      <w:r>
        <w:t xml:space="preserve">Pope Urban II called for the expedition that became the First Crusade in 1095.</w:t>
      </w:r>
    </w:p>
    <w:p>
      <w:pPr>
        <w:numPr>
          <w:ilvl w:val="0"/>
          <w:numId w:val="1046"/>
        </w:numPr>
        <w:pStyle w:val="Compact"/>
      </w:pPr>
      <w:r>
        <w:t xml:space="preserve">Crusaders captured Jerusalem in 1099 and established Latin states in the eastern Mediterranean.</w:t>
      </w:r>
    </w:p>
    <w:p>
      <w:pPr>
        <w:numPr>
          <w:ilvl w:val="0"/>
          <w:numId w:val="1046"/>
        </w:numPr>
        <w:pStyle w:val="Compact"/>
      </w:pPr>
      <w:r>
        <w:t xml:space="preserve">Zengi and Nur al-Din helped build stronger Muslim resistance in Syria and northern Mesopotamia.</w:t>
      </w:r>
    </w:p>
    <w:p>
      <w:pPr>
        <w:numPr>
          <w:ilvl w:val="0"/>
          <w:numId w:val="1046"/>
        </w:numPr>
        <w:pStyle w:val="Compact"/>
      </w:pPr>
      <w:r>
        <w:t xml:space="preserve">Saladin defeated a major Crusader army at Hattin in 1187 and recovered Jerusalem later that year.</w:t>
      </w:r>
    </w:p>
    <w:p>
      <w:pPr>
        <w:numPr>
          <w:ilvl w:val="0"/>
          <w:numId w:val="1046"/>
        </w:numPr>
        <w:pStyle w:val="Compact"/>
      </w:pPr>
      <w:r>
        <w:t xml:space="preserve">The Fourth Crusade captured and sacked Constantinople in 1204, showing crusading politics were not simply a continuous Europe-versus-Islam conflict.</w:t>
      </w:r>
    </w:p>
    <w:bookmarkEnd w:id="96"/>
    <w:bookmarkStart w:id="97" w:name="key-takeaways-8"/>
    <w:p>
      <w:pPr>
        <w:pStyle w:val="Heading2"/>
      </w:pPr>
      <w:r>
        <w:t xml:space="preserve">Key Takeaways</w:t>
      </w:r>
    </w:p>
    <w:p>
      <w:pPr>
        <w:numPr>
          <w:ilvl w:val="0"/>
          <w:numId w:val="1047"/>
        </w:numPr>
        <w:pStyle w:val="Compact"/>
      </w:pPr>
      <w:r>
        <w:t xml:space="preserve">The central analytical arc of this topic is fragmentation-to-consolidation on the Muslim side, directly explaining the shift from Crusader success in 1099 to reversal by 1187.</w:t>
      </w:r>
    </w:p>
    <w:p>
      <w:pPr>
        <w:numPr>
          <w:ilvl w:val="0"/>
          <w:numId w:val="1047"/>
        </w:numPr>
        <w:pStyle w:val="Compact"/>
      </w:pPr>
      <w:r>
        <w:t xml:space="preserve">Saladin’s career is best used as a case study in political consolidation enabling military success, not military genius operating in isolation from political conditions.</w:t>
      </w:r>
    </w:p>
    <w:p>
      <w:pPr>
        <w:numPr>
          <w:ilvl w:val="0"/>
          <w:numId w:val="1047"/>
        </w:numPr>
        <w:pStyle w:val="Compact"/>
      </w:pPr>
      <w:r>
        <w:t xml:space="preserve">The Fourth Crusade’s attack on Constantinople is essential evidence against any simplistic</w:t>
      </w:r>
      <w:r>
        <w:t xml:space="preserve"> </w:t>
      </w:r>
      <w:r>
        <w:t xml:space="preserve">“</w:t>
      </w:r>
      <w:r>
        <w:t xml:space="preserve">unified Christendom versus unified Islam</w:t>
      </w:r>
      <w:r>
        <w:t xml:space="preserve">”</w:t>
      </w:r>
      <w:r>
        <w:t xml:space="preserve"> </w:t>
      </w:r>
      <w:r>
        <w:t xml:space="preserve">framing of the entire crusading period.</w:t>
      </w:r>
    </w:p>
    <w:bookmarkEnd w:id="97"/>
    <w:bookmarkEnd w:id="98"/>
    <w:bookmarkStart w:id="106" w:name="the-ottoman-empire"/>
    <w:p>
      <w:pPr>
        <w:pStyle w:val="Heading1"/>
        <w:pageBreakBefore/>
      </w:pPr>
      <w:r>
        <w:t xml:space="preserve">10. The Ottoman Empire</w:t>
      </w:r>
    </w:p>
    <w:bookmarkStart w:id="99" w:name="why-this-topic-matters-9"/>
    <w:p>
      <w:pPr>
        <w:pStyle w:val="Heading2"/>
      </w:pPr>
      <w:r>
        <w:t xml:space="preserve">Why This Topic Matters</w:t>
      </w:r>
    </w:p>
    <w:p>
      <w:pPr>
        <w:pStyle w:val="FirstParagraph"/>
      </w:pPr>
      <w:r>
        <w:t xml:space="preserve">Modern scholarship has moved decisively away from the old</w:t>
      </w:r>
      <w:r>
        <w:t xml:space="preserve"> </w:t>
      </w:r>
      <w:r>
        <w:t xml:space="preserve">“</w:t>
      </w:r>
      <w:r>
        <w:t xml:space="preserve">rise, golden age, decline</w:t>
      </w:r>
      <w:r>
        <w:t xml:space="preserve">”</w:t>
      </w:r>
      <w:r>
        <w:t xml:space="preserve"> </w:t>
      </w:r>
      <w:r>
        <w:t xml:space="preserve">framework applied to Ottoman history, replacing it with</w:t>
      </w:r>
      <w:r>
        <w:t xml:space="preserve"> </w:t>
      </w:r>
      <w:r>
        <w:t xml:space="preserve">“</w:t>
      </w:r>
      <w:r>
        <w:t xml:space="preserve">rise, institutions, transformation, reform, dissolution</w:t>
      </w:r>
      <w:r>
        <w:t xml:space="preserve">”</w:t>
      </w:r>
      <w:r>
        <w:t xml:space="preserve"> </w:t>
      </w:r>
      <w:r>
        <w:t xml:space="preserve">— a shift the syllabus itself reflects, and one that examiners specifically reward candidates for adopting explicitly.</w:t>
      </w:r>
    </w:p>
    <w:bookmarkEnd w:id="99"/>
    <w:bookmarkStart w:id="100" w:name="rise-conquest-and-classical-institutions"/>
    <w:p>
      <w:pPr>
        <w:pStyle w:val="Heading2"/>
      </w:pPr>
      <w:r>
        <w:t xml:space="preserve">Rise, Conquest, and Classical Institutions</w:t>
      </w:r>
    </w:p>
    <w:p>
      <w:pPr>
        <w:pStyle w:val="FirstParagraph"/>
      </w:pPr>
      <w:r>
        <w:t xml:space="preserve">Ottoman rulers built their early power in Anatolia and the Balkans through frontier warfare, strategic marriage alliances, flexible incorporation of local elites into Ottoman service, and the relative decline of neighbouring powers — meaning the Ottomans had already built a substantial Balkan and Anatolian empire well before Mehmed II’s capture of Constantinople in</w:t>
      </w:r>
      <w:r>
        <w:t xml:space="preserve"> </w:t>
      </w:r>
      <w:r>
        <w:rPr>
          <w:bCs/>
          <w:b/>
        </w:rPr>
        <w:t xml:space="preserve">1453</w:t>
      </w:r>
      <w:r>
        <w:t xml:space="preserve">, a conquest that provided immense symbolic prestige and a major imperial capital rather than founding the empire from nothing. Classical Ottoman government coordinated a vast and diverse empire through the sultan, an imperial council, provincial governors, structured tax systems, and specialised military institutions, including</w:t>
      </w:r>
      <w:r>
        <w:t xml:space="preserve"> </w:t>
      </w:r>
      <w:r>
        <w:rPr>
          <w:bCs/>
          <w:b/>
        </w:rPr>
        <w:t xml:space="preserve">timar</w:t>
      </w:r>
      <w:r>
        <w:t xml:space="preserve"> </w:t>
      </w:r>
      <w:r>
        <w:t xml:space="preserve">land-revenue assignments (broadly comparable in function to the iqta and jagir systems studied in the History of Pakistan &amp; India subject) and the</w:t>
      </w:r>
      <w:r>
        <w:t xml:space="preserve"> </w:t>
      </w:r>
      <w:r>
        <w:rPr>
          <w:bCs/>
          <w:b/>
        </w:rPr>
        <w:t xml:space="preserve">Janissary corps</w:t>
      </w:r>
      <w:r>
        <w:t xml:space="preserve"> </w:t>
      </w:r>
      <w:r>
        <w:t xml:space="preserve">of elite infantry — though both institutions changed substantially over the centuries rather than remaining fixed in their original early form.</w:t>
      </w:r>
    </w:p>
    <w:bookmarkEnd w:id="100"/>
    <w:bookmarkStart w:id="101" w:name="Xad03313c94d7c3e8aaabf7154ebfb62ac2852fd"/>
    <w:p>
      <w:pPr>
        <w:pStyle w:val="Heading2"/>
      </w:pPr>
      <w:r>
        <w:t xml:space="preserve">Selim, Suleiman, and Religious-Communal Organisation</w:t>
      </w:r>
    </w:p>
    <w:p>
      <w:pPr>
        <w:pStyle w:val="FirstParagraph"/>
      </w:pPr>
      <w:r>
        <w:rPr>
          <w:bCs/>
          <w:b/>
        </w:rPr>
        <w:t xml:space="preserve">Selim I</w:t>
      </w:r>
      <w:r>
        <w:t xml:space="preserve"> </w:t>
      </w:r>
      <w:r>
        <w:t xml:space="preserve">expanded Ottoman control decisively into Syria and Egypt in the early sixteenth century, while</w:t>
      </w:r>
      <w:r>
        <w:t xml:space="preserve"> </w:t>
      </w:r>
      <w:r>
        <w:rPr>
          <w:bCs/>
          <w:b/>
        </w:rPr>
        <w:t xml:space="preserve">Suleiman I</w:t>
      </w:r>
      <w:r>
        <w:t xml:space="preserve"> </w:t>
      </w:r>
      <w:r>
        <w:t xml:space="preserve">(</w:t>
      </w:r>
      <w:r>
        <w:t xml:space="preserve">“</w:t>
      </w:r>
      <w:r>
        <w:t xml:space="preserve">the Magnificent</w:t>
      </w:r>
      <w:r>
        <w:t xml:space="preserve">”</w:t>
      </w:r>
      <w:r>
        <w:t xml:space="preserve">) presided over further major territorial expansion alongside significant legal and administrative consolidation, making Ottoman power central to both Mediterranean and wider European politics during this period. Different Christian and Jewish religious communities generally retained their own religious institutions and internal legal jurisdiction under Ottoman rule, an arrangement often summarised using the later term</w:t>
      </w:r>
      <w:r>
        <w:t xml:space="preserve"> </w:t>
      </w:r>
      <w:r>
        <w:t xml:space="preserve">“</w:t>
      </w:r>
      <w:r>
        <w:t xml:space="preserve">millet system</w:t>
      </w:r>
      <w:r>
        <w:t xml:space="preserve">”</w:t>
      </w:r>
      <w:r>
        <w:t xml:space="preserve"> </w:t>
      </w:r>
      <w:r>
        <w:t xml:space="preserve">— though historians caution that this term can oversimplify communal arrangements that in fact varied considerably across different periods and regions of the empire, rather than describing one fixed system unchanged for centuries.</w:t>
      </w:r>
    </w:p>
    <w:bookmarkEnd w:id="101"/>
    <w:bookmarkStart w:id="102" w:name="reform-tanzimat-and-dissolution"/>
    <w:p>
      <w:pPr>
        <w:pStyle w:val="Heading2"/>
      </w:pPr>
      <w:r>
        <w:t xml:space="preserve">Reform, Tanzimat, and Dissolution</w:t>
      </w:r>
    </w:p>
    <w:p>
      <w:pPr>
        <w:pStyle w:val="FirstParagraph"/>
      </w:pPr>
      <w:r>
        <w:t xml:space="preserve">From the late eighteenth and especially through the nineteenth century, facing growing military and fiscal pressure relative to European powers, Ottoman rulers pursued sustained reform of the army, taxation, bureaucracy, education and law; the</w:t>
      </w:r>
      <w:r>
        <w:t xml:space="preserve"> </w:t>
      </w:r>
      <w:r>
        <w:rPr>
          <w:bCs/>
          <w:b/>
        </w:rPr>
        <w:t xml:space="preserve">Tanzimat</w:t>
      </w:r>
      <w:r>
        <w:t xml:space="preserve"> </w:t>
      </w:r>
      <w:r>
        <w:t xml:space="preserve">reforms, beginning in 1839, sought stronger centralised administration and new forms of legal equality among Ottoman subjects regardless of religion. Balkan nationalism, direct European intervention, continuing fiscal difficulty, the strain of the First World War, and internal political struggle together weakened imperial control through the early twentieth century. Following defeat in the First World War, the Ottoman</w:t>
      </w:r>
      <w:r>
        <w:t xml:space="preserve"> </w:t>
      </w:r>
      <w:r>
        <w:rPr>
          <w:bCs/>
          <w:b/>
        </w:rPr>
        <w:t xml:space="preserve">sultanate was abolished in 1922</w:t>
      </w:r>
      <w:r>
        <w:t xml:space="preserve">, and the</w:t>
      </w:r>
      <w:r>
        <w:t xml:space="preserve"> </w:t>
      </w:r>
      <w:r>
        <w:rPr>
          <w:bCs/>
          <w:b/>
        </w:rPr>
        <w:t xml:space="preserve">Republic of Turkey was proclaimed in 1923</w:t>
      </w:r>
      <w:r>
        <w:t xml:space="preserve"> </w:t>
      </w:r>
      <w:r>
        <w:t xml:space="preserve">— with the separate institution of the caliphate abolished later still, in 1924, a distinction (sultanate versus caliphate, 1922 versus 1924) that is very frequently confused in exam answers.</w:t>
      </w:r>
    </w:p>
    <w:bookmarkEnd w:id="102"/>
    <w:bookmarkStart w:id="103" w:name="key-terms-and-concepts-9"/>
    <w:p>
      <w:pPr>
        <w:pStyle w:val="Heading2"/>
      </w:pPr>
      <w:r>
        <w:t xml:space="preserve">Key Terms and Concepts</w:t>
      </w:r>
    </w:p>
    <w:p>
      <w:pPr>
        <w:numPr>
          <w:ilvl w:val="0"/>
          <w:numId w:val="1048"/>
        </w:numPr>
        <w:pStyle w:val="Compact"/>
      </w:pPr>
      <w:r>
        <w:rPr>
          <w:bCs/>
          <w:b/>
        </w:rPr>
        <w:t xml:space="preserve">Timar system:</w:t>
      </w:r>
      <w:r>
        <w:t xml:space="preserve"> </w:t>
      </w:r>
      <w:r>
        <w:t xml:space="preserve">The Ottoman land-revenue assignment supporting cavalry service, broadly comparable in function to the Sultanate-era iqta and Mughal jagir systems.</w:t>
      </w:r>
    </w:p>
    <w:p>
      <w:pPr>
        <w:numPr>
          <w:ilvl w:val="0"/>
          <w:numId w:val="1048"/>
        </w:numPr>
        <w:pStyle w:val="Compact"/>
      </w:pPr>
      <w:r>
        <w:rPr>
          <w:bCs/>
          <w:b/>
        </w:rPr>
        <w:t xml:space="preserve">Millet system:</w:t>
      </w:r>
      <w:r>
        <w:t xml:space="preserve"> </w:t>
      </w:r>
      <w:r>
        <w:t xml:space="preserve">Shorthand for Ottoman communal-religious organisation, useful but liable to oversimplify real variation across periods and regions.</w:t>
      </w:r>
    </w:p>
    <w:p>
      <w:pPr>
        <w:numPr>
          <w:ilvl w:val="0"/>
          <w:numId w:val="1048"/>
        </w:numPr>
        <w:pStyle w:val="Compact"/>
      </w:pPr>
      <w:r>
        <w:rPr>
          <w:bCs/>
          <w:b/>
        </w:rPr>
        <w:t xml:space="preserve">Tanzimat (1839 onward):</w:t>
      </w:r>
      <w:r>
        <w:t xml:space="preserve"> </w:t>
      </w:r>
      <w:r>
        <w:t xml:space="preserve">The nineteenth-century Ottoman reform programme covering the army, taxation, bureaucracy, education and law.</w:t>
      </w:r>
    </w:p>
    <w:bookmarkEnd w:id="103"/>
    <w:bookmarkStart w:id="104" w:name="preparation-toolkit-9"/>
    <w:p>
      <w:pPr>
        <w:pStyle w:val="Heading2"/>
      </w:pPr>
      <w:r>
        <w:t xml:space="preserve">Preparation Toolkit</w:t>
      </w:r>
    </w:p>
    <w:p>
      <w:pPr>
        <w:pStyle w:val="FirstParagraph"/>
      </w:pPr>
      <w:r>
        <w:rPr>
          <w:bCs/>
          <w:b/>
        </w:rPr>
        <w:t xml:space="preserve">Preparation Checklist</w:t>
      </w:r>
    </w:p>
    <w:p>
      <w:pPr>
        <w:numPr>
          <w:ilvl w:val="0"/>
          <w:numId w:val="1049"/>
        </w:numPr>
        <w:pStyle w:val="Compact"/>
      </w:pPr>
      <w:r>
        <w:t xml:space="preserve">Prepare the empire in four phases: rise, classical institutions, reform/crisis, dissolution — explicitly replacing any</w:t>
      </w:r>
      <w:r>
        <w:t xml:space="preserve"> </w:t>
      </w:r>
      <w:r>
        <w:t xml:space="preserve">“</w:t>
      </w:r>
      <w:r>
        <w:t xml:space="preserve">rise-golden age-decline</w:t>
      </w:r>
      <w:r>
        <w:t xml:space="preserve">”</w:t>
      </w:r>
      <w:r>
        <w:t xml:space="preserve"> </w:t>
      </w:r>
      <w:r>
        <w:t xml:space="preserve">framing.</w:t>
      </w:r>
    </w:p>
    <w:p>
      <w:pPr>
        <w:numPr>
          <w:ilvl w:val="0"/>
          <w:numId w:val="1049"/>
        </w:numPr>
        <w:pStyle w:val="Compact"/>
      </w:pPr>
      <w:r>
        <w:t xml:space="preserve">Keep the 1922 sultanate abolition and 1924 caliphate abolition clearly distinct in your notes.</w:t>
      </w:r>
    </w:p>
    <w:p>
      <w:pPr>
        <w:numPr>
          <w:ilvl w:val="0"/>
          <w:numId w:val="1049"/>
        </w:numPr>
        <w:pStyle w:val="Compact"/>
      </w:pPr>
      <w:r>
        <w:t xml:space="preserve">Practise one analytical outline answering:</w:t>
      </w:r>
      <w:r>
        <w:t xml:space="preserve"> </w:t>
      </w:r>
      <w:r>
        <w:t xml:space="preserve">“</w:t>
      </w:r>
      <w:r>
        <w:t xml:space="preserve">Why do historians now prefer</w:t>
      </w:r>
      <w:r>
        <w:t xml:space="preserve"> </w:t>
      </w:r>
      <w:r>
        <w:t xml:space="preserve">‘</w:t>
      </w:r>
      <w:r>
        <w:t xml:space="preserve">transformation and reform</w:t>
      </w:r>
      <w:r>
        <w:t xml:space="preserve">’</w:t>
      </w:r>
      <w:r>
        <w:t xml:space="preserve"> </w:t>
      </w:r>
      <w:r>
        <w:t xml:space="preserve">over</w:t>
      </w:r>
      <w:r>
        <w:t xml:space="preserve"> </w:t>
      </w:r>
      <w:r>
        <w:t xml:space="preserve">‘</w:t>
      </w:r>
      <w:r>
        <w:t xml:space="preserve">decline</w:t>
      </w:r>
      <w:r>
        <w:t xml:space="preserve">’</w:t>
      </w:r>
      <w:r>
        <w:t xml:space="preserve"> </w:t>
      </w:r>
      <w:r>
        <w:t xml:space="preserve">to describe the Ottoman Empire after Suleiman I?</w:t>
      </w:r>
      <w:r>
        <w:t xml:space="preserve">”</w:t>
      </w:r>
    </w:p>
    <w:p>
      <w:pPr>
        <w:pStyle w:val="FirstParagraph"/>
      </w:pPr>
      <w:r>
        <w:rPr>
          <w:bCs/>
          <w:b/>
        </w:rPr>
        <w:t xml:space="preserve">Common Confusions to Avoid</w:t>
      </w:r>
    </w:p>
    <w:p>
      <w:pPr>
        <w:numPr>
          <w:ilvl w:val="0"/>
          <w:numId w:val="1050"/>
        </w:numPr>
        <w:pStyle w:val="Compact"/>
      </w:pPr>
      <w:r>
        <w:t xml:space="preserve">Do not treat the empire after 1600 as a straight line of decay; institutions adapted and reforms occurred repeatedly across three centuries.</w:t>
      </w:r>
    </w:p>
    <w:p>
      <w:pPr>
        <w:numPr>
          <w:ilvl w:val="0"/>
          <w:numId w:val="1050"/>
        </w:numPr>
        <w:pStyle w:val="Compact"/>
      </w:pPr>
      <w:r>
        <w:t xml:space="preserve">Do not imagine the Janissary corps or timar system remained unchanged from their original form for centuries.</w:t>
      </w:r>
    </w:p>
    <w:p>
      <w:pPr>
        <w:numPr>
          <w:ilvl w:val="0"/>
          <w:numId w:val="1050"/>
        </w:numPr>
        <w:pStyle w:val="Compact"/>
      </w:pPr>
      <w:r>
        <w:t xml:space="preserve">Do not confuse the abolition of the sultanate (1922) with the abolition of the caliphate (1924); they are separate institutions and separate events.</w:t>
      </w:r>
    </w:p>
    <w:p>
      <w:pPr>
        <w:pStyle w:val="FirstParagraph"/>
      </w:pPr>
      <w:r>
        <w:rPr>
          <w:bCs/>
          <w:b/>
        </w:rPr>
        <w:t xml:space="preserve">Easy Revision Points</w:t>
      </w:r>
    </w:p>
    <w:p>
      <w:pPr>
        <w:numPr>
          <w:ilvl w:val="0"/>
          <w:numId w:val="1051"/>
        </w:numPr>
        <w:pStyle w:val="Compact"/>
      </w:pPr>
      <w:r>
        <w:t xml:space="preserve">Mehmed II conquered Constantinople in 1453, making it the imperial capital of an already substantial empire.</w:t>
      </w:r>
    </w:p>
    <w:p>
      <w:pPr>
        <w:numPr>
          <w:ilvl w:val="0"/>
          <w:numId w:val="1051"/>
        </w:numPr>
        <w:pStyle w:val="Compact"/>
      </w:pPr>
      <w:r>
        <w:t xml:space="preserve">Selim I expanded Ottoman control into Syria and Egypt in the early sixteenth century; Suleiman I presided over further expansion and legal-administrative development.</w:t>
      </w:r>
    </w:p>
    <w:p>
      <w:pPr>
        <w:numPr>
          <w:ilvl w:val="0"/>
          <w:numId w:val="1051"/>
        </w:numPr>
        <w:pStyle w:val="Compact"/>
      </w:pPr>
      <w:r>
        <w:t xml:space="preserve">The</w:t>
      </w:r>
      <w:r>
        <w:t xml:space="preserve"> </w:t>
      </w:r>
      <w:r>
        <w:t xml:space="preserve">“</w:t>
      </w:r>
      <w:r>
        <w:t xml:space="preserve">millet system</w:t>
      </w:r>
      <w:r>
        <w:t xml:space="preserve">”</w:t>
      </w:r>
      <w:r>
        <w:t xml:space="preserve"> </w:t>
      </w:r>
      <w:r>
        <w:t xml:space="preserve">is useful shorthand for communal organisation, but historians caution against treating it as one fixed system unchanged for centuries.</w:t>
      </w:r>
    </w:p>
    <w:p>
      <w:pPr>
        <w:numPr>
          <w:ilvl w:val="0"/>
          <w:numId w:val="1051"/>
        </w:numPr>
        <w:pStyle w:val="Compact"/>
      </w:pPr>
      <w:r>
        <w:t xml:space="preserve">The Tanzimat reforms began in 1839 and sought administrative, fiscal, military and legal modernisation.</w:t>
      </w:r>
    </w:p>
    <w:p>
      <w:pPr>
        <w:numPr>
          <w:ilvl w:val="0"/>
          <w:numId w:val="1051"/>
        </w:numPr>
        <w:pStyle w:val="Compact"/>
      </w:pPr>
      <w:r>
        <w:t xml:space="preserve">The Ottoman sultanate was abolished in 1922; the Republic of Turkey was proclaimed in 1923; the caliphate was separately abolished in 1924.</w:t>
      </w:r>
    </w:p>
    <w:bookmarkEnd w:id="104"/>
    <w:bookmarkStart w:id="105" w:name="key-takeaways-9"/>
    <w:p>
      <w:pPr>
        <w:pStyle w:val="Heading2"/>
      </w:pPr>
      <w:r>
        <w:t xml:space="preserve">Key Takeaways</w:t>
      </w:r>
    </w:p>
    <w:p>
      <w:pPr>
        <w:numPr>
          <w:ilvl w:val="0"/>
          <w:numId w:val="1052"/>
        </w:numPr>
        <w:pStyle w:val="Compact"/>
      </w:pPr>
      <w:r>
        <w:t xml:space="preserve">Replace any</w:t>
      </w:r>
      <w:r>
        <w:t xml:space="preserve"> </w:t>
      </w:r>
      <w:r>
        <w:t xml:space="preserve">“</w:t>
      </w:r>
      <w:r>
        <w:t xml:space="preserve">rise-golden age-decline</w:t>
      </w:r>
      <w:r>
        <w:t xml:space="preserve">”</w:t>
      </w:r>
      <w:r>
        <w:t xml:space="preserve"> </w:t>
      </w:r>
      <w:r>
        <w:t xml:space="preserve">narrative with</w:t>
      </w:r>
      <w:r>
        <w:t xml:space="preserve"> </w:t>
      </w:r>
      <w:r>
        <w:t xml:space="preserve">“</w:t>
      </w:r>
      <w:r>
        <w:t xml:space="preserve">rise-institutions-transformation-reform-dissolution</w:t>
      </w:r>
      <w:r>
        <w:t xml:space="preserve">”</w:t>
      </w:r>
      <w:r>
        <w:t xml:space="preserve"> </w:t>
      </w:r>
      <w:r>
        <w:t xml:space="preserve">throughout this topic, exactly as current scholarship recommends.</w:t>
      </w:r>
    </w:p>
    <w:p>
      <w:pPr>
        <w:numPr>
          <w:ilvl w:val="0"/>
          <w:numId w:val="1052"/>
        </w:numPr>
        <w:pStyle w:val="Compact"/>
      </w:pPr>
      <w:r>
        <w:t xml:space="preserve">The timar and Janissary systems should be presented as institutions that evolved substantially over centuries, not fixed structures — directly comparable to the Mughal mansabdari-jagir evolution studied in the History of Pakistan &amp; India subject.</w:t>
      </w:r>
    </w:p>
    <w:p>
      <w:pPr>
        <w:numPr>
          <w:ilvl w:val="0"/>
          <w:numId w:val="1052"/>
        </w:numPr>
        <w:pStyle w:val="Compact"/>
      </w:pPr>
      <w:r>
        <w:t xml:space="preserve">Keep the 1922 sultanate abolition and the 1924 caliphate abolition as two distinct events with two distinct dates — one of the most commonly confused facts in this entire subject.</w:t>
      </w:r>
    </w:p>
    <w:bookmarkEnd w:id="105"/>
    <w:bookmarkEnd w:id="106"/>
    <w:bookmarkStart w:id="114" w:name="X3575be187c5dd84dde82532d92b0ef01a80c60d"/>
    <w:p>
      <w:pPr>
        <w:pStyle w:val="Heading1"/>
        <w:pageBreakBefore/>
      </w:pPr>
      <w:r>
        <w:t xml:space="preserve">11. Sufism: Thought, Institutions and Social Role</w:t>
      </w:r>
    </w:p>
    <w:bookmarkStart w:id="107" w:name="why-this-topic-matters-10"/>
    <w:p>
      <w:pPr>
        <w:pStyle w:val="Heading2"/>
      </w:pPr>
      <w:r>
        <w:t xml:space="preserve">Why This Topic Matters</w:t>
      </w:r>
    </w:p>
    <w:p>
      <w:pPr>
        <w:pStyle w:val="FirstParagraph"/>
      </w:pPr>
      <w:r>
        <w:t xml:space="preserve">Sufism should never be reduced to shrine culture or miracle stories; it is a broad and historically significant tradition of Islamic spirituality with real intellectual content, real institutional development, and a genuinely varied — not uniform — relationship to political authority.</w:t>
      </w:r>
    </w:p>
    <w:bookmarkEnd w:id="107"/>
    <w:bookmarkStart w:id="108" w:name="Xdc1914c77238607ab64d9dd8c9174d0599cf076"/>
    <w:p>
      <w:pPr>
        <w:pStyle w:val="Heading2"/>
      </w:pPr>
      <w:r>
        <w:t xml:space="preserve">From Early Asceticism to Spiritual Concepts</w:t>
      </w:r>
    </w:p>
    <w:p>
      <w:pPr>
        <w:pStyle w:val="FirstParagraph"/>
      </w:pPr>
      <w:r>
        <w:t xml:space="preserve">Early Muslims who emphasised simplicity, fear of God, self-discipline and intense devotion formed the spiritual background from which later, more developed Sufi traditions emerged. Key concepts require careful, individual definition rather than being treated as interchangeable synonyms:</w:t>
      </w:r>
      <w:r>
        <w:t xml:space="preserve"> </w:t>
      </w:r>
      <w:r>
        <w:rPr>
          <w:bCs/>
          <w:b/>
        </w:rPr>
        <w:t xml:space="preserve">zuhd</w:t>
      </w:r>
      <w:r>
        <w:t xml:space="preserve"> </w:t>
      </w:r>
      <w:r>
        <w:t xml:space="preserve">(renunciation or asceticism),</w:t>
      </w:r>
      <w:r>
        <w:t xml:space="preserve"> </w:t>
      </w:r>
      <w:r>
        <w:rPr>
          <w:bCs/>
          <w:b/>
        </w:rPr>
        <w:t xml:space="preserve">dhikr</w:t>
      </w:r>
      <w:r>
        <w:t xml:space="preserve"> </w:t>
      </w:r>
      <w:r>
        <w:t xml:space="preserve">(remembrance of God, often through structured devotional repetition),</w:t>
      </w:r>
      <w:r>
        <w:t xml:space="preserve"> </w:t>
      </w:r>
      <w:r>
        <w:rPr>
          <w:bCs/>
          <w:b/>
        </w:rPr>
        <w:t xml:space="preserve">ihsan</w:t>
      </w:r>
      <w:r>
        <w:t xml:space="preserve"> </w:t>
      </w:r>
      <w:r>
        <w:t xml:space="preserve">(spiritual excellence or doing good with awareness of God’s presence),</w:t>
      </w:r>
      <w:r>
        <w:t xml:space="preserve"> </w:t>
      </w:r>
      <w:r>
        <w:rPr>
          <w:bCs/>
          <w:b/>
        </w:rPr>
        <w:t xml:space="preserve">tawakkul</w:t>
      </w:r>
      <w:r>
        <w:t xml:space="preserve"> </w:t>
      </w:r>
      <w:r>
        <w:t xml:space="preserve">(trust in God),</w:t>
      </w:r>
      <w:r>
        <w:t xml:space="preserve"> </w:t>
      </w:r>
      <w:r>
        <w:rPr>
          <w:bCs/>
          <w:b/>
        </w:rPr>
        <w:t xml:space="preserve">ma’rifa</w:t>
      </w:r>
      <w:r>
        <w:t xml:space="preserve"> </w:t>
      </w:r>
      <w:r>
        <w:t xml:space="preserve">(spiritual or experiential knowledge), and</w:t>
      </w:r>
      <w:r>
        <w:t xml:space="preserve"> </w:t>
      </w:r>
      <w:r>
        <w:rPr>
          <w:bCs/>
          <w:b/>
        </w:rPr>
        <w:t xml:space="preserve">fana</w:t>
      </w:r>
      <w:r>
        <w:t xml:space="preserve"> </w:t>
      </w:r>
      <w:r>
        <w:t xml:space="preserve">(a state of self-annihilation or absorption in the divine) each describe a distinct dimension of Sufi spiritual discipline and experience, and different authors across different periods used these terms in genuinely different ways.</w:t>
      </w:r>
    </w:p>
    <w:bookmarkEnd w:id="108"/>
    <w:bookmarkStart w:id="109" w:name="teachers-orders-and-institutions"/>
    <w:p>
      <w:pPr>
        <w:pStyle w:val="Heading2"/>
      </w:pPr>
      <w:r>
        <w:t xml:space="preserve">Teachers, Orders, and Institutions</w:t>
      </w:r>
    </w:p>
    <w:p>
      <w:pPr>
        <w:pStyle w:val="FirstParagraph"/>
      </w:pPr>
      <w:r>
        <w:t xml:space="preserve">Sufi instruction traditionally centred on a teacher-disciple relationship involving structured ethical training and regular devotional practice, with chains of spiritual transmission (</w:t>
      </w:r>
      <w:r>
        <w:rPr>
          <w:iCs/>
          <w:i/>
        </w:rPr>
        <w:t xml:space="preserve">silsila</w:t>
      </w:r>
      <w:r>
        <w:t xml:space="preserve">) establishing both authority and historical continuity between generations of teachers. From the medieval period onward, organised Sufi orders (</w:t>
      </w:r>
      <w:r>
        <w:rPr>
          <w:bCs/>
          <w:b/>
        </w:rPr>
        <w:t xml:space="preserve">tariqas</w:t>
      </w:r>
      <w:r>
        <w:t xml:space="preserve">) became increasingly visible and institutionally developed, each typically developing distinctive practices and regional networks — meaning</w:t>
      </w:r>
      <w:r>
        <w:t xml:space="preserve"> </w:t>
      </w:r>
      <w:r>
        <w:t xml:space="preserve">“</w:t>
      </w:r>
      <w:r>
        <w:t xml:space="preserve">Sufism</w:t>
      </w:r>
      <w:r>
        <w:t xml:space="preserve">”</w:t>
      </w:r>
      <w:r>
        <w:t xml:space="preserve"> </w:t>
      </w:r>
      <w:r>
        <w:t xml:space="preserve">should never be treated as if it were one single, uniform organisation with one common practice.</w:t>
      </w:r>
      <w:r>
        <w:t xml:space="preserve"> </w:t>
      </w:r>
      <w:r>
        <w:rPr>
          <w:bCs/>
          <w:b/>
        </w:rPr>
        <w:t xml:space="preserve">Khanqahs</w:t>
      </w:r>
      <w:r>
        <w:t xml:space="preserve"> </w:t>
      </w:r>
      <w:r>
        <w:t xml:space="preserve">(Sufi lodges) could provide teaching, hospitality, food, charity, and dedicated spaces for devotional practice, though their specific social role varied considerably from city to city and period to period rather than following one fixed institutional template.</w:t>
      </w:r>
    </w:p>
    <w:bookmarkEnd w:id="109"/>
    <w:bookmarkStart w:id="110" w:name="X464b052a06e1ee189f729af026ab0ca45d47e8d"/>
    <w:p>
      <w:pPr>
        <w:pStyle w:val="Heading2"/>
      </w:pPr>
      <w:r>
        <w:t xml:space="preserve">Literature, Politics, and Historical Caution</w:t>
      </w:r>
    </w:p>
    <w:p>
      <w:pPr>
        <w:pStyle w:val="FirstParagraph"/>
      </w:pPr>
      <w:r>
        <w:t xml:space="preserve">Sufi ideas exercised major influence on Arabic, Persian, Turkish, Punjabi, Sindhi and other literary traditions, often through symbolic and metaphorical poetic language that requires careful interpretation rather than a purely literal reading. Politically, Sufi orders and individual figures showed no single, uniform attitude toward state power: some advised rulers directly, some accepted royal or elite patronage, and others openly criticised political authority — the specific relationship depended heavily on the particular order, individual figure, and historical context involved, not on any single</w:t>
      </w:r>
      <w:r>
        <w:t xml:space="preserve"> </w:t>
      </w:r>
      <w:r>
        <w:t xml:space="preserve">“</w:t>
      </w:r>
      <w:r>
        <w:t xml:space="preserve">Sufi political position.</w:t>
      </w:r>
      <w:r>
        <w:t xml:space="preserve">”</w:t>
      </w:r>
      <w:r>
        <w:t xml:space="preserve"> </w:t>
      </w:r>
      <w:r>
        <w:t xml:space="preserve">A final, important methodological point: many popular stories associated with revered Sufi figures are devotional traditions transmitted for their spiritual and communal significance, and careful historical writing distinguishes these from independently verifiable historical fact, without thereby dismissing their genuine religious and cultural importance.</w:t>
      </w:r>
    </w:p>
    <w:bookmarkEnd w:id="110"/>
    <w:bookmarkStart w:id="111" w:name="key-terms-and-concepts-10"/>
    <w:p>
      <w:pPr>
        <w:pStyle w:val="Heading2"/>
      </w:pPr>
      <w:r>
        <w:t xml:space="preserve">Key Terms and Concepts</w:t>
      </w:r>
    </w:p>
    <w:p>
      <w:pPr>
        <w:numPr>
          <w:ilvl w:val="0"/>
          <w:numId w:val="1053"/>
        </w:numPr>
        <w:pStyle w:val="Compact"/>
      </w:pPr>
      <w:r>
        <w:rPr>
          <w:bCs/>
          <w:b/>
        </w:rPr>
        <w:t xml:space="preserve">Tariqa:</w:t>
      </w:r>
      <w:r>
        <w:t xml:space="preserve"> </w:t>
      </w:r>
      <w:r>
        <w:t xml:space="preserve">An organised Sufi order, typically with distinctive practices and regional networks; Sufism comprises many such orders, not one uniform organisation.</w:t>
      </w:r>
    </w:p>
    <w:p>
      <w:pPr>
        <w:numPr>
          <w:ilvl w:val="0"/>
          <w:numId w:val="1053"/>
        </w:numPr>
        <w:pStyle w:val="Compact"/>
      </w:pPr>
      <w:r>
        <w:rPr>
          <w:bCs/>
          <w:b/>
        </w:rPr>
        <w:t xml:space="preserve">Silsila:</w:t>
      </w:r>
      <w:r>
        <w:t xml:space="preserve"> </w:t>
      </w:r>
      <w:r>
        <w:t xml:space="preserve">A chain of spiritual transmission linking a Sufi teacher to earlier authorities, establishing continuity and legitimacy.</w:t>
      </w:r>
    </w:p>
    <w:p>
      <w:pPr>
        <w:numPr>
          <w:ilvl w:val="0"/>
          <w:numId w:val="1053"/>
        </w:numPr>
        <w:pStyle w:val="Compact"/>
      </w:pPr>
      <w:r>
        <w:rPr>
          <w:bCs/>
          <w:b/>
        </w:rPr>
        <w:t xml:space="preserve">Khanqah:</w:t>
      </w:r>
      <w:r>
        <w:t xml:space="preserve"> </w:t>
      </w:r>
      <w:r>
        <w:t xml:space="preserve">A Sufi lodge, potentially combining teaching, hospitality, charity and devotional functions.</w:t>
      </w:r>
    </w:p>
    <w:bookmarkEnd w:id="111"/>
    <w:bookmarkStart w:id="112" w:name="preparation-toolkit-10"/>
    <w:p>
      <w:pPr>
        <w:pStyle w:val="Heading2"/>
      </w:pPr>
      <w:r>
        <w:t xml:space="preserve">Preparation Toolkit</w:t>
      </w:r>
    </w:p>
    <w:p>
      <w:pPr>
        <w:pStyle w:val="FirstParagraph"/>
      </w:pPr>
      <w:r>
        <w:rPr>
          <w:bCs/>
          <w:b/>
        </w:rPr>
        <w:t xml:space="preserve">Preparation Checklist</w:t>
      </w:r>
    </w:p>
    <w:p>
      <w:pPr>
        <w:numPr>
          <w:ilvl w:val="0"/>
          <w:numId w:val="1054"/>
        </w:numPr>
        <w:pStyle w:val="Compact"/>
      </w:pPr>
      <w:r>
        <w:t xml:space="preserve">Prepare concepts first, then personalities, then institutions and social effects, in that order.</w:t>
      </w:r>
    </w:p>
    <w:p>
      <w:pPr>
        <w:numPr>
          <w:ilvl w:val="0"/>
          <w:numId w:val="1054"/>
        </w:numPr>
        <w:pStyle w:val="Compact"/>
      </w:pPr>
      <w:r>
        <w:t xml:space="preserve">Use careful primary/secondary scholarship, since many popular miracle stories are devotional traditions rather than independently verifiable historical facts.</w:t>
      </w:r>
    </w:p>
    <w:p>
      <w:pPr>
        <w:numPr>
          <w:ilvl w:val="0"/>
          <w:numId w:val="1054"/>
        </w:numPr>
        <w:pStyle w:val="Compact"/>
      </w:pPr>
      <w:r>
        <w:t xml:space="preserve">Practise one analytical outline answering:</w:t>
      </w:r>
      <w:r>
        <w:t xml:space="preserve"> </w:t>
      </w:r>
      <w:r>
        <w:t xml:space="preserve">“</w:t>
      </w:r>
      <w:r>
        <w:t xml:space="preserve">How did Sufi orders and institutions influence Muslim society beyond the purely religious sphere?</w:t>
      </w:r>
      <w:r>
        <w:t xml:space="preserve">”</w:t>
      </w:r>
    </w:p>
    <w:p>
      <w:pPr>
        <w:pStyle w:val="FirstParagraph"/>
      </w:pPr>
      <w:r>
        <w:rPr>
          <w:bCs/>
          <w:b/>
        </w:rPr>
        <w:t xml:space="preserve">Common Confusions to Avoid</w:t>
      </w:r>
    </w:p>
    <w:p>
      <w:pPr>
        <w:numPr>
          <w:ilvl w:val="0"/>
          <w:numId w:val="1055"/>
        </w:numPr>
        <w:pStyle w:val="Compact"/>
      </w:pPr>
      <w:r>
        <w:t xml:space="preserve">Do not reduce Sufism to shrine culture or miracle stories; its intellectual and ethical traditions are much broader.</w:t>
      </w:r>
    </w:p>
    <w:p>
      <w:pPr>
        <w:numPr>
          <w:ilvl w:val="0"/>
          <w:numId w:val="1055"/>
        </w:numPr>
        <w:pStyle w:val="Compact"/>
      </w:pPr>
      <w:r>
        <w:t xml:space="preserve">Do not treat devotional legends as independently verified historical facts.</w:t>
      </w:r>
    </w:p>
    <w:p>
      <w:pPr>
        <w:numPr>
          <w:ilvl w:val="0"/>
          <w:numId w:val="1055"/>
        </w:numPr>
        <w:pStyle w:val="Compact"/>
      </w:pPr>
      <w:r>
        <w:t xml:space="preserve">Do not assume every Sufi order shared the same theology, ritual practice, or political position.</w:t>
      </w:r>
    </w:p>
    <w:p>
      <w:pPr>
        <w:pStyle w:val="FirstParagraph"/>
      </w:pPr>
      <w:r>
        <w:rPr>
          <w:bCs/>
          <w:b/>
        </w:rPr>
        <w:t xml:space="preserve">Easy Revision Points</w:t>
      </w:r>
    </w:p>
    <w:p>
      <w:pPr>
        <w:numPr>
          <w:ilvl w:val="0"/>
          <w:numId w:val="1056"/>
        </w:numPr>
        <w:pStyle w:val="Compact"/>
      </w:pPr>
      <w:r>
        <w:t xml:space="preserve">Early Muslim ascetic traditions preceded the formal organisation of Sufi orders.</w:t>
      </w:r>
    </w:p>
    <w:p>
      <w:pPr>
        <w:numPr>
          <w:ilvl w:val="0"/>
          <w:numId w:val="1056"/>
        </w:numPr>
        <w:pStyle w:val="Compact"/>
      </w:pPr>
      <w:r>
        <w:t xml:space="preserve">Figures often studied in the development of Sufi thought include Hasan al-Basri, Rabi’a al-’Adawiyya, Junayd of Baghdad, al-Ghazali and Jalal al-Din Rumi, though they belonged to different times and intellectual contexts.</w:t>
      </w:r>
    </w:p>
    <w:p>
      <w:pPr>
        <w:numPr>
          <w:ilvl w:val="0"/>
          <w:numId w:val="1056"/>
        </w:numPr>
        <w:pStyle w:val="Compact"/>
      </w:pPr>
      <w:r>
        <w:t xml:space="preserve">Tariqas became organised networks of spiritual instruction with chains of transmission and local institutions.</w:t>
      </w:r>
    </w:p>
    <w:p>
      <w:pPr>
        <w:numPr>
          <w:ilvl w:val="0"/>
          <w:numId w:val="1056"/>
        </w:numPr>
        <w:pStyle w:val="Compact"/>
      </w:pPr>
      <w:r>
        <w:t xml:space="preserve">Sufi lodges could function as centres of teaching, hospitality, charity and social interaction.</w:t>
      </w:r>
    </w:p>
    <w:p>
      <w:pPr>
        <w:numPr>
          <w:ilvl w:val="0"/>
          <w:numId w:val="1056"/>
        </w:numPr>
        <w:pStyle w:val="Compact"/>
      </w:pPr>
      <w:r>
        <w:t xml:space="preserve">Sufi traditions sometimes cooperated with rulers and sometimes criticised political power; there was no single political role.</w:t>
      </w:r>
    </w:p>
    <w:bookmarkEnd w:id="112"/>
    <w:bookmarkStart w:id="113" w:name="key-takeaways-10"/>
    <w:p>
      <w:pPr>
        <w:pStyle w:val="Heading2"/>
      </w:pPr>
      <w:r>
        <w:t xml:space="preserve">Key Takeaways</w:t>
      </w:r>
    </w:p>
    <w:p>
      <w:pPr>
        <w:numPr>
          <w:ilvl w:val="0"/>
          <w:numId w:val="1057"/>
        </w:numPr>
        <w:pStyle w:val="Compact"/>
      </w:pPr>
      <w:r>
        <w:t xml:space="preserve">Define each Sufi concept (zuhd, dhikr, ihsan, ma’rifa, fana, etc.) individually and precisely; treating them as interchangeable is a common and costly error.</w:t>
      </w:r>
    </w:p>
    <w:p>
      <w:pPr>
        <w:numPr>
          <w:ilvl w:val="0"/>
          <w:numId w:val="1057"/>
        </w:numPr>
        <w:pStyle w:val="Compact"/>
      </w:pPr>
      <w:r>
        <w:t xml:space="preserve">Tariqas and khanqahs should be understood as genuinely varied institutions across regions and periods, not a single uniform Sufi organisational template.</w:t>
      </w:r>
    </w:p>
    <w:p>
      <w:pPr>
        <w:numPr>
          <w:ilvl w:val="0"/>
          <w:numId w:val="1057"/>
        </w:numPr>
        <w:pStyle w:val="Compact"/>
      </w:pPr>
      <w:r>
        <w:t xml:space="preserve">Maintain historical caution around devotional legend throughout this topic — acknowledging religious and cultural significance without asserting unverified stories as settled historical fact.</w:t>
      </w:r>
    </w:p>
    <w:bookmarkEnd w:id="113"/>
    <w:bookmarkEnd w:id="114"/>
    <w:bookmarkStart w:id="122" w:name="islam-and-modernity"/>
    <w:p>
      <w:pPr>
        <w:pStyle w:val="Heading1"/>
        <w:pageBreakBefore/>
      </w:pPr>
      <w:r>
        <w:t xml:space="preserve">12. Islam and Modernity</w:t>
      </w:r>
    </w:p>
    <w:bookmarkStart w:id="115" w:name="why-this-topic-matters-11"/>
    <w:p>
      <w:pPr>
        <w:pStyle w:val="Heading2"/>
      </w:pPr>
      <w:r>
        <w:t xml:space="preserve">Why This Topic Matters</w:t>
      </w:r>
    </w:p>
    <w:p>
      <w:pPr>
        <w:pStyle w:val="FirstParagraph"/>
      </w:pPr>
      <w:r>
        <w:t xml:space="preserve">There was no single Muslim response to European power, modern science, and colonialism; reformers disagreed sharply about what to adopt, what to reinterpret, and what to resist. The syllabus and this resource both insist on comparing specific thinkers’ strategies rather than writing</w:t>
      </w:r>
      <w:r>
        <w:t xml:space="preserve"> </w:t>
      </w:r>
      <w:r>
        <w:t xml:space="preserve">“</w:t>
      </w:r>
      <w:r>
        <w:t xml:space="preserve">Islam versus modernity</w:t>
      </w:r>
      <w:r>
        <w:t xml:space="preserve">”</w:t>
      </w:r>
      <w:r>
        <w:t xml:space="preserve"> </w:t>
      </w:r>
      <w:r>
        <w:t xml:space="preserve">as if both were single, fixed, opposing things.</w:t>
      </w:r>
    </w:p>
    <w:bookmarkEnd w:id="115"/>
    <w:bookmarkStart w:id="116" w:name="X8c9c93ada0360a36e032a8ea652ab6780c6365b"/>
    <w:p>
      <w:pPr>
        <w:pStyle w:val="Heading2"/>
      </w:pPr>
      <w:r>
        <w:t xml:space="preserve">The Colonial Challenge and the Question of Education</w:t>
      </w:r>
    </w:p>
    <w:p>
      <w:pPr>
        <w:pStyle w:val="FirstParagraph"/>
      </w:pPr>
      <w:r>
        <w:t xml:space="preserve">European political and military domination across much of the Muslim world from the eighteenth century onward forced Muslim thinkers to reconsider the causes of relative political and technological weakness, and the proper relationship between religious tradition, state power, and modern institutions. Many reformers agreed that Muslims needed access to modern scientific and institutional knowledge, but they differed substantially over curriculum content, language of instruction, and the appropriate continuing role of traditional religious learning alongside newer subjects — disagreements that shaped distinct, competing reform programmes rather than a single unified</w:t>
      </w:r>
      <w:r>
        <w:t xml:space="preserve"> </w:t>
      </w:r>
      <w:r>
        <w:t xml:space="preserve">“</w:t>
      </w:r>
      <w:r>
        <w:t xml:space="preserve">modernisation</w:t>
      </w:r>
      <w:r>
        <w:t xml:space="preserve">”</w:t>
      </w:r>
      <w:r>
        <w:t xml:space="preserve"> </w:t>
      </w:r>
      <w:r>
        <w:t xml:space="preserve">movement.</w:t>
      </w:r>
    </w:p>
    <w:bookmarkEnd w:id="116"/>
    <w:bookmarkStart w:id="117" w:name="comparing-four-major-reformers"/>
    <w:p>
      <w:pPr>
        <w:pStyle w:val="Heading2"/>
      </w:pPr>
      <w:r>
        <w:t xml:space="preserve">Comparing Four Major Reformers</w:t>
      </w:r>
    </w:p>
    <w:p>
      <w:pPr>
        <w:pStyle w:val="FirstParagraph"/>
      </w:pPr>
      <w:r>
        <w:rPr>
          <w:bCs/>
          <w:b/>
        </w:rPr>
        <w:t xml:space="preserve">Jamal al-Din al-Afghani</w:t>
      </w:r>
      <w:r>
        <w:t xml:space="preserve"> </w:t>
      </w:r>
      <w:r>
        <w:t xml:space="preserve">emphasised political awakening, anti-imperial solidarity across the Muslim world, and direct intellectual activism; his ideas circulated transregionally and cannot be reduced to any single national context.</w:t>
      </w:r>
      <w:r>
        <w:t xml:space="preserve"> </w:t>
      </w:r>
      <w:r>
        <w:rPr>
          <w:bCs/>
          <w:b/>
        </w:rPr>
        <w:t xml:space="preserve">Muhammad Abduh</w:t>
      </w:r>
      <w:r>
        <w:t xml:space="preserve">, in Egypt, stressed educational and legal reform and argued that reason and revelation need not be treated as enemies, influencing later reformist religious thought well beyond Egypt itself.</w:t>
      </w:r>
      <w:r>
        <w:t xml:space="preserve"> </w:t>
      </w:r>
      <w:r>
        <w:rPr>
          <w:bCs/>
          <w:b/>
        </w:rPr>
        <w:t xml:space="preserve">Sir Syed Ahmad Khan</w:t>
      </w:r>
      <w:r>
        <w:t xml:space="preserve">, writing in the specific post-1857 South Asian colonial context (treated in full in the History of Pakistan &amp; India subject), emphasised modern education as the central strategy for Muslim advancement, founding the Aligarh movement to connect educational reform directly with social and political progress.</w:t>
      </w:r>
      <w:r>
        <w:t xml:space="preserve"> </w:t>
      </w:r>
      <w:r>
        <w:rPr>
          <w:bCs/>
          <w:b/>
        </w:rPr>
        <w:t xml:space="preserve">Muhammad Iqbal</w:t>
      </w:r>
      <w:r>
        <w:t xml:space="preserve"> </w:t>
      </w:r>
      <w:r>
        <w:t xml:space="preserve">addressed philosophy, religious reconstruction, and political community at a more explicitly intellectual and philosophical level, combining serious engagement with modern European philosophy and a call for renewed creativity within Islamic thought, rather than either simple imitation of the West or simple rejection of it.</w:t>
      </w:r>
    </w:p>
    <w:bookmarkEnd w:id="117"/>
    <w:bookmarkStart w:id="118" w:name="X4f5687dda86b1bec3eea11f526c1bef5ed26f08"/>
    <w:p>
      <w:pPr>
        <w:pStyle w:val="Heading2"/>
      </w:pPr>
      <w:r>
        <w:t xml:space="preserve">Competing Currents and the Value of Comparison</w:t>
      </w:r>
    </w:p>
    <w:p>
      <w:pPr>
        <w:pStyle w:val="FirstParagraph"/>
      </w:pPr>
      <w:r>
        <w:t xml:space="preserve">Beyond these four figures, modernist, revivalist, nationalist, secular and Islamist currents frequently disagreed sharply with one another over the correct relationship between Islamic tradition and modern institutions — a genuine and continuing intellectual debate, not a settled question with one correct answer. The strongest possible approach to any question on this topic compares specific reformers along consistent dimensions — problem identified, intellectual method, proposed reform, attitude toward colonial power, view of science and education, and long-term influence — rather than collapsing them into a single undifferentiated</w:t>
      </w:r>
      <w:r>
        <w:t xml:space="preserve"> </w:t>
      </w:r>
      <w:r>
        <w:t xml:space="preserve">“</w:t>
      </w:r>
      <w:r>
        <w:t xml:space="preserve">Muslim response to modernity.</w:t>
      </w:r>
      <w:r>
        <w:t xml:space="preserve">”</w:t>
      </w:r>
    </w:p>
    <w:bookmarkEnd w:id="118"/>
    <w:bookmarkStart w:id="119" w:name="key-terms-and-concepts-11"/>
    <w:p>
      <w:pPr>
        <w:pStyle w:val="Heading2"/>
      </w:pPr>
      <w:r>
        <w:t xml:space="preserve">Key Terms and Concepts</w:t>
      </w:r>
    </w:p>
    <w:p>
      <w:pPr>
        <w:numPr>
          <w:ilvl w:val="0"/>
          <w:numId w:val="1058"/>
        </w:numPr>
        <w:pStyle w:val="Compact"/>
      </w:pPr>
      <w:r>
        <w:rPr>
          <w:bCs/>
          <w:b/>
        </w:rPr>
        <w:t xml:space="preserve">Modernism (Islamic):</w:t>
      </w:r>
      <w:r>
        <w:t xml:space="preserve"> </w:t>
      </w:r>
      <w:r>
        <w:t xml:space="preserve">The broad reformist current arguing for the compatibility of reason, modern science, and Islamic revelation, associated especially with Abduh and, in a different context, Sir Syed.</w:t>
      </w:r>
    </w:p>
    <w:p>
      <w:pPr>
        <w:numPr>
          <w:ilvl w:val="0"/>
          <w:numId w:val="1058"/>
        </w:numPr>
        <w:pStyle w:val="Compact"/>
      </w:pPr>
      <w:r>
        <w:rPr>
          <w:bCs/>
          <w:b/>
        </w:rPr>
        <w:t xml:space="preserve">Pan-Islamism:</w:t>
      </w:r>
      <w:r>
        <w:t xml:space="preserve"> </w:t>
      </w:r>
      <w:r>
        <w:t xml:space="preserve">The transregional political solidarity emphasis associated especially with al-Afghani.</w:t>
      </w:r>
    </w:p>
    <w:bookmarkEnd w:id="119"/>
    <w:bookmarkStart w:id="120" w:name="preparation-toolkit-11"/>
    <w:p>
      <w:pPr>
        <w:pStyle w:val="Heading2"/>
      </w:pPr>
      <w:r>
        <w:t xml:space="preserve">Preparation Toolkit</w:t>
      </w:r>
    </w:p>
    <w:p>
      <w:pPr>
        <w:pStyle w:val="FirstParagraph"/>
      </w:pPr>
      <w:r>
        <w:rPr>
          <w:bCs/>
          <w:b/>
        </w:rPr>
        <w:t xml:space="preserve">Preparation Checklist</w:t>
      </w:r>
    </w:p>
    <w:p>
      <w:pPr>
        <w:numPr>
          <w:ilvl w:val="0"/>
          <w:numId w:val="1059"/>
        </w:numPr>
        <w:pStyle w:val="Compact"/>
      </w:pPr>
      <w:r>
        <w:t xml:space="preserve">Never write</w:t>
      </w:r>
      <w:r>
        <w:t xml:space="preserve"> </w:t>
      </w:r>
      <w:r>
        <w:t xml:space="preserve">“</w:t>
      </w:r>
      <w:r>
        <w:t xml:space="preserve">Islam versus modernity</w:t>
      </w:r>
      <w:r>
        <w:t xml:space="preserve">”</w:t>
      </w:r>
      <w:r>
        <w:t xml:space="preserve"> </w:t>
      </w:r>
      <w:r>
        <w:t xml:space="preserve">as if both are single, fixed things; always compare specific named thinkers.</w:t>
      </w:r>
    </w:p>
    <w:p>
      <w:pPr>
        <w:numPr>
          <w:ilvl w:val="0"/>
          <w:numId w:val="1059"/>
        </w:numPr>
        <w:pStyle w:val="Compact"/>
      </w:pPr>
      <w:r>
        <w:t xml:space="preserve">Compare thinkers along consistent dimensions: problem identified, intellectual method, proposed reform, attitude to colonial power, view of science/education, and long-term influence.</w:t>
      </w:r>
    </w:p>
    <w:p>
      <w:pPr>
        <w:numPr>
          <w:ilvl w:val="0"/>
          <w:numId w:val="1059"/>
        </w:numPr>
        <w:pStyle w:val="Compact"/>
      </w:pPr>
      <w:r>
        <w:t xml:space="preserve">Practise one analytical outline answering:</w:t>
      </w:r>
      <w:r>
        <w:t xml:space="preserve"> </w:t>
      </w:r>
      <w:r>
        <w:t xml:space="preserve">“</w:t>
      </w:r>
      <w:r>
        <w:t xml:space="preserve">Compare the reform strategies of any two thinkers covered in this topic, explaining why their approaches differed.</w:t>
      </w:r>
      <w:r>
        <w:t xml:space="preserve">”</w:t>
      </w:r>
    </w:p>
    <w:p>
      <w:pPr>
        <w:pStyle w:val="FirstParagraph"/>
      </w:pPr>
      <w:r>
        <w:rPr>
          <w:bCs/>
          <w:b/>
        </w:rPr>
        <w:t xml:space="preserve">Common Confusions to Avoid</w:t>
      </w:r>
    </w:p>
    <w:p>
      <w:pPr>
        <w:numPr>
          <w:ilvl w:val="0"/>
          <w:numId w:val="1060"/>
        </w:numPr>
        <w:pStyle w:val="Compact"/>
      </w:pPr>
      <w:r>
        <w:t xml:space="preserve">Do not describe modernity as simply</w:t>
      </w:r>
      <w:r>
        <w:t xml:space="preserve"> </w:t>
      </w:r>
      <w:r>
        <w:t xml:space="preserve">“</w:t>
      </w:r>
      <w:r>
        <w:t xml:space="preserve">the West</w:t>
      </w:r>
      <w:r>
        <w:t xml:space="preserve">”</w:t>
      </w:r>
      <w:r>
        <w:t xml:space="preserve">; modernity involves economic, scientific, institutional and intellectual transformations with genuinely global forms and causes.</w:t>
      </w:r>
    </w:p>
    <w:p>
      <w:pPr>
        <w:numPr>
          <w:ilvl w:val="0"/>
          <w:numId w:val="1060"/>
        </w:numPr>
        <w:pStyle w:val="Compact"/>
      </w:pPr>
      <w:r>
        <w:t xml:space="preserve">Do not place all reformers in one camp; their political and theological positions differed substantially from one another.</w:t>
      </w:r>
    </w:p>
    <w:p>
      <w:pPr>
        <w:numPr>
          <w:ilvl w:val="0"/>
          <w:numId w:val="1060"/>
        </w:numPr>
        <w:pStyle w:val="Compact"/>
      </w:pPr>
      <w:r>
        <w:t xml:space="preserve">Do not claim compatibility or incompatibility between Islam and modernity as an abstract slogan; show specifically how named thinkers approached education, law, science and politics.</w:t>
      </w:r>
    </w:p>
    <w:p>
      <w:pPr>
        <w:pStyle w:val="FirstParagraph"/>
      </w:pPr>
      <w:r>
        <w:rPr>
          <w:bCs/>
          <w:b/>
        </w:rPr>
        <w:t xml:space="preserve">Easy Revision Points</w:t>
      </w:r>
    </w:p>
    <w:p>
      <w:pPr>
        <w:numPr>
          <w:ilvl w:val="0"/>
          <w:numId w:val="1061"/>
        </w:numPr>
        <w:pStyle w:val="Compact"/>
      </w:pPr>
      <w:r>
        <w:t xml:space="preserve">Nineteenth- and twentieth-century Muslim reform movements emerged in different colonial and imperial contexts and offered genuinely competing responses.</w:t>
      </w:r>
    </w:p>
    <w:p>
      <w:pPr>
        <w:numPr>
          <w:ilvl w:val="0"/>
          <w:numId w:val="1061"/>
        </w:numPr>
        <w:pStyle w:val="Compact"/>
      </w:pPr>
      <w:r>
        <w:t xml:space="preserve">Al-Afghani emphasised political awakening and resistance to imperial domination in a transregional Muslim context.</w:t>
      </w:r>
    </w:p>
    <w:p>
      <w:pPr>
        <w:numPr>
          <w:ilvl w:val="0"/>
          <w:numId w:val="1061"/>
        </w:numPr>
        <w:pStyle w:val="Compact"/>
      </w:pPr>
      <w:r>
        <w:t xml:space="preserve">Muhammad Abduh advocated educational and legal-intellectual reform and argued for the compatibility of reason and religious thought.</w:t>
      </w:r>
    </w:p>
    <w:p>
      <w:pPr>
        <w:numPr>
          <w:ilvl w:val="0"/>
          <w:numId w:val="1061"/>
        </w:numPr>
        <w:pStyle w:val="Compact"/>
      </w:pPr>
      <w:r>
        <w:t xml:space="preserve">Sir Syed Ahmad Khan emphasised modern education for South Asian Muslims and helped build the Aligarh movement.</w:t>
      </w:r>
    </w:p>
    <w:p>
      <w:pPr>
        <w:numPr>
          <w:ilvl w:val="0"/>
          <w:numId w:val="1061"/>
        </w:numPr>
        <w:pStyle w:val="Compact"/>
      </w:pPr>
      <w:r>
        <w:t xml:space="preserve">Muhammad Iqbal combined philosophy, religious reconstruction and political reflection; his work cannot be reduced to a single slogan.</w:t>
      </w:r>
    </w:p>
    <w:bookmarkEnd w:id="120"/>
    <w:bookmarkStart w:id="121" w:name="key-takeaways-11"/>
    <w:p>
      <w:pPr>
        <w:pStyle w:val="Heading2"/>
      </w:pPr>
      <w:r>
        <w:t xml:space="preserve">Key Takeaways</w:t>
      </w:r>
    </w:p>
    <w:p>
      <w:pPr>
        <w:numPr>
          <w:ilvl w:val="0"/>
          <w:numId w:val="1062"/>
        </w:numPr>
        <w:pStyle w:val="Compact"/>
      </w:pPr>
      <w:r>
        <w:t xml:space="preserve">This topic rewards comparison of named individual thinkers far more than any general statement about</w:t>
      </w:r>
      <w:r>
        <w:t xml:space="preserve"> </w:t>
      </w:r>
      <w:r>
        <w:t xml:space="preserve">“</w:t>
      </w:r>
      <w:r>
        <w:t xml:space="preserve">Islam</w:t>
      </w:r>
      <w:r>
        <w:t xml:space="preserve">”</w:t>
      </w:r>
      <w:r>
        <w:t xml:space="preserve"> </w:t>
      </w:r>
      <w:r>
        <w:t xml:space="preserve">and</w:t>
      </w:r>
      <w:r>
        <w:t xml:space="preserve"> </w:t>
      </w:r>
      <w:r>
        <w:t xml:space="preserve">“</w:t>
      </w:r>
      <w:r>
        <w:t xml:space="preserve">modernity</w:t>
      </w:r>
      <w:r>
        <w:t xml:space="preserve">”</w:t>
      </w:r>
      <w:r>
        <w:t xml:space="preserve"> </w:t>
      </w:r>
      <w:r>
        <w:t xml:space="preserve">as opposing or compatible blocks.</w:t>
      </w:r>
    </w:p>
    <w:p>
      <w:pPr>
        <w:numPr>
          <w:ilvl w:val="0"/>
          <w:numId w:val="1062"/>
        </w:numPr>
        <w:pStyle w:val="Compact"/>
      </w:pPr>
      <w:r>
        <w:t xml:space="preserve">Each of the four major reformers compared here responded to a distinct colonial and intellectual context, and their strategies should never be treated as interchangeable.</w:t>
      </w:r>
    </w:p>
    <w:p>
      <w:pPr>
        <w:numPr>
          <w:ilvl w:val="0"/>
          <w:numId w:val="1062"/>
        </w:numPr>
        <w:pStyle w:val="Compact"/>
      </w:pPr>
      <w:r>
        <w:t xml:space="preserve">Sir Syed Ahmad Khan’s inclusion here connects directly to the fuller treatment of his work and the Aligarh Movement in the History of Pakistan &amp; India subject, and a candidate studying both subjects should cross-reference the two treatments.</w:t>
      </w:r>
    </w:p>
    <w:bookmarkEnd w:id="121"/>
    <w:bookmarkEnd w:id="122"/>
    <w:bookmarkStart w:id="123" w:name="final-revision-strategy-for-this-subject"/>
    <w:p>
      <w:pPr>
        <w:pStyle w:val="Heading1"/>
        <w:pageBreakBefore/>
      </w:pPr>
      <w:r>
        <w:t xml:space="preserve">Final Revision Strategy for This Subject</w:t>
      </w:r>
    </w:p>
    <w:p>
      <w:pPr>
        <w:pStyle w:val="FirstParagraph"/>
      </w:pPr>
      <w:r>
        <w:t xml:space="preserve">Use the same sequence for every topic in this subject: build a short chronology; separate political history from institutional and cultural history explicitly; define key concepts precisely before giving historical examples; compare rather than list wherever the topic involves more than one dynasty, thinker, or institution; and close every answer by stating what the evidence actually establishes versus what remains genuinely disputed among historians, particularly for the more theologically or politically sensitive topics (the Pious Caliphate’s civil conflict, religious-political concepts, and the modern reform era).</w:t>
      </w:r>
    </w:p>
    <w:bookmarkEnd w:id="123"/>
    <w:bookmarkStart w:id="125" w:name="references-and-further-reading"/>
    <w:p>
      <w:pPr>
        <w:pStyle w:val="Heading1"/>
        <w:pageBreakBefore/>
      </w:pPr>
      <w:r>
        <w:t xml:space="preserve">References and Further Reading</w:t>
      </w:r>
    </w:p>
    <w:p>
      <w:pPr>
        <w:numPr>
          <w:ilvl w:val="0"/>
          <w:numId w:val="1063"/>
        </w:numPr>
        <w:pStyle w:val="Compact"/>
      </w:pPr>
      <w:r>
        <w:t xml:space="preserve">Marshall G. S. Hodgson,</w:t>
      </w:r>
      <w:r>
        <w:t xml:space="preserve"> </w:t>
      </w:r>
      <w:r>
        <w:rPr>
          <w:iCs/>
          <w:i/>
        </w:rPr>
        <w:t xml:space="preserve">The Venture of Islam</w:t>
      </w:r>
      <w:r>
        <w:t xml:space="preserve"> </w:t>
      </w:r>
      <w:r>
        <w:t xml:space="preserve">(Chicago: University of Chicago Press, 1974) — a foundational, multi-volume interpretive history of Islamic civilisation, useful across nearly every topic in this subject.</w:t>
      </w:r>
    </w:p>
    <w:p>
      <w:pPr>
        <w:numPr>
          <w:ilvl w:val="0"/>
          <w:numId w:val="1063"/>
        </w:numPr>
        <w:pStyle w:val="Compact"/>
      </w:pPr>
      <w:r>
        <w:t xml:space="preserve">Ira M. Lapidus,</w:t>
      </w:r>
      <w:r>
        <w:t xml:space="preserve"> </w:t>
      </w:r>
      <w:r>
        <w:rPr>
          <w:iCs/>
          <w:i/>
        </w:rPr>
        <w:t xml:space="preserve">A History of Islamic Societies</w:t>
      </w:r>
      <w:r>
        <w:t xml:space="preserve"> </w:t>
      </w:r>
      <w:r>
        <w:t xml:space="preserve">(Cambridge: Cambridge University Press) — a comprehensive single-volume survey covering the full chronological range of this subject.</w:t>
      </w:r>
    </w:p>
    <w:p>
      <w:pPr>
        <w:numPr>
          <w:ilvl w:val="0"/>
          <w:numId w:val="1063"/>
        </w:numPr>
        <w:pStyle w:val="Compact"/>
      </w:pPr>
      <w:r>
        <w:t xml:space="preserve">Albert Hourani,</w:t>
      </w:r>
      <w:r>
        <w:t xml:space="preserve"> </w:t>
      </w:r>
      <w:r>
        <w:rPr>
          <w:iCs/>
          <w:i/>
        </w:rPr>
        <w:t xml:space="preserve">A History of the Arab Peoples</w:t>
      </w:r>
      <w:r>
        <w:t xml:space="preserve"> </w:t>
      </w:r>
      <w:r>
        <w:t xml:space="preserve">(Cambridge, MA: Harvard University Press, 1991) — a standard account particularly useful for the Umayyad, Abbasid and modern reform topics.</w:t>
      </w:r>
    </w:p>
    <w:p>
      <w:pPr>
        <w:numPr>
          <w:ilvl w:val="0"/>
          <w:numId w:val="1063"/>
        </w:numPr>
        <w:pStyle w:val="Compact"/>
      </w:pPr>
      <w:r>
        <w:t xml:space="preserve">Federal Public Service Commission — CSS Syllabi: https://www.fpsc.gov.pk/category/css-syllabi</w:t>
      </w:r>
    </w:p>
    <w:bookmarkStart w:id="124" w:name="important-note-on-historical-accuracy"/>
    <w:p>
      <w:pPr>
        <w:pStyle w:val="Heading2"/>
      </w:pPr>
      <w:r>
        <w:t xml:space="preserve">Important Note on Historical Accuracy</w:t>
      </w:r>
    </w:p>
    <w:p>
      <w:pPr>
        <w:pStyle w:val="FirstParagraph"/>
      </w:pPr>
      <w:r>
        <w:t xml:space="preserve">This resource presents religious and sectarian history using careful, descriptive language, and explicitly distinguishes devotional tradition from independently verifiable historical fact wherever the two might otherwise be confused. Where scholarly or sectarian interpretation genuinely differs (particularly regarding the events following Uthman’s assassination and the nature of early political succession), this resource has aimed to state the disagreement rather than assert one contested position as uncontroversial fact.</w:t>
      </w:r>
    </w:p>
    <w:bookmarkEnd w:id="124"/>
    <w:bookmarkEnd w:id="125"/>
    <w:sectPr>
      <w:footerReference r:id="rId9"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pPr>
    <w:rPr>
      <w:rFonts w:ascii="Calibri" w:hAnsi="Calibri"/>
      <w:b w:val="0"/>
      <w:sz w:val="23"/>
    </w:rPr>
  </w:style>
  <w:style w:styleId="BodyText" w:type="paragraph">
    <w:name w:val="Body Text"/>
    <w:basedOn w:val="Normal"/>
    <w:link w:val="BodyTextChar"/>
    <w:pPr>
      <w:spacing w:after="160" w:before="180"/>
    </w:pPr>
    <w:qFormat/>
    <w:rPr>
      <w:rFonts w:ascii="Calibri" w:hAnsi="Calibri"/>
      <w:sz w:val="23"/>
    </w:rPr>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36"/>
    </w:pPr>
    <w:rPr>
      <w:rFonts w:ascii="Calibri" w:hAnsi="Calibri"/>
      <w:sz w:val="23"/>
    </w:rPr>
  </w:style>
  <w:style w:styleId="Title" w:type="paragraph">
    <w:name w:val="Title"/>
    <w:basedOn w:val="Normal"/>
    <w:next w:val="BodyText"/>
    <w:qFormat/>
    <w:pPr>
      <w:keepNext/>
      <w:keepLines/>
      <w:spacing w:after="120" w:before="480"/>
      <w:jc w:val="center"/>
    </w:pPr>
    <w:rPr>
      <w:rFonts w:ascii="Calibri" w:asciiTheme="majorHAnsi" w:cstheme="majorBidi" w:eastAsiaTheme="majorEastAsia" w:hAnsi="Calibri" w:hAnsiTheme="majorHAnsi"/>
      <w:b/>
      <w:bCs/>
      <w:color w:val="1B2A4A"/>
      <w:sz w:val="52"/>
      <w:szCs w:val="36"/>
    </w:rPr>
  </w:style>
  <w:style w:styleId="Subtitle" w:type="paragraph">
    <w:name w:val="Subtitle"/>
    <w:basedOn w:val="Title"/>
    <w:next w:val="BodyText"/>
    <w:qFormat/>
    <w:pPr>
      <w:keepNext/>
      <w:keepLines/>
      <w:spacing w:after="360" w:before="240"/>
      <w:jc w:val="center"/>
    </w:pPr>
    <w:rPr>
      <w:rFonts w:ascii="Calibri" w:hAnsi="Calibri"/>
      <w:b w:val="0"/>
      <w:color w:val="55555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pPr>
    <w:rPr>
      <w:rFonts w:ascii="Calibri" w:hAnsi="Calibri"/>
      <w:sz w:val="22"/>
    </w:rPr>
  </w:style>
  <w:style w:styleId="Heading1" w:type="paragraph">
    <w:name w:val="Heading 1"/>
    <w:basedOn w:val="Normal"/>
    <w:next w:val="BodyText"/>
    <w:uiPriority w:val="9"/>
    <w:qFormat/>
    <w:pPr>
      <w:keepNext/>
      <w:keepLines/>
      <w:spacing w:after="200" w:before="480"/>
      <w:outlineLvl w:val="0"/>
    </w:pPr>
    <w:rPr>
      <w:rFonts w:ascii="Calibri" w:asciiTheme="majorHAnsi" w:cstheme="majorBidi" w:eastAsiaTheme="majorEastAsia" w:hAnsi="Calibri" w:hAnsiTheme="majorHAnsi"/>
      <w:b/>
      <w:bCs/>
      <w:color w:val="1B2A4A"/>
      <w:sz w:val="40"/>
      <w:szCs w:val="32"/>
    </w:rPr>
  </w:style>
  <w:style w:styleId="Heading2" w:type="paragraph">
    <w:name w:val="Heading 2"/>
    <w:basedOn w:val="Normal"/>
    <w:next w:val="BodyText"/>
    <w:uiPriority w:val="9"/>
    <w:unhideWhenUsed/>
    <w:qFormat/>
    <w:pPr>
      <w:keepNext/>
      <w:keepLines/>
      <w:spacing w:after="160" w:before="320"/>
      <w:outlineLvl w:val="1"/>
    </w:pPr>
    <w:rPr>
      <w:rFonts w:ascii="Calibri" w:asciiTheme="majorHAnsi" w:cstheme="majorBidi" w:eastAsiaTheme="majorEastAsia" w:hAnsi="Calibri" w:hAnsiTheme="majorHAnsi"/>
      <w:b/>
      <w:bCs/>
      <w:color w:val="2B446B"/>
      <w:sz w:val="30"/>
      <w:szCs w:val="28"/>
    </w:rPr>
  </w:style>
  <w:style w:styleId="Heading3" w:type="paragraph">
    <w:name w:val="Heading 3"/>
    <w:basedOn w:val="Normal"/>
    <w:next w:val="BodyText"/>
    <w:uiPriority w:val="9"/>
    <w:unhideWhenUsed/>
    <w:qFormat/>
    <w:pPr>
      <w:keepNext/>
      <w:keepLines/>
      <w:spacing w:after="120" w:before="240"/>
      <w:outlineLvl w:val="2"/>
    </w:pPr>
    <w:rPr>
      <w:rFonts w:ascii="Calibri" w:asciiTheme="majorHAnsi" w:cstheme="majorBidi" w:eastAsiaTheme="majorEastAsia" w:hAnsi="Calibri" w:hAnsiTheme="majorHAnsi"/>
      <w:b/>
      <w:bCs/>
      <w:color w:val="3D5A80"/>
      <w:sz w:val="25"/>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theme="majorBidi" w:eastAsiaTheme="majorEastAsia" w:hAnsi="Calibri" w:hAnsiTheme="majorHAnsi"/>
      <w:i/>
      <w:b/>
      <w:bCs/>
      <w:color w:val="3D5A80"/>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Calibri" w:hAnsi="Calibri"/>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Islamic History &amp; Culture</dc:title>
  <dc:creator/>
  <cp:keywords/>
  <dcterms:created xsi:type="dcterms:W3CDTF">2026-09-18T17:55:13Z</dcterms:created>
  <dcterms:modified xsi:type="dcterms:W3CDTF">2026-09-18T17:55:13Z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Expanded Master Study Resource — FPSC Group IV Optional Subject (Code 27, 100 Marks)</vt:lpwstr>
  </property>
</Properties>
</file>