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 Planning and Urban Management - Expanded Master Study Resource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town-planning-urban-management"/>
    <w:p>
      <w:pPr>
        <w:pStyle w:val="Heading1"/>
      </w:pPr>
      <w:r>
        <w:rPr>
          <w:rStyle w:val="SectionNumber"/>
        </w:rPr>
        <w:t xml:space="preserve">1</w:t>
      </w:r>
      <w:r>
        <w:tab/>
      </w:r>
      <w:r>
        <w:t xml:space="preserve">Town Planning &amp; Urban Management</w:t>
      </w:r>
    </w:p>
    <w:p>
      <w:pPr>
        <w:pStyle w:val="FirstParagraph"/>
      </w:pPr>
      <w:r>
        <w:rPr>
          <w:iCs/>
          <w:i/>
        </w:rPr>
        <w:t xml:space="preserve">CSS/PMS Group III Optional Subject — Code 25, 100 marks</w:t>
      </w:r>
    </w:p>
    <w:bookmarkStart w:id="20" w:name="introduction-to-the-subject"/>
    <w:p>
      <w:pPr>
        <w:pStyle w:val="Heading2"/>
      </w:pPr>
      <w:r>
        <w:rPr>
          <w:rStyle w:val="SectionNumber"/>
        </w:rPr>
        <w:t xml:space="preserve">1.1</w:t>
      </w:r>
      <w:r>
        <w:tab/>
      </w:r>
      <w:r>
        <w:t xml:space="preserve">Introduction to the Subject</w:t>
      </w:r>
    </w:p>
    <w:p>
      <w:pPr>
        <w:pStyle w:val="FirstParagraph"/>
      </w:pPr>
      <w:r>
        <w:t xml:space="preserve">Town Planning &amp; Urban Management studies how settlements grow, how land and infrastructure are organized, how cities are governed, and how urban development can remain both socially fair and environmentally sustainable. The paper deliberately mixes planning history, the study of urbanization itself, Pakistan-specific planning institutions, urban policy and design, sustainability, and basic spatial-information tools (GIS) — reflecting town planning’s genuinely multidisciplinary character, developed explicitly as the subject’s own first topic.</w:t>
      </w:r>
    </w:p>
    <w:p>
      <w:pPr>
        <w:pStyle w:val="BodyText"/>
      </w:pPr>
      <w:r>
        <w:rPr>
          <w:bCs/>
          <w:b/>
        </w:rPr>
        <w:t xml:space="preserve">Foundational reading:</w:t>
      </w:r>
      <w:r>
        <w:t xml:space="preserve"> </w:t>
      </w:r>
      <w:r>
        <w:t xml:space="preserve">Clara Greed’s</w:t>
      </w:r>
      <w:r>
        <w:t xml:space="preserve"> </w:t>
      </w:r>
      <w:r>
        <w:rPr>
          <w:iCs/>
          <w:i/>
        </w:rPr>
        <w:t xml:space="preserve">Introducing Town Planning</w:t>
      </w:r>
      <w:r>
        <w:t xml:space="preserve">, John Ratcliffe’s</w:t>
      </w:r>
      <w:r>
        <w:t xml:space="preserve"> </w:t>
      </w:r>
      <w:r>
        <w:rPr>
          <w:iCs/>
          <w:i/>
        </w:rPr>
        <w:t xml:space="preserve">Introduction to Town and Country Planning</w:t>
      </w:r>
      <w:r>
        <w:t xml:space="preserve">, J. M. Levy’s</w:t>
      </w:r>
      <w:r>
        <w:t xml:space="preserve"> </w:t>
      </w:r>
      <w:r>
        <w:rPr>
          <w:iCs/>
          <w:i/>
        </w:rPr>
        <w:t xml:space="preserve">Contemporary Urban Planning</w:t>
      </w:r>
      <w:r>
        <w:t xml:space="preserve">, J. B. Cullingworth and Vincent Nadin’s</w:t>
      </w:r>
      <w:r>
        <w:t xml:space="preserve"> </w:t>
      </w:r>
      <w:r>
        <w:rPr>
          <w:iCs/>
          <w:i/>
        </w:rPr>
        <w:t xml:space="preserve">Town and Country Planning in the UK</w:t>
      </w:r>
      <w:r>
        <w:t xml:space="preserve">, and Anthony Townsend’s</w:t>
      </w:r>
      <w:r>
        <w:t xml:space="preserve"> </w:t>
      </w:r>
      <w:r>
        <w:rPr>
          <w:iCs/>
          <w:i/>
        </w:rPr>
        <w:t xml:space="preserve">Smart Cities</w:t>
      </w:r>
      <w:r>
        <w:t xml:space="preserve"> </w:t>
      </w:r>
      <w:r>
        <w:t xml:space="preserve">are the standard reference works behind this syllabus.</w:t>
      </w:r>
    </w:p>
    <w:p>
      <w:r>
        <w:pict>
          <v:rect style="width:0;height:1.5pt" o:hralign="center" o:hrstd="t" o:hr="t"/>
        </w:pict>
      </w:r>
    </w:p>
    <w:bookmarkEnd w:id="20"/>
    <w:bookmarkEnd w:id="21"/>
    <w:bookmarkStart w:id="27" w:name="X1e20e97356b512a5b07672aad0a9730633b6aab"/>
    <w:p>
      <w:pPr>
        <w:pStyle w:val="Heading1"/>
      </w:pPr>
      <w:r>
        <w:rPr>
          <w:rStyle w:val="SectionNumber"/>
        </w:rPr>
        <w:t xml:space="preserve">2</w:t>
      </w:r>
      <w:r>
        <w:tab/>
      </w:r>
      <w:r>
        <w:t xml:space="preserve">I. Definition, Goals, and Objectives of Town Planning</w:t>
      </w:r>
    </w:p>
    <w:bookmarkStart w:id="22" w:name="what-this-unit-is-about"/>
    <w:p>
      <w:pPr>
        <w:pStyle w:val="Heading2"/>
      </w:pPr>
      <w:r>
        <w:rPr>
          <w:rStyle w:val="SectionNumber"/>
        </w:rPr>
        <w:t xml:space="preserve">2.1</w:t>
      </w:r>
      <w:r>
        <w:tab/>
      </w:r>
      <w:r>
        <w:t xml:space="preserve">What This Unit Is About</w:t>
      </w:r>
    </w:p>
    <w:p>
      <w:pPr>
        <w:pStyle w:val="FirstParagraph"/>
      </w:pPr>
      <w:r>
        <w:t xml:space="preserve">This opening unit defines town planning, sets out its common goals, and establishes its genuinely multidisciplinary character — the framework every later unit in this subject builds on.</w:t>
      </w:r>
    </w:p>
    <w:bookmarkEnd w:id="22"/>
    <w:bookmarkStart w:id="23" w:name="definition-of-town-planning"/>
    <w:p>
      <w:pPr>
        <w:pStyle w:val="Heading2"/>
      </w:pPr>
      <w:r>
        <w:rPr>
          <w:rStyle w:val="SectionNumber"/>
        </w:rPr>
        <w:t xml:space="preserve">2.2</w:t>
      </w:r>
      <w:r>
        <w:tab/>
      </w:r>
      <w:r>
        <w:t xml:space="preserve">Definition of Town Planning</w:t>
      </w:r>
    </w:p>
    <w:p>
      <w:pPr>
        <w:pStyle w:val="FirstParagraph"/>
      </w:pPr>
      <w:r>
        <w:t xml:space="preserve">Town planning guides the use and development of land and the arrangement of activities, infrastructure, and public spaces within settlements, organizing land use, movement, infrastructure, facilities, housing, public space, and environmental protection</w:t>
      </w:r>
      <w:r>
        <w:t xml:space="preserve"> </w:t>
      </w:r>
      <w:r>
        <w:rPr>
          <w:bCs/>
          <w:b/>
        </w:rPr>
        <w:t xml:space="preserve">over time</w:t>
      </w:r>
      <w:r>
        <w:t xml:space="preserve"> </w:t>
      </w:r>
      <w:r>
        <w:t xml:space="preserve">— planning is inherently forward-looking, not a one-time arrangement. Because formal definitions vary across different legal systems and jurisdictions, it is worth distinguishing the</w:t>
      </w:r>
      <w:r>
        <w:t xml:space="preserve"> </w:t>
      </w:r>
      <w:r>
        <w:rPr>
          <w:bCs/>
          <w:b/>
        </w:rPr>
        <w:t xml:space="preserve">general conceptual definition</w:t>
      </w:r>
      <w:r>
        <w:t xml:space="preserve"> </w:t>
      </w:r>
      <w:r>
        <w:t xml:space="preserve">(used throughout this chapter) from any specific</w:t>
      </w:r>
      <w:r>
        <w:t xml:space="preserve"> </w:t>
      </w:r>
      <w:r>
        <w:rPr>
          <w:bCs/>
          <w:b/>
        </w:rPr>
        <w:t xml:space="preserve">statutory definition</w:t>
      </w:r>
      <w:r>
        <w:t xml:space="preserve"> </w:t>
      </w:r>
      <w:r>
        <w:t xml:space="preserve">that might apply in a particular jurisdiction’s planning law. Town planning operates at multiple, nested spatial scales — from a single site or neighbourhood, up through the city and metropolitan region, to the wider regional scale — and a plan made at one scale must remain consistent with, and responsive to, plans made at the scales above and below it.</w:t>
      </w:r>
    </w:p>
    <w:bookmarkEnd w:id="23"/>
    <w:bookmarkStart w:id="24" w:name="goals-and-objectives-of-planning"/>
    <w:p>
      <w:pPr>
        <w:pStyle w:val="Heading2"/>
      </w:pPr>
      <w:r>
        <w:rPr>
          <w:rStyle w:val="SectionNumber"/>
        </w:rPr>
        <w:t xml:space="preserve">2.3</w:t>
      </w:r>
      <w:r>
        <w:tab/>
      </w:r>
      <w:r>
        <w:t xml:space="preserve">Goals and Objectives of Planning</w:t>
      </w:r>
    </w:p>
    <w:p>
      <w:pPr>
        <w:pStyle w:val="FirstParagraph"/>
      </w:pPr>
      <w:r>
        <w:t xml:space="preserve">Commonly stated planning goals include orderly land use, accessibility, adequate housing and services, public health and safety, economic functionality, environmental protection, resilience, and improved overall quality of life. The syllabus’s important, frequently tested caution: these goals can genuinely</w:t>
      </w:r>
      <w:r>
        <w:t xml:space="preserve"> </w:t>
      </w:r>
      <w:r>
        <w:rPr>
          <w:bCs/>
          <w:b/>
        </w:rPr>
        <w:t xml:space="preserve">conflict</w:t>
      </w:r>
      <w:r>
        <w:t xml:space="preserve"> </w:t>
      </w:r>
      <w:r>
        <w:t xml:space="preserve">with one another (a highly accessible, dense development might reduce the availability of green space; rapid economic development might come at some environmental cost) — planning is therefore not simply the pursuit of a single goal, but a continuous</w:t>
      </w:r>
      <w:r>
        <w:t xml:space="preserve"> </w:t>
      </w:r>
      <w:r>
        <w:rPr>
          <w:bCs/>
          <w:b/>
        </w:rPr>
        <w:t xml:space="preserve">process of balancing trade-offs</w:t>
      </w:r>
      <w:r>
        <w:t xml:space="preserve"> </w:t>
      </w:r>
      <w:r>
        <w:t xml:space="preserve">among goals that a plan cannot fully maximize simultaneously.</w:t>
      </w:r>
    </w:p>
    <w:bookmarkEnd w:id="24"/>
    <w:bookmarkStart w:id="25" w:name="the-multidisciplinary-approach"/>
    <w:p>
      <w:pPr>
        <w:pStyle w:val="Heading2"/>
      </w:pPr>
      <w:r>
        <w:rPr>
          <w:rStyle w:val="SectionNumber"/>
        </w:rPr>
        <w:t xml:space="preserve">2.4</w:t>
      </w:r>
      <w:r>
        <w:tab/>
      </w:r>
      <w:r>
        <w:t xml:space="preserve">The Multidisciplinary Approach</w:t>
      </w:r>
    </w:p>
    <w:p>
      <w:pPr>
        <w:pStyle w:val="FirstParagraph"/>
      </w:pPr>
      <w:r>
        <w:t xml:space="preserve">Cities are complex social, economic, physical, and environmental systems, and planning consequently draws on knowledge from engineering, architecture, economics, sociology, geography, law, environmental science, public policy, and data analysis. The exam-relevant point worth stating explicitly:</w:t>
      </w:r>
      <w:r>
        <w:t xml:space="preserve"> </w:t>
      </w:r>
      <w:r>
        <w:rPr>
          <w:bCs/>
          <w:b/>
        </w:rPr>
        <w:t xml:space="preserve">no single profession can solve a genuine city problem alone</w:t>
      </w:r>
      <w:r>
        <w:t xml:space="preserve"> </w:t>
      </w:r>
      <w:r>
        <w:t xml:space="preserve">— a traffic congestion problem, for example, involves engineering (road capacity), economics (the cost of alternatives), sociology (travel behaviour), environmental science (emissions), and public policy (regulation and pricing) simultaneously, and a solution addressing only one of these dimensions will likely prove incomplete.</w:t>
      </w:r>
    </w:p>
    <w:bookmarkEnd w:id="25"/>
    <w:bookmarkStart w:id="26" w:name="Xb104567becf9ef9d776289f6b67c72271b9f2a3"/>
    <w:p>
      <w:pPr>
        <w:pStyle w:val="Heading2"/>
      </w:pPr>
      <w:r>
        <w:rPr>
          <w:rStyle w:val="SectionNumber"/>
        </w:rPr>
        <w:t xml:space="preserve">2.5</w:t>
      </w:r>
      <w:r>
        <w:tab/>
      </w:r>
      <w:r>
        <w:t xml:space="preserve">Town Planning’s Relationship with Other Professions</w:t>
      </w:r>
    </w:p>
    <w:p>
      <w:pPr>
        <w:pStyle w:val="FirstParagraph"/>
      </w:pPr>
      <w:r>
        <w:t xml:space="preserve">Planners specifically</w:t>
      </w:r>
      <w:r>
        <w:t xml:space="preserve"> </w:t>
      </w:r>
      <w:r>
        <w:rPr>
          <w:bCs/>
          <w:b/>
        </w:rPr>
        <w:t xml:space="preserve">coordinate</w:t>
      </w:r>
      <w:r>
        <w:t xml:space="preserve"> </w:t>
      </w:r>
      <w:r>
        <w:t xml:space="preserve">among a range of other professions, each contributing a different specialized lens:</w:t>
      </w:r>
      <w:r>
        <w:t xml:space="preserve"> </w:t>
      </w:r>
      <w:r>
        <w:rPr>
          <w:bCs/>
          <w:b/>
        </w:rPr>
        <w:t xml:space="preserve">architects</w:t>
      </w:r>
      <w:r>
        <w:t xml:space="preserve"> </w:t>
      </w:r>
      <w:r>
        <w:t xml:space="preserve">focus strongly on individual buildings and their design;</w:t>
      </w:r>
      <w:r>
        <w:t xml:space="preserve"> </w:t>
      </w:r>
      <w:r>
        <w:rPr>
          <w:bCs/>
          <w:b/>
        </w:rPr>
        <w:t xml:space="preserve">engineers</w:t>
      </w:r>
      <w:r>
        <w:t xml:space="preserve"> </w:t>
      </w:r>
      <w:r>
        <w:t xml:space="preserve">focus on infrastructure and technical systems (roads, water, drainage);</w:t>
      </w:r>
      <w:r>
        <w:t xml:space="preserve"> </w:t>
      </w:r>
      <w:r>
        <w:rPr>
          <w:bCs/>
          <w:b/>
        </w:rPr>
        <w:t xml:space="preserve">economists</w:t>
      </w:r>
      <w:r>
        <w:t xml:space="preserve"> </w:t>
      </w:r>
      <w:r>
        <w:t xml:space="preserve">focus on development costs, feasibility, and economic impact;</w:t>
      </w:r>
      <w:r>
        <w:t xml:space="preserve"> </w:t>
      </w:r>
      <w:r>
        <w:rPr>
          <w:bCs/>
          <w:b/>
        </w:rPr>
        <w:t xml:space="preserve">lawyers</w:t>
      </w:r>
      <w:r>
        <w:t xml:space="preserve"> </w:t>
      </w:r>
      <w:r>
        <w:t xml:space="preserve">focus on legal and regulatory controls;</w:t>
      </w:r>
      <w:r>
        <w:t xml:space="preserve"> </w:t>
      </w:r>
      <w:r>
        <w:rPr>
          <w:bCs/>
          <w:b/>
        </w:rPr>
        <w:t xml:space="preserve">environmental specialists</w:t>
      </w:r>
      <w:r>
        <w:t xml:space="preserve"> </w:t>
      </w:r>
      <w:r>
        <w:t xml:space="preserve">focus on ecological impacts; and</w:t>
      </w:r>
      <w:r>
        <w:t xml:space="preserve"> </w:t>
      </w:r>
      <w:r>
        <w:rPr>
          <w:bCs/>
          <w:b/>
        </w:rPr>
        <w:t xml:space="preserve">public administrators</w:t>
      </w:r>
      <w:r>
        <w:t xml:space="preserve"> </w:t>
      </w:r>
      <w:r>
        <w:t xml:space="preserve">focus on governance and implementation capacity. The planner’s distinctive professional role is precisely this</w:t>
      </w:r>
      <w:r>
        <w:t xml:space="preserve"> </w:t>
      </w:r>
      <w:r>
        <w:rPr>
          <w:bCs/>
          <w:b/>
        </w:rPr>
        <w:t xml:space="preserve">coordinating</w:t>
      </w:r>
      <w:r>
        <w:t xml:space="preserve"> </w:t>
      </w:r>
      <w:r>
        <w:t xml:space="preserve">function — integrating these specialized perspectives into a single coherent plan, rather than possessing deeper technical expertise than any of these specialists in their own specific domain.</w:t>
      </w:r>
    </w:p>
    <w:p>
      <w:pPr>
        <w:pStyle w:val="BodyText"/>
      </w:pPr>
      <w:r>
        <w:rPr>
          <w:bCs/>
          <w:b/>
        </w:rPr>
        <w:t xml:space="preserve">Key takeaways for Unit I</w:t>
      </w:r>
    </w:p>
    <w:p>
      <w:pPr>
        <w:numPr>
          <w:ilvl w:val="0"/>
          <w:numId w:val="1001"/>
        </w:numPr>
        <w:pStyle w:val="Compact"/>
      </w:pPr>
      <w:r>
        <w:t xml:space="preserve">Planning goals genuinely conflict with each other; a strong answer identifies which specific goals are in tension in a given scenario and discusses how the trade-off might be balanced, rather than listing goals as though they were all simultaneously maximizable.</w:t>
      </w:r>
    </w:p>
    <w:p>
      <w:pPr>
        <w:numPr>
          <w:ilvl w:val="0"/>
          <w:numId w:val="1001"/>
        </w:numPr>
        <w:pStyle w:val="Compact"/>
      </w:pPr>
      <w:r>
        <w:t xml:space="preserve">The planner’s distinctive role, relative to architects, engineers, economists, lawyers, environmental specialists, and administrators, is specifically</w:t>
      </w:r>
      <w:r>
        <w:t xml:space="preserve"> </w:t>
      </w:r>
      <w:r>
        <w:rPr>
          <w:bCs/>
          <w:b/>
        </w:rPr>
        <w:t xml:space="preserve">coordination and integration</w:t>
      </w:r>
      <w:r>
        <w:t xml:space="preserve"> </w:t>
      </w:r>
      <w:r>
        <w:t xml:space="preserve">across these specialties — not superior technical expertise within any one of them.</w:t>
      </w:r>
    </w:p>
    <w:p>
      <w:pPr>
        <w:numPr>
          <w:ilvl w:val="0"/>
          <w:numId w:val="1001"/>
        </w:numPr>
        <w:pStyle w:val="Compact"/>
      </w:pPr>
      <w:r>
        <w:t xml:space="preserve">Planning operates at multiple nested spatial scales (site/neighbourhood → city → metropolitan region → wider region), and consistency across these scales is itself a planning challenge.</w:t>
      </w:r>
    </w:p>
    <w:p>
      <w:r>
        <w:pict>
          <v:rect style="width:0;height:1.5pt" o:hralign="center" o:hrstd="t" o:hr="t"/>
        </w:pict>
      </w:r>
    </w:p>
    <w:bookmarkEnd w:id="26"/>
    <w:bookmarkEnd w:id="27"/>
    <w:bookmarkStart w:id="35" w:name="X1828d788e0ea818942d97b3ab3eca5b298a760a"/>
    <w:p>
      <w:pPr>
        <w:pStyle w:val="Heading1"/>
      </w:pPr>
      <w:r>
        <w:rPr>
          <w:rStyle w:val="SectionNumber"/>
        </w:rPr>
        <w:t xml:space="preserve">3</w:t>
      </w:r>
      <w:r>
        <w:tab/>
      </w:r>
      <w:r>
        <w:t xml:space="preserve">II. Historical Perspective of Urban Planning</w:t>
      </w:r>
    </w:p>
    <w:bookmarkStart w:id="28" w:name="what-this-unit-is-about-1"/>
    <w:p>
      <w:pPr>
        <w:pStyle w:val="Heading2"/>
      </w:pPr>
      <w:r>
        <w:rPr>
          <w:rStyle w:val="SectionNumber"/>
        </w:rPr>
        <w:t xml:space="preserve">3.1</w:t>
      </w:r>
      <w:r>
        <w:tab/>
      </w:r>
      <w:r>
        <w:t xml:space="preserve">What This Unit Is About</w:t>
      </w:r>
    </w:p>
    <w:p>
      <w:pPr>
        <w:pStyle w:val="FirstParagraph"/>
      </w:pPr>
      <w:r>
        <w:t xml:space="preserve">Historical settlements demonstrate that planning is not a modern invention — different civilizations organized streets, water systems, defence, markets, religious and civic spaces, and housing according to their available technologies and institutions. The syllabus’s explicit instruction for this unit: for each civilization or historical example, ask a consistent set of questions —</w:t>
      </w:r>
      <w:r>
        <w:t xml:space="preserve"> </w:t>
      </w:r>
      <w:r>
        <w:rPr>
          <w:bCs/>
          <w:b/>
        </w:rPr>
        <w:t xml:space="preserve">settlement pattern, street form, water/drainage, public buildings, land use, defence, and what specific planning lesson it illustrates</w:t>
      </w:r>
      <w:r>
        <w:t xml:space="preserve"> </w:t>
      </w:r>
      <w:r>
        <w:t xml:space="preserve">— rather than turning the unit into pure, disconnected historical memorization. Any precise archaeological claim should be grounded in established archaeological sources.</w:t>
      </w:r>
    </w:p>
    <w:bookmarkEnd w:id="28"/>
    <w:bookmarkStart w:id="29" w:name="historical-towns-in-europe"/>
    <w:p>
      <w:pPr>
        <w:pStyle w:val="Heading2"/>
      </w:pPr>
      <w:r>
        <w:rPr>
          <w:rStyle w:val="SectionNumber"/>
        </w:rPr>
        <w:t xml:space="preserve">3.2</w:t>
      </w:r>
      <w:r>
        <w:tab/>
      </w:r>
      <w:r>
        <w:t xml:space="preserve">Historical Towns in Europe</w:t>
      </w:r>
    </w:p>
    <w:p>
      <w:pPr>
        <w:pStyle w:val="FirstParagraph"/>
      </w:pPr>
      <w:r>
        <w:t xml:space="preserve">European planning history moves through several distinct forms, worth naming precisely:</w:t>
      </w:r>
      <w:r>
        <w:t xml:space="preserve"> </w:t>
      </w:r>
      <w:r>
        <w:rPr>
          <w:bCs/>
          <w:b/>
        </w:rPr>
        <w:t xml:space="preserve">Greek</w:t>
      </w:r>
      <w:r>
        <w:t xml:space="preserve"> </w:t>
      </w:r>
      <w:r>
        <w:t xml:space="preserve">planning often emphasized ordered civic space and structured street layouts in certain settlements;</w:t>
      </w:r>
      <w:r>
        <w:t xml:space="preserve"> </w:t>
      </w:r>
      <w:r>
        <w:rPr>
          <w:bCs/>
          <w:b/>
        </w:rPr>
        <w:t xml:space="preserve">Roman</w:t>
      </w:r>
      <w:r>
        <w:t xml:space="preserve"> </w:t>
      </w:r>
      <w:r>
        <w:t xml:space="preserve">planning developed extensive road networks, engineered infrastructure, and gridded colonial/military camp forms (a distinctly systematic, repeatable planning approach applied across a wide empire);</w:t>
      </w:r>
      <w:r>
        <w:t xml:space="preserve"> </w:t>
      </w:r>
      <w:r>
        <w:rPr>
          <w:bCs/>
          <w:b/>
        </w:rPr>
        <w:t xml:space="preserve">medieval</w:t>
      </w:r>
      <w:r>
        <w:t xml:space="preserve"> </w:t>
      </w:r>
      <w:r>
        <w:t xml:space="preserve">cities, by contrast, often grew more</w:t>
      </w:r>
      <w:r>
        <w:t xml:space="preserve"> </w:t>
      </w:r>
      <w:r>
        <w:rPr>
          <w:bCs/>
          <w:b/>
        </w:rPr>
        <w:t xml:space="preserve">organically</w:t>
      </w:r>
      <w:r>
        <w:t xml:space="preserve">, without the same degree of centrally imposed geometric order; and</w:t>
      </w:r>
      <w:r>
        <w:t xml:space="preserve"> </w:t>
      </w:r>
      <w:r>
        <w:rPr>
          <w:bCs/>
          <w:b/>
        </w:rPr>
        <w:t xml:space="preserve">Renaissance and later</w:t>
      </w:r>
      <w:r>
        <w:t xml:space="preserve"> </w:t>
      </w:r>
      <w:r>
        <w:t xml:space="preserve">planning reintroduced formal geometry and monumental design axes, reflecting a deliberate revival of classical planning ideals. The recommended focus, per the syllabus, is on these underlying</w:t>
      </w:r>
      <w:r>
        <w:t xml:space="preserve"> </w:t>
      </w:r>
      <w:r>
        <w:rPr>
          <w:bCs/>
          <w:b/>
        </w:rPr>
        <w:t xml:space="preserve">planning ideas and resulting urban form</w:t>
      </w:r>
      <w:r>
        <w:t xml:space="preserve">, rather than attempting to memorize an exhaustive list of individual European cities.</w:t>
      </w:r>
    </w:p>
    <w:bookmarkEnd w:id="29"/>
    <w:bookmarkStart w:id="30" w:name="the-nile-valley-region"/>
    <w:p>
      <w:pPr>
        <w:pStyle w:val="Heading2"/>
      </w:pPr>
      <w:r>
        <w:rPr>
          <w:rStyle w:val="SectionNumber"/>
        </w:rPr>
        <w:t xml:space="preserve">3.3</w:t>
      </w:r>
      <w:r>
        <w:tab/>
      </w:r>
      <w:r>
        <w:t xml:space="preserve">The Nile Valley Region</w:t>
      </w:r>
    </w:p>
    <w:p>
      <w:pPr>
        <w:pStyle w:val="FirstParagraph"/>
      </w:pPr>
      <w:r>
        <w:t xml:space="preserve">Ancient Egyptian settlement was strongly shaped by the Nile’s river geography, supporting agriculture, transport, and the growth of religious and administrative centres. The existence of</w:t>
      </w:r>
      <w:r>
        <w:t xml:space="preserve"> </w:t>
      </w:r>
      <w:r>
        <w:rPr>
          <w:bCs/>
          <w:b/>
        </w:rPr>
        <w:t xml:space="preserve">planned worker settlements</w:t>
      </w:r>
      <w:r>
        <w:t xml:space="preserve"> </w:t>
      </w:r>
      <w:r>
        <w:t xml:space="preserve">in certain documented contexts (built to house labourers for major state construction projects) demonstrates that deliberately organized, planned layouts existed alongside more organic settlement growth in this civilization — a useful point for illustrating that</w:t>
      </w:r>
      <w:r>
        <w:t xml:space="preserve"> </w:t>
      </w:r>
      <w:r>
        <w:t xml:space="preserve">“</w:t>
      </w:r>
      <w:r>
        <w:t xml:space="preserve">planned</w:t>
      </w:r>
      <w:r>
        <w:t xml:space="preserve">”</w:t>
      </w:r>
      <w:r>
        <w:t xml:space="preserve"> </w:t>
      </w:r>
      <w:r>
        <w:t xml:space="preserve">and</w:t>
      </w:r>
      <w:r>
        <w:t xml:space="preserve"> </w:t>
      </w:r>
      <w:r>
        <w:t xml:space="preserve">“</w:t>
      </w:r>
      <w:r>
        <w:t xml:space="preserve">organic</w:t>
      </w:r>
      <w:r>
        <w:t xml:space="preserve">”</w:t>
      </w:r>
      <w:r>
        <w:t xml:space="preserve"> </w:t>
      </w:r>
      <w:r>
        <w:t xml:space="preserve">settlement forms are not mutually exclusive even within a single ancient civilization.</w:t>
      </w:r>
    </w:p>
    <w:bookmarkEnd w:id="30"/>
    <w:bookmarkStart w:id="31" w:name="X3b9e8c02a1ac7f49681beabcc7b69dd20b9dd44"/>
    <w:p>
      <w:pPr>
        <w:pStyle w:val="Heading2"/>
      </w:pPr>
      <w:r>
        <w:rPr>
          <w:rStyle w:val="SectionNumber"/>
        </w:rPr>
        <w:t xml:space="preserve">3.4</w:t>
      </w:r>
      <w:r>
        <w:tab/>
      </w:r>
      <w:r>
        <w:t xml:space="preserve">The Euphrates and Tigris Valley (Mesopotamia)</w:t>
      </w:r>
    </w:p>
    <w:p>
      <w:pPr>
        <w:pStyle w:val="FirstParagraph"/>
      </w:pPr>
      <w:r>
        <w:t xml:space="preserve">Mesopotamian cities developed around river and canal systems, combined with temples, defensive walls, trade infrastructure, and administrative centres — illustrating a close, direct connection between water management capability and the resulting form of the city. Dense neighbourhood patterns alongside centralized religious and administrative structures show an early example of functional zoning driven by both practical (water access) and institutional (religious/administrative authority) factors together.</w:t>
      </w:r>
    </w:p>
    <w:bookmarkEnd w:id="31"/>
    <w:bookmarkStart w:id="32" w:name="X030127b406a96fe28242dd55c556019a0080cab"/>
    <w:p>
      <w:pPr>
        <w:pStyle w:val="Heading2"/>
      </w:pPr>
      <w:r>
        <w:rPr>
          <w:rStyle w:val="SectionNumber"/>
        </w:rPr>
        <w:t xml:space="preserve">3.5</w:t>
      </w:r>
      <w:r>
        <w:tab/>
      </w:r>
      <w:r>
        <w:t xml:space="preserve">Mohenjo-daro and Harappa (the Indus Valley Civilization)</w:t>
      </w:r>
    </w:p>
    <w:p>
      <w:pPr>
        <w:pStyle w:val="FirstParagraph"/>
      </w:pPr>
      <w:r>
        <w:t xml:space="preserve">These mature Indus Civilization cities are particularly significant for their</w:t>
      </w:r>
      <w:r>
        <w:t xml:space="preserve"> </w:t>
      </w:r>
      <w:r>
        <w:rPr>
          <w:bCs/>
          <w:b/>
        </w:rPr>
        <w:t xml:space="preserve">organized street networks</w:t>
      </w:r>
      <w:r>
        <w:t xml:space="preserve">, sophisticated</w:t>
      </w:r>
      <w:r>
        <w:t xml:space="preserve"> </w:t>
      </w:r>
      <w:r>
        <w:rPr>
          <w:bCs/>
          <w:b/>
        </w:rPr>
        <w:t xml:space="preserve">drainage systems</w:t>
      </w:r>
      <w:r>
        <w:t xml:space="preserve">,</w:t>
      </w:r>
      <w:r>
        <w:t xml:space="preserve"> </w:t>
      </w:r>
      <w:r>
        <w:rPr>
          <w:bCs/>
          <w:b/>
        </w:rPr>
        <w:t xml:space="preserve">standardized construction practices</w:t>
      </w:r>
      <w:r>
        <w:t xml:space="preserve"> </w:t>
      </w:r>
      <w:r>
        <w:t xml:space="preserve">(suggesting some form of centralized building regulation or shared building convention), and</w:t>
      </w:r>
      <w:r>
        <w:t xml:space="preserve"> </w:t>
      </w:r>
      <w:r>
        <w:rPr>
          <w:bCs/>
          <w:b/>
        </w:rPr>
        <w:t xml:space="preserve">differentiated urban areas</w:t>
      </w:r>
      <w:r>
        <w:t xml:space="preserve"> </w:t>
      </w:r>
      <w:r>
        <w:t xml:space="preserve">(distinct zones for different functions or social groups) — genuinely notable planning achievements for their era. The syllabus’s explicit methodological caution: these archaeological features should be discussed based on the actual physical evidence,</w:t>
      </w:r>
      <w:r>
        <w:t xml:space="preserve"> </w:t>
      </w:r>
      <w:r>
        <w:rPr>
          <w:bCs/>
          <w:b/>
        </w:rPr>
        <w:t xml:space="preserve">without inventing unsupported claims about the exact political institutions</w:t>
      </w:r>
      <w:r>
        <w:t xml:space="preserve"> </w:t>
      </w:r>
      <w:r>
        <w:t xml:space="preserve">that produced them, since the specific governance system of the Indus Civilization remains genuinely uncertain in current scholarship (the Indus script itself remains undeciphered).</w:t>
      </w:r>
    </w:p>
    <w:bookmarkEnd w:id="32"/>
    <w:bookmarkStart w:id="33" w:name="kot-diji-and-mehrgarh"/>
    <w:p>
      <w:pPr>
        <w:pStyle w:val="Heading2"/>
      </w:pPr>
      <w:r>
        <w:rPr>
          <w:rStyle w:val="SectionNumber"/>
        </w:rPr>
        <w:t xml:space="preserve">3.6</w:t>
      </w:r>
      <w:r>
        <w:tab/>
      </w:r>
      <w:r>
        <w:t xml:space="preserve">Kot Diji and Mehrgarh</w:t>
      </w:r>
    </w:p>
    <w:p>
      <w:pPr>
        <w:pStyle w:val="FirstParagraph"/>
      </w:pPr>
      <w:r>
        <w:t xml:space="preserve">These sites are significant for understanding the longer-term</w:t>
      </w:r>
      <w:r>
        <w:t xml:space="preserve"> </w:t>
      </w:r>
      <w:r>
        <w:rPr>
          <w:bCs/>
          <w:b/>
        </w:rPr>
        <w:t xml:space="preserve">prehistoric and early-urban development</w:t>
      </w:r>
      <w:r>
        <w:t xml:space="preserve"> </w:t>
      </w:r>
      <w:r>
        <w:t xml:space="preserve">trajectory of the wider South Asian region, providing an earlier developmental stage than the mature Indus cities discussed above. The syllabus’s specific caution: these sites belong to</w:t>
      </w:r>
      <w:r>
        <w:t xml:space="preserve"> </w:t>
      </w:r>
      <w:r>
        <w:rPr>
          <w:bCs/>
          <w:b/>
        </w:rPr>
        <w:t xml:space="preserve">different time periods and scales</w:t>
      </w:r>
      <w:r>
        <w:t xml:space="preserve"> </w:t>
      </w:r>
      <w:r>
        <w:t xml:space="preserve">than Mohenjo-daro and Harappa, and should not be presented as though they were identical in urban scale or form — a frequently tested point of chronological and scalar precision.</w:t>
      </w:r>
    </w:p>
    <w:bookmarkEnd w:id="33"/>
    <w:bookmarkStart w:id="34" w:name="the-gandhara-civilization"/>
    <w:p>
      <w:pPr>
        <w:pStyle w:val="Heading2"/>
      </w:pPr>
      <w:r>
        <w:rPr>
          <w:rStyle w:val="SectionNumber"/>
        </w:rPr>
        <w:t xml:space="preserve">3.7</w:t>
      </w:r>
      <w:r>
        <w:tab/>
      </w:r>
      <w:r>
        <w:t xml:space="preserve">The Gandhara Civilization</w:t>
      </w:r>
    </w:p>
    <w:p>
      <w:pPr>
        <w:pStyle w:val="FirstParagraph"/>
      </w:pPr>
      <w:r>
        <w:t xml:space="preserve">Gandharan urban and religious centres were closely connected with regional trade routes and broader cultural exchange, reflecting the region’s position along significant historical trade and cultural corridors. As throughout this unit, site-specific claims about particular Gandharan settlements should be grounded in established archaeological and museum scholarship rather than broad, unsupported generalization.</w:t>
      </w:r>
    </w:p>
    <w:p>
      <w:pPr>
        <w:pStyle w:val="BodyText"/>
      </w:pPr>
      <w:r>
        <w:rPr>
          <w:bCs/>
          <w:b/>
        </w:rPr>
        <w:t xml:space="preserve">Key takeaways for Unit II</w:t>
      </w:r>
    </w:p>
    <w:p>
      <w:pPr>
        <w:numPr>
          <w:ilvl w:val="0"/>
          <w:numId w:val="1002"/>
        </w:numPr>
        <w:pStyle w:val="Compact"/>
      </w:pPr>
      <w:r>
        <w:t xml:space="preserve">Apply the same consistent question set (settlement pattern, street form, water/drainage, public buildings, land use, defence, planning lesson) to every historical example in this unit — this consistency, more than historical detail memorization, is the actual skill being tested.</w:t>
      </w:r>
    </w:p>
    <w:p>
      <w:pPr>
        <w:numPr>
          <w:ilvl w:val="0"/>
          <w:numId w:val="1002"/>
        </w:numPr>
        <w:pStyle w:val="Compact"/>
      </w:pPr>
      <w:r>
        <w:t xml:space="preserve">Kot Diji/Mehrgarh and Mohenjo-daro/Harappa represent genuinely different periods and urban scales within the same broader regional prehistory — a frequently tested chronological precision point.</w:t>
      </w:r>
    </w:p>
    <w:p>
      <w:pPr>
        <w:numPr>
          <w:ilvl w:val="0"/>
          <w:numId w:val="1002"/>
        </w:numPr>
        <w:pStyle w:val="Compact"/>
      </w:pPr>
      <w:r>
        <w:t xml:space="preserve">The Indus cities’ organized street networks and drainage are well-evidenced archaeologically; specific claims about their political institutions are not — a strong answer keeps this evidentiary distinction explicit.</w:t>
      </w:r>
    </w:p>
    <w:p>
      <w:r>
        <w:pict>
          <v:rect style="width:0;height:1.5pt" o:hralign="center" o:hrstd="t" o:hr="t"/>
        </w:pict>
      </w:r>
    </w:p>
    <w:bookmarkEnd w:id="34"/>
    <w:bookmarkEnd w:id="35"/>
    <w:bookmarkStart w:id="41" w:name="X3ad50dead216ad50c65c7354c77d9089db4b610"/>
    <w:p>
      <w:pPr>
        <w:pStyle w:val="Heading1"/>
      </w:pPr>
      <w:r>
        <w:rPr>
          <w:rStyle w:val="SectionNumber"/>
        </w:rPr>
        <w:t xml:space="preserve">4</w:t>
      </w:r>
      <w:r>
        <w:tab/>
      </w:r>
      <w:r>
        <w:t xml:space="preserve">III. Urban-Rural Differences and Hierarchy of Settlements</w:t>
      </w:r>
    </w:p>
    <w:bookmarkStart w:id="36" w:name="what-this-unit-is-about-2"/>
    <w:p>
      <w:pPr>
        <w:pStyle w:val="Heading2"/>
      </w:pPr>
      <w:r>
        <w:rPr>
          <w:rStyle w:val="SectionNumber"/>
        </w:rPr>
        <w:t xml:space="preserve">4.1</w:t>
      </w:r>
      <w:r>
        <w:tab/>
      </w:r>
      <w:r>
        <w:t xml:space="preserve">What This Unit Is About</w:t>
      </w:r>
    </w:p>
    <w:p>
      <w:pPr>
        <w:pStyle w:val="FirstParagraph"/>
      </w:pPr>
      <w:r>
        <w:t xml:space="preserve">Settlements exist along a continuum from small rural communities to large metropolitan regions, differing in density, dominant occupations, service provision, and connectivity. This unit builds the vocabulary for classifying settlements and understanding how urbanization changes their character over time.</w:t>
      </w:r>
    </w:p>
    <w:bookmarkEnd w:id="36"/>
    <w:bookmarkStart w:id="37" w:name="urban-rural-differences"/>
    <w:p>
      <w:pPr>
        <w:pStyle w:val="Heading2"/>
      </w:pPr>
      <w:r>
        <w:rPr>
          <w:rStyle w:val="SectionNumber"/>
        </w:rPr>
        <w:t xml:space="preserve">4.2</w:t>
      </w:r>
      <w:r>
        <w:tab/>
      </w:r>
      <w:r>
        <w:t xml:space="preserve">Urban-Rural Differences</w:t>
      </w:r>
    </w:p>
    <w:p>
      <w:pPr>
        <w:pStyle w:val="FirstParagraph"/>
      </w:pPr>
      <w:r>
        <w:t xml:space="preserve">Urban areas generally exhibit higher population density, a greater share of non-agricultural employment, more complex infrastructure, and more specialized services; rural areas generally exhibit lower density and stronger links to land-based (agricultural) activity. The syllabus’s important, frequently tested caution:</w:t>
      </w:r>
      <w:r>
        <w:t xml:space="preserve"> </w:t>
      </w:r>
      <w:r>
        <w:rPr>
          <w:bCs/>
          <w:b/>
        </w:rPr>
        <w:t xml:space="preserve">urban and rural are not absolute opposites but form a continuum</w:t>
      </w:r>
      <w:r>
        <w:t xml:space="preserve">, and specific classification thresholds (based on population, density, administrative status, economic activity, built form, or service access) are</w:t>
      </w:r>
      <w:r>
        <w:t xml:space="preserve"> </w:t>
      </w:r>
      <w:r>
        <w:rPr>
          <w:bCs/>
          <w:b/>
        </w:rPr>
        <w:t xml:space="preserve">context-specific statistical and legal categories that vary by country</w:t>
      </w:r>
      <w:r>
        <w:t xml:space="preserve"> </w:t>
      </w:r>
      <w:r>
        <w:t xml:space="preserve">— they should never be treated as universal, naturally occurring boundaries.</w:t>
      </w:r>
    </w:p>
    <w:bookmarkEnd w:id="37"/>
    <w:bookmarkStart w:id="38" w:name="hierarchy-of-settlements"/>
    <w:p>
      <w:pPr>
        <w:pStyle w:val="Heading2"/>
      </w:pPr>
      <w:r>
        <w:rPr>
          <w:rStyle w:val="SectionNumber"/>
        </w:rPr>
        <w:t xml:space="preserve">4.3</w:t>
      </w:r>
      <w:r>
        <w:tab/>
      </w:r>
      <w:r>
        <w:t xml:space="preserve">Hierarchy of Settlements</w:t>
      </w:r>
    </w:p>
    <w:p>
      <w:pPr>
        <w:pStyle w:val="FirstParagraph"/>
      </w:pPr>
      <w:r>
        <w:t xml:space="preserve">Settlement hierarchy ranks places by size, population, function, service provision, and their</w:t>
      </w:r>
      <w:r>
        <w:t xml:space="preserve"> </w:t>
      </w:r>
      <w:r>
        <w:rPr>
          <w:bCs/>
          <w:b/>
        </w:rPr>
        <w:t xml:space="preserve">sphere of influence</w:t>
      </w:r>
      <w:r>
        <w:t xml:space="preserve"> </w:t>
      </w:r>
      <w:r>
        <w:t xml:space="preserve">(the surrounding catchment area they serve) — moving from smaller settlements offering only basic functions up to larger centres offering more specialized, higher-order services to progressively wider catchment areas. The frequently tested point:</w:t>
      </w:r>
      <w:r>
        <w:t xml:space="preserve"> </w:t>
      </w:r>
      <w:r>
        <w:rPr>
          <w:bCs/>
          <w:b/>
        </w:rPr>
        <w:t xml:space="preserve">population size alone does not fully describe a settlement’s functional importance</w:t>
      </w:r>
      <w:r>
        <w:t xml:space="preserve"> </w:t>
      </w:r>
      <w:r>
        <w:t xml:space="preserve">— a smaller settlement offering a distinctive specialized service (a regional hospital, a major market) can hold greater functional significance within the hierarchy than its raw population figure alone would suggest.</w:t>
      </w:r>
    </w:p>
    <w:bookmarkEnd w:id="38"/>
    <w:bookmarkStart w:id="39" w:name="urbanization"/>
    <w:p>
      <w:pPr>
        <w:pStyle w:val="Heading2"/>
      </w:pPr>
      <w:r>
        <w:rPr>
          <w:rStyle w:val="SectionNumber"/>
        </w:rPr>
        <w:t xml:space="preserve">4.4</w:t>
      </w:r>
      <w:r>
        <w:tab/>
      </w:r>
      <w:r>
        <w:t xml:space="preserve">Urbanization</w:t>
      </w:r>
    </w:p>
    <w:p>
      <w:pPr>
        <w:pStyle w:val="FirstParagraph"/>
      </w:pPr>
      <w:r>
        <w:t xml:space="preserve">Urbanization is the increasing share or concentration of population in urban areas, combined with the expansion of urban economic and physical systems. The syllabus specifically names</w:t>
      </w:r>
      <w:r>
        <w:t xml:space="preserve"> </w:t>
      </w:r>
      <w:r>
        <w:rPr>
          <w:bCs/>
          <w:b/>
        </w:rPr>
        <w:t xml:space="preserve">four distinct causes</w:t>
      </w:r>
      <w:r>
        <w:t xml:space="preserve">, worth listing precisely rather than collapsing into</w:t>
      </w:r>
      <w:r>
        <w:t xml:space="preserve"> </w:t>
      </w:r>
      <w:r>
        <w:t xml:space="preserve">“</w:t>
      </w:r>
      <w:r>
        <w:t xml:space="preserve">migration</w:t>
      </w:r>
      <w:r>
        <w:t xml:space="preserve">”</w:t>
      </w:r>
      <w:r>
        <w:t xml:space="preserve"> </w:t>
      </w:r>
      <w:r>
        <w:t xml:space="preserve">alone:</w:t>
      </w:r>
      <w:r>
        <w:t xml:space="preserve"> </w:t>
      </w:r>
      <w:r>
        <w:rPr>
          <w:bCs/>
          <w:b/>
        </w:rPr>
        <w:t xml:space="preserve">natural increase</w:t>
      </w:r>
      <w:r>
        <w:t xml:space="preserve"> </w:t>
      </w:r>
      <w:r>
        <w:t xml:space="preserve">(births exceeding deaths within the existing urban population),</w:t>
      </w:r>
      <w:r>
        <w:t xml:space="preserve"> </w:t>
      </w:r>
      <w:r>
        <w:rPr>
          <w:bCs/>
          <w:b/>
        </w:rPr>
        <w:t xml:space="preserve">migration</w:t>
      </w:r>
      <w:r>
        <w:t xml:space="preserve"> </w:t>
      </w:r>
      <w:r>
        <w:t xml:space="preserve">(people moving into urban areas from elsewhere),</w:t>
      </w:r>
      <w:r>
        <w:t xml:space="preserve"> </w:t>
      </w:r>
      <w:r>
        <w:rPr>
          <w:bCs/>
          <w:b/>
        </w:rPr>
        <w:t xml:space="preserve">economic change</w:t>
      </w:r>
      <w:r>
        <w:t xml:space="preserve"> </w:t>
      </w:r>
      <w:r>
        <w:t xml:space="preserve">(shifting economic activity toward urban-based sectors), and</w:t>
      </w:r>
      <w:r>
        <w:t xml:space="preserve"> </w:t>
      </w:r>
      <w:r>
        <w:rPr>
          <w:bCs/>
          <w:b/>
        </w:rPr>
        <w:t xml:space="preserve">reclassification/expansion</w:t>
      </w:r>
      <w:r>
        <w:t xml:space="preserve"> </w:t>
      </w:r>
      <w:r>
        <w:t xml:space="preserve">(a settlement’s boundary or official classification itself changing, converting previously</w:t>
      </w:r>
      <w:r>
        <w:t xml:space="preserve"> </w:t>
      </w:r>
      <w:r>
        <w:t xml:space="preserve">“</w:t>
      </w:r>
      <w:r>
        <w:t xml:space="preserve">rural</w:t>
      </w:r>
      <w:r>
        <w:t xml:space="preserve">”</w:t>
      </w:r>
      <w:r>
        <w:t xml:space="preserve"> </w:t>
      </w:r>
      <w:r>
        <w:t xml:space="preserve">areas into</w:t>
      </w:r>
      <w:r>
        <w:t xml:space="preserve"> </w:t>
      </w:r>
      <w:r>
        <w:t xml:space="preserve">“</w:t>
      </w:r>
      <w:r>
        <w:t xml:space="preserve">urban</w:t>
      </w:r>
      <w:r>
        <w:t xml:space="preserve">”</w:t>
      </w:r>
      <w:r>
        <w:t xml:space="preserve"> </w:t>
      </w:r>
      <w:r>
        <w:t xml:space="preserve">ones without any physical relocation of people at all) — a frequently overlooked but analytically important fourth cause.</w:t>
      </w:r>
    </w:p>
    <w:bookmarkEnd w:id="39"/>
    <w:bookmarkStart w:id="40" w:name="environmental-effects-of-urbanization"/>
    <w:p>
      <w:pPr>
        <w:pStyle w:val="Heading2"/>
      </w:pPr>
      <w:r>
        <w:rPr>
          <w:rStyle w:val="SectionNumber"/>
        </w:rPr>
        <w:t xml:space="preserve">4.5</w:t>
      </w:r>
      <w:r>
        <w:tab/>
      </w:r>
      <w:r>
        <w:t xml:space="preserve">Environmental Effects of Urbanization</w:t>
      </w:r>
    </w:p>
    <w:p>
      <w:pPr>
        <w:pStyle w:val="FirstParagraph"/>
      </w:pPr>
      <w:r>
        <w:t xml:space="preserve">Poorly managed urban growth can increase air and water pollution, waste generation, traffic congestion, the</w:t>
      </w:r>
      <w:r>
        <w:t xml:space="preserve"> </w:t>
      </w:r>
      <w:r>
        <w:rPr>
          <w:bCs/>
          <w:b/>
        </w:rPr>
        <w:t xml:space="preserve">urban heat-island effect</w:t>
      </w:r>
      <w:r>
        <w:t xml:space="preserve"> </w:t>
      </w:r>
      <w:r>
        <w:t xml:space="preserve">(built-up areas retaining more heat than surrounding rural land), habitat loss, and pressure on water and land resources. The syllabus’s important balancing point, worth stating in any answer:</w:t>
      </w:r>
      <w:r>
        <w:t xml:space="preserve"> </w:t>
      </w:r>
      <w:r>
        <w:rPr>
          <w:bCs/>
          <w:b/>
        </w:rPr>
        <w:t xml:space="preserve">well-planned density and infrastructure can also improve resource efficiency and service access</w:t>
      </w:r>
      <w:r>
        <w:t xml:space="preserve"> </w:t>
      </w:r>
      <w:r>
        <w:t xml:space="preserve">— compact, well-served cities can actually reduce per-person infrastructure and travel requirements compared to more dispersed, lower-density development, meaning urbanization’s environmental impact depends substantially on</w:t>
      </w:r>
      <w:r>
        <w:t xml:space="preserve"> </w:t>
      </w:r>
      <w:r>
        <w:rPr>
          <w:bCs/>
          <w:b/>
        </w:rPr>
        <w:t xml:space="preserve">how</w:t>
      </w:r>
      <w:r>
        <w:t xml:space="preserve"> </w:t>
      </w:r>
      <w:r>
        <w:t xml:space="preserve">growth is planned and managed, not on the fact of urban growth itself.</w:t>
      </w:r>
    </w:p>
    <w:p>
      <w:pPr>
        <w:pStyle w:val="BodyText"/>
      </w:pPr>
      <w:r>
        <w:rPr>
          <w:bCs/>
          <w:b/>
        </w:rPr>
        <w:t xml:space="preserve">Key takeaways for Unit III</w:t>
      </w:r>
    </w:p>
    <w:p>
      <w:pPr>
        <w:numPr>
          <w:ilvl w:val="0"/>
          <w:numId w:val="1003"/>
        </w:numPr>
        <w:pStyle w:val="Compact"/>
      </w:pPr>
      <w:r>
        <w:t xml:space="preserve">Urban and rural classifications are context-specific statistical/legal categories, not universal natural boundaries — a strong answer states this explicitly rather than treating the urban-rural distinction as self-evident.</w:t>
      </w:r>
    </w:p>
    <w:p>
      <w:pPr>
        <w:numPr>
          <w:ilvl w:val="0"/>
          <w:numId w:val="1003"/>
        </w:numPr>
        <w:pStyle w:val="Compact"/>
      </w:pPr>
      <w:r>
        <w:t xml:space="preserve">Settlement hierarchy is ranked by function and sphere of influence, not by population size alone.</w:t>
      </w:r>
    </w:p>
    <w:p>
      <w:pPr>
        <w:numPr>
          <w:ilvl w:val="0"/>
          <w:numId w:val="1003"/>
        </w:numPr>
        <w:pStyle w:val="Compact"/>
      </w:pPr>
      <w:r>
        <w:t xml:space="preserve">Urbanization has four distinct causes (natural increase, migration, economic change, reclassification) — and its environmental impact depends on planning quality, not on the fact of growth itself; density can either worsen or improve environmental outcomes depending on how it is managed.</w:t>
      </w:r>
    </w:p>
    <w:p>
      <w:r>
        <w:pict>
          <v:rect style="width:0;height:1.5pt" o:hralign="center" o:hrstd="t" o:hr="t"/>
        </w:pict>
      </w:r>
    </w:p>
    <w:bookmarkEnd w:id="40"/>
    <w:bookmarkEnd w:id="41"/>
    <w:bookmarkStart w:id="46" w:name="iv.-history-of-planning-in-pakistan"/>
    <w:p>
      <w:pPr>
        <w:pStyle w:val="Heading1"/>
      </w:pPr>
      <w:r>
        <w:rPr>
          <w:rStyle w:val="SectionNumber"/>
        </w:rPr>
        <w:t xml:space="preserve">5</w:t>
      </w:r>
      <w:r>
        <w:tab/>
      </w:r>
      <w:r>
        <w:t xml:space="preserve">IV. History of Planning in Pakistan</w:t>
      </w:r>
    </w:p>
    <w:bookmarkStart w:id="42" w:name="what-this-unit-is-about-3"/>
    <w:p>
      <w:pPr>
        <w:pStyle w:val="Heading2"/>
      </w:pPr>
      <w:r>
        <w:rPr>
          <w:rStyle w:val="SectionNumber"/>
        </w:rPr>
        <w:t xml:space="preserve">5.1</w:t>
      </w:r>
      <w:r>
        <w:tab/>
      </w:r>
      <w:r>
        <w:t xml:space="preserve">What This Unit Is About</w:t>
      </w:r>
    </w:p>
    <w:p>
      <w:pPr>
        <w:pStyle w:val="FirstParagraph"/>
      </w:pPr>
      <w:r>
        <w:t xml:space="preserve">Pakistan has used national economic plans, regional planning, and city master plans at different points to guide development, with the specific institutional approach evolving considerably over time. The recommended focus, per the syllabus, is on</w:t>
      </w:r>
      <w:r>
        <w:t xml:space="preserve"> </w:t>
      </w:r>
      <w:r>
        <w:rPr>
          <w:bCs/>
          <w:b/>
        </w:rPr>
        <w:t xml:space="preserve">what each planning scale is actually intended to coordinate</w:t>
      </w:r>
      <w:r>
        <w:t xml:space="preserve">, rather than memorizing an exhaustive chronology of specific plans — and any specific plan named in an answer should have its exact period and current official status verified against Planning Commission archives, since Pakistan’s planning system has not maintained identical five-year cycles continuously throughout its history.</w:t>
      </w:r>
    </w:p>
    <w:bookmarkEnd w:id="42"/>
    <w:bookmarkStart w:id="43" w:name="five-year-plans"/>
    <w:p>
      <w:pPr>
        <w:pStyle w:val="Heading2"/>
      </w:pPr>
      <w:r>
        <w:rPr>
          <w:rStyle w:val="SectionNumber"/>
        </w:rPr>
        <w:t xml:space="preserve">5.2</w:t>
      </w:r>
      <w:r>
        <w:tab/>
      </w:r>
      <w:r>
        <w:t xml:space="preserve">Five-Year Plans</w:t>
      </w:r>
    </w:p>
    <w:p>
      <w:pPr>
        <w:pStyle w:val="FirstParagraph"/>
      </w:pPr>
      <w:r>
        <w:t xml:space="preserve">Five-year planning has historically been used to set</w:t>
      </w:r>
      <w:r>
        <w:t xml:space="preserve"> </w:t>
      </w:r>
      <w:r>
        <w:rPr>
          <w:bCs/>
          <w:b/>
        </w:rPr>
        <w:t xml:space="preserve">medium-term national development priorities</w:t>
      </w:r>
      <w:r>
        <w:t xml:space="preserve">, sector-specific targets, and the overall direction of public investment. The important caution: their legal status, actual implementation, and continuity have varied considerably by period — a Five-Year Plan is a</w:t>
      </w:r>
      <w:r>
        <w:t xml:space="preserve"> </w:t>
      </w:r>
      <w:r>
        <w:rPr>
          <w:bCs/>
          <w:b/>
        </w:rPr>
        <w:t xml:space="preserve">national-level</w:t>
      </w:r>
      <w:r>
        <w:t xml:space="preserve"> </w:t>
      </w:r>
      <w:r>
        <w:t xml:space="preserve">planning instrument, coordinating priorities across the entire country’s development sectors.</w:t>
      </w:r>
    </w:p>
    <w:bookmarkEnd w:id="43"/>
    <w:bookmarkStart w:id="44" w:name="regional-plans"/>
    <w:p>
      <w:pPr>
        <w:pStyle w:val="Heading2"/>
      </w:pPr>
      <w:r>
        <w:rPr>
          <w:rStyle w:val="SectionNumber"/>
        </w:rPr>
        <w:t xml:space="preserve">5.3</w:t>
      </w:r>
      <w:r>
        <w:tab/>
      </w:r>
      <w:r>
        <w:t xml:space="preserve">Regional Plans</w:t>
      </w:r>
    </w:p>
    <w:p>
      <w:pPr>
        <w:pStyle w:val="FirstParagraph"/>
      </w:pPr>
      <w:r>
        <w:t xml:space="preserve">Regional planning coordinates development across an area</w:t>
      </w:r>
      <w:r>
        <w:t xml:space="preserve"> </w:t>
      </w:r>
      <w:r>
        <w:rPr>
          <w:bCs/>
          <w:b/>
        </w:rPr>
        <w:t xml:space="preserve">larger than a single city</w:t>
      </w:r>
      <w:r>
        <w:t xml:space="preserve"> </w:t>
      </w:r>
      <w:r>
        <w:t xml:space="preserve">— addressing settlement systems, infrastructure, natural resources, economic functions, and environmental relationships spanning several local jurisdictions or a wider geographic area. Regional plans sit at an intermediate scale between the national Five-Year Plan and the city-level Master Plan discussed next — coordinating a specific geographic region’s settlements and resources in a way neither the national plan (too broad) nor a single city’s master plan (too narrow) can achieve alone.</w:t>
      </w:r>
    </w:p>
    <w:bookmarkEnd w:id="44"/>
    <w:bookmarkStart w:id="45" w:name="master-plans"/>
    <w:p>
      <w:pPr>
        <w:pStyle w:val="Heading2"/>
      </w:pPr>
      <w:r>
        <w:rPr>
          <w:rStyle w:val="SectionNumber"/>
        </w:rPr>
        <w:t xml:space="preserve">5.4</w:t>
      </w:r>
      <w:r>
        <w:tab/>
      </w:r>
      <w:r>
        <w:t xml:space="preserve">Master Plans</w:t>
      </w:r>
    </w:p>
    <w:p>
      <w:pPr>
        <w:pStyle w:val="FirstParagraph"/>
      </w:pPr>
      <w:r>
        <w:t xml:space="preserve">A master plan provides a</w:t>
      </w:r>
      <w:r>
        <w:t xml:space="preserve"> </w:t>
      </w:r>
      <w:r>
        <w:rPr>
          <w:bCs/>
          <w:b/>
        </w:rPr>
        <w:t xml:space="preserve">long-range spatial framework</w:t>
      </w:r>
      <w:r>
        <w:t xml:space="preserve"> </w:t>
      </w:r>
      <w:r>
        <w:t xml:space="preserve">for land use, transport, infrastructure, public facilities, and growth at the city (or similar local) level. The syllabus’s central, frequently tested point: a master plan’s actual value depends entirely on its</w:t>
      </w:r>
      <w:r>
        <w:t xml:space="preserve"> </w:t>
      </w:r>
      <w:r>
        <w:rPr>
          <w:bCs/>
          <w:b/>
        </w:rPr>
        <w:t xml:space="preserve">legal backing, realistic underlying data, secured financing, periodic revision, and genuine implementation capacity</w:t>
      </w:r>
      <w:r>
        <w:t xml:space="preserve"> </w:t>
      </w:r>
      <w:r>
        <w:t xml:space="preserve">— a master plan lacking these supporting elements remains an aspirational document rather than an effective planning instrument.</w:t>
      </w:r>
      <w:r>
        <w:t xml:space="preserve"> </w:t>
      </w:r>
      <w:r>
        <w:rPr>
          <w:bCs/>
          <w:b/>
        </w:rPr>
        <w:t xml:space="preserve">Worked illustration:</w:t>
      </w:r>
      <w:r>
        <w:t xml:space="preserve"> </w:t>
      </w:r>
      <w:r>
        <w:t xml:space="preserve">a master plan may reserve specific corridors of land for future roads or public facilities, but those reservations only matter in practice if</w:t>
      </w:r>
      <w:r>
        <w:t xml:space="preserve"> </w:t>
      </w:r>
      <w:r>
        <w:rPr>
          <w:bCs/>
          <w:b/>
        </w:rPr>
        <w:t xml:space="preserve">development control</w:t>
      </w:r>
      <w:r>
        <w:t xml:space="preserve"> </w:t>
      </w:r>
      <w:r>
        <w:t xml:space="preserve">(Unit V) actually enforces them and</w:t>
      </w:r>
      <w:r>
        <w:t xml:space="preserve"> </w:t>
      </w:r>
      <w:r>
        <w:rPr>
          <w:bCs/>
          <w:b/>
        </w:rPr>
        <w:t xml:space="preserve">public investment</w:t>
      </w:r>
      <w:r>
        <w:t xml:space="preserve"> </w:t>
      </w:r>
      <w:r>
        <w:t xml:space="preserve">actually follows the plan’s spatial framework over time — a reserved corridor with no enforcement or funding behind it will simply be built over by uncoordinated private development, rendering the master plan’s spatial framework meaningless on the ground.</w:t>
      </w:r>
    </w:p>
    <w:p>
      <w:pPr>
        <w:pStyle w:val="BodyText"/>
      </w:pPr>
      <w:r>
        <w:rPr>
          <w:bCs/>
          <w:b/>
        </w:rPr>
        <w:t xml:space="preserve">Key takeaways for Unit IV</w:t>
      </w:r>
    </w:p>
    <w:p>
      <w:pPr>
        <w:numPr>
          <w:ilvl w:val="0"/>
          <w:numId w:val="1004"/>
        </w:numPr>
        <w:pStyle w:val="Compact"/>
      </w:pPr>
      <w:r>
        <w:t xml:space="preserve">The three planning scales — Five-Year Plan (national), Regional Plan (multi-jurisdictional region), Master Plan (city/local) — are nested and distinct; identify which scale a described planning instrument operates at.</w:t>
      </w:r>
    </w:p>
    <w:p>
      <w:pPr>
        <w:numPr>
          <w:ilvl w:val="0"/>
          <w:numId w:val="1004"/>
        </w:numPr>
        <w:pStyle w:val="Compact"/>
      </w:pPr>
      <w:r>
        <w:t xml:space="preserve">A master plan’s value depends on its supporting legal, financial, and institutional infrastructure, not on the spatial framework document alone — this is the unit’s single most exam-relevant point.</w:t>
      </w:r>
    </w:p>
    <w:p>
      <w:pPr>
        <w:numPr>
          <w:ilvl w:val="0"/>
          <w:numId w:val="1004"/>
        </w:numPr>
        <w:pStyle w:val="Compact"/>
      </w:pPr>
      <w:r>
        <w:t xml:space="preserve">Any specific named plan should have its period and official status verified, since Pakistan’s planning history has not followed a single continuous or uniform institutional pattern.</w:t>
      </w:r>
    </w:p>
    <w:p>
      <w:r>
        <w:pict>
          <v:rect style="width:0;height:1.5pt" o:hralign="center" o:hrstd="t" o:hr="t"/>
        </w:pict>
      </w:r>
    </w:p>
    <w:bookmarkEnd w:id="45"/>
    <w:bookmarkEnd w:id="46"/>
    <w:bookmarkStart w:id="54" w:name="v.-managing-urbanization"/>
    <w:p>
      <w:pPr>
        <w:pStyle w:val="Heading1"/>
      </w:pPr>
      <w:r>
        <w:rPr>
          <w:rStyle w:val="SectionNumber"/>
        </w:rPr>
        <w:t xml:space="preserve">6</w:t>
      </w:r>
      <w:r>
        <w:tab/>
      </w:r>
      <w:r>
        <w:t xml:space="preserve">V. Managing Urbanization</w:t>
      </w:r>
    </w:p>
    <w:bookmarkStart w:id="47" w:name="what-this-unit-is-about-4"/>
    <w:p>
      <w:pPr>
        <w:pStyle w:val="Heading2"/>
      </w:pPr>
      <w:r>
        <w:rPr>
          <w:rStyle w:val="SectionNumber"/>
        </w:rPr>
        <w:t xml:space="preserve">6.1</w:t>
      </w:r>
      <w:r>
        <w:tab/>
      </w:r>
      <w:r>
        <w:t xml:space="preserve">What This Unit Is About</w:t>
      </w:r>
    </w:p>
    <w:p>
      <w:pPr>
        <w:pStyle w:val="FirstParagraph"/>
      </w:pPr>
      <w:r>
        <w:t xml:space="preserve">Urbanization cannot realistically be managed by attempting to stop city growth — the actual planning task is to</w:t>
      </w:r>
      <w:r>
        <w:t xml:space="preserve"> </w:t>
      </w:r>
      <w:r>
        <w:rPr>
          <w:bCs/>
          <w:b/>
        </w:rPr>
        <w:t xml:space="preserve">guide</w:t>
      </w:r>
      <w:r>
        <w:t xml:space="preserve"> </w:t>
      </w:r>
      <w:r>
        <w:t xml:space="preserve">land, housing, transport, infrastructure, and services so that growth becomes safer, more productive, and more inclusive. The syllabus’s recommended structure for every specific management tool in this unit:</w:t>
      </w:r>
      <w:r>
        <w:t xml:space="preserve"> </w:t>
      </w:r>
      <w:r>
        <w:rPr>
          <w:bCs/>
          <w:b/>
        </w:rPr>
        <w:t xml:space="preserve">objective → instrument → implementing authority → expected benefit → risk/limitation</w:t>
      </w:r>
      <w:r>
        <w:t xml:space="preserve"> </w:t>
      </w:r>
      <w:r>
        <w:t xml:space="preserve">— apply this structure consistently across all five tools below.</w:t>
      </w:r>
    </w:p>
    <w:bookmarkEnd w:id="47"/>
    <w:bookmarkStart w:id="48" w:name="how-to-manage-urbanization-the-toolkit"/>
    <w:p>
      <w:pPr>
        <w:pStyle w:val="Heading2"/>
      </w:pPr>
      <w:r>
        <w:rPr>
          <w:rStyle w:val="SectionNumber"/>
        </w:rPr>
        <w:t xml:space="preserve">6.2</w:t>
      </w:r>
      <w:r>
        <w:tab/>
      </w:r>
      <w:r>
        <w:t xml:space="preserve">How to Manage Urbanization: The Toolkit</w:t>
      </w:r>
    </w:p>
    <w:p>
      <w:pPr>
        <w:pStyle w:val="FirstParagraph"/>
      </w:pPr>
      <w:r>
        <w:t xml:space="preserve">Managing urbanization effectively requires</w:t>
      </w:r>
      <w:r>
        <w:t xml:space="preserve"> </w:t>
      </w:r>
      <w:r>
        <w:rPr>
          <w:bCs/>
          <w:b/>
        </w:rPr>
        <w:t xml:space="preserve">simultaneous</w:t>
      </w:r>
      <w:r>
        <w:t xml:space="preserve"> </w:t>
      </w:r>
      <w:r>
        <w:t xml:space="preserve">attention to a wide range of interconnected instruments: spatial planning, serviced land supply, housing policy, public transport, water and sanitation, solid-waste management, resilient infrastructure, environmental protection, municipal finance, and metropolitan-level coordination across jurisdictions. The frequently tested point: these instruments must be addressed</w:t>
      </w:r>
      <w:r>
        <w:t xml:space="preserve"> </w:t>
      </w:r>
      <w:r>
        <w:rPr>
          <w:bCs/>
          <w:b/>
        </w:rPr>
        <w:t xml:space="preserve">together</w:t>
      </w:r>
      <w:r>
        <w:t xml:space="preserve">, not sequentially or in isolation — housing policy without corresponding transport and serviced-land planning, for example, tends to produce poorly connected, under-serviced new settlements regardless of how sound the housing policy itself might be in isolation.</w:t>
      </w:r>
    </w:p>
    <w:bookmarkEnd w:id="48"/>
    <w:bookmarkStart w:id="49" w:name="best-practices-a-genuine-caution"/>
    <w:p>
      <w:pPr>
        <w:pStyle w:val="Heading2"/>
      </w:pPr>
      <w:r>
        <w:rPr>
          <w:rStyle w:val="SectionNumber"/>
        </w:rPr>
        <w:t xml:space="preserve">6.3</w:t>
      </w:r>
      <w:r>
        <w:tab/>
      </w:r>
      <w:r>
        <w:t xml:space="preserve">Best Practices: A Genuine Caution</w:t>
      </w:r>
    </w:p>
    <w:p>
      <w:pPr>
        <w:pStyle w:val="FirstParagraph"/>
      </w:pPr>
      <w:r>
        <w:t xml:space="preserve">The syllabus’s specific instruction here is a genuine methodological caution, not a simple endorsement of</w:t>
      </w:r>
      <w:r>
        <w:t xml:space="preserve"> </w:t>
      </w:r>
      <w:r>
        <w:t xml:space="preserve">“</w:t>
      </w:r>
      <w:r>
        <w:t xml:space="preserve">best practice</w:t>
      </w:r>
      <w:r>
        <w:t xml:space="preserve">”</w:t>
      </w:r>
      <w:r>
        <w:t xml:space="preserve">: a</w:t>
      </w:r>
      <w:r>
        <w:t xml:space="preserve"> </w:t>
      </w:r>
      <w:r>
        <w:t xml:space="preserve">“</w:t>
      </w:r>
      <w:r>
        <w:t xml:space="preserve">best practice</w:t>
      </w:r>
      <w:r>
        <w:t xml:space="preserve">”</w:t>
      </w:r>
      <w:r>
        <w:t xml:space="preserve"> </w:t>
      </w:r>
      <w:r>
        <w:t xml:space="preserve">is valuable</w:t>
      </w:r>
      <w:r>
        <w:t xml:space="preserve"> </w:t>
      </w:r>
      <w:r>
        <w:rPr>
          <w:bCs/>
          <w:b/>
        </w:rPr>
        <w:t xml:space="preserve">only if it can be adapted to local conditions</w:t>
      </w:r>
      <w:r>
        <w:t xml:space="preserve"> </w:t>
      </w:r>
      <w:r>
        <w:t xml:space="preserve">— legal framework, available finance, institutional capacity, geography, and social conditions — and blind copying of an approach that worked in a different context is explicitly discouraged.</w:t>
      </w:r>
      <w:r>
        <w:t xml:space="preserve"> </w:t>
      </w:r>
      <w:r>
        <w:rPr>
          <w:bCs/>
          <w:b/>
        </w:rPr>
        <w:t xml:space="preserve">Transferability should always be tested</w:t>
      </w:r>
      <w:r>
        <w:t xml:space="preserve">, echoing the same caution already made about the Kerala decentralization model in the Governance and Public Policies chapter.</w:t>
      </w:r>
    </w:p>
    <w:bookmarkEnd w:id="49"/>
    <w:bookmarkStart w:id="50" w:name="land-use-classification-policy"/>
    <w:p>
      <w:pPr>
        <w:pStyle w:val="Heading2"/>
      </w:pPr>
      <w:r>
        <w:rPr>
          <w:rStyle w:val="SectionNumber"/>
        </w:rPr>
        <w:t xml:space="preserve">6.4</w:t>
      </w:r>
      <w:r>
        <w:tab/>
      </w:r>
      <w:r>
        <w:t xml:space="preserve">Land Use Classification Policy</w:t>
      </w:r>
    </w:p>
    <w:p>
      <w:pPr>
        <w:pStyle w:val="FirstParagraph"/>
      </w:pPr>
      <w:r>
        <w:t xml:space="preserve">Land-use classification groups land by function — residential, commercial, industrial, institutional, recreational, agricultural, or mixed use — with the specific categories and their legal effect depending on the applicable local planning law.</w:t>
      </w:r>
      <w:r>
        <w:t xml:space="preserve"> </w:t>
      </w:r>
      <w:r>
        <w:rPr>
          <w:bCs/>
          <w:b/>
        </w:rPr>
        <w:t xml:space="preserve">Mixed use</w:t>
      </w:r>
      <w:r>
        <w:t xml:space="preserve"> </w:t>
      </w:r>
      <w:r>
        <w:t xml:space="preserve">can reduce travel needs and increase street-level activity and vibrancy; conversely, genuinely</w:t>
      </w:r>
      <w:r>
        <w:t xml:space="preserve"> </w:t>
      </w:r>
      <w:r>
        <w:rPr>
          <w:bCs/>
          <w:b/>
        </w:rPr>
        <w:t xml:space="preserve">incompatible</w:t>
      </w:r>
      <w:r>
        <w:t xml:space="preserve"> </w:t>
      </w:r>
      <w:r>
        <w:t xml:space="preserve">uses (a high-pollution industrial activity directly adjacent to housing) may need to be kept separated for health, safety, or nuisance reasons — the planning judgment in each specific case is whether particular adjacent uses are complementary (favouring mixing) or genuinely incompatible (favouring separation), not a blanket preference for either approach.</w:t>
      </w:r>
    </w:p>
    <w:bookmarkEnd w:id="50"/>
    <w:bookmarkStart w:id="51" w:name="building-and-development-control"/>
    <w:p>
      <w:pPr>
        <w:pStyle w:val="Heading2"/>
      </w:pPr>
      <w:r>
        <w:rPr>
          <w:rStyle w:val="SectionNumber"/>
        </w:rPr>
        <w:t xml:space="preserve">6.5</w:t>
      </w:r>
      <w:r>
        <w:tab/>
      </w:r>
      <w:r>
        <w:t xml:space="preserve">Building and Development Control</w:t>
      </w:r>
    </w:p>
    <w:p>
      <w:pPr>
        <w:pStyle w:val="FirstParagraph"/>
      </w:pPr>
      <w:r>
        <w:rPr>
          <w:bCs/>
          <w:b/>
        </w:rPr>
        <w:t xml:space="preserve">Development control</w:t>
      </w:r>
      <w:r>
        <w:t xml:space="preserve"> </w:t>
      </w:r>
      <w:r>
        <w:t xml:space="preserve">(planning permission) regulates the location and permitted use of development;</w:t>
      </w:r>
      <w:r>
        <w:t xml:space="preserve"> </w:t>
      </w:r>
      <w:r>
        <w:rPr>
          <w:bCs/>
          <w:b/>
        </w:rPr>
        <w:t xml:space="preserve">building control</w:t>
      </w:r>
      <w:r>
        <w:t xml:space="preserve"> </w:t>
      </w:r>
      <w:r>
        <w:t xml:space="preserve">focuses specifically on construction safety and technical building standards — a distinction worth stating precisely, since these are related but analytically separate regulatory functions. The syllabus’s important, frequently tested caution:</w:t>
      </w:r>
      <w:r>
        <w:t xml:space="preserve"> </w:t>
      </w:r>
      <w:r>
        <w:rPr>
          <w:bCs/>
          <w:b/>
        </w:rPr>
        <w:t xml:space="preserve">excessively rigid or poorly enforced controls can actually encourage informality</w:t>
      </w:r>
      <w:r>
        <w:t xml:space="preserve"> </w:t>
      </w:r>
      <w:r>
        <w:t xml:space="preserve">— if legal development approval is too slow, costly, or unpredictable, development simply proceeds informally outside the regulated system instead, producing exactly the unregulated, poorly serviced growth the control system was originally intended to prevent. Good development control systems are therefore</w:t>
      </w:r>
      <w:r>
        <w:t xml:space="preserve"> </w:t>
      </w:r>
      <w:r>
        <w:rPr>
          <w:bCs/>
          <w:b/>
        </w:rPr>
        <w:t xml:space="preserve">clear, genuinely enforceable, and proportionate</w:t>
      </w:r>
      <w:r>
        <w:t xml:space="preserve"> </w:t>
      </w:r>
      <w:r>
        <w:t xml:space="preserve">to the actual risk being managed.</w:t>
      </w:r>
    </w:p>
    <w:bookmarkEnd w:id="51"/>
    <w:bookmarkStart w:id="52" w:name="removal-of-encroachments"/>
    <w:p>
      <w:pPr>
        <w:pStyle w:val="Heading2"/>
      </w:pPr>
      <w:r>
        <w:rPr>
          <w:rStyle w:val="SectionNumber"/>
        </w:rPr>
        <w:t xml:space="preserve">6.6</w:t>
      </w:r>
      <w:r>
        <w:tab/>
      </w:r>
      <w:r>
        <w:t xml:space="preserve">Removal of Encroachments</w:t>
      </w:r>
    </w:p>
    <w:p>
      <w:pPr>
        <w:pStyle w:val="FirstParagraph"/>
      </w:pPr>
      <w:r>
        <w:t xml:space="preserve">Encroachments involve the unauthorized occupation or use of public or otherwise regulated space. Effective, lawful encroachment management requires accurate land ownership records, clear public-space objectives, formal legality,</w:t>
      </w:r>
      <w:r>
        <w:t xml:space="preserve"> </w:t>
      </w:r>
      <w:r>
        <w:rPr>
          <w:bCs/>
          <w:b/>
        </w:rPr>
        <w:t xml:space="preserve">due process</w:t>
      </w:r>
      <w:r>
        <w:t xml:space="preserve">, functioning enforcement capacity, and — critically, where livelihoods or housing are genuinely affected —</w:t>
      </w:r>
      <w:r>
        <w:t xml:space="preserve"> </w:t>
      </w:r>
      <w:r>
        <w:rPr>
          <w:bCs/>
          <w:b/>
        </w:rPr>
        <w:t xml:space="preserve">socially responsible planning and appropriate legal safeguards</w:t>
      </w:r>
      <w:r>
        <w:t xml:space="preserve">. This last element is a specifically flagged, important nuance: encroachment removal is not purely a technical or legal enforcement exercise when it displaces people’s homes or livelihoods — it also raises genuine social-policy considerations that a purely legalistic approach to enforcement would overlook.</w:t>
      </w:r>
    </w:p>
    <w:bookmarkEnd w:id="52"/>
    <w:bookmarkStart w:id="53" w:name="intelligent-transport-systems-its"/>
    <w:p>
      <w:pPr>
        <w:pStyle w:val="Heading2"/>
      </w:pPr>
      <w:r>
        <w:rPr>
          <w:rStyle w:val="SectionNumber"/>
        </w:rPr>
        <w:t xml:space="preserve">6.7</w:t>
      </w:r>
      <w:r>
        <w:tab/>
      </w:r>
      <w:r>
        <w:t xml:space="preserve">Intelligent Transport Systems (ITS)</w:t>
      </w:r>
    </w:p>
    <w:p>
      <w:pPr>
        <w:pStyle w:val="FirstParagraph"/>
      </w:pPr>
      <w:r>
        <w:t xml:space="preserve">ITS uses sensors, communications, data, and control technologies to improve transport operation, safety, and user information — for example, adaptive traffic-signal coordination (adjusting signal timing based on live traffic data), real-time passenger information systems (informing bus riders when the next vehicle will actually arrive), and coordinated incident management. The important, frequently tested caution:</w:t>
      </w:r>
      <w:r>
        <w:t xml:space="preserve"> </w:t>
      </w:r>
      <w:r>
        <w:rPr>
          <w:bCs/>
          <w:b/>
        </w:rPr>
        <w:t xml:space="preserve">ITS technology works best when integrated with sound underlying transport planning</w:t>
      </w:r>
      <w:r>
        <w:t xml:space="preserve"> </w:t>
      </w:r>
      <w:r>
        <w:t xml:space="preserve">— technology alone cannot substitute for a well-designed transport network or an adequately funded public transit system; ITS optimizes and improves the operation of an underlying transport system, but does not create good transport planning on its own where the underlying network design or investment itself is inadequate.</w:t>
      </w:r>
    </w:p>
    <w:p>
      <w:pPr>
        <w:pStyle w:val="BodyText"/>
      </w:pPr>
      <w:r>
        <w:rPr>
          <w:bCs/>
          <w:b/>
        </w:rPr>
        <w:t xml:space="preserve">Key takeaways for Unit V</w:t>
      </w:r>
    </w:p>
    <w:p>
      <w:pPr>
        <w:numPr>
          <w:ilvl w:val="0"/>
          <w:numId w:val="1005"/>
        </w:numPr>
        <w:pStyle w:val="Compact"/>
      </w:pPr>
      <w:r>
        <w:t xml:space="preserve">Apply the objective → instrument → implementing authority → expected benefit → risk/limitation structure consistently across all five management tools in this unit.</w:t>
      </w:r>
    </w:p>
    <w:p>
      <w:pPr>
        <w:numPr>
          <w:ilvl w:val="0"/>
          <w:numId w:val="1005"/>
        </w:numPr>
        <w:pStyle w:val="Compact"/>
      </w:pPr>
      <w:r>
        <w:t xml:space="preserve">“</w:t>
      </w:r>
      <w:r>
        <w:t xml:space="preserve">Best practice</w:t>
      </w:r>
      <w:r>
        <w:t xml:space="preserve">”</w:t>
      </w:r>
      <w:r>
        <w:t xml:space="preserve"> </w:t>
      </w:r>
      <w:r>
        <w:t xml:space="preserve">requires genuine local adaptation and tested transferability, not blind copying — echoing the comparative-governance caution from the Governance and Public Policies chapter.</w:t>
      </w:r>
    </w:p>
    <w:p>
      <w:pPr>
        <w:numPr>
          <w:ilvl w:val="0"/>
          <w:numId w:val="1005"/>
        </w:numPr>
        <w:pStyle w:val="Compact"/>
      </w:pPr>
      <w:r>
        <w:t xml:space="preserve">Development control that is too rigid or poorly enforced can push development into unregulated informality rather than preventing it — a frequently tested, counter-intuitive point about the limits of strict regulation.</w:t>
      </w:r>
    </w:p>
    <w:p>
      <w:r>
        <w:pict>
          <v:rect style="width:0;height:1.5pt" o:hralign="center" o:hrstd="t" o:hr="t"/>
        </w:pict>
      </w:r>
    </w:p>
    <w:bookmarkEnd w:id="53"/>
    <w:bookmarkEnd w:id="54"/>
    <w:bookmarkStart w:id="60" w:name="X1843b7abcfe8604d8853615618e8b1ab1507dfb"/>
    <w:p>
      <w:pPr>
        <w:pStyle w:val="Heading1"/>
      </w:pPr>
      <w:r>
        <w:rPr>
          <w:rStyle w:val="SectionNumber"/>
        </w:rPr>
        <w:t xml:space="preserve">7</w:t>
      </w:r>
      <w:r>
        <w:tab/>
      </w:r>
      <w:r>
        <w:t xml:space="preserve">VI. Housing, Community, and Economic Development</w:t>
      </w:r>
    </w:p>
    <w:bookmarkStart w:id="55" w:name="what-this-unit-is-about-5"/>
    <w:p>
      <w:pPr>
        <w:pStyle w:val="Heading2"/>
      </w:pPr>
      <w:r>
        <w:rPr>
          <w:rStyle w:val="SectionNumber"/>
        </w:rPr>
        <w:t xml:space="preserve">7.1</w:t>
      </w:r>
      <w:r>
        <w:tab/>
      </w:r>
      <w:r>
        <w:t xml:space="preserve">What This Unit Is About</w:t>
      </w:r>
    </w:p>
    <w:p>
      <w:pPr>
        <w:pStyle w:val="FirstParagraph"/>
      </w:pPr>
      <w:r>
        <w:t xml:space="preserve">Urban planning is not only about roads and buildings — housing and community development determine whether urban growth actually improves people’s real quality of life. The syllabus’s central instruction: study housing as a genuine</w:t>
      </w:r>
      <w:r>
        <w:t xml:space="preserve"> </w:t>
      </w:r>
      <w:r>
        <w:rPr>
          <w:bCs/>
          <w:b/>
        </w:rPr>
        <w:t xml:space="preserve">system</w:t>
      </w:r>
      <w:r>
        <w:t xml:space="preserve"> </w:t>
      </w:r>
      <w:r>
        <w:t xml:space="preserve">— land + finance + infrastructure + building + tenure + services + transport + livelihoods together — rather than reducing housing policy to the construction of dwelling units alone.</w:t>
      </w:r>
    </w:p>
    <w:bookmarkEnd w:id="55"/>
    <w:bookmarkStart w:id="56" w:name="equitable-development"/>
    <w:p>
      <w:pPr>
        <w:pStyle w:val="Heading2"/>
      </w:pPr>
      <w:r>
        <w:rPr>
          <w:rStyle w:val="SectionNumber"/>
        </w:rPr>
        <w:t xml:space="preserve">7.2</w:t>
      </w:r>
      <w:r>
        <w:tab/>
      </w:r>
      <w:r>
        <w:t xml:space="preserve">Equitable Development</w:t>
      </w:r>
    </w:p>
    <w:p>
      <w:pPr>
        <w:pStyle w:val="FirstParagraph"/>
      </w:pPr>
      <w:r>
        <w:t xml:space="preserve">Equitable development seeks fair access to housing, services, jobs, mobility, and healthy environments — with particular attention to groups disadvantaged by income, location, disability, gender, or insecure land tenure. The core analytical questions this concept poses:</w:t>
      </w:r>
      <w:r>
        <w:t xml:space="preserve"> </w:t>
      </w:r>
      <w:r>
        <w:rPr>
          <w:bCs/>
          <w:b/>
        </w:rPr>
        <w:t xml:space="preserve">who benefits, who bears the costs, who is displaced or excluded</w:t>
      </w:r>
      <w:r>
        <w:t xml:space="preserve">, and whether disadvantaged groups can genuinely access housing, jobs, services, and safe environments as a result of a given development.</w:t>
      </w:r>
      <w:r>
        <w:t xml:space="preserve"> </w:t>
      </w:r>
      <w:r>
        <w:rPr>
          <w:bCs/>
          <w:b/>
        </w:rPr>
        <w:t xml:space="preserve">Worked illustration:</w:t>
      </w:r>
      <w:r>
        <w:t xml:space="preserve"> </w:t>
      </w:r>
      <w:r>
        <w:t xml:space="preserve">a new transit line may increase overall accessibility for the wider city, but equitable-development analysis specifically asks whether</w:t>
      </w:r>
      <w:r>
        <w:t xml:space="preserve"> </w:t>
      </w:r>
      <w:r>
        <w:rPr>
          <w:bCs/>
          <w:b/>
        </w:rPr>
        <w:t xml:space="preserve">low-income residents already living near the new stations can actually remain in the area and afford the resulting service</w:t>
      </w:r>
      <w:r>
        <w:t xml:space="preserve"> </w:t>
      </w:r>
      <w:r>
        <w:t xml:space="preserve">— a genuine risk being that improved accessibility raises surrounding land values and rents, displacing exactly the lower-income residents who might have benefited most from the improved transit access.</w:t>
      </w:r>
    </w:p>
    <w:bookmarkEnd w:id="56"/>
    <w:bookmarkStart w:id="57" w:name="expanding-opportunities"/>
    <w:p>
      <w:pPr>
        <w:pStyle w:val="Heading2"/>
      </w:pPr>
      <w:r>
        <w:rPr>
          <w:rStyle w:val="SectionNumber"/>
        </w:rPr>
        <w:t xml:space="preserve">7.3</w:t>
      </w:r>
      <w:r>
        <w:tab/>
      </w:r>
      <w:r>
        <w:t xml:space="preserve">Expanding Opportunities</w:t>
      </w:r>
    </w:p>
    <w:p>
      <w:pPr>
        <w:pStyle w:val="FirstParagraph"/>
      </w:pPr>
      <w:r>
        <w:t xml:space="preserve">Planning can expand genuine opportunity through accessible transport, mixed land use, serviced land, education and health facilities, public space, digital access, and support for local economic activity. The relevant analytical question, applied to a specific household: does the combination of land, tenure security, finance, services, jobs, and transport make a given housing option</w:t>
      </w:r>
      <w:r>
        <w:t xml:space="preserve"> </w:t>
      </w:r>
      <w:r>
        <w:rPr>
          <w:bCs/>
          <w:b/>
        </w:rPr>
        <w:t xml:space="preserve">genuinely usable and affordable</w:t>
      </w:r>
      <w:r>
        <w:t xml:space="preserve"> </w:t>
      </w:r>
      <w:r>
        <w:t xml:space="preserve">in practice — not merely nominally available on paper.</w:t>
      </w:r>
    </w:p>
    <w:bookmarkEnd w:id="57"/>
    <w:bookmarkStart w:id="58" w:name="quality-of-life-for-disadvantaged-groups"/>
    <w:p>
      <w:pPr>
        <w:pStyle w:val="Heading2"/>
      </w:pPr>
      <w:r>
        <w:rPr>
          <w:rStyle w:val="SectionNumber"/>
        </w:rPr>
        <w:t xml:space="preserve">7.4</w:t>
      </w:r>
      <w:r>
        <w:tab/>
      </w:r>
      <w:r>
        <w:t xml:space="preserve">Quality of Life for Disadvantaged Groups</w:t>
      </w:r>
    </w:p>
    <w:p>
      <w:pPr>
        <w:pStyle w:val="FirstParagraph"/>
      </w:pPr>
      <w:r>
        <w:t xml:space="preserve">Assessment here covers affordability, safety, tenure security, access to basic services, travel time, exposure to environmental hazards, and genuine social inclusion. The syllabus’s important legal and ethical point: policies should</w:t>
      </w:r>
      <w:r>
        <w:t xml:space="preserve"> </w:t>
      </w:r>
      <w:r>
        <w:rPr>
          <w:bCs/>
          <w:b/>
        </w:rPr>
        <w:t xml:space="preserve">avoid displacement unless legally necessary</w:t>
      </w:r>
      <w:r>
        <w:t xml:space="preserve">, and where displacement does occur, should provide for rehabilitation or compensation according to applicable law and recognized social safeguards — directly connecting to the encroachment-removal caution already established in Unit V above, that enforcement affecting livelihoods or housing requires socially responsible planning, not purely technical or legal enforcement alone.</w:t>
      </w:r>
    </w:p>
    <w:bookmarkEnd w:id="58"/>
    <w:bookmarkStart w:id="59" w:name="community-development"/>
    <w:p>
      <w:pPr>
        <w:pStyle w:val="Heading2"/>
      </w:pPr>
      <w:r>
        <w:rPr>
          <w:rStyle w:val="SectionNumber"/>
        </w:rPr>
        <w:t xml:space="preserve">7.5</w:t>
      </w:r>
      <w:r>
        <w:tab/>
      </w:r>
      <w:r>
        <w:t xml:space="preserve">Community Development</w:t>
      </w:r>
    </w:p>
    <w:p>
      <w:pPr>
        <w:pStyle w:val="FirstParagraph"/>
      </w:pPr>
      <w:r>
        <w:t xml:space="preserve">Community development treats residents as active</w:t>
      </w:r>
      <w:r>
        <w:t xml:space="preserve"> </w:t>
      </w:r>
      <w:r>
        <w:rPr>
          <w:bCs/>
          <w:b/>
        </w:rPr>
        <w:t xml:space="preserve">participants with genuine local knowledge</w:t>
      </w:r>
      <w:r>
        <w:t xml:space="preserve">, rather than as passive beneficiaries of externally designed interventions — involving them directly in identifying local needs, organizing action, and improving neighbourhood conditions. As with participation generally (a theme recurring across all three chapters in this set), the syllabus’s important standard: participation is genuinely</w:t>
      </w:r>
      <w:r>
        <w:t xml:space="preserve"> </w:t>
      </w:r>
      <w:r>
        <w:rPr>
          <w:bCs/>
          <w:b/>
        </w:rPr>
        <w:t xml:space="preserve">meaningful</w:t>
      </w:r>
      <w:r>
        <w:t xml:space="preserve"> </w:t>
      </w:r>
      <w:r>
        <w:t xml:space="preserve">only when communities can actually influence resulting priorities and receive feedback on what happened to their input — participation without either of these elements risks becoming symbolic consultation rather than substantive community development.</w:t>
      </w:r>
    </w:p>
    <w:p>
      <w:pPr>
        <w:pStyle w:val="BodyText"/>
      </w:pPr>
      <w:r>
        <w:rPr>
          <w:bCs/>
          <w:b/>
        </w:rPr>
        <w:t xml:space="preserve">Key takeaways for Unit VI</w:t>
      </w:r>
    </w:p>
    <w:p>
      <w:pPr>
        <w:numPr>
          <w:ilvl w:val="0"/>
          <w:numId w:val="1006"/>
        </w:numPr>
        <w:pStyle w:val="Compact"/>
      </w:pPr>
      <w:r>
        <w:t xml:space="preserve">Housing should be understood as a system (land + finance + infrastructure + building + tenure + services + transport + livelihoods), not construction alone — a housing policy addressing only one element of this system (building dwelling units, say) without the others will likely fail to deliver genuinely usable, affordable housing.</w:t>
      </w:r>
    </w:p>
    <w:p>
      <w:pPr>
        <w:numPr>
          <w:ilvl w:val="0"/>
          <w:numId w:val="1006"/>
        </w:numPr>
        <w:pStyle w:val="Compact"/>
      </w:pPr>
      <w:r>
        <w:t xml:space="preserve">Equitable development specifically asks who benefits, who bears costs, and who risks displacement or exclusion from a given development — the transit-and-gentrification example illustrates how an apparently beneficial improvement can still create genuine equity concerns.</w:t>
      </w:r>
    </w:p>
    <w:p>
      <w:pPr>
        <w:numPr>
          <w:ilvl w:val="0"/>
          <w:numId w:val="1006"/>
        </w:numPr>
        <w:pStyle w:val="Compact"/>
      </w:pPr>
      <w:r>
        <w:t xml:space="preserve">Meaningful community participation requires both influence over priorities and feedback on outcomes — the same substantive-versus-symbolic distinction recurring throughout the companion Governance chapter.</w:t>
      </w:r>
    </w:p>
    <w:p>
      <w:r>
        <w:pict>
          <v:rect style="width:0;height:1.5pt" o:hralign="center" o:hrstd="t" o:hr="t"/>
        </w:pict>
      </w:r>
    </w:p>
    <w:bookmarkEnd w:id="59"/>
    <w:bookmarkEnd w:id="60"/>
    <w:bookmarkStart w:id="67" w:name="Xf3bf70e08f1aa9ddf15995826c8ad7ffe0085ba"/>
    <w:p>
      <w:pPr>
        <w:pStyle w:val="Heading1"/>
      </w:pPr>
      <w:r>
        <w:rPr>
          <w:rStyle w:val="SectionNumber"/>
        </w:rPr>
        <w:t xml:space="preserve">8</w:t>
      </w:r>
      <w:r>
        <w:tab/>
      </w:r>
      <w:r>
        <w:t xml:space="preserve">VII. Public Policy and Urban Design Management</w:t>
      </w:r>
    </w:p>
    <w:bookmarkStart w:id="61" w:name="what-this-unit-is-about-6"/>
    <w:p>
      <w:pPr>
        <w:pStyle w:val="Heading2"/>
      </w:pPr>
      <w:r>
        <w:rPr>
          <w:rStyle w:val="SectionNumber"/>
        </w:rPr>
        <w:t xml:space="preserve">8.1</w:t>
      </w:r>
      <w:r>
        <w:tab/>
      </w:r>
      <w:r>
        <w:t xml:space="preserve">What This Unit Is About</w:t>
      </w:r>
    </w:p>
    <w:p>
      <w:pPr>
        <w:pStyle w:val="FirstParagraph"/>
      </w:pPr>
      <w:r>
        <w:t xml:space="preserve">Urban problems require both policy choices and physical design solutions together — good urban management connects economic incentives, political institutions, social needs, and the physical design of streets, buildings, and public spaces. The syllabus’s recommended learning method: take a single concrete urban problem (traffic congestion, informal housing, air pollution, or unsafe streets) and analyse it through</w:t>
      </w:r>
      <w:r>
        <w:t xml:space="preserve"> </w:t>
      </w:r>
      <w:r>
        <w:rPr>
          <w:bCs/>
          <w:b/>
        </w:rPr>
        <w:t xml:space="preserve">all four lenses</w:t>
      </w:r>
      <w:r>
        <w:t xml:space="preserve"> </w:t>
      </w:r>
      <w:r>
        <w:t xml:space="preserve">below in turn — directly demonstrating why planning is genuinely multidisciplinary, extending the point already established in Unit I.</w:t>
      </w:r>
    </w:p>
    <w:bookmarkEnd w:id="61"/>
    <w:bookmarkStart w:id="62" w:name="the-economics-lens"/>
    <w:p>
      <w:pPr>
        <w:pStyle w:val="Heading2"/>
      </w:pPr>
      <w:r>
        <w:rPr>
          <w:rStyle w:val="SectionNumber"/>
        </w:rPr>
        <w:t xml:space="preserve">8.2</w:t>
      </w:r>
      <w:r>
        <w:tab/>
      </w:r>
      <w:r>
        <w:t xml:space="preserve">The Economics Lens</w:t>
      </w:r>
    </w:p>
    <w:p>
      <w:pPr>
        <w:pStyle w:val="FirstParagraph"/>
      </w:pPr>
      <w:r>
        <w:t xml:space="preserve">Urban economics studies land values, location choices, congestion,</w:t>
      </w:r>
      <w:r>
        <w:t xml:space="preserve"> </w:t>
      </w:r>
      <w:r>
        <w:rPr>
          <w:bCs/>
          <w:b/>
        </w:rPr>
        <w:t xml:space="preserve">externalities</w:t>
      </w:r>
      <w:r>
        <w:t xml:space="preserve"> </w:t>
      </w:r>
      <w:r>
        <w:t xml:space="preserve">(costs or benefits of an activity that fall on parties not involved in the transaction creating them — pollution from a factory affecting nearby residents, for example), infrastructure financing, and how prices, taxes, and fees alter urban behaviour (a congestion charge reducing car trips into a city centre, for example).</w:t>
      </w:r>
    </w:p>
    <w:bookmarkEnd w:id="62"/>
    <w:bookmarkStart w:id="63" w:name="the-policy-analysis-lens"/>
    <w:p>
      <w:pPr>
        <w:pStyle w:val="Heading2"/>
      </w:pPr>
      <w:r>
        <w:rPr>
          <w:rStyle w:val="SectionNumber"/>
        </w:rPr>
        <w:t xml:space="preserve">8.3</w:t>
      </w:r>
      <w:r>
        <w:tab/>
      </w:r>
      <w:r>
        <w:t xml:space="preserve">The Policy Analysis Lens</w:t>
      </w:r>
    </w:p>
    <w:p>
      <w:pPr>
        <w:pStyle w:val="FirstParagraph"/>
      </w:pPr>
      <w:r>
        <w:t xml:space="preserve">Policy analysis compares intervention alternatives — which might include regulation, direct public investment, pricing mechanisms, information campaigns, or institutional reform — using evidence and explicit criteria: effectiveness, cost, equity, feasibility, and environmental impact, directly paralleling the policy-analysis standard already fully developed in the companion Public Administration chapter’s Unit III.</w:t>
      </w:r>
    </w:p>
    <w:bookmarkEnd w:id="63"/>
    <w:bookmarkStart w:id="64" w:name="the-political-science-lens"/>
    <w:p>
      <w:pPr>
        <w:pStyle w:val="Heading2"/>
      </w:pPr>
      <w:r>
        <w:rPr>
          <w:rStyle w:val="SectionNumber"/>
        </w:rPr>
        <w:t xml:space="preserve">8.4</w:t>
      </w:r>
      <w:r>
        <w:tab/>
      </w:r>
      <w:r>
        <w:t xml:space="preserve">The Political Science Lens</w:t>
      </w:r>
    </w:p>
    <w:p>
      <w:pPr>
        <w:pStyle w:val="FirstParagraph"/>
      </w:pPr>
      <w:r>
        <w:t xml:space="preserve">Urban policy is shaped by elected political leadership, organized interest groups, the specific design of institutions, intergovernmental relations (recall Unit IV of the Public Administration chapter), and citizen participation. The frequently tested, important point:</w:t>
      </w:r>
      <w:r>
        <w:t xml:space="preserve"> </w:t>
      </w:r>
      <w:r>
        <w:rPr>
          <w:bCs/>
          <w:b/>
        </w:rPr>
        <w:t xml:space="preserve">a technically excellent plan can still fail if its political and institutional incentives are ignored</w:t>
      </w:r>
      <w:r>
        <w:t xml:space="preserve"> </w:t>
      </w:r>
      <w:r>
        <w:t xml:space="preserve">— a well-designed transport plan opposed by politically influential interests, or lacking genuine political backing to secure its funding and enforcement, will not succeed regardless of its technical merit.</w:t>
      </w:r>
    </w:p>
    <w:bookmarkEnd w:id="64"/>
    <w:bookmarkStart w:id="65" w:name="the-urban-design-lens"/>
    <w:p>
      <w:pPr>
        <w:pStyle w:val="Heading2"/>
      </w:pPr>
      <w:r>
        <w:rPr>
          <w:rStyle w:val="SectionNumber"/>
        </w:rPr>
        <w:t xml:space="preserve">8.5</w:t>
      </w:r>
      <w:r>
        <w:tab/>
      </w:r>
      <w:r>
        <w:t xml:space="preserve">The Urban Design Lens</w:t>
      </w:r>
    </w:p>
    <w:p>
      <w:pPr>
        <w:pStyle w:val="FirstParagraph"/>
      </w:pPr>
      <w:r>
        <w:t xml:space="preserve">Urban design shapes the physical relationship among streets, buildings, open spaces, city blocks, and the broader public realm, operating at a scale</w:t>
      </w:r>
      <w:r>
        <w:t xml:space="preserve"> </w:t>
      </w:r>
      <w:r>
        <w:rPr>
          <w:bCs/>
          <w:b/>
        </w:rPr>
        <w:t xml:space="preserve">between</w:t>
      </w:r>
      <w:r>
        <w:t xml:space="preserve"> </w:t>
      </w:r>
      <w:r>
        <w:t xml:space="preserve">individual architecture and broad city-wide planning. Key urban design concerns include accessibility, walkability, safety, human scale (design proportioned to how people actually experience space at street level, rather than only from an aerial or vehicular perspective), a place’s distinctive identity, and genuine integration with the surrounding transport and land-use context.</w:t>
      </w:r>
    </w:p>
    <w:bookmarkEnd w:id="65"/>
    <w:bookmarkStart w:id="66" w:name="integrated-problem-solving"/>
    <w:p>
      <w:pPr>
        <w:pStyle w:val="Heading2"/>
      </w:pPr>
      <w:r>
        <w:rPr>
          <w:rStyle w:val="SectionNumber"/>
        </w:rPr>
        <w:t xml:space="preserve">8.6</w:t>
      </w:r>
      <w:r>
        <w:tab/>
      </w:r>
      <w:r>
        <w:t xml:space="preserve">Integrated Problem Solving</w:t>
      </w:r>
    </w:p>
    <w:p>
      <w:pPr>
        <w:pStyle w:val="FirstParagraph"/>
      </w:pPr>
      <w:r>
        <w:t xml:space="preserve">A genuinely strong solution to an urban problem combines</w:t>
      </w:r>
      <w:r>
        <w:t xml:space="preserve"> </w:t>
      </w:r>
      <w:r>
        <w:rPr>
          <w:bCs/>
          <w:b/>
        </w:rPr>
        <w:t xml:space="preserve">all four lenses together</w:t>
      </w:r>
      <w:r>
        <w:t xml:space="preserve">, rather than relying on any single isolated measure.</w:t>
      </w:r>
      <w:r>
        <w:t xml:space="preserve"> </w:t>
      </w:r>
      <w:r>
        <w:rPr>
          <w:bCs/>
          <w:b/>
        </w:rPr>
        <w:t xml:space="preserve">Worked illustration:</w:t>
      </w:r>
      <w:r>
        <w:t xml:space="preserve"> </w:t>
      </w:r>
      <w:r>
        <w:t xml:space="preserve">addressing traffic congestion effectively may require street and network design changes (urban design), public transport investment (economics/infrastructure), parking and congestion pricing policy (economics/policy analysis), enforcement, and sustained political and public support (political science) — simultaneously, not as separate, independently sufficient interventions. The unit’s underlying conceptual point, worth stating explicitly:</w:t>
      </w:r>
      <w:r>
        <w:t xml:space="preserve"> </w:t>
      </w:r>
      <w:r>
        <w:rPr>
          <w:bCs/>
          <w:b/>
        </w:rPr>
        <w:t xml:space="preserve">urban problems are genuine systems problems</w:t>
      </w:r>
      <w:r>
        <w:t xml:space="preserve"> </w:t>
      </w:r>
      <w:r>
        <w:t xml:space="preserve">— a transport intervention can change land values, emissions, housing demand, and access all at once, so sound planning must check for these cross-sector effects rather than optimizing any single variable in isolation.</w:t>
      </w:r>
    </w:p>
    <w:p>
      <w:pPr>
        <w:pStyle w:val="BodyText"/>
      </w:pPr>
      <w:r>
        <w:rPr>
          <w:bCs/>
          <w:b/>
        </w:rPr>
        <w:t xml:space="preserve">Key takeaways for Unit VII</w:t>
      </w:r>
    </w:p>
    <w:p>
      <w:pPr>
        <w:numPr>
          <w:ilvl w:val="0"/>
          <w:numId w:val="1007"/>
        </w:numPr>
        <w:pStyle w:val="Compact"/>
      </w:pPr>
      <w:r>
        <w:t xml:space="preserve">The four-lens framework (economics, policy analysis, political science, urban design) should be applied together to any single urban problem — this integrated application, not memorizing each lens’s definition separately, is the actual skill this unit tests.</w:t>
      </w:r>
    </w:p>
    <w:p>
      <w:pPr>
        <w:numPr>
          <w:ilvl w:val="0"/>
          <w:numId w:val="1007"/>
        </w:numPr>
        <w:pStyle w:val="Compact"/>
      </w:pPr>
      <w:r>
        <w:t xml:space="preserve">A technically sound plan can still fail for political or institutional reasons — planning success requires attention to political feasibility, not technical merit alone.</w:t>
      </w:r>
    </w:p>
    <w:p>
      <w:pPr>
        <w:numPr>
          <w:ilvl w:val="0"/>
          <w:numId w:val="1007"/>
        </w:numPr>
        <w:pStyle w:val="Compact"/>
      </w:pPr>
      <w:r>
        <w:t xml:space="preserve">Urban problems are systems problems: an intervention addressing one dimension (transport) will typically have cross-sector effects (land values, housing demand, emissions) that sound planning must anticipate rather than ignore.</w:t>
      </w:r>
    </w:p>
    <w:p>
      <w:r>
        <w:pict>
          <v:rect style="width:0;height:1.5pt" o:hralign="center" o:hrstd="t" o:hr="t"/>
        </w:pict>
      </w:r>
    </w:p>
    <w:bookmarkEnd w:id="66"/>
    <w:bookmarkEnd w:id="67"/>
    <w:bookmarkStart w:id="74" w:name="X627f5ca6ce007dd96ddb1422bd6185660bc73ed"/>
    <w:p>
      <w:pPr>
        <w:pStyle w:val="Heading1"/>
      </w:pPr>
      <w:r>
        <w:rPr>
          <w:rStyle w:val="SectionNumber"/>
        </w:rPr>
        <w:t xml:space="preserve">9</w:t>
      </w:r>
      <w:r>
        <w:tab/>
      </w:r>
      <w:r>
        <w:t xml:space="preserve">VIII. Sustainability, Environmental Policy, and Planning</w:t>
      </w:r>
    </w:p>
    <w:bookmarkStart w:id="68" w:name="what-this-unit-is-about-7"/>
    <w:p>
      <w:pPr>
        <w:pStyle w:val="Heading2"/>
      </w:pPr>
      <w:r>
        <w:rPr>
          <w:rStyle w:val="SectionNumber"/>
        </w:rPr>
        <w:t xml:space="preserve">9.1</w:t>
      </w:r>
      <w:r>
        <w:tab/>
      </w:r>
      <w:r>
        <w:t xml:space="preserve">What This Unit Is About</w:t>
      </w:r>
    </w:p>
    <w:p>
      <w:pPr>
        <w:pStyle w:val="FirstParagraph"/>
      </w:pPr>
      <w:r>
        <w:t xml:space="preserve">Sustainable urban planning attempts to meet present development needs while protecting natural systems and preserving both safety and genuine options for future generations. The recommended organizing structure: land, water, energy, mobility, waste, air quality, ecosystems, and climate/resilience — connecting a specific planning tool to a specific environmental objective for each.</w:t>
      </w:r>
    </w:p>
    <w:bookmarkEnd w:id="68"/>
    <w:bookmarkStart w:id="69" w:name="X75c6fae0fc3fc768529db780e450135c977677e"/>
    <w:p>
      <w:pPr>
        <w:pStyle w:val="Heading2"/>
      </w:pPr>
      <w:r>
        <w:rPr>
          <w:rStyle w:val="SectionNumber"/>
        </w:rPr>
        <w:t xml:space="preserve">9.2</w:t>
      </w:r>
      <w:r>
        <w:tab/>
      </w:r>
      <w:r>
        <w:t xml:space="preserve">Conservation and Management of Natural Resources</w:t>
      </w:r>
    </w:p>
    <w:p>
      <w:pPr>
        <w:pStyle w:val="FirstParagraph"/>
      </w:pPr>
      <w:r>
        <w:t xml:space="preserve">Urban planning can protect water bodies, groundwater recharge areas, floodplains, ecosystems, and agricultural land through land-use controls, deliberate infrastructure design choices, and demand management (measures reducing resource consumption rather than only expanding supply).</w:t>
      </w:r>
    </w:p>
    <w:bookmarkEnd w:id="69"/>
    <w:bookmarkStart w:id="70" w:name="promoting-development-sustainably"/>
    <w:p>
      <w:pPr>
        <w:pStyle w:val="Heading2"/>
      </w:pPr>
      <w:r>
        <w:rPr>
          <w:rStyle w:val="SectionNumber"/>
        </w:rPr>
        <w:t xml:space="preserve">9.3</w:t>
      </w:r>
      <w:r>
        <w:tab/>
      </w:r>
      <w:r>
        <w:t xml:space="preserve">Promoting Development (Sustainably)</w:t>
      </w:r>
    </w:p>
    <w:p>
      <w:pPr>
        <w:pStyle w:val="FirstParagraph"/>
      </w:pPr>
      <w:r>
        <w:t xml:space="preserve">The syllabus’s central clarifying point, worth stating explicitly in any answer on this topic:</w:t>
      </w:r>
      <w:r>
        <w:t xml:space="preserve"> </w:t>
      </w:r>
      <w:r>
        <w:rPr>
          <w:bCs/>
          <w:b/>
        </w:rPr>
        <w:t xml:space="preserve">sustainability does not mean stopping development</w:t>
      </w:r>
      <w:r>
        <w:t xml:space="preserve"> </w:t>
      </w:r>
      <w:r>
        <w:t xml:space="preserve">— it means guiding growth so that its economic and social benefits are achieved</w:t>
      </w:r>
      <w:r>
        <w:t xml:space="preserve"> </w:t>
      </w:r>
      <w:r>
        <w:rPr>
          <w:bCs/>
          <w:b/>
        </w:rPr>
        <w:t xml:space="preserve">without unacceptable long-term environmental costs</w:t>
      </w:r>
      <w:r>
        <w:t xml:space="preserve">. Sustainability and development are not presented here as opposing goals but as a genuine balance that planning must actively achieve.</w:t>
      </w:r>
    </w:p>
    <w:bookmarkEnd w:id="70"/>
    <w:bookmarkStart w:id="71" w:name="a-healthy-environment"/>
    <w:p>
      <w:pPr>
        <w:pStyle w:val="Heading2"/>
      </w:pPr>
      <w:r>
        <w:rPr>
          <w:rStyle w:val="SectionNumber"/>
        </w:rPr>
        <w:t xml:space="preserve">9.4</w:t>
      </w:r>
      <w:r>
        <w:tab/>
      </w:r>
      <w:r>
        <w:t xml:space="preserve">A Healthy Environment</w:t>
      </w:r>
    </w:p>
    <w:p>
      <w:pPr>
        <w:pStyle w:val="FirstParagraph"/>
      </w:pPr>
      <w:r>
        <w:t xml:space="preserve">Urban public health is influenced by air quality, water and sanitation, waste management, noise, urban heat, green space availability, road safety, and exposure to various hazards. Planning can reduce harmful exposure to each of these through deliberate design choices and regulation — connecting environmental planning directly to public health outcomes, rather than treating them as separate policy domains.</w:t>
      </w:r>
    </w:p>
    <w:bookmarkEnd w:id="71"/>
    <w:bookmarkStart w:id="72" w:name="sustainable-land-use"/>
    <w:p>
      <w:pPr>
        <w:pStyle w:val="Heading2"/>
      </w:pPr>
      <w:r>
        <w:rPr>
          <w:rStyle w:val="SectionNumber"/>
        </w:rPr>
        <w:t xml:space="preserve">9.5</w:t>
      </w:r>
      <w:r>
        <w:tab/>
      </w:r>
      <w:r>
        <w:t xml:space="preserve">Sustainable Land Use</w:t>
      </w:r>
    </w:p>
    <w:p>
      <w:pPr>
        <w:pStyle w:val="FirstParagraph"/>
      </w:pPr>
      <w:r>
        <w:t xml:space="preserve">Compact, connected, and mixed-use development (recall the land-use classification discussion in Unit V) can reduce travel needs and infrastructure costs —</w:t>
      </w:r>
      <w:r>
        <w:t xml:space="preserve"> </w:t>
      </w:r>
      <w:r>
        <w:rPr>
          <w:bCs/>
          <w:b/>
        </w:rPr>
        <w:t xml:space="preserve">but only when supported by adequate underlying services</w:t>
      </w:r>
      <w:r>
        <w:t xml:space="preserve">. The important, frequently tested caution:</w:t>
      </w:r>
      <w:r>
        <w:t xml:space="preserve"> </w:t>
      </w:r>
      <w:r>
        <w:rPr>
          <w:bCs/>
          <w:b/>
        </w:rPr>
        <w:t xml:space="preserve">density must be matched with corresponding open space, mobility capacity, and infrastructure capacity</w:t>
      </w:r>
      <w:r>
        <w:t xml:space="preserve"> </w:t>
      </w:r>
      <w:r>
        <w:t xml:space="preserve">— density pursued without these supporting elements can produce overcrowding and service strain rather than the intended sustainability benefits, meaning</w:t>
      </w:r>
      <w:r>
        <w:t xml:space="preserve"> </w:t>
      </w:r>
      <w:r>
        <w:t xml:space="preserve">“</w:t>
      </w:r>
      <w:r>
        <w:t xml:space="preserve">compact and sustainable</w:t>
      </w:r>
      <w:r>
        <w:t xml:space="preserve">”</w:t>
      </w:r>
      <w:r>
        <w:t xml:space="preserve"> </w:t>
      </w:r>
      <w:r>
        <w:t xml:space="preserve">requires the whole supporting system, not density in isolation.</w:t>
      </w:r>
    </w:p>
    <w:bookmarkEnd w:id="72"/>
    <w:bookmarkStart w:id="73" w:name="resilience"/>
    <w:p>
      <w:pPr>
        <w:pStyle w:val="Heading2"/>
      </w:pPr>
      <w:r>
        <w:rPr>
          <w:rStyle w:val="SectionNumber"/>
        </w:rPr>
        <w:t xml:space="preserve">9.6</w:t>
      </w:r>
      <w:r>
        <w:tab/>
      </w:r>
      <w:r>
        <w:t xml:space="preserve">Resilience</w:t>
      </w:r>
    </w:p>
    <w:p>
      <w:pPr>
        <w:pStyle w:val="FirstParagraph"/>
      </w:pPr>
      <w:r>
        <w:rPr>
          <w:bCs/>
          <w:b/>
        </w:rPr>
        <w:t xml:space="preserve">Urban resilience</w:t>
      </w:r>
      <w:r>
        <w:t xml:space="preserve"> </w:t>
      </w:r>
      <w:r>
        <w:t xml:space="preserve">is the capacity of urban systems to</w:t>
      </w:r>
      <w:r>
        <w:t xml:space="preserve"> </w:t>
      </w:r>
      <w:r>
        <w:rPr>
          <w:bCs/>
          <w:b/>
        </w:rPr>
        <w:t xml:space="preserve">anticipate, absorb, adapt to, and recover from</w:t>
      </w:r>
      <w:r>
        <w:t xml:space="preserve"> </w:t>
      </w:r>
      <w:r>
        <w:t xml:space="preserve">shocks — floods, heatwaves, earthquakes, or infrastructure/service failures. It is strengthened through risk-sensitive land-use planning (avoiding building in known hazard-prone areas), robust building standards, deliberate infrastructure</w:t>
      </w:r>
      <w:r>
        <w:t xml:space="preserve"> </w:t>
      </w:r>
      <w:r>
        <w:rPr>
          <w:bCs/>
          <w:b/>
        </w:rPr>
        <w:t xml:space="preserve">redundancy</w:t>
      </w:r>
      <w:r>
        <w:t xml:space="preserve"> </w:t>
      </w:r>
      <w:r>
        <w:t xml:space="preserve">(backup capacity so a single failure does not cascade into total system failure), emergency planning, and ongoing institutional learning from past events.</w:t>
      </w:r>
      <w:r>
        <w:t xml:space="preserve"> </w:t>
      </w:r>
      <w:r>
        <w:rPr>
          <w:bCs/>
          <w:b/>
        </w:rPr>
        <w:t xml:space="preserve">Worked illustration:</w:t>
      </w:r>
      <w:r>
        <w:t xml:space="preserve"> </w:t>
      </w:r>
      <w:r>
        <w:t xml:space="preserve">a genuinely flood-resilient city does more than build a single physical flood barrier — it also protects natural drainage paths from obstruction, controls risky construction in flood-prone zones, plans evacuation routes and procedures in advance, protects critical services (hospitals, water treatment) specifically against flood disruption, and prepares institutional capacity for post-flood recovery — resilience is a</w:t>
      </w:r>
      <w:r>
        <w:t xml:space="preserve"> </w:t>
      </w:r>
      <w:r>
        <w:rPr>
          <w:bCs/>
          <w:b/>
        </w:rPr>
        <w:t xml:space="preserve">system property</w:t>
      </w:r>
      <w:r>
        <w:t xml:space="preserve"> </w:t>
      </w:r>
      <w:r>
        <w:t xml:space="preserve">achieved through multiple complementary measures, not a single infrastructure project.</w:t>
      </w:r>
    </w:p>
    <w:p>
      <w:pPr>
        <w:pStyle w:val="BodyText"/>
      </w:pPr>
      <w:r>
        <w:rPr>
          <w:bCs/>
          <w:b/>
        </w:rPr>
        <w:t xml:space="preserve">Key takeaways for Unit VIII</w:t>
      </w:r>
    </w:p>
    <w:p>
      <w:pPr>
        <w:numPr>
          <w:ilvl w:val="0"/>
          <w:numId w:val="1008"/>
        </w:numPr>
        <w:pStyle w:val="Compact"/>
      </w:pPr>
      <w:r>
        <w:t xml:space="preserve">Sustainability means guiding growth to avoid unacceptable long-term environmental cost, not halting development — this reframing is the unit’s single most important point.</w:t>
      </w:r>
    </w:p>
    <w:p>
      <w:pPr>
        <w:numPr>
          <w:ilvl w:val="0"/>
          <w:numId w:val="1008"/>
        </w:numPr>
        <w:pStyle w:val="Compact"/>
      </w:pPr>
      <w:r>
        <w:t xml:space="preserve">Sustainable land use (compact, connected, mixed-use) delivers its benefits only when matched with adequate supporting infrastructure, open space, and mobility capacity — density alone, without this support, does not guarantee sustainability.</w:t>
      </w:r>
    </w:p>
    <w:p>
      <w:pPr>
        <w:numPr>
          <w:ilvl w:val="0"/>
          <w:numId w:val="1008"/>
        </w:numPr>
        <w:pStyle w:val="Compact"/>
      </w:pPr>
      <w:r>
        <w:t xml:space="preserve">Resilience specifically comprises four distinct capacities — anticipation, absorption, adaptation, recovery — achieved through multiple complementary measures together, illustrated by the flood-resilience example’s multiple simultaneous interventions.</w:t>
      </w:r>
    </w:p>
    <w:p>
      <w:r>
        <w:pict>
          <v:rect style="width:0;height:1.5pt" o:hralign="center" o:hrstd="t" o:hr="t"/>
        </w:pict>
      </w:r>
    </w:p>
    <w:bookmarkEnd w:id="73"/>
    <w:bookmarkEnd w:id="74"/>
    <w:bookmarkStart w:id="81" w:name="ix.-urban-information-systems"/>
    <w:p>
      <w:pPr>
        <w:pStyle w:val="Heading1"/>
      </w:pPr>
      <w:r>
        <w:rPr>
          <w:rStyle w:val="SectionNumber"/>
        </w:rPr>
        <w:t xml:space="preserve">10</w:t>
      </w:r>
      <w:r>
        <w:tab/>
      </w:r>
      <w:r>
        <w:t xml:space="preserve">IX. Urban Information Systems</w:t>
      </w:r>
    </w:p>
    <w:bookmarkStart w:id="75" w:name="what-this-unit-is-about-8"/>
    <w:p>
      <w:pPr>
        <w:pStyle w:val="Heading2"/>
      </w:pPr>
      <w:r>
        <w:rPr>
          <w:rStyle w:val="SectionNumber"/>
        </w:rPr>
        <w:t xml:space="preserve">10.1</w:t>
      </w:r>
      <w:r>
        <w:tab/>
      </w:r>
      <w:r>
        <w:t xml:space="preserve">What This Unit Is About</w:t>
      </w:r>
    </w:p>
    <w:p>
      <w:pPr>
        <w:pStyle w:val="FirstParagraph"/>
      </w:pPr>
      <w:r>
        <w:t xml:space="preserve">Modern urban planning increasingly depends on spatial and statistical data, and urban information systems help planners map conditions, analyse patterns, and monitor change over time. The syllabus’s explicit, reassuring framing:</w:t>
      </w:r>
      <w:r>
        <w:t xml:space="preserve"> </w:t>
      </w:r>
      <w:r>
        <w:rPr>
          <w:bCs/>
          <w:b/>
        </w:rPr>
        <w:t xml:space="preserve">you do not need to become a software engineer</w:t>
      </w:r>
      <w:r>
        <w:t xml:space="preserve"> </w:t>
      </w:r>
      <w:r>
        <w:t xml:space="preserve">— the required skill is understanding what these tools do, what data they need, what outputs they produce, and how those outputs support an actual planning decision, not memorizing specific software menus or command sequences.</w:t>
      </w:r>
    </w:p>
    <w:bookmarkEnd w:id="75"/>
    <w:bookmarkStart w:id="76" w:name="gis-geographic-information-systems"/>
    <w:p>
      <w:pPr>
        <w:pStyle w:val="Heading2"/>
      </w:pPr>
      <w:r>
        <w:rPr>
          <w:rStyle w:val="SectionNumber"/>
        </w:rPr>
        <w:t xml:space="preserve">10.2</w:t>
      </w:r>
      <w:r>
        <w:tab/>
      </w:r>
      <w:r>
        <w:t xml:space="preserve">GIS — Geographic Information Systems</w:t>
      </w:r>
    </w:p>
    <w:p>
      <w:pPr>
        <w:pStyle w:val="FirstParagraph"/>
      </w:pPr>
      <w:r>
        <w:t xml:space="preserve">GIS stores, maps, and analyses</w:t>
      </w:r>
      <w:r>
        <w:t xml:space="preserve"> </w:t>
      </w:r>
      <w:r>
        <w:rPr>
          <w:bCs/>
          <w:b/>
        </w:rPr>
        <w:t xml:space="preserve">geographically referenced data</w:t>
      </w:r>
      <w:r>
        <w:t xml:space="preserve"> </w:t>
      </w:r>
      <w:r>
        <w:t xml:space="preserve">— data explicitly linked to a specific location. Planners can overlay multiple data layers (land use, road networks, population distribution, hazard zones, service locations) to identify spatial relationships and answer genuinely useful planning questions: which settlements lie within a flood zone, which neighbourhoods lack adequate service access, or where a new facility could be sited to serve the largest possible population. The syllabus’s important, frequently tested clarification:</w:t>
      </w:r>
      <w:r>
        <w:t xml:space="preserve"> </w:t>
      </w:r>
      <w:r>
        <w:rPr>
          <w:bCs/>
          <w:b/>
        </w:rPr>
        <w:t xml:space="preserve">GIS is the whole system for spatial data and analysis; a map is only one possible output of that system</w:t>
      </w:r>
      <w:r>
        <w:t xml:space="preserve">, not the entire system itself — a common misconception treats</w:t>
      </w:r>
      <w:r>
        <w:t xml:space="preserve"> </w:t>
      </w:r>
      <w:r>
        <w:t xml:space="preserve">“</w:t>
      </w:r>
      <w:r>
        <w:t xml:space="preserve">GIS</w:t>
      </w:r>
      <w:r>
        <w:t xml:space="preserve">”</w:t>
      </w:r>
      <w:r>
        <w:t xml:space="preserve"> </w:t>
      </w:r>
      <w:r>
        <w:t xml:space="preserve">as simply meaning</w:t>
      </w:r>
      <w:r>
        <w:t xml:space="preserve"> </w:t>
      </w:r>
      <w:r>
        <w:t xml:space="preserve">“</w:t>
      </w:r>
      <w:r>
        <w:t xml:space="preserve">digital maps,</w:t>
      </w:r>
      <w:r>
        <w:t xml:space="preserve">”</w:t>
      </w:r>
      <w:r>
        <w:t xml:space="preserve"> </w:t>
      </w:r>
      <w:r>
        <w:t xml:space="preserve">when the actual analytical capability (overlay, spatial query, network analysis) is the substantive content of the system.</w:t>
      </w:r>
    </w:p>
    <w:bookmarkEnd w:id="76"/>
    <w:bookmarkStart w:id="77" w:name="spatial-analysis"/>
    <w:p>
      <w:pPr>
        <w:pStyle w:val="Heading2"/>
      </w:pPr>
      <w:r>
        <w:rPr>
          <w:rStyle w:val="SectionNumber"/>
        </w:rPr>
        <w:t xml:space="preserve">10.3</w:t>
      </w:r>
      <w:r>
        <w:tab/>
      </w:r>
      <w:r>
        <w:t xml:space="preserve">Spatial Analysis</w:t>
      </w:r>
    </w:p>
    <w:p>
      <w:pPr>
        <w:pStyle w:val="FirstParagraph"/>
      </w:pPr>
      <w:r>
        <w:t xml:space="preserve">Spatial analysis examines patterns such as</w:t>
      </w:r>
      <w:r>
        <w:t xml:space="preserve"> </w:t>
      </w:r>
      <w:r>
        <w:rPr>
          <w:bCs/>
          <w:b/>
        </w:rPr>
        <w:t xml:space="preserve">buffer/proximity</w:t>
      </w:r>
      <w:r>
        <w:t xml:space="preserve"> </w:t>
      </w:r>
      <w:r>
        <w:t xml:space="preserve">(identifying features within a defined distance of a reference feature),</w:t>
      </w:r>
      <w:r>
        <w:t xml:space="preserve"> </w:t>
      </w:r>
      <w:r>
        <w:rPr>
          <w:bCs/>
          <w:b/>
        </w:rPr>
        <w:t xml:space="preserve">overlay</w:t>
      </w:r>
      <w:r>
        <w:t xml:space="preserve"> </w:t>
      </w:r>
      <w:r>
        <w:t xml:space="preserve">(combining multiple data layers to find where their conditions coincide),</w:t>
      </w:r>
      <w:r>
        <w:t xml:space="preserve"> </w:t>
      </w:r>
      <w:r>
        <w:rPr>
          <w:bCs/>
          <w:b/>
        </w:rPr>
        <w:t xml:space="preserve">network accessibility</w:t>
      </w:r>
      <w:r>
        <w:t xml:space="preserve"> </w:t>
      </w:r>
      <w:r>
        <w:t xml:space="preserve">(analysing travel distance or time along an actual transport network, rather than simple straight-line distance),</w:t>
      </w:r>
      <w:r>
        <w:t xml:space="preserve"> </w:t>
      </w:r>
      <w:r>
        <w:rPr>
          <w:bCs/>
          <w:b/>
        </w:rPr>
        <w:t xml:space="preserve">density</w:t>
      </w:r>
      <w:r>
        <w:t xml:space="preserve">, and</w:t>
      </w:r>
      <w:r>
        <w:t xml:space="preserve"> </w:t>
      </w:r>
      <w:r>
        <w:rPr>
          <w:bCs/>
          <w:b/>
        </w:rPr>
        <w:t xml:space="preserve">clustering</w:t>
      </w:r>
      <w:r>
        <w:t xml:space="preserve">. The important caution:</w:t>
      </w:r>
      <w:r>
        <w:t xml:space="preserve"> </w:t>
      </w:r>
      <w:r>
        <w:rPr>
          <w:bCs/>
          <w:b/>
        </w:rPr>
        <w:t xml:space="preserve">spatial analysis results are only as reliable as the underlying data and the chosen method</w:t>
      </w:r>
      <w:r>
        <w:t xml:space="preserve"> </w:t>
      </w:r>
      <w:r>
        <w:t xml:space="preserve">— the specific analytical method chosen should match both the actual planning question being asked and the scale/quality of the available data.</w:t>
      </w:r>
      <w:r>
        <w:t xml:space="preserve"> </w:t>
      </w:r>
      <w:r>
        <w:rPr>
          <w:bCs/>
          <w:b/>
        </w:rPr>
        <w:t xml:space="preserve">Worked illustration:</w:t>
      </w:r>
      <w:r>
        <w:t xml:space="preserve"> </w:t>
      </w:r>
      <w:r>
        <w:t xml:space="preserve">a simple buffer around a river can show which plots of land lie within a defined flood-risk distance; a network accessibility analysis, by contrast, can estimate actual travel time to a hospital using the real road network — a meaningfully more accurate measure of genuine accessibility than straight-line (</w:t>
      </w:r>
      <w:r>
        <w:t xml:space="preserve">“</w:t>
      </w:r>
      <w:r>
        <w:t xml:space="preserve">as the crow flies</w:t>
      </w:r>
      <w:r>
        <w:t xml:space="preserve">”</w:t>
      </w:r>
      <w:r>
        <w:t xml:space="preserve">) distance alone would provide.</w:t>
      </w:r>
    </w:p>
    <w:bookmarkEnd w:id="77"/>
    <w:bookmarkStart w:id="78" w:name="spss-and-statistical-analysis"/>
    <w:p>
      <w:pPr>
        <w:pStyle w:val="Heading2"/>
      </w:pPr>
      <w:r>
        <w:rPr>
          <w:rStyle w:val="SectionNumber"/>
        </w:rPr>
        <w:t xml:space="preserve">10.4</w:t>
      </w:r>
      <w:r>
        <w:tab/>
      </w:r>
      <w:r>
        <w:t xml:space="preserve">SPSS and Statistical Analysis</w:t>
      </w:r>
    </w:p>
    <w:p>
      <w:pPr>
        <w:pStyle w:val="FirstParagraph"/>
      </w:pPr>
      <w:r>
        <w:t xml:space="preserve">SPSS is statistical software used to manage and analyse survey or other quantitative data — supporting descriptive statistics, cross-tabulation, correlation analysis, and other techniques appropriate to a given research design. As with GIS above, the important transferable skill the syllabus emphasizes is</w:t>
      </w:r>
      <w:r>
        <w:t xml:space="preserve"> </w:t>
      </w:r>
      <w:r>
        <w:rPr>
          <w:bCs/>
          <w:b/>
        </w:rPr>
        <w:t xml:space="preserve">choosing an appropriate analysis and correctly interpreting its results</w:t>
      </w:r>
      <w:r>
        <w:t xml:space="preserve">, not memorizing specific software menu sequences.</w:t>
      </w:r>
    </w:p>
    <w:bookmarkEnd w:id="78"/>
    <w:bookmarkStart w:id="79" w:name="urban-data-quality"/>
    <w:p>
      <w:pPr>
        <w:pStyle w:val="Heading2"/>
      </w:pPr>
      <w:r>
        <w:rPr>
          <w:rStyle w:val="SectionNumber"/>
        </w:rPr>
        <w:t xml:space="preserve">10.5</w:t>
      </w:r>
      <w:r>
        <w:tab/>
      </w:r>
      <w:r>
        <w:t xml:space="preserve">Urban Data Quality</w:t>
      </w:r>
    </w:p>
    <w:p>
      <w:pPr>
        <w:pStyle w:val="FirstParagraph"/>
      </w:pPr>
      <w:r>
        <w:t xml:space="preserve">Good urban information requires</w:t>
      </w:r>
      <w:r>
        <w:t xml:space="preserve"> </w:t>
      </w:r>
      <w:r>
        <w:rPr>
          <w:bCs/>
          <w:b/>
        </w:rPr>
        <w:t xml:space="preserve">accuracy, completeness, consistency, timeliness (currency), appropriate spatial resolution, and clearly documented source and method</w:t>
      </w:r>
      <w:r>
        <w:t xml:space="preserve">. The frequently tested, important caution:</w:t>
      </w:r>
      <w:r>
        <w:t xml:space="preserve"> </w:t>
      </w:r>
      <w:r>
        <w:rPr>
          <w:bCs/>
          <w:b/>
        </w:rPr>
        <w:t xml:space="preserve">a precise-looking map or statistic can still be seriously misleading if the underlying data are poor</w:t>
      </w:r>
      <w:r>
        <w:t xml:space="preserve"> </w:t>
      </w:r>
      <w:r>
        <w:t xml:space="preserve">— visual or numerical precision in the</w:t>
      </w:r>
      <w:r>
        <w:t xml:space="preserve"> </w:t>
      </w:r>
      <w:r>
        <w:rPr>
          <w:iCs/>
          <w:i/>
        </w:rPr>
        <w:t xml:space="preserve">presentation</w:t>
      </w:r>
      <w:r>
        <w:t xml:space="preserve"> </w:t>
      </w:r>
      <w:r>
        <w:t xml:space="preserve">of data says nothing about the actual</w:t>
      </w:r>
      <w:r>
        <w:t xml:space="preserve"> </w:t>
      </w:r>
      <w:r>
        <w:rPr>
          <w:iCs/>
          <w:i/>
        </w:rPr>
        <w:t xml:space="preserve">accuracy</w:t>
      </w:r>
      <w:r>
        <w:t xml:space="preserve"> </w:t>
      </w:r>
      <w:r>
        <w:t xml:space="preserve">of the underlying data itself, and planners should always document a dataset’s source, collection date, scale, sampling method, and known limitations before relying on it for a significant decision.</w:t>
      </w:r>
    </w:p>
    <w:bookmarkEnd w:id="79"/>
    <w:bookmarkStart w:id="80" w:name="using-information-for-planning-decisions"/>
    <w:p>
      <w:pPr>
        <w:pStyle w:val="Heading2"/>
      </w:pPr>
      <w:r>
        <w:rPr>
          <w:rStyle w:val="SectionNumber"/>
        </w:rPr>
        <w:t xml:space="preserve">10.6</w:t>
      </w:r>
      <w:r>
        <w:tab/>
      </w:r>
      <w:r>
        <w:t xml:space="preserve">Using Information for Planning Decisions</w:t>
      </w:r>
    </w:p>
    <w:p>
      <w:pPr>
        <w:pStyle w:val="FirstParagraph"/>
      </w:pPr>
      <w:r>
        <w:t xml:space="preserve">The syllabus’s final, essential point for this unit and, in many ways, for the subject as a whole:</w:t>
      </w:r>
      <w:r>
        <w:t xml:space="preserve"> </w:t>
      </w:r>
      <w:r>
        <w:rPr>
          <w:bCs/>
          <w:b/>
        </w:rPr>
        <w:t xml:space="preserve">data should answer a specific planning question</w:t>
      </w:r>
      <w:r>
        <w:t xml:space="preserve"> </w:t>
      </w:r>
      <w:r>
        <w:t xml:space="preserve">— maps and statistics are</w:t>
      </w:r>
      <w:r>
        <w:t xml:space="preserve"> </w:t>
      </w:r>
      <w:r>
        <w:rPr>
          <w:bCs/>
          <w:b/>
        </w:rPr>
        <w:t xml:space="preserve">evidence inputs</w:t>
      </w:r>
      <w:r>
        <w:t xml:space="preserve"> </w:t>
      </w:r>
      <w:r>
        <w:t xml:space="preserve">to a planning decision, and they explicitly</w:t>
      </w:r>
      <w:r>
        <w:t xml:space="preserve"> </w:t>
      </w:r>
      <w:r>
        <w:rPr>
          <w:bCs/>
          <w:b/>
        </w:rPr>
        <w:t xml:space="preserve">do not replace</w:t>
      </w:r>
      <w:r>
        <w:t xml:space="preserve"> </w:t>
      </w:r>
      <w:r>
        <w:t xml:space="preserve">legal judgment, genuine public consultation, field verification, or sound policy reasoning. A GIS analysis identifying an</w:t>
      </w:r>
      <w:r>
        <w:t xml:space="preserve"> </w:t>
      </w:r>
      <w:r>
        <w:t xml:space="preserve">“</w:t>
      </w:r>
      <w:r>
        <w:t xml:space="preserve">optimal</w:t>
      </w:r>
      <w:r>
        <w:t xml:space="preserve">”</w:t>
      </w:r>
      <w:r>
        <w:t xml:space="preserve"> </w:t>
      </w:r>
      <w:r>
        <w:t xml:space="preserve">site for a new facility, for example, still requires legal verification of land ownership and zoning status, public consultation with the affected community, on-the-ground field verification that the site matches its mapped characteristics, and policy judgment weighing this technical finding against other planning objectives — the data informs the decision but does not, by itself, make it.</w:t>
      </w:r>
    </w:p>
    <w:p>
      <w:pPr>
        <w:pStyle w:val="BodyText"/>
      </w:pPr>
      <w:r>
        <w:rPr>
          <w:bCs/>
          <w:b/>
        </w:rPr>
        <w:t xml:space="preserve">Key takeaways for Unit IX</w:t>
      </w:r>
    </w:p>
    <w:p>
      <w:pPr>
        <w:numPr>
          <w:ilvl w:val="0"/>
          <w:numId w:val="1009"/>
        </w:numPr>
        <w:pStyle w:val="Compact"/>
      </w:pPr>
      <w:r>
        <w:t xml:space="preserve">GIS is the complete system for spatial data storage, mapping, and analysis; a map is merely one of its possible outputs — do not conflate</w:t>
      </w:r>
      <w:r>
        <w:t xml:space="preserve"> </w:t>
      </w:r>
      <w:r>
        <w:t xml:space="preserve">“</w:t>
      </w:r>
      <w:r>
        <w:t xml:space="preserve">GIS</w:t>
      </w:r>
      <w:r>
        <w:t xml:space="preserve">”</w:t>
      </w:r>
      <w:r>
        <w:t xml:space="preserve"> </w:t>
      </w:r>
      <w:r>
        <w:t xml:space="preserve">with</w:t>
      </w:r>
      <w:r>
        <w:t xml:space="preserve"> </w:t>
      </w:r>
      <w:r>
        <w:t xml:space="preserve">“</w:t>
      </w:r>
      <w:r>
        <w:t xml:space="preserve">digital mapping</w:t>
      </w:r>
      <w:r>
        <w:t xml:space="preserve">”</w:t>
      </w:r>
      <w:r>
        <w:t xml:space="preserve"> </w:t>
      </w:r>
      <w:r>
        <w:t xml:space="preserve">alone.</w:t>
      </w:r>
    </w:p>
    <w:p>
      <w:pPr>
        <w:numPr>
          <w:ilvl w:val="0"/>
          <w:numId w:val="1009"/>
        </w:numPr>
        <w:pStyle w:val="Compact"/>
      </w:pPr>
      <w:r>
        <w:t xml:space="preserve">Spatial analysis and statistical results are only as reliable as their underlying data and chosen method — always consider data quality (accuracy, completeness, consistency, timeliness, documented source) before relying on an analytical output.</w:t>
      </w:r>
    </w:p>
    <w:p>
      <w:pPr>
        <w:numPr>
          <w:ilvl w:val="0"/>
          <w:numId w:val="1009"/>
        </w:numPr>
        <w:pStyle w:val="Compact"/>
      </w:pPr>
      <w:r>
        <w:t xml:space="preserve">Data and analysis are evidence inputs to planning decisions, not substitutes for legal judgment, public consultation, field verification, or policy reasoning — this final point applies the</w:t>
      </w:r>
      <w:r>
        <w:t xml:space="preserve"> </w:t>
      </w:r>
      <w:r>
        <w:t xml:space="preserve">“</w:t>
      </w:r>
      <w:r>
        <w:t xml:space="preserve">evidence-based but not evidence-only</w:t>
      </w:r>
      <w:r>
        <w:t xml:space="preserve">”</w:t>
      </w:r>
      <w:r>
        <w:t xml:space="preserve"> </w:t>
      </w:r>
      <w:r>
        <w:t xml:space="preserve">principle recurring throughout all three companion chapters in this set.</w:t>
      </w:r>
    </w:p>
    <w:p>
      <w:r>
        <w:pict>
          <v:rect style="width:0;height:1.5pt" o:hralign="center" o:hrstd="t" o:hr="t"/>
        </w:pict>
      </w:r>
    </w:p>
    <w:bookmarkEnd w:id="80"/>
    <w:bookmarkEnd w:id="81"/>
    <w:bookmarkStart w:id="82" w:name="bibliography-and-further-reading"/>
    <w:p>
      <w:pPr>
        <w:pStyle w:val="Heading1"/>
      </w:pPr>
      <w:r>
        <w:rPr>
          <w:rStyle w:val="SectionNumber"/>
        </w:rPr>
        <w:t xml:space="preserve">11</w:t>
      </w:r>
      <w:r>
        <w:tab/>
      </w:r>
      <w:r>
        <w:t xml:space="preserve">Bibliography and Further Reading</w:t>
      </w:r>
    </w:p>
    <w:p>
      <w:pPr>
        <w:numPr>
          <w:ilvl w:val="0"/>
          <w:numId w:val="1010"/>
        </w:numPr>
        <w:pStyle w:val="Compact"/>
      </w:pPr>
      <w:r>
        <w:t xml:space="preserve">Greed, C. —</w:t>
      </w:r>
      <w:r>
        <w:t xml:space="preserve"> </w:t>
      </w:r>
      <w:r>
        <w:rPr>
          <w:iCs/>
          <w:i/>
        </w:rPr>
        <w:t xml:space="preserve">Introducing Town Planning</w:t>
      </w:r>
      <w:r>
        <w:t xml:space="preserve"> </w:t>
      </w:r>
      <w:r>
        <w:t xml:space="preserve">— core source for the definitional and multidisciplinary material in Unit I.</w:t>
      </w:r>
    </w:p>
    <w:p>
      <w:pPr>
        <w:numPr>
          <w:ilvl w:val="0"/>
          <w:numId w:val="1010"/>
        </w:numPr>
        <w:pStyle w:val="Compact"/>
      </w:pPr>
      <w:r>
        <w:t xml:space="preserve">Ratcliffe, J. —</w:t>
      </w:r>
      <w:r>
        <w:t xml:space="preserve"> </w:t>
      </w:r>
      <w:r>
        <w:rPr>
          <w:iCs/>
          <w:i/>
        </w:rPr>
        <w:t xml:space="preserve">Introduction to Town and Country Planning</w:t>
      </w:r>
      <w:r>
        <w:t xml:space="preserve">.</w:t>
      </w:r>
    </w:p>
    <w:p>
      <w:pPr>
        <w:numPr>
          <w:ilvl w:val="0"/>
          <w:numId w:val="1010"/>
        </w:numPr>
        <w:pStyle w:val="Compact"/>
      </w:pPr>
      <w:r>
        <w:t xml:space="preserve">Levy, J. M. —</w:t>
      </w:r>
      <w:r>
        <w:t xml:space="preserve"> </w:t>
      </w:r>
      <w:r>
        <w:rPr>
          <w:iCs/>
          <w:i/>
        </w:rPr>
        <w:t xml:space="preserve">Contemporary Urban Planning</w:t>
      </w:r>
      <w:r>
        <w:t xml:space="preserve"> </w:t>
      </w:r>
      <w:r>
        <w:t xml:space="preserve">— a key source for the urbanization-management material in Unit V.</w:t>
      </w:r>
    </w:p>
    <w:p>
      <w:pPr>
        <w:numPr>
          <w:ilvl w:val="0"/>
          <w:numId w:val="1010"/>
        </w:numPr>
        <w:pStyle w:val="Compact"/>
      </w:pPr>
      <w:r>
        <w:t xml:space="preserve">Cullingworth, J. B., and Nadin, V. —</w:t>
      </w:r>
      <w:r>
        <w:t xml:space="preserve"> </w:t>
      </w:r>
      <w:r>
        <w:rPr>
          <w:iCs/>
          <w:i/>
        </w:rPr>
        <w:t xml:space="preserve">Town and Country Planning in the UK</w:t>
      </w:r>
      <w:r>
        <w:t xml:space="preserve"> </w:t>
      </w:r>
      <w:r>
        <w:t xml:space="preserve">— a standard comparative reference for development control systems, referenced in Unit V.</w:t>
      </w:r>
    </w:p>
    <w:p>
      <w:pPr>
        <w:numPr>
          <w:ilvl w:val="0"/>
          <w:numId w:val="1010"/>
        </w:numPr>
        <w:pStyle w:val="Compact"/>
      </w:pPr>
      <w:r>
        <w:t xml:space="preserve">Townsend, A. —</w:t>
      </w:r>
      <w:r>
        <w:t xml:space="preserve"> </w:t>
      </w:r>
      <w:r>
        <w:rPr>
          <w:iCs/>
          <w:i/>
        </w:rPr>
        <w:t xml:space="preserve">Smart Cities</w:t>
      </w:r>
      <w:r>
        <w:t xml:space="preserve"> </w:t>
      </w:r>
      <w:r>
        <w:t xml:space="preserve">— a key source for the Intelligent Transport Systems and urban-information-systems material in Units V and IX.</w:t>
      </w:r>
    </w:p>
    <w:p>
      <w:pPr>
        <w:pStyle w:val="FirstParagraph"/>
      </w:pPr>
      <w:r>
        <w:rPr>
          <w:iCs/>
          <w:i/>
        </w:rPr>
        <w:t xml:space="preserve">Note on sourcing: the planning concepts and frameworks in this chapter (settlement hierarchy theory, the sustainability and resilience frameworks, and the GIS/spatial-analysis concepts) are drawn from the standard reference works listed above. Archaeological claims about Mohenjo-daro, Harappa, Kot Diji, Mehrgarh, and Gandhara reflect general, well-established findings in South Asian archaeology; any more specific claim about a particular site should be verified against current archaeological scholarship, since interpretation in this field continues to develop. Pakistan-specific planning history (Five-Year Plans, regional plans, master plans) and any current development-authority rule should be verified against official Planning Commission and relevant authority sources before being cited, exactly as this chapter itself repeatedly instructs.</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Planning and Urban Management - Expanded Master Study Resource</dc:title>
  <dc:creator/>
  <cp:keywords/>
  <dcterms:created xsi:type="dcterms:W3CDTF">2026-09-18T18:52:44Z</dcterms:created>
  <dcterms:modified xsi:type="dcterms:W3CDTF">2026-09-18T18:52:44Z</dcterms:modified>
</cp:coreProperties>
</file>

<file path=docProps/custom.xml><?xml version="1.0" encoding="utf-8"?>
<Properties xmlns="http://schemas.openxmlformats.org/officeDocument/2006/custom-properties" xmlns:vt="http://schemas.openxmlformats.org/officeDocument/2006/docPropsVTypes"/>
</file>