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6"/>
        </w:rPr>
        <w:t>SOFTWARE REQUIREMENTS</w:t>
        <w:br/>
        <w:t>SPECIFICATION</w:t>
      </w:r>
    </w:p>
    <w:p>
      <w:pPr>
        <w:jc w:val="center"/>
      </w:pPr>
      <w:r>
        <w:rPr>
          <w:b/>
          <w:color w:val="2F5597"/>
          <w:sz w:val="36"/>
        </w:rPr>
        <w:t>Local Verified Services Marketplace</w:t>
      </w:r>
    </w:p>
    <w:p>
      <w:pPr>
        <w:jc w:val="center"/>
      </w:pPr>
      <w:r>
        <w:rPr>
          <w:color w:val="5B6573"/>
          <w:sz w:val="26"/>
        </w:rPr>
        <w:t>Gold Requirements Baseline v0.2</w:t>
      </w:r>
    </w:p>
    <w:p>
      <w:r>
        <w:br/>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D9EAF7"/>
            <w:tcMar>
              <w:top w:w="90" w:type="dxa"/>
              <w:start w:w="90" w:type="dxa"/>
              <w:bottom w:w="90" w:type="dxa"/>
              <w:end w:w="90" w:type="dxa"/>
            </w:tcMar>
            <w:vAlign w:val="center"/>
          </w:tcPr>
          <w:p>
            <w:r>
              <w:rPr>
                <w:b/>
                <w:color w:val="17365D"/>
                <w:sz w:val="17"/>
              </w:rPr>
              <w:t>Document field</w:t>
            </w:r>
          </w:p>
        </w:tc>
        <w:tc>
          <w:tcPr>
            <w:tcW w:type="dxa" w:w="6912"/>
            <w:shd w:fill="D9EAF7"/>
            <w:tcMar>
              <w:top w:w="90" w:type="dxa"/>
              <w:start w:w="90" w:type="dxa"/>
              <w:bottom w:w="90" w:type="dxa"/>
              <w:end w:w="90" w:type="dxa"/>
            </w:tcMar>
            <w:vAlign w:val="center"/>
          </w:tcPr>
          <w:p>
            <w:r>
              <w:rPr>
                <w:b/>
                <w:color w:val="17365D"/>
                <w:sz w:val="17"/>
              </w:rPr>
              <w:t>Value</w:t>
            </w:r>
          </w:p>
        </w:tc>
      </w:tr>
      <w:tr>
        <w:tc>
          <w:tcPr>
            <w:tcW w:type="dxa" w:w="2880"/>
            <w:tcMar>
              <w:top w:w="90" w:type="dxa"/>
              <w:start w:w="90" w:type="dxa"/>
              <w:bottom w:w="90" w:type="dxa"/>
              <w:end w:w="90" w:type="dxa"/>
            </w:tcMar>
            <w:vAlign w:val="center"/>
          </w:tcPr>
          <w:p>
            <w:pPr>
              <w:spacing w:after="0" w:line="240" w:lineRule="auto"/>
            </w:pPr>
            <w:r>
              <w:rPr>
                <w:sz w:val="16"/>
              </w:rPr>
              <w:t>Status</w:t>
            </w:r>
          </w:p>
        </w:tc>
        <w:tc>
          <w:tcPr>
            <w:tcW w:type="dxa" w:w="6912"/>
            <w:tcMar>
              <w:top w:w="90" w:type="dxa"/>
              <w:start w:w="90" w:type="dxa"/>
              <w:bottom w:w="90" w:type="dxa"/>
              <w:end w:w="90" w:type="dxa"/>
            </w:tcMar>
            <w:vAlign w:val="center"/>
          </w:tcPr>
          <w:p>
            <w:r>
              <w:t>Gold requirements baseline approved for domain modeling</w:t>
            </w:r>
          </w:p>
        </w:tc>
      </w:tr>
      <w:tr>
        <w:tc>
          <w:tcPr>
            <w:tcW w:type="dxa" w:w="2880"/>
            <w:tcMar>
              <w:top w:w="90" w:type="dxa"/>
              <w:start w:w="90" w:type="dxa"/>
              <w:bottom w:w="90" w:type="dxa"/>
              <w:end w:w="90" w:type="dxa"/>
            </w:tcMar>
            <w:vAlign w:val="center"/>
          </w:tcPr>
          <w:p>
            <w:pPr>
              <w:spacing w:after="0" w:line="240" w:lineRule="auto"/>
            </w:pPr>
            <w:r>
              <w:rPr>
                <w:sz w:val="16"/>
              </w:rPr>
              <w:t>Document nature</w:t>
            </w:r>
          </w:p>
        </w:tc>
        <w:tc>
          <w:tcPr>
            <w:tcW w:type="dxa" w:w="6912"/>
            <w:tcMar>
              <w:top w:w="90" w:type="dxa"/>
              <w:start w:w="90" w:type="dxa"/>
              <w:bottom w:w="90" w:type="dxa"/>
              <w:end w:w="90" w:type="dxa"/>
            </w:tcMar>
            <w:vAlign w:val="center"/>
          </w:tcPr>
          <w:p>
            <w:r>
              <w:t>Single authoritative, living, version-controlled SRS</w:t>
            </w:r>
          </w:p>
        </w:tc>
      </w:tr>
      <w:tr>
        <w:tc>
          <w:tcPr>
            <w:tcW w:type="dxa" w:w="2880"/>
            <w:tcMar>
              <w:top w:w="90" w:type="dxa"/>
              <w:start w:w="90" w:type="dxa"/>
              <w:bottom w:w="90" w:type="dxa"/>
              <w:end w:w="90" w:type="dxa"/>
            </w:tcMar>
            <w:vAlign w:val="center"/>
          </w:tcPr>
          <w:p>
            <w:pPr>
              <w:spacing w:after="0" w:line="240" w:lineRule="auto"/>
            </w:pPr>
            <w:r>
              <w:rPr>
                <w:sz w:val="16"/>
              </w:rPr>
              <w:t>Product stage</w:t>
            </w:r>
          </w:p>
        </w:tc>
        <w:tc>
          <w:tcPr>
            <w:tcW w:type="dxa" w:w="6912"/>
            <w:tcMar>
              <w:top w:w="90" w:type="dxa"/>
              <w:start w:w="90" w:type="dxa"/>
              <w:bottom w:w="90" w:type="dxa"/>
              <w:end w:w="90" w:type="dxa"/>
            </w:tcMar>
            <w:vAlign w:val="center"/>
          </w:tcPr>
          <w:p>
            <w:r>
              <w:t>Approved requirements baseline; domain modeling is the next stage</w:t>
            </w:r>
          </w:p>
        </w:tc>
      </w:tr>
      <w:tr>
        <w:tc>
          <w:tcPr>
            <w:tcW w:type="dxa" w:w="2880"/>
            <w:tcMar>
              <w:top w:w="90" w:type="dxa"/>
              <w:start w:w="90" w:type="dxa"/>
              <w:bottom w:w="90" w:type="dxa"/>
              <w:end w:w="90" w:type="dxa"/>
            </w:tcMar>
            <w:vAlign w:val="center"/>
          </w:tcPr>
          <w:p>
            <w:pPr>
              <w:spacing w:after="0" w:line="240" w:lineRule="auto"/>
            </w:pPr>
            <w:r>
              <w:rPr>
                <w:sz w:val="16"/>
              </w:rPr>
              <w:t>Primary authoring source</w:t>
            </w:r>
          </w:p>
        </w:tc>
        <w:tc>
          <w:tcPr>
            <w:tcW w:type="dxa" w:w="6912"/>
            <w:tcMar>
              <w:top w:w="90" w:type="dxa"/>
              <w:start w:w="90" w:type="dxa"/>
              <w:bottom w:w="90" w:type="dxa"/>
              <w:end w:w="90" w:type="dxa"/>
            </w:tcMar>
            <w:vAlign w:val="center"/>
          </w:tcPr>
          <w:p>
            <w:pPr>
              <w:spacing w:after="0" w:line="240" w:lineRule="auto"/>
            </w:pPr>
            <w:r>
              <w:rPr>
                <w:sz w:val="16"/>
              </w:rPr>
              <w:t>Founder requirements discovery session, Questions 1–24</w:t>
            </w:r>
          </w:p>
        </w:tc>
      </w:tr>
      <w:tr>
        <w:tc>
          <w:tcPr>
            <w:tcW w:type="dxa" w:w="2880"/>
            <w:tcMar>
              <w:top w:w="90" w:type="dxa"/>
              <w:start w:w="90" w:type="dxa"/>
              <w:bottom w:w="90" w:type="dxa"/>
              <w:end w:w="90" w:type="dxa"/>
            </w:tcMar>
            <w:vAlign w:val="center"/>
          </w:tcPr>
          <w:p>
            <w:pPr>
              <w:spacing w:after="0" w:line="240" w:lineRule="auto"/>
            </w:pPr>
            <w:r>
              <w:rPr>
                <w:sz w:val="16"/>
              </w:rPr>
              <w:t>Prepared for</w:t>
            </w:r>
          </w:p>
        </w:tc>
        <w:tc>
          <w:tcPr>
            <w:tcW w:type="dxa" w:w="6912"/>
            <w:tcMar>
              <w:top w:w="90" w:type="dxa"/>
              <w:start w:w="90" w:type="dxa"/>
              <w:bottom w:w="90" w:type="dxa"/>
              <w:end w:w="90" w:type="dxa"/>
            </w:tcMar>
            <w:vAlign w:val="center"/>
          </w:tcPr>
          <w:p>
            <w:pPr>
              <w:spacing w:after="0" w:line="240" w:lineRule="auto"/>
            </w:pPr>
            <w:r>
              <w:rPr>
                <w:sz w:val="16"/>
              </w:rPr>
              <w:t>Founder, future contributors, reviewers, and implementation planning</w:t>
            </w:r>
          </w:p>
        </w:tc>
      </w:tr>
      <w:tr>
        <w:tc>
          <w:tcPr>
            <w:tcW w:type="dxa" w:w="2880"/>
            <w:tcMar>
              <w:top w:w="90" w:type="dxa"/>
              <w:start w:w="90" w:type="dxa"/>
              <w:bottom w:w="90" w:type="dxa"/>
              <w:end w:w="90" w:type="dxa"/>
            </w:tcMar>
            <w:vAlign w:val="center"/>
          </w:tcPr>
          <w:p>
            <w:pPr>
              <w:spacing w:after="0" w:line="240" w:lineRule="auto"/>
            </w:pPr>
            <w:r>
              <w:rPr>
                <w:sz w:val="16"/>
              </w:rPr>
              <w:t>Prepared on</w:t>
            </w:r>
          </w:p>
        </w:tc>
        <w:tc>
          <w:tcPr>
            <w:tcW w:type="dxa" w:w="6912"/>
            <w:tcMar>
              <w:top w:w="90" w:type="dxa"/>
              <w:start w:w="90" w:type="dxa"/>
              <w:bottom w:w="90" w:type="dxa"/>
              <w:end w:w="90" w:type="dxa"/>
            </w:tcMar>
            <w:vAlign w:val="center"/>
          </w:tcPr>
          <w:p>
            <w:r>
              <w:t>2026-07-08</w:t>
            </w:r>
          </w:p>
        </w:tc>
      </w:tr>
    </w:tbl>
    <w:p>
      <w:pPr>
        <w:spacing w:after="20"/>
      </w:pPr>
    </w:p>
    <w:p>
      <w:pPr>
        <w:spacing w:before="320"/>
        <w:jc w:val="center"/>
      </w:pPr>
      <w:r>
        <w:rPr>
          <w:b/>
          <w:color w:val="17365D"/>
        </w:rPr>
        <w:t>Document principle</w:t>
      </w:r>
    </w:p>
    <w:p>
      <w:pPr>
        <w:pStyle w:val="Callout"/>
        <w:jc w:val="center"/>
      </w:pPr>
      <w:r>
        <w:t>This SRS captures the intended product requirements discovered to date. It deliberately preserves unresolved requirements instead of pretending that operational policies are final. It is not an architecture, database schema, UX design, or technology-selection document.</w:t>
      </w:r>
    </w:p>
    <w:p>
      <w:r/>
    </w:p>
    <w:p>
      <w:pPr>
        <w:pStyle w:val="Heading1"/>
      </w:pPr>
      <w:r>
        <w:t>1. Document Control</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008"/>
            <w:shd w:fill="D9EAF7"/>
            <w:tcMar>
              <w:top w:w="90" w:type="dxa"/>
              <w:start w:w="90" w:type="dxa"/>
              <w:bottom w:w="90" w:type="dxa"/>
              <w:end w:w="90" w:type="dxa"/>
            </w:tcMar>
            <w:vAlign w:val="center"/>
          </w:tcPr>
          <w:p>
            <w:r>
              <w:rPr>
                <w:b/>
                <w:color w:val="17365D"/>
                <w:sz w:val="17"/>
              </w:rPr>
              <w:t>Version</w:t>
            </w:r>
          </w:p>
        </w:tc>
        <w:tc>
          <w:tcPr>
            <w:tcW w:type="dxa" w:w="1800"/>
            <w:shd w:fill="D9EAF7"/>
            <w:tcMar>
              <w:top w:w="90" w:type="dxa"/>
              <w:start w:w="90" w:type="dxa"/>
              <w:bottom w:w="90" w:type="dxa"/>
              <w:end w:w="90" w:type="dxa"/>
            </w:tcMar>
            <w:vAlign w:val="center"/>
          </w:tcPr>
          <w:p>
            <w:r>
              <w:rPr>
                <w:b/>
                <w:color w:val="17365D"/>
                <w:sz w:val="17"/>
              </w:rPr>
              <w:t>Status</w:t>
            </w:r>
          </w:p>
        </w:tc>
        <w:tc>
          <w:tcPr>
            <w:tcW w:type="dxa" w:w="4608"/>
            <w:shd w:fill="D9EAF7"/>
            <w:tcMar>
              <w:top w:w="90" w:type="dxa"/>
              <w:start w:w="90" w:type="dxa"/>
              <w:bottom w:w="90" w:type="dxa"/>
              <w:end w:w="90" w:type="dxa"/>
            </w:tcMar>
            <w:vAlign w:val="center"/>
          </w:tcPr>
          <w:p>
            <w:r>
              <w:rPr>
                <w:b/>
                <w:color w:val="17365D"/>
                <w:sz w:val="17"/>
              </w:rPr>
              <w:t>Purpose</w:t>
            </w:r>
          </w:p>
        </w:tc>
        <w:tc>
          <w:tcPr>
            <w:tcW w:type="dxa" w:w="2448"/>
            <w:shd w:fill="D9EAF7"/>
            <w:tcMar>
              <w:top w:w="90" w:type="dxa"/>
              <w:start w:w="90" w:type="dxa"/>
              <w:bottom w:w="90" w:type="dxa"/>
              <w:end w:w="90" w:type="dxa"/>
            </w:tcMar>
            <w:vAlign w:val="center"/>
          </w:tcPr>
          <w:p>
            <w:r>
              <w:rPr>
                <w:b/>
                <w:color w:val="17365D"/>
                <w:sz w:val="17"/>
              </w:rPr>
              <w:t>Change authority</w:t>
            </w:r>
          </w:p>
        </w:tc>
      </w:tr>
      <w:tr>
        <w:tc>
          <w:tcPr>
            <w:tcW w:type="dxa" w:w="1008"/>
            <w:tcMar>
              <w:top w:w="90" w:type="dxa"/>
              <w:start w:w="90" w:type="dxa"/>
              <w:bottom w:w="90" w:type="dxa"/>
              <w:end w:w="90" w:type="dxa"/>
            </w:tcMar>
            <w:vAlign w:val="center"/>
          </w:tcPr>
          <w:p>
            <w:r>
              <w:t>0.1</w:t>
            </w:r>
          </w:p>
        </w:tc>
        <w:tc>
          <w:tcPr>
            <w:tcW w:type="dxa" w:w="1800"/>
            <w:tcMar>
              <w:top w:w="90" w:type="dxa"/>
              <w:start w:w="90" w:type="dxa"/>
              <w:bottom w:w="90" w:type="dxa"/>
              <w:end w:w="90" w:type="dxa"/>
            </w:tcMar>
            <w:vAlign w:val="center"/>
          </w:tcPr>
          <w:p>
            <w:r>
              <w:t>Superseded</w:t>
            </w:r>
          </w:p>
        </w:tc>
        <w:tc>
          <w:tcPr>
            <w:tcW w:type="dxa" w:w="4608"/>
            <w:tcMar>
              <w:top w:w="90" w:type="dxa"/>
              <w:start w:w="90" w:type="dxa"/>
              <w:bottom w:w="90" w:type="dxa"/>
              <w:end w:w="90" w:type="dxa"/>
            </w:tcMar>
            <w:vAlign w:val="center"/>
          </w:tcPr>
          <w:p>
            <w:r>
              <w:t>Initial founder-review baseline from Q1–Q24</w:t>
            </w:r>
          </w:p>
        </w:tc>
        <w:tc>
          <w:tcPr>
            <w:tcW w:type="dxa" w:w="2448"/>
            <w:tcMar>
              <w:top w:w="90" w:type="dxa"/>
              <w:start w:w="90" w:type="dxa"/>
              <w:bottom w:w="90" w:type="dxa"/>
              <w:end w:w="90" w:type="dxa"/>
            </w:tcMar>
            <w:vAlign w:val="center"/>
          </w:tcPr>
          <w:p>
            <w:pPr>
              <w:spacing w:after="0" w:line="240" w:lineRule="auto"/>
            </w:pPr>
            <w:r>
              <w:rPr>
                <w:sz w:val="16"/>
              </w:rPr>
              <w:t>Founder</w:t>
            </w:r>
          </w:p>
        </w:tc>
      </w:tr>
      <w:tr>
        <w:tc>
          <w:tcPr>
            <w:tcW w:type="dxa" w:w="1008"/>
            <w:tcMar>
              <w:top w:w="90" w:type="dxa"/>
              <w:start w:w="90" w:type="dxa"/>
              <w:bottom w:w="90" w:type="dxa"/>
              <w:end w:w="90" w:type="dxa"/>
            </w:tcMar>
            <w:vAlign w:val="center"/>
          </w:tcPr>
          <w:p>
            <w:r>
              <w:t>0.2</w:t>
            </w:r>
          </w:p>
        </w:tc>
        <w:tc>
          <w:tcPr>
            <w:tcW w:type="dxa" w:w="1800"/>
            <w:tcMar>
              <w:top w:w="90" w:type="dxa"/>
              <w:start w:w="90" w:type="dxa"/>
              <w:bottom w:w="90" w:type="dxa"/>
              <w:end w:w="90" w:type="dxa"/>
            </w:tcMar>
            <w:vAlign w:val="center"/>
          </w:tcPr>
          <w:p>
            <w:r>
              <w:t>Gold baseline</w:t>
            </w:r>
          </w:p>
        </w:tc>
        <w:tc>
          <w:tcPr>
            <w:tcW w:type="dxa" w:w="4608"/>
            <w:tcMar>
              <w:top w:w="90" w:type="dxa"/>
              <w:start w:w="90" w:type="dxa"/>
              <w:bottom w:w="90" w:type="dxa"/>
              <w:end w:w="90" w:type="dxa"/>
            </w:tcMar>
            <w:vAlign w:val="center"/>
          </w:tcPr>
          <w:p>
            <w:r>
              <w:t>Incorporates independent Kimi K3 and DeepSeek V4 Pro audits plus founder decisions</w:t>
            </w:r>
          </w:p>
        </w:tc>
        <w:tc>
          <w:tcPr>
            <w:tcW w:type="dxa" w:w="2448"/>
            <w:tcMar>
              <w:top w:w="90" w:type="dxa"/>
              <w:start w:w="90" w:type="dxa"/>
              <w:bottom w:w="90" w:type="dxa"/>
              <w:end w:w="90" w:type="dxa"/>
            </w:tcMar>
            <w:vAlign w:val="center"/>
          </w:tcPr>
          <w:p>
            <w:r>
              <w:t>Founder</w:t>
            </w:r>
          </w:p>
        </w:tc>
      </w:tr>
    </w:tbl>
    <w:p>
      <w:pPr>
        <w:spacing w:after="20"/>
      </w:pPr>
    </w:p>
    <w:p>
      <w:pPr>
        <w:pStyle w:val="Heading2"/>
      </w:pPr>
      <w:r>
        <w:t>1.1 How this SRS should be used</w:t>
      </w:r>
    </w:p>
    <w:p>
      <w:pPr>
        <w:pStyle w:val="ListBullet"/>
      </w:pPr>
      <w:r>
        <w:t>Treat this document as the current source of truth for product requirements, not as an immutable contract.</w:t>
      </w:r>
    </w:p>
    <w:p>
      <w:pPr>
        <w:pStyle w:val="ListBullet"/>
      </w:pPr>
      <w:r>
        <w:t>Do not infer architecture, database tables, interfaces, or technology choices unless the SRS explicitly constrains them.</w:t>
      </w:r>
    </w:p>
    <w:p>
      <w:pPr>
        <w:pStyle w:val="ListBullet"/>
      </w:pPr>
      <w:r>
        <w:t>When implementation reveals a contradiction or missing requirement, update the SRS through a new version rather than silently changing behaviour.</w:t>
      </w:r>
    </w:p>
    <w:p>
      <w:pPr>
        <w:pStyle w:val="ListBullet"/>
      </w:pPr>
      <w:r>
        <w:t>The V1_Initial implementation may realize only a prioritized subset of accepted requirements; that subset will be chosen after domain and feasibility analysis.</w:t>
      </w:r>
    </w:p>
    <w:p>
      <w:pPr>
        <w:pStyle w:val="Heading2"/>
      </w:pPr>
      <w:r>
        <w:t>1.2 Requirements status vocabulary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D9EAF7"/>
            <w:tcMar>
              <w:top w:w="90" w:type="dxa"/>
              <w:start w:w="90" w:type="dxa"/>
              <w:bottom w:w="90" w:type="dxa"/>
              <w:end w:w="90" w:type="dxa"/>
            </w:tcMar>
            <w:vAlign w:val="center"/>
          </w:tcPr>
          <w:p>
            <w:r>
              <w:rPr>
                <w:b/>
                <w:color w:val="17365D"/>
                <w:sz w:val="17"/>
              </w:rPr>
              <w:t>Status</w:t>
            </w:r>
          </w:p>
        </w:tc>
        <w:tc>
          <w:tcPr>
            <w:tcW w:type="dxa" w:w="8208"/>
            <w:shd w:fill="D9EAF7"/>
            <w:tcMar>
              <w:top w:w="90" w:type="dxa"/>
              <w:start w:w="90" w:type="dxa"/>
              <w:bottom w:w="90" w:type="dxa"/>
              <w:end w:w="90" w:type="dxa"/>
            </w:tcMar>
            <w:vAlign w:val="center"/>
          </w:tcPr>
          <w:p>
            <w:r>
              <w:rPr>
                <w:b/>
                <w:color w:val="17365D"/>
                <w:sz w:val="17"/>
              </w:rPr>
              <w:t>Meaning</w:t>
            </w:r>
          </w:p>
        </w:tc>
      </w:tr>
      <w:tr>
        <w:tc>
          <w:tcPr>
            <w:tcW w:type="dxa" w:w="1728"/>
            <w:tcMar>
              <w:top w:w="90" w:type="dxa"/>
              <w:start w:w="90" w:type="dxa"/>
              <w:bottom w:w="90" w:type="dxa"/>
              <w:end w:w="90" w:type="dxa"/>
            </w:tcMar>
            <w:vAlign w:val="center"/>
          </w:tcPr>
          <w:p>
            <w:pPr>
              <w:spacing w:after="0" w:line="240" w:lineRule="auto"/>
            </w:pPr>
            <w:r>
              <w:rPr>
                <w:sz w:val="16"/>
              </w:rPr>
              <w:t>Accepted</w:t>
            </w:r>
          </w:p>
        </w:tc>
        <w:tc>
          <w:tcPr>
            <w:tcW w:type="dxa" w:w="8208"/>
            <w:tcMar>
              <w:top w:w="90" w:type="dxa"/>
              <w:start w:w="90" w:type="dxa"/>
              <w:bottom w:w="90" w:type="dxa"/>
              <w:end w:w="90" w:type="dxa"/>
            </w:tcMar>
            <w:vAlign w:val="center"/>
          </w:tcPr>
          <w:p>
            <w:pPr>
              <w:spacing w:after="0" w:line="240" w:lineRule="auto"/>
            </w:pPr>
            <w:r>
              <w:rPr>
                <w:sz w:val="16"/>
              </w:rPr>
              <w:t>Business intent is sufficiently clear for the current baseline.</w:t>
            </w:r>
          </w:p>
        </w:tc>
      </w:tr>
      <w:tr>
        <w:tc>
          <w:tcPr>
            <w:tcW w:type="dxa" w:w="1728"/>
            <w:tcMar>
              <w:top w:w="90" w:type="dxa"/>
              <w:start w:w="90" w:type="dxa"/>
              <w:bottom w:w="90" w:type="dxa"/>
              <w:end w:w="90" w:type="dxa"/>
            </w:tcMar>
            <w:vAlign w:val="center"/>
          </w:tcPr>
          <w:p>
            <w:pPr>
              <w:spacing w:after="0" w:line="240" w:lineRule="auto"/>
            </w:pPr>
            <w:r>
              <w:rPr>
                <w:sz w:val="16"/>
              </w:rPr>
              <w:t>Provisional</w:t>
            </w:r>
          </w:p>
        </w:tc>
        <w:tc>
          <w:tcPr>
            <w:tcW w:type="dxa" w:w="8208"/>
            <w:tcMar>
              <w:top w:w="90" w:type="dxa"/>
              <w:start w:w="90" w:type="dxa"/>
              <w:bottom w:w="90" w:type="dxa"/>
              <w:end w:w="90" w:type="dxa"/>
            </w:tcMar>
            <w:vAlign w:val="center"/>
          </w:tcPr>
          <w:p>
            <w:pPr>
              <w:spacing w:after="0" w:line="240" w:lineRule="auto"/>
            </w:pPr>
            <w:r>
              <w:rPr>
                <w:sz w:val="16"/>
              </w:rPr>
              <w:t>Direction is accepted but policy or scope may change after validation.</w:t>
            </w:r>
          </w:p>
        </w:tc>
      </w:tr>
      <w:tr>
        <w:tc>
          <w:tcPr>
            <w:tcW w:type="dxa" w:w="1728"/>
            <w:tcMar>
              <w:top w:w="90" w:type="dxa"/>
              <w:start w:w="90" w:type="dxa"/>
              <w:bottom w:w="90" w:type="dxa"/>
              <w:end w:w="90" w:type="dxa"/>
            </w:tcMar>
            <w:vAlign w:val="center"/>
          </w:tcPr>
          <w:p>
            <w:pPr>
              <w:spacing w:after="0" w:line="240" w:lineRule="auto"/>
            </w:pPr>
            <w:r>
              <w:rPr>
                <w:sz w:val="16"/>
              </w:rPr>
              <w:t>Open</w:t>
            </w:r>
          </w:p>
        </w:tc>
        <w:tc>
          <w:tcPr>
            <w:tcW w:type="dxa" w:w="8208"/>
            <w:tcMar>
              <w:top w:w="90" w:type="dxa"/>
              <w:start w:w="90" w:type="dxa"/>
              <w:bottom w:w="90" w:type="dxa"/>
              <w:end w:w="90" w:type="dxa"/>
            </w:tcMar>
            <w:vAlign w:val="center"/>
          </w:tcPr>
          <w:p>
            <w:pPr>
              <w:spacing w:after="0" w:line="240" w:lineRule="auto"/>
            </w:pPr>
            <w:r>
              <w:rPr>
                <w:sz w:val="16"/>
              </w:rPr>
              <w:t>A genuine requirement question remains unresolved.</w:t>
            </w:r>
          </w:p>
        </w:tc>
      </w:tr>
      <w:tr>
        <w:tc>
          <w:tcPr>
            <w:tcW w:type="dxa" w:w="1728"/>
            <w:tcMar>
              <w:top w:w="90" w:type="dxa"/>
              <w:start w:w="90" w:type="dxa"/>
              <w:bottom w:w="90" w:type="dxa"/>
              <w:end w:w="90" w:type="dxa"/>
            </w:tcMar>
            <w:vAlign w:val="center"/>
          </w:tcPr>
          <w:p>
            <w:pPr>
              <w:spacing w:after="0" w:line="240" w:lineRule="auto"/>
            </w:pPr>
            <w:r>
              <w:rPr>
                <w:sz w:val="16"/>
              </w:rPr>
              <w:t>Deferred</w:t>
            </w:r>
          </w:p>
        </w:tc>
        <w:tc>
          <w:tcPr>
            <w:tcW w:type="dxa" w:w="8208"/>
            <w:tcMar>
              <w:top w:w="90" w:type="dxa"/>
              <w:start w:w="90" w:type="dxa"/>
              <w:bottom w:w="90" w:type="dxa"/>
              <w:end w:w="90" w:type="dxa"/>
            </w:tcMar>
            <w:vAlign w:val="center"/>
          </w:tcPr>
          <w:p>
            <w:pPr>
              <w:spacing w:after="0" w:line="240" w:lineRule="auto"/>
            </w:pPr>
            <w:r>
              <w:rPr>
                <w:sz w:val="16"/>
              </w:rPr>
              <w:t>Not required for V1_Initial; retained for future consideration.</w:t>
            </w:r>
          </w:p>
        </w:tc>
      </w:tr>
      <w:tr>
        <w:tc>
          <w:tcPr>
            <w:tcW w:type="dxa" w:w="1728"/>
            <w:tcMar>
              <w:top w:w="90" w:type="dxa"/>
              <w:start w:w="90" w:type="dxa"/>
              <w:bottom w:w="90" w:type="dxa"/>
              <w:end w:w="90" w:type="dxa"/>
            </w:tcMar>
            <w:vAlign w:val="center"/>
          </w:tcPr>
          <w:p>
            <w:pPr>
              <w:spacing w:after="0" w:line="240" w:lineRule="auto"/>
            </w:pPr>
            <w:r>
              <w:rPr>
                <w:sz w:val="16"/>
              </w:rPr>
              <w:t>Hypothesis</w:t>
            </w:r>
          </w:p>
        </w:tc>
        <w:tc>
          <w:tcPr>
            <w:tcW w:type="dxa" w:w="8208"/>
            <w:tcMar>
              <w:top w:w="90" w:type="dxa"/>
              <w:start w:w="90" w:type="dxa"/>
              <w:bottom w:w="90" w:type="dxa"/>
              <w:end w:w="90" w:type="dxa"/>
            </w:tcMar>
            <w:vAlign w:val="center"/>
          </w:tcPr>
          <w:p>
            <w:pPr>
              <w:spacing w:after="0" w:line="240" w:lineRule="auto"/>
            </w:pPr>
            <w:r>
              <w:rPr>
                <w:sz w:val="16"/>
              </w:rPr>
              <w:t>A belief requiring evidence; not treated as fact.</w:t>
            </w:r>
          </w:p>
        </w:tc>
      </w:tr>
      <w:tr>
        <w:tc>
          <w:tcPr>
            <w:tcW w:type="dxa" w:w="1728"/>
            <w:tcMar>
              <w:top w:w="90" w:type="dxa"/>
              <w:start w:w="90" w:type="dxa"/>
              <w:bottom w:w="90" w:type="dxa"/>
              <w:end w:w="90" w:type="dxa"/>
            </w:tcMar>
            <w:vAlign w:val="center"/>
          </w:tcPr>
          <w:p>
            <w:pPr>
              <w:spacing w:after="0" w:line="240" w:lineRule="auto"/>
            </w:pPr>
            <w:r>
              <w:rPr>
                <w:sz w:val="16"/>
              </w:rPr>
              <w:t>Superseded</w:t>
            </w:r>
          </w:p>
        </w:tc>
        <w:tc>
          <w:tcPr>
            <w:tcW w:type="dxa" w:w="8208"/>
            <w:tcMar>
              <w:top w:w="90" w:type="dxa"/>
              <w:start w:w="90" w:type="dxa"/>
              <w:bottom w:w="90" w:type="dxa"/>
              <w:end w:w="90" w:type="dxa"/>
            </w:tcMar>
            <w:vAlign w:val="center"/>
          </w:tcPr>
          <w:p>
            <w:pPr>
              <w:spacing w:after="0" w:line="240" w:lineRule="auto"/>
            </w:pPr>
            <w:r>
              <w:rPr>
                <w:sz w:val="16"/>
              </w:rPr>
              <w:t>Earlier idea replaced after contradiction or review.</w:t>
            </w:r>
          </w:p>
        </w:tc>
      </w:tr>
      <w:tr>
        <w:tc>
          <w:tcPr>
            <w:tcW w:type="dxa" w:w="1728"/>
            <w:tcMar>
              <w:top w:w="90" w:type="dxa"/>
              <w:start w:w="90" w:type="dxa"/>
              <w:bottom w:w="90" w:type="dxa"/>
              <w:end w:w="90" w:type="dxa"/>
            </w:tcMar>
            <w:vAlign w:val="center"/>
          </w:tcPr>
          <w:p>
            <w:pPr>
              <w:spacing w:after="0" w:line="240" w:lineRule="auto"/>
            </w:pPr>
            <w:r>
              <w:rPr>
                <w:sz w:val="16"/>
              </w:rPr>
              <w:t>Rejected</w:t>
            </w:r>
          </w:p>
        </w:tc>
        <w:tc>
          <w:tcPr>
            <w:tcW w:type="dxa" w:w="8208"/>
            <w:tcMar>
              <w:top w:w="90" w:type="dxa"/>
              <w:start w:w="90" w:type="dxa"/>
              <w:bottom w:w="90" w:type="dxa"/>
              <w:end w:w="90" w:type="dxa"/>
            </w:tcMar>
            <w:vAlign w:val="center"/>
          </w:tcPr>
          <w:p>
            <w:pPr>
              <w:spacing w:after="0" w:line="240" w:lineRule="auto"/>
            </w:pPr>
            <w:r>
              <w:rPr>
                <w:sz w:val="16"/>
              </w:rPr>
              <w:t>Explicitly excluded from the current product direction.</w:t>
            </w:r>
          </w:p>
        </w:tc>
      </w:tr>
    </w:tbl>
    <w:p>
      <w:pPr>
        <w:spacing w:after="20"/>
      </w:pPr>
    </w:p>
    <w:p>
      <w:pPr>
        <w:pStyle w:val="Heading2"/>
      </w:pPr>
      <w:r>
        <w:t>1.3 Normative language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D9EAF7"/>
            <w:tcMar>
              <w:top w:w="90" w:type="dxa"/>
              <w:start w:w="90" w:type="dxa"/>
              <w:bottom w:w="90" w:type="dxa"/>
              <w:end w:w="90" w:type="dxa"/>
            </w:tcMar>
            <w:vAlign w:val="center"/>
          </w:tcPr>
          <w:p>
            <w:r>
              <w:rPr>
                <w:b/>
                <w:color w:val="17365D"/>
                <w:sz w:val="17"/>
              </w:rPr>
              <w:t>Term</w:t>
            </w:r>
          </w:p>
        </w:tc>
        <w:tc>
          <w:tcPr>
            <w:tcW w:type="dxa" w:w="8208"/>
            <w:shd w:fill="D9EAF7"/>
            <w:tcMar>
              <w:top w:w="90" w:type="dxa"/>
              <w:start w:w="90" w:type="dxa"/>
              <w:bottom w:w="90" w:type="dxa"/>
              <w:end w:w="90" w:type="dxa"/>
            </w:tcMar>
            <w:vAlign w:val="center"/>
          </w:tcPr>
          <w:p>
            <w:r>
              <w:rPr>
                <w:b/>
                <w:color w:val="17365D"/>
                <w:sz w:val="17"/>
              </w:rPr>
              <w:t>Meaning</w:t>
            </w:r>
          </w:p>
        </w:tc>
      </w:tr>
      <w:tr>
        <w:tc>
          <w:tcPr>
            <w:tcW w:type="dxa" w:w="1728"/>
            <w:tcMar>
              <w:top w:w="90" w:type="dxa"/>
              <w:start w:w="90" w:type="dxa"/>
              <w:bottom w:w="90" w:type="dxa"/>
              <w:end w:w="90" w:type="dxa"/>
            </w:tcMar>
            <w:vAlign w:val="center"/>
          </w:tcPr>
          <w:p>
            <w:pPr>
              <w:spacing w:after="0" w:line="240" w:lineRule="auto"/>
            </w:pPr>
            <w:r>
              <w:rPr>
                <w:sz w:val="16"/>
              </w:rPr>
              <w:t>Shall</w:t>
            </w:r>
          </w:p>
        </w:tc>
        <w:tc>
          <w:tcPr>
            <w:tcW w:type="dxa" w:w="8208"/>
            <w:tcMar>
              <w:top w:w="90" w:type="dxa"/>
              <w:start w:w="90" w:type="dxa"/>
              <w:bottom w:w="90" w:type="dxa"/>
              <w:end w:w="90" w:type="dxa"/>
            </w:tcMar>
            <w:vAlign w:val="center"/>
          </w:tcPr>
          <w:p>
            <w:pPr>
              <w:spacing w:after="0" w:line="240" w:lineRule="auto"/>
            </w:pPr>
            <w:r>
              <w:rPr>
                <w:sz w:val="16"/>
              </w:rPr>
              <w:t>Mandatory accepted requirement.</w:t>
            </w:r>
          </w:p>
        </w:tc>
      </w:tr>
      <w:tr>
        <w:tc>
          <w:tcPr>
            <w:tcW w:type="dxa" w:w="1728"/>
            <w:tcMar>
              <w:top w:w="90" w:type="dxa"/>
              <w:start w:w="90" w:type="dxa"/>
              <w:bottom w:w="90" w:type="dxa"/>
              <w:end w:w="90" w:type="dxa"/>
            </w:tcMar>
            <w:vAlign w:val="center"/>
          </w:tcPr>
          <w:p>
            <w:pPr>
              <w:spacing w:after="0" w:line="240" w:lineRule="auto"/>
            </w:pPr>
            <w:r>
              <w:rPr>
                <w:sz w:val="16"/>
              </w:rPr>
              <w:t>Should</w:t>
            </w:r>
          </w:p>
        </w:tc>
        <w:tc>
          <w:tcPr>
            <w:tcW w:type="dxa" w:w="8208"/>
            <w:tcMar>
              <w:top w:w="90" w:type="dxa"/>
              <w:start w:w="90" w:type="dxa"/>
              <w:bottom w:w="90" w:type="dxa"/>
              <w:end w:w="90" w:type="dxa"/>
            </w:tcMar>
            <w:vAlign w:val="center"/>
          </w:tcPr>
          <w:p>
            <w:pPr>
              <w:spacing w:after="0" w:line="240" w:lineRule="auto"/>
            </w:pPr>
            <w:r>
              <w:rPr>
                <w:sz w:val="16"/>
              </w:rPr>
              <w:t>Desired but non-mandatory objective or provisional direction.</w:t>
            </w:r>
          </w:p>
        </w:tc>
      </w:tr>
      <w:tr>
        <w:tc>
          <w:tcPr>
            <w:tcW w:type="dxa" w:w="1728"/>
            <w:tcMar>
              <w:top w:w="90" w:type="dxa"/>
              <w:start w:w="90" w:type="dxa"/>
              <w:bottom w:w="90" w:type="dxa"/>
              <w:end w:w="90" w:type="dxa"/>
            </w:tcMar>
            <w:vAlign w:val="center"/>
          </w:tcPr>
          <w:p>
            <w:pPr>
              <w:spacing w:after="0" w:line="240" w:lineRule="auto"/>
            </w:pPr>
            <w:r>
              <w:rPr>
                <w:sz w:val="16"/>
              </w:rPr>
              <w:t>May</w:t>
            </w:r>
          </w:p>
        </w:tc>
        <w:tc>
          <w:tcPr>
            <w:tcW w:type="dxa" w:w="8208"/>
            <w:tcMar>
              <w:top w:w="90" w:type="dxa"/>
              <w:start w:w="90" w:type="dxa"/>
              <w:bottom w:w="90" w:type="dxa"/>
              <w:end w:w="90" w:type="dxa"/>
            </w:tcMar>
            <w:vAlign w:val="center"/>
          </w:tcPr>
          <w:p>
            <w:pPr>
              <w:spacing w:after="0" w:line="240" w:lineRule="auto"/>
            </w:pPr>
            <w:r>
              <w:rPr>
                <w:sz w:val="16"/>
              </w:rPr>
              <w:t>Permitted or optional capability.</w:t>
            </w:r>
          </w:p>
        </w:tc>
      </w:tr>
      <w:tr>
        <w:tc>
          <w:tcPr>
            <w:tcW w:type="dxa" w:w="1728"/>
            <w:tcMar>
              <w:top w:w="90" w:type="dxa"/>
              <w:start w:w="90" w:type="dxa"/>
              <w:bottom w:w="90" w:type="dxa"/>
              <w:end w:w="90" w:type="dxa"/>
            </w:tcMar>
            <w:vAlign w:val="center"/>
          </w:tcPr>
          <w:p>
            <w:pPr>
              <w:spacing w:after="0" w:line="240" w:lineRule="auto"/>
            </w:pPr>
            <w:r>
              <w:rPr>
                <w:sz w:val="16"/>
              </w:rPr>
              <w:t>Must not</w:t>
            </w:r>
          </w:p>
        </w:tc>
        <w:tc>
          <w:tcPr>
            <w:tcW w:type="dxa" w:w="8208"/>
            <w:tcMar>
              <w:top w:w="90" w:type="dxa"/>
              <w:start w:w="90" w:type="dxa"/>
              <w:bottom w:w="90" w:type="dxa"/>
              <w:end w:w="90" w:type="dxa"/>
            </w:tcMar>
            <w:vAlign w:val="center"/>
          </w:tcPr>
          <w:p>
            <w:pPr>
              <w:spacing w:after="0" w:line="240" w:lineRule="auto"/>
            </w:pPr>
            <w:r>
              <w:rPr>
                <w:sz w:val="16"/>
              </w:rPr>
              <w:t>Prohibited behaviour.</w:t>
            </w:r>
          </w:p>
        </w:tc>
      </w:tr>
    </w:tbl>
    <w:p>
      <w:pPr>
        <w:pStyle w:val="Heading2"/>
      </w:pPr>
      <w:r>
        <w:t>1.4 Scope-label vocabulary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D9EAF7"/>
            <w:tcMar>
              <w:top w:w="90" w:type="dxa"/>
              <w:start w:w="90" w:type="dxa"/>
              <w:bottom w:w="90" w:type="dxa"/>
              <w:end w:w="90" w:type="dxa"/>
            </w:tcMar>
            <w:vAlign w:val="center"/>
          </w:tcPr>
          <w:p>
            <w:r>
              <w:rPr>
                <w:b/>
                <w:color w:val="17365D"/>
                <w:sz w:val="17"/>
              </w:rPr>
              <w:t>Scope label</w:t>
            </w:r>
          </w:p>
        </w:tc>
        <w:tc>
          <w:tcPr>
            <w:tcW w:type="dxa" w:w="7632"/>
            <w:shd w:fill="D9EAF7"/>
            <w:tcMar>
              <w:top w:w="90" w:type="dxa"/>
              <w:start w:w="90" w:type="dxa"/>
              <w:bottom w:w="90" w:type="dxa"/>
              <w:end w:w="90" w:type="dxa"/>
            </w:tcMar>
            <w:vAlign w:val="center"/>
          </w:tcPr>
          <w:p>
            <w:r>
              <w:rPr>
                <w:b/>
                <w:color w:val="17365D"/>
                <w:sz w:val="17"/>
              </w:rPr>
              <w:t>Meaning</w:t>
            </w:r>
          </w:p>
        </w:tc>
      </w:tr>
      <w:tr>
        <w:tc>
          <w:tcPr>
            <w:tcW w:type="dxa" w:w="2304"/>
            <w:tcMar>
              <w:top w:w="90" w:type="dxa"/>
              <w:start w:w="90" w:type="dxa"/>
              <w:bottom w:w="90" w:type="dxa"/>
              <w:end w:w="90" w:type="dxa"/>
            </w:tcMar>
            <w:vAlign w:val="center"/>
          </w:tcPr>
          <w:p>
            <w:pPr>
              <w:spacing w:after="0" w:line="240" w:lineRule="auto"/>
            </w:pPr>
            <w:r>
              <w:rPr>
                <w:sz w:val="16"/>
              </w:rPr>
              <w:t>Intended Product</w:t>
            </w:r>
          </w:p>
        </w:tc>
        <w:tc>
          <w:tcPr>
            <w:tcW w:type="dxa" w:w="7632"/>
            <w:tcMar>
              <w:top w:w="90" w:type="dxa"/>
              <w:start w:w="90" w:type="dxa"/>
              <w:bottom w:w="90" w:type="dxa"/>
              <w:end w:w="90" w:type="dxa"/>
            </w:tcMar>
            <w:vAlign w:val="center"/>
          </w:tcPr>
          <w:p>
            <w:pPr>
              <w:spacing w:after="0" w:line="240" w:lineRule="auto"/>
            </w:pPr>
            <w:r>
              <w:rPr>
                <w:sz w:val="16"/>
              </w:rPr>
              <w:t>Belongs to the continuing product vision, independent of release timing.</w:t>
            </w:r>
          </w:p>
        </w:tc>
      </w:tr>
      <w:tr>
        <w:tc>
          <w:tcPr>
            <w:tcW w:type="dxa" w:w="2304"/>
            <w:tcMar>
              <w:top w:w="90" w:type="dxa"/>
              <w:start w:w="90" w:type="dxa"/>
              <w:bottom w:w="90" w:type="dxa"/>
              <w:end w:w="90" w:type="dxa"/>
            </w:tcMar>
            <w:vAlign w:val="center"/>
          </w:tcPr>
          <w:p>
            <w:pPr>
              <w:spacing w:after="0" w:line="240" w:lineRule="auto"/>
            </w:pPr>
            <w:r>
              <w:rPr>
                <w:sz w:val="16"/>
              </w:rPr>
              <w:t>V1_Initial Candidate</w:t>
            </w:r>
          </w:p>
        </w:tc>
        <w:tc>
          <w:tcPr>
            <w:tcW w:type="dxa" w:w="7632"/>
            <w:tcMar>
              <w:top w:w="90" w:type="dxa"/>
              <w:start w:w="90" w:type="dxa"/>
              <w:bottom w:w="90" w:type="dxa"/>
              <w:end w:w="90" w:type="dxa"/>
            </w:tcMar>
            <w:vAlign w:val="center"/>
          </w:tcPr>
          <w:p>
            <w:pPr>
              <w:spacing w:after="0" w:line="240" w:lineRule="auto"/>
            </w:pPr>
            <w:r>
              <w:rPr>
                <w:sz w:val="16"/>
              </w:rPr>
              <w:t>May be selected for the first implementation after domain and feasibility analysis.</w:t>
            </w:r>
          </w:p>
        </w:tc>
      </w:tr>
      <w:tr>
        <w:tc>
          <w:tcPr>
            <w:tcW w:type="dxa" w:w="2304"/>
            <w:tcMar>
              <w:top w:w="90" w:type="dxa"/>
              <w:start w:w="90" w:type="dxa"/>
              <w:bottom w:w="90" w:type="dxa"/>
              <w:end w:w="90" w:type="dxa"/>
            </w:tcMar>
            <w:vAlign w:val="center"/>
          </w:tcPr>
          <w:p>
            <w:pPr>
              <w:spacing w:after="0" w:line="240" w:lineRule="auto"/>
            </w:pPr>
            <w:r>
              <w:rPr>
                <w:sz w:val="16"/>
              </w:rPr>
              <w:t>V1_Initial Principle</w:t>
            </w:r>
          </w:p>
        </w:tc>
        <w:tc>
          <w:tcPr>
            <w:tcW w:type="dxa" w:w="7632"/>
            <w:tcMar>
              <w:top w:w="90" w:type="dxa"/>
              <w:start w:w="90" w:type="dxa"/>
              <w:bottom w:w="90" w:type="dxa"/>
              <w:end w:w="90" w:type="dxa"/>
            </w:tcMar>
            <w:vAlign w:val="center"/>
          </w:tcPr>
          <w:p>
            <w:pPr>
              <w:spacing w:after="0" w:line="240" w:lineRule="auto"/>
            </w:pPr>
            <w:r>
              <w:rPr>
                <w:sz w:val="16"/>
              </w:rPr>
              <w:t>Must guide V1_Initial even when not implemented as a standalone feature.</w:t>
            </w:r>
          </w:p>
        </w:tc>
      </w:tr>
      <w:tr>
        <w:tc>
          <w:tcPr>
            <w:tcW w:type="dxa" w:w="2304"/>
            <w:tcMar>
              <w:top w:w="90" w:type="dxa"/>
              <w:start w:w="90" w:type="dxa"/>
              <w:bottom w:w="90" w:type="dxa"/>
              <w:end w:w="90" w:type="dxa"/>
            </w:tcMar>
            <w:vAlign w:val="center"/>
          </w:tcPr>
          <w:p>
            <w:pPr>
              <w:spacing w:after="0" w:line="240" w:lineRule="auto"/>
            </w:pPr>
            <w:r>
              <w:rPr>
                <w:sz w:val="16"/>
              </w:rPr>
              <w:t>Future Capability</w:t>
            </w:r>
          </w:p>
        </w:tc>
        <w:tc>
          <w:tcPr>
            <w:tcW w:type="dxa" w:w="7632"/>
            <w:tcMar>
              <w:top w:w="90" w:type="dxa"/>
              <w:start w:w="90" w:type="dxa"/>
              <w:bottom w:w="90" w:type="dxa"/>
              <w:end w:w="90" w:type="dxa"/>
            </w:tcMar>
            <w:vAlign w:val="center"/>
          </w:tcPr>
          <w:p>
            <w:pPr>
              <w:spacing w:after="0" w:line="240" w:lineRule="auto"/>
            </w:pPr>
            <w:r>
              <w:rPr>
                <w:sz w:val="16"/>
              </w:rPr>
              <w:t>Explicitly postponed beyond V1_Initial.</w:t>
            </w:r>
          </w:p>
        </w:tc>
      </w:tr>
      <w:tr>
        <w:tc>
          <w:tcPr>
            <w:tcW w:type="dxa" w:w="2304"/>
            <w:tcMar>
              <w:top w:w="90" w:type="dxa"/>
              <w:start w:w="90" w:type="dxa"/>
              <w:bottom w:w="90" w:type="dxa"/>
              <w:end w:w="90" w:type="dxa"/>
            </w:tcMar>
            <w:vAlign w:val="center"/>
          </w:tcPr>
          <w:p>
            <w:pPr>
              <w:spacing w:after="0" w:line="240" w:lineRule="auto"/>
            </w:pPr>
            <w:r>
              <w:rPr>
                <w:sz w:val="16"/>
              </w:rPr>
              <w:t>Boundary</w:t>
            </w:r>
          </w:p>
        </w:tc>
        <w:tc>
          <w:tcPr>
            <w:tcW w:type="dxa" w:w="7632"/>
            <w:tcMar>
              <w:top w:w="90" w:type="dxa"/>
              <w:start w:w="90" w:type="dxa"/>
              <w:bottom w:w="90" w:type="dxa"/>
              <w:end w:w="90" w:type="dxa"/>
            </w:tcMar>
            <w:vAlign w:val="center"/>
          </w:tcPr>
          <w:p>
            <w:pPr>
              <w:spacing w:after="0" w:line="240" w:lineRule="auto"/>
            </w:pPr>
            <w:r>
              <w:rPr>
                <w:sz w:val="16"/>
              </w:rPr>
              <w:t>States what the platform does not do or guarantee.</w:t>
            </w:r>
          </w:p>
        </w:tc>
      </w:tr>
      <w:tr>
        <w:tc>
          <w:tcPr>
            <w:tcW w:type="dxa" w:w="2304"/>
            <w:tcMar>
              <w:top w:w="90" w:type="dxa"/>
              <w:start w:w="90" w:type="dxa"/>
              <w:bottom w:w="90" w:type="dxa"/>
              <w:end w:w="90" w:type="dxa"/>
            </w:tcMar>
            <w:vAlign w:val="center"/>
          </w:tcPr>
          <w:p>
            <w:pPr>
              <w:spacing w:after="0" w:line="240" w:lineRule="auto"/>
            </w:pPr>
            <w:r>
              <w:rPr>
                <w:sz w:val="16"/>
              </w:rPr>
              <w:t>Cross-Cutting Requirement</w:t>
            </w:r>
          </w:p>
        </w:tc>
        <w:tc>
          <w:tcPr>
            <w:tcW w:type="dxa" w:w="7632"/>
            <w:tcMar>
              <w:top w:w="90" w:type="dxa"/>
              <w:start w:w="90" w:type="dxa"/>
              <w:bottom w:w="90" w:type="dxa"/>
              <w:end w:w="90" w:type="dxa"/>
            </w:tcMar>
            <w:vAlign w:val="center"/>
          </w:tcPr>
          <w:p>
            <w:pPr>
              <w:spacing w:after="0" w:line="240" w:lineRule="auto"/>
            </w:pPr>
            <w:r>
              <w:rPr>
                <w:sz w:val="16"/>
              </w:rPr>
              <w:t>Applies across several capabilities or domains.</w:t>
            </w:r>
          </w:p>
        </w:tc>
      </w:tr>
      <w:tr>
        <w:tc>
          <w:tcPr>
            <w:tcW w:type="dxa" w:w="2304"/>
            <w:tcMar>
              <w:top w:w="90" w:type="dxa"/>
              <w:start w:w="90" w:type="dxa"/>
              <w:bottom w:w="90" w:type="dxa"/>
              <w:end w:w="90" w:type="dxa"/>
            </w:tcMar>
            <w:vAlign w:val="center"/>
          </w:tcPr>
          <w:p>
            <w:pPr>
              <w:spacing w:after="0" w:line="240" w:lineRule="auto"/>
            </w:pPr>
            <w:r>
              <w:rPr>
                <w:sz w:val="16"/>
              </w:rPr>
              <w:t>Open</w:t>
            </w:r>
          </w:p>
        </w:tc>
        <w:tc>
          <w:tcPr>
            <w:tcW w:type="dxa" w:w="7632"/>
            <w:tcMar>
              <w:top w:w="90" w:type="dxa"/>
              <w:start w:w="90" w:type="dxa"/>
              <w:bottom w:w="90" w:type="dxa"/>
              <w:end w:w="90" w:type="dxa"/>
            </w:tcMar>
            <w:vAlign w:val="center"/>
          </w:tcPr>
          <w:p>
            <w:pPr>
              <w:spacing w:after="0" w:line="240" w:lineRule="auto"/>
            </w:pPr>
            <w:r>
              <w:rPr>
                <w:sz w:val="16"/>
              </w:rPr>
              <w:t>Requires later judgment or validation.</w:t>
            </w:r>
          </w:p>
        </w:tc>
      </w:tr>
    </w:tbl>
    <w:p>
      <w:pPr>
        <w:pStyle w:val="Heading2"/>
      </w:pPr>
      <w:r>
        <w:t>1.5 Authoritative-document policy</w:t>
      </w:r>
    </w:p>
    <w:p>
      <w:pPr/>
      <w:r>
        <w:t>This v0.2 document is the single controlled and authoritative SRS. The former Concise SRS is retired as an independently maintained requirements artifact. Temporary summaries may be generated from this SRS but do not become requirements sources.</w:t>
      </w:r>
    </w:p>
    <w:p>
      <w:pPr>
        <w:pStyle w:val="Heading1"/>
      </w:pPr>
      <w:r>
        <w:t>2. Purpose</w:t>
      </w:r>
    </w:p>
    <w:p>
      <w:r>
        <w:t>This SRS defines the current business, user, functional, data, privacy, security, quality, and evolution requirements for a local services marketplace. It is intended to provide enough precision for domain modeling, architectural analysis, schema design, implementation planning, and later verification.</w:t>
      </w:r>
    </w:p>
    <w:p>
      <w:pPr>
        <w:pStyle w:val="Heading1"/>
      </w:pPr>
      <w:r>
        <w:t>3. Product Vision</w:t>
      </w:r>
    </w:p>
    <w:p>
      <w:r>
        <w:t>The product connects people who need local services with relevant service providers. Customers can publish a service request or discover provider profiles directly. Providers can discover relevant work, respond flexibly, negotiate when necessary, and build legitimate reputation through completed marketplace activity.</w:t>
      </w:r>
    </w:p>
    <w:p>
      <w:pPr>
        <w:pStyle w:val="Heading1"/>
      </w:pPr>
      <w:r>
        <w:t>4. Product Scope</w:t>
      </w:r>
    </w:p>
    <w:p>
      <w:r>
        <w:t>The product supports local services broadly, including household, personal, commercial, repair, maintenance, diagnostic, and other skill-based services. Plumbing, electrical work, and AC services are expected early categories, but the product is not defined as a home-repair-only marketplace.</w:t>
      </w:r>
    </w:p>
    <w:p>
      <w:pPr>
        <w:pStyle w:val="Heading1"/>
      </w:pPr>
      <w:r>
        <w:t>5. Product Positioning</w:t>
      </w:r>
    </w:p>
    <w:p>
      <w:r>
        <w:t>The platform is primarily a discovery, trust, matching, communication, and marketplace-history system. V1 does not act as an escrow provider, payment guarantor, price enforcer, workmanship guarantor, or legal dispute-resolution service.</w:t>
      </w:r>
    </w:p>
    <w:p>
      <w:pPr>
        <w:pStyle w:val="Heading1"/>
      </w:pPr>
      <w:r>
        <w:t>6. Scope Boundaries</w:t>
      </w:r>
    </w:p>
    <w:p>
      <w:pPr>
        <w:pStyle w:val="Heading2"/>
      </w:pPr>
      <w:r>
        <w:t>6.1 In intended product scope</w:t>
      </w:r>
    </w:p>
    <w:p>
      <w:pPr>
        <w:pStyle w:val="ListBullet"/>
      </w:pPr>
      <w:r>
        <w:t>Customer job/service-request publication</w:t>
      </w:r>
    </w:p>
    <w:p>
      <w:pPr>
        <w:pStyle w:val="ListBullet"/>
      </w:pPr>
      <w:r>
        <w:t>Provider job discovery and response</w:t>
      </w:r>
    </w:p>
    <w:p>
      <w:pPr>
        <w:pStyle w:val="ListBullet"/>
      </w:pPr>
      <w:r>
        <w:t>Direct provider-profile discovery</w:t>
      </w:r>
    </w:p>
    <w:p>
      <w:pPr>
        <w:pStyle w:val="ListBullet"/>
      </w:pPr>
      <w:r>
        <w:t>Provider invitation to an existing job</w:t>
      </w:r>
    </w:p>
    <w:p>
      <w:pPr>
        <w:pStyle w:val="ListBullet"/>
      </w:pPr>
      <w:r>
        <w:t>Flexible pricing and inspection workflows</w:t>
      </w:r>
    </w:p>
    <w:p>
      <w:pPr>
        <w:pStyle w:val="ListBullet"/>
      </w:pPr>
      <w:r>
        <w:t>Scheduling and rescheduling</w:t>
      </w:r>
    </w:p>
    <w:p>
      <w:pPr>
        <w:pStyle w:val="ListBullet"/>
      </w:pPr>
      <w:r>
        <w:t>Individual, shop, agency, and company providers</w:t>
      </w:r>
    </w:p>
    <w:p>
      <w:pPr>
        <w:pStyle w:val="ListBullet"/>
      </w:pPr>
      <w:r>
        <w:t>Two-sided reputation</w:t>
      </w:r>
    </w:p>
    <w:p>
      <w:pPr>
        <w:pStyle w:val="ListBullet"/>
      </w:pPr>
      <w:r>
        <w:t>Cancellation responsibility and history</w:t>
      </w:r>
    </w:p>
    <w:p>
      <w:pPr>
        <w:pStyle w:val="ListBullet"/>
      </w:pPr>
      <w:r>
        <w:t>Complaints and disputes</w:t>
      </w:r>
    </w:p>
    <w:p>
      <w:pPr>
        <w:pStyle w:val="ListBullet"/>
      </w:pPr>
      <w:r>
        <w:t>Controlled service taxonomy</w:t>
      </w:r>
    </w:p>
    <w:p>
      <w:pPr>
        <w:pStyle w:val="ListBullet"/>
      </w:pPr>
      <w:r>
        <w:t>Active/inactive geographic markets</w:t>
      </w:r>
    </w:p>
    <w:p>
      <w:pPr>
        <w:pStyle w:val="ListBullet"/>
      </w:pPr>
      <w:r>
        <w:t>Privacy-conscious in-platform communication</w:t>
      </w:r>
    </w:p>
    <w:p>
      <w:pPr>
        <w:pStyle w:val="ListBullet"/>
      </w:pPr>
      <w:r>
        <w:t>Progressive verification</w:t>
      </w:r>
    </w:p>
    <w:p>
      <w:pPr>
        <w:pStyle w:val="ListBullet"/>
      </w:pPr>
      <w:r>
        <w:t>Operational and analytical data collection</w:t>
      </w:r>
    </w:p>
    <w:p>
      <w:pPr>
        <w:pStyle w:val="Heading2"/>
      </w:pPr>
      <w:r>
        <w:t>6.2 Explicit V1 exclusions or non-obligations</w:t>
      </w:r>
    </w:p>
    <w:p>
      <w:pPr>
        <w:pStyle w:val="ListBullet"/>
      </w:pPr>
      <w:r>
        <w:t>Platform collection or escrow of service payments</w:t>
      </w:r>
    </w:p>
    <w:p>
      <w:pPr>
        <w:pStyle w:val="ListBullet"/>
      </w:pPr>
      <w:r>
        <w:t>Guaranteed refunds, compensation, workmanship, or legal resolution</w:t>
      </w:r>
    </w:p>
    <w:p>
      <w:pPr>
        <w:pStyle w:val="ListBullet"/>
      </w:pPr>
      <w:r>
        <w:t>AI-based classification or recommendation</w:t>
      </w:r>
    </w:p>
    <w:p>
      <w:pPr>
        <w:pStyle w:val="ListBullet"/>
      </w:pPr>
      <w:r>
        <w:t>Fully automated moderation</w:t>
      </w:r>
    </w:p>
    <w:p>
      <w:pPr>
        <w:pStyle w:val="ListBullet"/>
      </w:pPr>
      <w:r>
        <w:t>Advanced emergency dispatch</w:t>
      </w:r>
    </w:p>
    <w:p>
      <w:pPr>
        <w:pStyle w:val="ListBullet"/>
      </w:pPr>
      <w:r>
        <w:t>Perfect identity verification</w:t>
      </w:r>
    </w:p>
    <w:p>
      <w:pPr>
        <w:pStyle w:val="ListBullet"/>
      </w:pPr>
      <w:r>
        <w:t>Complete workforce-management software for companies</w:t>
      </w:r>
    </w:p>
    <w:p>
      <w:pPr>
        <w:pStyle w:val="ListBullet"/>
      </w:pPr>
      <w:r>
        <w:t>All possible service categories at launch</w:t>
      </w:r>
    </w:p>
    <w:p>
      <w:pPr>
        <w:pStyle w:val="ListBullet"/>
      </w:pPr>
      <w:r>
        <w:t>Immediate national-scale infrastructure</w:t>
      </w:r>
    </w:p>
    <w:p>
      <w:pPr>
        <w:pStyle w:val="Heading1"/>
      </w:pPr>
      <w:r>
        <w:t>7. Domain Glossary (Preliminary)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shd w:fill="D9EAF7"/>
            <w:tcMar>
              <w:top w:w="90" w:type="dxa"/>
              <w:start w:w="90" w:type="dxa"/>
              <w:bottom w:w="90" w:type="dxa"/>
              <w:end w:w="90" w:type="dxa"/>
            </w:tcMar>
            <w:vAlign w:val="center"/>
          </w:tcPr>
          <w:p>
            <w:r>
              <w:rPr>
                <w:b/>
                <w:color w:val="17365D"/>
                <w:sz w:val="17"/>
              </w:rPr>
              <w:t>Term</w:t>
            </w:r>
          </w:p>
        </w:tc>
        <w:tc>
          <w:tcPr>
            <w:tcW w:type="dxa" w:w="7920"/>
            <w:shd w:fill="D9EAF7"/>
            <w:tcMar>
              <w:top w:w="90" w:type="dxa"/>
              <w:start w:w="90" w:type="dxa"/>
              <w:bottom w:w="90" w:type="dxa"/>
              <w:end w:w="90" w:type="dxa"/>
            </w:tcMar>
            <w:vAlign w:val="center"/>
          </w:tcPr>
          <w:p>
            <w:r>
              <w:rPr>
                <w:b/>
                <w:color w:val="17365D"/>
                <w:sz w:val="17"/>
              </w:rPr>
              <w:t>Current requirements meaning</w:t>
            </w:r>
          </w:p>
        </w:tc>
      </w:tr>
      <w:tr>
        <w:tc>
          <w:tcPr>
            <w:tcW w:type="dxa" w:w="2016"/>
            <w:tcMar>
              <w:top w:w="90" w:type="dxa"/>
              <w:start w:w="90" w:type="dxa"/>
              <w:bottom w:w="90" w:type="dxa"/>
              <w:end w:w="90" w:type="dxa"/>
            </w:tcMar>
            <w:vAlign w:val="center"/>
          </w:tcPr>
          <w:p>
            <w:pPr>
              <w:spacing w:after="0" w:line="240" w:lineRule="auto"/>
            </w:pPr>
            <w:r>
              <w:rPr>
                <w:sz w:val="16"/>
              </w:rPr>
              <w:t>Customer</w:t>
            </w:r>
          </w:p>
        </w:tc>
        <w:tc>
          <w:tcPr>
            <w:tcW w:type="dxa" w:w="7920"/>
            <w:tcMar>
              <w:top w:w="90" w:type="dxa"/>
              <w:start w:w="90" w:type="dxa"/>
              <w:bottom w:w="90" w:type="dxa"/>
              <w:end w:w="90" w:type="dxa"/>
            </w:tcMar>
            <w:vAlign w:val="center"/>
          </w:tcPr>
          <w:p>
            <w:pPr>
              <w:spacing w:after="0" w:line="240" w:lineRule="auto"/>
            </w:pPr>
            <w:r>
              <w:rPr>
                <w:sz w:val="16"/>
              </w:rPr>
              <w:t>A person or organization seeking a local service.</w:t>
            </w:r>
          </w:p>
        </w:tc>
      </w:tr>
      <w:tr>
        <w:tc>
          <w:tcPr>
            <w:tcW w:type="dxa" w:w="2016"/>
            <w:tcMar>
              <w:top w:w="90" w:type="dxa"/>
              <w:start w:w="90" w:type="dxa"/>
              <w:bottom w:w="90" w:type="dxa"/>
              <w:end w:w="90" w:type="dxa"/>
            </w:tcMar>
            <w:vAlign w:val="center"/>
          </w:tcPr>
          <w:p>
            <w:pPr>
              <w:spacing w:after="0" w:line="240" w:lineRule="auto"/>
            </w:pPr>
            <w:r>
              <w:rPr>
                <w:sz w:val="16"/>
              </w:rPr>
              <w:t>Provider</w:t>
            </w:r>
          </w:p>
        </w:tc>
        <w:tc>
          <w:tcPr>
            <w:tcW w:type="dxa" w:w="7920"/>
            <w:tcMar>
              <w:top w:w="90" w:type="dxa"/>
              <w:start w:w="90" w:type="dxa"/>
              <w:bottom w:w="90" w:type="dxa"/>
              <w:end w:w="90" w:type="dxa"/>
            </w:tcMar>
            <w:vAlign w:val="center"/>
          </w:tcPr>
          <w:p>
            <w:pPr>
              <w:spacing w:after="0" w:line="240" w:lineRule="auto"/>
            </w:pPr>
            <w:r>
              <w:rPr>
                <w:sz w:val="16"/>
              </w:rPr>
              <w:t>An individual, shop, agency, or company offering local services.</w:t>
            </w:r>
          </w:p>
        </w:tc>
      </w:tr>
      <w:tr>
        <w:tc>
          <w:tcPr>
            <w:tcW w:type="dxa" w:w="2016"/>
            <w:tcMar>
              <w:top w:w="90" w:type="dxa"/>
              <w:start w:w="90" w:type="dxa"/>
              <w:bottom w:w="90" w:type="dxa"/>
              <w:end w:w="90" w:type="dxa"/>
            </w:tcMar>
            <w:vAlign w:val="center"/>
          </w:tcPr>
          <w:p>
            <w:pPr>
              <w:spacing w:after="0" w:line="240" w:lineRule="auto"/>
            </w:pPr>
            <w:r>
              <w:rPr>
                <w:sz w:val="16"/>
              </w:rPr>
              <w:t>Worker</w:t>
            </w:r>
          </w:p>
        </w:tc>
        <w:tc>
          <w:tcPr>
            <w:tcW w:type="dxa" w:w="7920"/>
            <w:tcMar>
              <w:top w:w="90" w:type="dxa"/>
              <w:start w:w="90" w:type="dxa"/>
              <w:bottom w:w="90" w:type="dxa"/>
              <w:end w:w="90" w:type="dxa"/>
            </w:tcMar>
            <w:vAlign w:val="center"/>
          </w:tcPr>
          <w:p>
            <w:pPr>
              <w:spacing w:after="0" w:line="240" w:lineRule="auto"/>
            </w:pPr>
            <w:r>
              <w:rPr>
                <w:sz w:val="16"/>
              </w:rPr>
              <w:t>A person who physically performs work, either independently or for an organizational provider.</w:t>
            </w:r>
          </w:p>
        </w:tc>
      </w:tr>
      <w:tr>
        <w:tc>
          <w:tcPr>
            <w:tcW w:type="dxa" w:w="2016"/>
            <w:tcMar>
              <w:top w:w="90" w:type="dxa"/>
              <w:start w:w="90" w:type="dxa"/>
              <w:bottom w:w="90" w:type="dxa"/>
              <w:end w:w="90" w:type="dxa"/>
            </w:tcMar>
            <w:vAlign w:val="center"/>
          </w:tcPr>
          <w:p>
            <w:pPr>
              <w:spacing w:after="0" w:line="240" w:lineRule="auto"/>
            </w:pPr>
            <w:r>
              <w:rPr>
                <w:sz w:val="16"/>
              </w:rPr>
              <w:t>Job / Service Request</w:t>
            </w:r>
          </w:p>
        </w:tc>
        <w:tc>
          <w:tcPr>
            <w:tcW w:type="dxa" w:w="7920"/>
            <w:tcMar>
              <w:top w:w="90" w:type="dxa"/>
              <w:start w:w="90" w:type="dxa"/>
              <w:bottom w:w="90" w:type="dxa"/>
              <w:end w:w="90" w:type="dxa"/>
            </w:tcMar>
            <w:vAlign w:val="center"/>
          </w:tcPr>
          <w:p>
            <w:pPr>
              <w:spacing w:after="0" w:line="240" w:lineRule="auto"/>
            </w:pPr>
            <w:r>
              <w:rPr>
                <w:sz w:val="16"/>
              </w:rPr>
              <w:t>A customer request for assistance, diagnosis, inspection, repair, installation, maintenance, or other service. It may exist without a known solution, worker, final price, or agreement.</w:t>
            </w:r>
          </w:p>
        </w:tc>
      </w:tr>
      <w:tr>
        <w:tc>
          <w:tcPr>
            <w:tcW w:type="dxa" w:w="2016"/>
            <w:tcMar>
              <w:top w:w="90" w:type="dxa"/>
              <w:start w:w="90" w:type="dxa"/>
              <w:bottom w:w="90" w:type="dxa"/>
              <w:end w:w="90" w:type="dxa"/>
            </w:tcMar>
            <w:vAlign w:val="center"/>
          </w:tcPr>
          <w:p>
            <w:pPr>
              <w:spacing w:after="0" w:line="240" w:lineRule="auto"/>
            </w:pPr>
            <w:r>
              <w:rPr>
                <w:sz w:val="16"/>
              </w:rPr>
              <w:t>Response</w:t>
            </w:r>
          </w:p>
        </w:tc>
        <w:tc>
          <w:tcPr>
            <w:tcW w:type="dxa" w:w="7920"/>
            <w:tcMar>
              <w:top w:w="90" w:type="dxa"/>
              <w:start w:w="90" w:type="dxa"/>
              <w:bottom w:w="90" w:type="dxa"/>
              <w:end w:w="90" w:type="dxa"/>
            </w:tcMar>
            <w:vAlign w:val="center"/>
          </w:tcPr>
          <w:p>
            <w:pPr>
              <w:spacing w:after="0" w:line="240" w:lineRule="auto"/>
            </w:pPr>
            <w:r>
              <w:rPr>
                <w:sz w:val="16"/>
              </w:rPr>
              <w:t>A provider expression of interest in a job. It may be a one-click application or contain a message, price, inspection request, availability, scheduling proposal, or counter-proposal.</w:t>
            </w:r>
          </w:p>
        </w:tc>
      </w:tr>
      <w:tr>
        <w:tc>
          <w:tcPr>
            <w:tcW w:type="dxa" w:w="2016"/>
            <w:tcMar>
              <w:top w:w="90" w:type="dxa"/>
              <w:start w:w="90" w:type="dxa"/>
              <w:bottom w:w="90" w:type="dxa"/>
              <w:end w:w="90" w:type="dxa"/>
            </w:tcMar>
            <w:vAlign w:val="center"/>
          </w:tcPr>
          <w:p>
            <w:pPr>
              <w:spacing w:after="0" w:line="240" w:lineRule="auto"/>
            </w:pPr>
            <w:r>
              <w:rPr>
                <w:sz w:val="16"/>
              </w:rPr>
              <w:t>Selection</w:t>
            </w:r>
          </w:p>
        </w:tc>
        <w:tc>
          <w:tcPr>
            <w:tcW w:type="dxa" w:w="7920"/>
            <w:tcMar>
              <w:top w:w="90" w:type="dxa"/>
              <w:start w:w="90" w:type="dxa"/>
              <w:bottom w:w="90" w:type="dxa"/>
              <w:end w:w="90" w:type="dxa"/>
            </w:tcMar>
            <w:vAlign w:val="center"/>
          </w:tcPr>
          <w:p>
            <w:pPr>
              <w:spacing w:after="0" w:line="240" w:lineRule="auto"/>
            </w:pPr>
            <w:r>
              <w:rPr>
                <w:sz w:val="16"/>
              </w:rPr>
              <w:t>The customer chooses one provider response for the job.</w:t>
            </w:r>
          </w:p>
        </w:tc>
      </w:tr>
      <w:tr>
        <w:tc>
          <w:tcPr>
            <w:tcW w:type="dxa" w:w="2016"/>
            <w:tcMar>
              <w:top w:w="90" w:type="dxa"/>
              <w:start w:w="90" w:type="dxa"/>
              <w:bottom w:w="90" w:type="dxa"/>
              <w:end w:w="90" w:type="dxa"/>
            </w:tcMar>
            <w:vAlign w:val="center"/>
          </w:tcPr>
          <w:p>
            <w:pPr>
              <w:spacing w:after="0" w:line="240" w:lineRule="auto"/>
            </w:pPr>
            <w:r>
              <w:rPr>
                <w:sz w:val="16"/>
              </w:rPr>
              <w:t>Assignment</w:t>
            </w:r>
          </w:p>
        </w:tc>
        <w:tc>
          <w:tcPr>
            <w:tcW w:type="dxa" w:w="7920"/>
            <w:tcMar>
              <w:top w:w="90" w:type="dxa"/>
              <w:start w:w="90" w:type="dxa"/>
              <w:bottom w:w="90" w:type="dxa"/>
              <w:end w:w="90" w:type="dxa"/>
            </w:tcMar>
            <w:vAlign w:val="center"/>
          </w:tcPr>
          <w:p>
            <w:pPr>
              <w:spacing w:after="0" w:line="240" w:lineRule="auto"/>
            </w:pPr>
            <w:r>
              <w:rPr>
                <w:sz w:val="16"/>
              </w:rPr>
              <w:t>The relationship formed when a provider is selected and accepts responsibility for the job.</w:t>
            </w:r>
          </w:p>
        </w:tc>
      </w:tr>
      <w:tr>
        <w:tc>
          <w:tcPr>
            <w:tcW w:type="dxa" w:w="2016"/>
            <w:tcMar>
              <w:top w:w="90" w:type="dxa"/>
              <w:start w:w="90" w:type="dxa"/>
              <w:bottom w:w="90" w:type="dxa"/>
              <w:end w:w="90" w:type="dxa"/>
            </w:tcMar>
            <w:vAlign w:val="center"/>
          </w:tcPr>
          <w:p>
            <w:pPr>
              <w:spacing w:after="0" w:line="240" w:lineRule="auto"/>
            </w:pPr>
            <w:r>
              <w:rPr>
                <w:sz w:val="16"/>
              </w:rPr>
              <w:t>Inspection</w:t>
            </w:r>
          </w:p>
        </w:tc>
        <w:tc>
          <w:tcPr>
            <w:tcW w:type="dxa" w:w="7920"/>
            <w:tcMar>
              <w:top w:w="90" w:type="dxa"/>
              <w:start w:w="90" w:type="dxa"/>
              <w:bottom w:w="90" w:type="dxa"/>
              <w:end w:w="90" w:type="dxa"/>
            </w:tcMar>
            <w:vAlign w:val="center"/>
          </w:tcPr>
          <w:p>
            <w:r>
              <w:t>A visit or assessment intended to understand a problem, scope, or price. Inspection may be the contracted deliverable of a job, in which case performing it constitutes work, or a preliminary activity within a broader job, in which case it does not by itself complete that broader job.</w:t>
            </w:r>
          </w:p>
        </w:tc>
      </w:tr>
      <w:tr>
        <w:tc>
          <w:tcPr>
            <w:tcW w:type="dxa" w:w="2016"/>
            <w:tcMar>
              <w:top w:w="90" w:type="dxa"/>
              <w:start w:w="90" w:type="dxa"/>
              <w:bottom w:w="90" w:type="dxa"/>
              <w:end w:w="90" w:type="dxa"/>
            </w:tcMar>
            <w:vAlign w:val="center"/>
          </w:tcPr>
          <w:p>
            <w:pPr>
              <w:spacing w:after="0" w:line="240" w:lineRule="auto"/>
            </w:pPr>
            <w:r>
              <w:rPr>
                <w:sz w:val="16"/>
              </w:rPr>
              <w:t>Successful job</w:t>
            </w:r>
          </w:p>
        </w:tc>
        <w:tc>
          <w:tcPr>
            <w:tcW w:type="dxa" w:w="7920"/>
            <w:tcMar>
              <w:top w:w="90" w:type="dxa"/>
              <w:start w:w="90" w:type="dxa"/>
              <w:bottom w:w="90" w:type="dxa"/>
              <w:end w:w="90" w:type="dxa"/>
            </w:tcMar>
            <w:vAlign w:val="center"/>
          </w:tcPr>
          <w:p>
            <w:pPr>
              <w:spacing w:after="0" w:line="240" w:lineRule="auto"/>
            </w:pPr>
            <w:r>
              <w:rPr>
                <w:sz w:val="16"/>
              </w:rPr>
              <w:t>A published job for which a provider is selected, work is performed, and completion is recorded under the prevailing completion policy.</w:t>
            </w:r>
          </w:p>
        </w:tc>
      </w:tr>
      <w:tr>
        <w:tc>
          <w:tcPr>
            <w:tcW w:type="dxa" w:w="2016"/>
            <w:tcMar>
              <w:top w:w="90" w:type="dxa"/>
              <w:start w:w="90" w:type="dxa"/>
              <w:bottom w:w="90" w:type="dxa"/>
              <w:end w:w="90" w:type="dxa"/>
            </w:tcMar>
            <w:vAlign w:val="center"/>
          </w:tcPr>
          <w:p>
            <w:pPr>
              <w:spacing w:after="0" w:line="240" w:lineRule="auto"/>
            </w:pPr>
            <w:r>
              <w:rPr>
                <w:sz w:val="16"/>
              </w:rPr>
              <w:t>Active location</w:t>
            </w:r>
          </w:p>
        </w:tc>
        <w:tc>
          <w:tcPr>
            <w:tcW w:type="dxa" w:w="7920"/>
            <w:tcMar>
              <w:top w:w="90" w:type="dxa"/>
              <w:start w:w="90" w:type="dxa"/>
              <w:bottom w:w="90" w:type="dxa"/>
              <w:end w:w="90" w:type="dxa"/>
            </w:tcMar>
            <w:vAlign w:val="center"/>
          </w:tcPr>
          <w:p>
            <w:pPr>
              <w:spacing w:after="0" w:line="240" w:lineRule="auto"/>
            </w:pPr>
            <w:r>
              <w:rPr>
                <w:sz w:val="16"/>
              </w:rPr>
              <w:t>A geographic market in which live jobs and provider interactions are enabled.</w:t>
            </w:r>
          </w:p>
        </w:tc>
      </w:tr>
      <w:tr>
        <w:tc>
          <w:tcPr>
            <w:tcW w:type="dxa" w:w="2016"/>
            <w:tcMar>
              <w:top w:w="90" w:type="dxa"/>
              <w:start w:w="90" w:type="dxa"/>
              <w:bottom w:w="90" w:type="dxa"/>
              <w:end w:w="90" w:type="dxa"/>
            </w:tcMar>
            <w:vAlign w:val="center"/>
          </w:tcPr>
          <w:p>
            <w:pPr>
              <w:spacing w:after="0" w:line="240" w:lineRule="auto"/>
            </w:pPr>
            <w:r>
              <w:rPr>
                <w:sz w:val="16"/>
              </w:rPr>
              <w:t>Verification</w:t>
            </w:r>
          </w:p>
        </w:tc>
        <w:tc>
          <w:tcPr>
            <w:tcW w:type="dxa" w:w="7920"/>
            <w:tcMar>
              <w:top w:w="90" w:type="dxa"/>
              <w:start w:w="90" w:type="dxa"/>
              <w:bottom w:w="90" w:type="dxa"/>
              <w:end w:w="90" w:type="dxa"/>
            </w:tcMar>
            <w:vAlign w:val="center"/>
          </w:tcPr>
          <w:p>
            <w:pPr>
              <w:spacing w:after="0" w:line="240" w:lineRule="auto"/>
            </w:pPr>
            <w:r>
              <w:rPr>
                <w:sz w:val="16"/>
              </w:rPr>
              <w:t>Progressive evidence intended to improve trust. Verification is not equivalent to formal professional certification.</w:t>
            </w:r>
          </w:p>
        </w:tc>
      </w:tr>
      <w:tr>
        <w:tc>
          <w:tcPr>
            <w:tcW w:type="dxa" w:w="2016"/>
            <w:tcMar>
              <w:top w:w="90" w:type="dxa"/>
              <w:start w:w="90" w:type="dxa"/>
              <w:bottom w:w="90" w:type="dxa"/>
              <w:end w:w="90" w:type="dxa"/>
            </w:tcMar>
            <w:vAlign w:val="center"/>
          </w:tcPr>
          <w:p>
            <w:pPr>
              <w:spacing w:after="0" w:line="240" w:lineRule="auto"/>
            </w:pPr>
            <w:r>
              <w:rPr>
                <w:sz w:val="16"/>
              </w:rPr>
              <w:t>Reputation</w:t>
            </w:r>
          </w:p>
        </w:tc>
        <w:tc>
          <w:tcPr>
            <w:tcW w:type="dxa" w:w="7920"/>
            <w:tcMar>
              <w:top w:w="90" w:type="dxa"/>
              <w:start w:w="90" w:type="dxa"/>
              <w:bottom w:w="90" w:type="dxa"/>
              <w:end w:w="90" w:type="dxa"/>
            </w:tcMar>
            <w:vAlign w:val="center"/>
          </w:tcPr>
          <w:p>
            <w:pPr>
              <w:spacing w:after="0" w:line="240" w:lineRule="auto"/>
            </w:pPr>
            <w:r>
              <w:rPr>
                <w:sz w:val="16"/>
              </w:rPr>
              <w:t>Legitimate history derived from qualifying marketplace activity, including ratings, completed jobs, cancellations, and other integrity indicators.</w:t>
            </w:r>
          </w:p>
        </w:tc>
      </w:tr>
      <w:tr>
        <w:tc>
          <w:tcPr>
            <w:tcW w:type="dxa" w:w="4997"/>
            <w:tcMar>
              <w:top w:w="90" w:type="dxa"/>
              <w:start w:w="90" w:type="dxa"/>
              <w:bottom w:w="90" w:type="dxa"/>
              <w:end w:w="90" w:type="dxa"/>
            </w:tcMar>
          </w:tcPr>
          <w:p>
            <w:r>
              <w:t>Agreement</w:t>
            </w:r>
          </w:p>
        </w:tc>
        <w:tc>
          <w:tcPr>
            <w:tcW w:type="dxa" w:w="4997"/>
            <w:tcMar>
              <w:top w:w="90" w:type="dxa"/>
              <w:start w:w="90" w:type="dxa"/>
              <w:bottom w:w="90" w:type="dxa"/>
              <w:end w:w="90" w:type="dxa"/>
            </w:tcMar>
          </w:tcPr>
          <w:p>
            <w:r>
              <w:t>Mutual acceptance by customer and provider of specific terms such as scope, price, or schedule. Whether Agreement becomes a distinct domain concept or part of an Assignment is reserved for domain modeling; in this SRS, 'agreed' means both parties accepted the relevant terms.</w:t>
            </w:r>
          </w:p>
        </w:tc>
      </w:tr>
    </w:tbl>
    <w:p>
      <w:pPr>
        <w:spacing w:after="20"/>
      </w:pPr>
    </w:p>
    <w:p>
      <w:pPr>
        <w:pStyle w:val="Heading1"/>
      </w:pPr>
      <w:r>
        <w:t>8. Stakeholders and User Classes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D9EAF7"/>
            <w:tcMar>
              <w:top w:w="90" w:type="dxa"/>
              <w:start w:w="90" w:type="dxa"/>
              <w:bottom w:w="90" w:type="dxa"/>
              <w:end w:w="90" w:type="dxa"/>
            </w:tcMar>
            <w:vAlign w:val="center"/>
          </w:tcPr>
          <w:p>
            <w:r>
              <w:rPr>
                <w:b/>
                <w:color w:val="17365D"/>
                <w:sz w:val="17"/>
              </w:rPr>
              <w:t>User class</w:t>
            </w:r>
          </w:p>
        </w:tc>
        <w:tc>
          <w:tcPr>
            <w:tcW w:type="dxa" w:w="7344"/>
            <w:shd w:fill="D9EAF7"/>
            <w:tcMar>
              <w:top w:w="90" w:type="dxa"/>
              <w:start w:w="90" w:type="dxa"/>
              <w:bottom w:w="90" w:type="dxa"/>
              <w:end w:w="90" w:type="dxa"/>
            </w:tcMar>
            <w:vAlign w:val="center"/>
          </w:tcPr>
          <w:p>
            <w:r>
              <w:rPr>
                <w:b/>
                <w:color w:val="17365D"/>
                <w:sz w:val="17"/>
              </w:rPr>
              <w:t>Needs and characteristics</w:t>
            </w:r>
          </w:p>
        </w:tc>
      </w:tr>
      <w:tr>
        <w:tc>
          <w:tcPr>
            <w:tcW w:type="dxa" w:w="2592"/>
            <w:tcMar>
              <w:top w:w="90" w:type="dxa"/>
              <w:start w:w="90" w:type="dxa"/>
              <w:bottom w:w="90" w:type="dxa"/>
              <w:end w:w="90" w:type="dxa"/>
            </w:tcMar>
            <w:vAlign w:val="center"/>
          </w:tcPr>
          <w:p>
            <w:pPr>
              <w:spacing w:after="0" w:line="240" w:lineRule="auto"/>
            </w:pPr>
            <w:r>
              <w:rPr>
                <w:sz w:val="16"/>
              </w:rPr>
              <w:t>Customer</w:t>
            </w:r>
          </w:p>
        </w:tc>
        <w:tc>
          <w:tcPr>
            <w:tcW w:type="dxa" w:w="7344"/>
            <w:tcMar>
              <w:top w:w="90" w:type="dxa"/>
              <w:start w:w="90" w:type="dxa"/>
              <w:bottom w:w="90" w:type="dxa"/>
              <w:end w:w="90" w:type="dxa"/>
            </w:tcMar>
            <w:vAlign w:val="center"/>
          </w:tcPr>
          <w:p>
            <w:pPr>
              <w:spacing w:after="0" w:line="240" w:lineRule="auto"/>
            </w:pPr>
            <w:r>
              <w:rPr>
                <w:sz w:val="16"/>
              </w:rPr>
              <w:t>Needs a service with minimal friction; may know the required work or only a symptom; may search providers or publish a job.</w:t>
            </w:r>
          </w:p>
        </w:tc>
      </w:tr>
      <w:tr>
        <w:tc>
          <w:tcPr>
            <w:tcW w:type="dxa" w:w="2592"/>
            <w:tcMar>
              <w:top w:w="90" w:type="dxa"/>
              <w:start w:w="90" w:type="dxa"/>
              <w:bottom w:w="90" w:type="dxa"/>
              <w:end w:w="90" w:type="dxa"/>
            </w:tcMar>
            <w:vAlign w:val="center"/>
          </w:tcPr>
          <w:p>
            <w:pPr>
              <w:spacing w:after="0" w:line="240" w:lineRule="auto"/>
            </w:pPr>
            <w:r>
              <w:rPr>
                <w:sz w:val="16"/>
              </w:rPr>
              <w:t>Individual provider</w:t>
            </w:r>
          </w:p>
        </w:tc>
        <w:tc>
          <w:tcPr>
            <w:tcW w:type="dxa" w:w="7344"/>
            <w:tcMar>
              <w:top w:w="90" w:type="dxa"/>
              <w:start w:w="90" w:type="dxa"/>
              <w:bottom w:w="90" w:type="dxa"/>
              <w:end w:w="90" w:type="dxa"/>
            </w:tcMar>
            <w:vAlign w:val="center"/>
          </w:tcPr>
          <w:p>
            <w:pPr>
              <w:spacing w:after="0" w:line="240" w:lineRule="auto"/>
            </w:pPr>
            <w:r>
              <w:rPr>
                <w:sz w:val="16"/>
              </w:rPr>
              <w:t>Offers services personally, discovers jobs, responds, negotiates, schedules, and completes work.</w:t>
            </w:r>
          </w:p>
        </w:tc>
      </w:tr>
      <w:tr>
        <w:tc>
          <w:tcPr>
            <w:tcW w:type="dxa" w:w="2592"/>
            <w:tcMar>
              <w:top w:w="90" w:type="dxa"/>
              <w:start w:w="90" w:type="dxa"/>
              <w:bottom w:w="90" w:type="dxa"/>
              <w:end w:w="90" w:type="dxa"/>
            </w:tcMar>
            <w:vAlign w:val="center"/>
          </w:tcPr>
          <w:p>
            <w:pPr>
              <w:spacing w:after="0" w:line="240" w:lineRule="auto"/>
            </w:pPr>
            <w:r>
              <w:rPr>
                <w:sz w:val="16"/>
              </w:rPr>
              <w:t>Shop provider</w:t>
            </w:r>
          </w:p>
        </w:tc>
        <w:tc>
          <w:tcPr>
            <w:tcW w:type="dxa" w:w="7344"/>
            <w:tcMar>
              <w:top w:w="90" w:type="dxa"/>
              <w:start w:w="90" w:type="dxa"/>
              <w:bottom w:w="90" w:type="dxa"/>
              <w:end w:w="90" w:type="dxa"/>
            </w:tcMar>
            <w:vAlign w:val="center"/>
          </w:tcPr>
          <w:p>
            <w:pPr>
              <w:spacing w:after="0" w:line="240" w:lineRule="auto"/>
            </w:pPr>
            <w:r>
              <w:rPr>
                <w:sz w:val="16"/>
              </w:rPr>
              <w:t>Represents a physical shop and may provide or assign workers.</w:t>
            </w:r>
          </w:p>
        </w:tc>
      </w:tr>
      <w:tr>
        <w:tc>
          <w:tcPr>
            <w:tcW w:type="dxa" w:w="2592"/>
            <w:tcMar>
              <w:top w:w="90" w:type="dxa"/>
              <w:start w:w="90" w:type="dxa"/>
              <w:bottom w:w="90" w:type="dxa"/>
              <w:end w:w="90" w:type="dxa"/>
            </w:tcMar>
            <w:vAlign w:val="center"/>
          </w:tcPr>
          <w:p>
            <w:pPr>
              <w:spacing w:after="0" w:line="240" w:lineRule="auto"/>
            </w:pPr>
            <w:r>
              <w:rPr>
                <w:sz w:val="16"/>
              </w:rPr>
              <w:t>Agency provider</w:t>
            </w:r>
          </w:p>
        </w:tc>
        <w:tc>
          <w:tcPr>
            <w:tcW w:type="dxa" w:w="7344"/>
            <w:tcMar>
              <w:top w:w="90" w:type="dxa"/>
              <w:start w:w="90" w:type="dxa"/>
              <w:bottom w:w="90" w:type="dxa"/>
              <w:end w:w="90" w:type="dxa"/>
            </w:tcMar>
            <w:vAlign w:val="center"/>
          </w:tcPr>
          <w:p>
            <w:pPr>
              <w:spacing w:after="0" w:line="240" w:lineRule="auto"/>
            </w:pPr>
            <w:r>
              <w:rPr>
                <w:sz w:val="16"/>
              </w:rPr>
              <w:t>Represents a service agency and may manage multiple associated workers.</w:t>
            </w:r>
          </w:p>
        </w:tc>
      </w:tr>
      <w:tr>
        <w:tc>
          <w:tcPr>
            <w:tcW w:type="dxa" w:w="2592"/>
            <w:tcMar>
              <w:top w:w="90" w:type="dxa"/>
              <w:start w:w="90" w:type="dxa"/>
              <w:bottom w:w="90" w:type="dxa"/>
              <w:end w:w="90" w:type="dxa"/>
            </w:tcMar>
            <w:vAlign w:val="center"/>
          </w:tcPr>
          <w:p>
            <w:pPr>
              <w:spacing w:after="0" w:line="240" w:lineRule="auto"/>
            </w:pPr>
            <w:r>
              <w:rPr>
                <w:sz w:val="16"/>
              </w:rPr>
              <w:t>Company provider</w:t>
            </w:r>
          </w:p>
        </w:tc>
        <w:tc>
          <w:tcPr>
            <w:tcW w:type="dxa" w:w="7344"/>
            <w:tcMar>
              <w:top w:w="90" w:type="dxa"/>
              <w:start w:w="90" w:type="dxa"/>
              <w:bottom w:w="90" w:type="dxa"/>
              <w:end w:w="90" w:type="dxa"/>
            </w:tcMar>
            <w:vAlign w:val="center"/>
          </w:tcPr>
          <w:p>
            <w:pPr>
              <w:spacing w:after="0" w:line="240" w:lineRule="auto"/>
            </w:pPr>
            <w:r>
              <w:rPr>
                <w:sz w:val="16"/>
              </w:rPr>
              <w:t>Represents a registered organization and may manage organization-level identity, profile, services, and workers.</w:t>
            </w:r>
          </w:p>
        </w:tc>
      </w:tr>
      <w:tr>
        <w:tc>
          <w:tcPr>
            <w:tcW w:type="dxa" w:w="2592"/>
            <w:tcMar>
              <w:top w:w="90" w:type="dxa"/>
              <w:start w:w="90" w:type="dxa"/>
              <w:bottom w:w="90" w:type="dxa"/>
              <w:end w:w="90" w:type="dxa"/>
            </w:tcMar>
            <w:vAlign w:val="center"/>
          </w:tcPr>
          <w:p>
            <w:pPr>
              <w:spacing w:after="0" w:line="240" w:lineRule="auto"/>
            </w:pPr>
            <w:r>
              <w:rPr>
                <w:sz w:val="16"/>
              </w:rPr>
              <w:t>Worker associated with organization</w:t>
            </w:r>
          </w:p>
        </w:tc>
        <w:tc>
          <w:tcPr>
            <w:tcW w:type="dxa" w:w="7344"/>
            <w:tcMar>
              <w:top w:w="90" w:type="dxa"/>
              <w:start w:w="90" w:type="dxa"/>
              <w:bottom w:w="90" w:type="dxa"/>
              <w:end w:w="90" w:type="dxa"/>
            </w:tcMar>
            <w:vAlign w:val="center"/>
          </w:tcPr>
          <w:p>
            <w:pPr>
              <w:spacing w:after="0" w:line="240" w:lineRule="auto"/>
            </w:pPr>
            <w:r>
              <w:rPr>
                <w:sz w:val="16"/>
              </w:rPr>
              <w:t>Performs assigned work under an organization; exact reputation model remains open.</w:t>
            </w:r>
          </w:p>
        </w:tc>
      </w:tr>
      <w:tr>
        <w:tc>
          <w:tcPr>
            <w:tcW w:type="dxa" w:w="2592"/>
            <w:tcMar>
              <w:top w:w="90" w:type="dxa"/>
              <w:start w:w="90" w:type="dxa"/>
              <w:bottom w:w="90" w:type="dxa"/>
              <w:end w:w="90" w:type="dxa"/>
            </w:tcMar>
            <w:vAlign w:val="center"/>
          </w:tcPr>
          <w:p>
            <w:pPr>
              <w:spacing w:after="0" w:line="240" w:lineRule="auto"/>
            </w:pPr>
            <w:r>
              <w:rPr>
                <w:sz w:val="16"/>
              </w:rPr>
              <w:t>Platform governance role</w:t>
            </w:r>
          </w:p>
        </w:tc>
        <w:tc>
          <w:tcPr>
            <w:tcW w:type="dxa" w:w="7344"/>
            <w:tcMar>
              <w:top w:w="90" w:type="dxa"/>
              <w:start w:w="90" w:type="dxa"/>
              <w:bottom w:w="90" w:type="dxa"/>
              <w:end w:w="90" w:type="dxa"/>
            </w:tcMar>
            <w:vAlign w:val="center"/>
          </w:tcPr>
          <w:p>
            <w:pPr>
              <w:spacing w:after="0" w:line="240" w:lineRule="auto"/>
            </w:pPr>
            <w:r>
              <w:rPr>
                <w:sz w:val="16"/>
              </w:rPr>
              <w:t>Manages controlled categories, locations, policies, safety, moderation, and disputes. Staffing and implementation are outside current requirements.</w:t>
            </w:r>
          </w:p>
        </w:tc>
      </w:tr>
      <w:tr>
        <w:tc>
          <w:tcPr>
            <w:tcW w:type="dxa" w:w="2592"/>
            <w:tcMar>
              <w:top w:w="90" w:type="dxa"/>
              <w:start w:w="90" w:type="dxa"/>
              <w:bottom w:w="90" w:type="dxa"/>
              <w:end w:w="90" w:type="dxa"/>
            </w:tcMar>
            <w:vAlign w:val="center"/>
          </w:tcPr>
          <w:p>
            <w:pPr>
              <w:spacing w:after="0" w:line="240" w:lineRule="auto"/>
            </w:pPr>
            <w:r>
              <w:rPr>
                <w:sz w:val="16"/>
              </w:rPr>
              <w:t>Founder/product authority</w:t>
            </w:r>
          </w:p>
        </w:tc>
        <w:tc>
          <w:tcPr>
            <w:tcW w:type="dxa" w:w="7344"/>
            <w:tcMar>
              <w:top w:w="90" w:type="dxa"/>
              <w:start w:w="90" w:type="dxa"/>
              <w:bottom w:w="90" w:type="dxa"/>
              <w:end w:w="90" w:type="dxa"/>
            </w:tcMar>
            <w:vAlign w:val="center"/>
          </w:tcPr>
          <w:p>
            <w:pPr>
              <w:spacing w:after="0" w:line="240" w:lineRule="auto"/>
            </w:pPr>
            <w:r>
              <w:rPr>
                <w:sz w:val="16"/>
              </w:rPr>
              <w:t>Owns requirements decisions, prioritization, policy evolution, and baseline approval.</w:t>
            </w:r>
          </w:p>
        </w:tc>
      </w:tr>
    </w:tbl>
    <w:p>
      <w:pPr>
        <w:spacing w:after="20"/>
      </w:pPr>
    </w:p>
    <w:p>
      <w:pPr>
        <w:pStyle w:val="Heading1"/>
      </w:pPr>
      <w:r>
        <w:t>9. Business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BR-001</w:t>
            </w:r>
          </w:p>
        </w:tc>
        <w:tc>
          <w:tcPr>
            <w:tcW w:type="dxa" w:w="7056"/>
            <w:tcMar>
              <w:top w:w="90" w:type="dxa"/>
              <w:start w:w="90" w:type="dxa"/>
              <w:bottom w:w="90" w:type="dxa"/>
              <w:end w:w="90" w:type="dxa"/>
            </w:tcMar>
            <w:vAlign w:val="center"/>
            <w:shd w:fill="EAF2F8"/>
          </w:tcPr>
          <w:p>
            <w:r>
              <w:rPr>
                <w:b/>
                <w:color w:val="17365D"/>
                <w:sz w:val="17"/>
              </w:rPr>
              <w:t>Broad local-services marketplace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product shall serve any legitimate customer seeking a supported local service, rather than being limited to homeowners or a single trade.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BR-002</w:t>
            </w:r>
          </w:p>
        </w:tc>
        <w:tc>
          <w:tcPr>
            <w:tcW w:type="dxa" w:w="7056"/>
            <w:tcMar>
              <w:top w:w="90" w:type="dxa"/>
              <w:start w:w="90" w:type="dxa"/>
              <w:bottom w:w="90" w:type="dxa"/>
              <w:end w:w="90" w:type="dxa"/>
            </w:tcMar>
            <w:vAlign w:val="center"/>
            <w:shd w:fill="EAF2F8"/>
          </w:tcPr>
          <w:p>
            <w:r>
              <w:rPr>
                <w:b/>
                <w:color w:val="17365D"/>
                <w:sz w:val="17"/>
              </w:rPr>
              <w:t>Two discovery paths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product shall support both job-driven discovery and direct provider-profile discovery as first-class marketplace paths.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 Q7</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BR-003</w:t>
            </w:r>
          </w:p>
        </w:tc>
        <w:tc>
          <w:tcPr>
            <w:tcW w:type="dxa" w:w="7056"/>
            <w:tcMar>
              <w:top w:w="90" w:type="dxa"/>
              <w:start w:w="90" w:type="dxa"/>
              <w:bottom w:w="90" w:type="dxa"/>
              <w:end w:w="90" w:type="dxa"/>
            </w:tcMar>
            <w:vAlign w:val="center"/>
            <w:shd w:fill="EAF2F8"/>
          </w:tcPr>
          <w:p>
            <w:r>
              <w:rPr>
                <w:b/>
                <w:color w:val="17365D"/>
                <w:sz w:val="17"/>
              </w:rPr>
              <w:t>Connection without relationship ownership</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facilitate discovery, trust, matching, and history without claiming ownership of the parties’ future relationship after a job.</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BR-004</w:t>
            </w:r>
          </w:p>
        </w:tc>
        <w:tc>
          <w:tcPr>
            <w:tcW w:type="dxa" w:w="7056"/>
            <w:tcMar>
              <w:top w:w="90" w:type="dxa"/>
              <w:start w:w="90" w:type="dxa"/>
              <w:bottom w:w="90" w:type="dxa"/>
              <w:end w:w="90" w:type="dxa"/>
            </w:tcMar>
            <w:vAlign w:val="center"/>
            <w:shd w:fill="EAF2F8"/>
          </w:tcPr>
          <w:p>
            <w:r>
              <w:rPr>
                <w:b/>
                <w:color w:val="17365D"/>
                <w:sz w:val="17"/>
              </w:rPr>
              <w:t>Marketplace success definition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A platform job shall count as successful only after publication, provider selection, work performance, and recorded completion. 'Work performance' includes inspection or diagnosis when that is the agreed deliverable. Applications, preliminary inspections, conversations, and profile contacts alone shall not count as successful jobs.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BR-005</w:t>
            </w:r>
          </w:p>
        </w:tc>
        <w:tc>
          <w:tcPr>
            <w:tcW w:type="dxa" w:w="7056"/>
            <w:tcMar>
              <w:top w:w="90" w:type="dxa"/>
              <w:start w:w="90" w:type="dxa"/>
              <w:bottom w:w="90" w:type="dxa"/>
              <w:end w:w="90" w:type="dxa"/>
            </w:tcMar>
            <w:vAlign w:val="center"/>
            <w:shd w:fill="EAF2F8"/>
          </w:tcPr>
          <w:p>
            <w:r>
              <w:rPr>
                <w:b/>
                <w:color w:val="17365D"/>
                <w:sz w:val="17"/>
              </w:rPr>
              <w:t>Provider-funded monetization hypothesis</w:t>
            </w:r>
          </w:p>
        </w:tc>
        <w:tc>
          <w:tcPr>
            <w:tcW w:type="dxa" w:w="1656"/>
            <w:tcMar>
              <w:top w:w="90" w:type="dxa"/>
              <w:start w:w="90" w:type="dxa"/>
              <w:bottom w:w="90" w:type="dxa"/>
              <w:end w:w="90" w:type="dxa"/>
            </w:tcMar>
            <w:vAlign w:val="center"/>
            <w:shd w:fill="EAF2F8"/>
          </w:tcPr>
          <w:p>
            <w:r>
              <w:rPr>
                <w:b/>
                <w:color w:val="17365D"/>
                <w:sz w:val="17"/>
              </w:rPr>
              <w:t>Hypothesis</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long-term business may monetize provider access to opportunities or related provider-side value after the marketplace achieves sufficient demand. This is a hypothesis, not a V1 commitment.</w:t>
            </w:r>
          </w:p>
        </w:tc>
        <w:tc>
          <w:tcPr>
            <w:tcW w:type="dxa" w:w="1656"/>
            <w:tcMar>
              <w:top w:w="90" w:type="dxa"/>
              <w:start w:w="90" w:type="dxa"/>
              <w:bottom w:w="90" w:type="dxa"/>
              <w:end w:w="90" w:type="dxa"/>
            </w:tcMar>
            <w:vAlign w:val="center"/>
          </w:tcPr>
          <w:p>
            <w:r>
              <w:t>Future Capability</w:t>
            </w:r>
          </w:p>
        </w:tc>
      </w:tr>
    </w:tbl>
    <w:p>
      <w:pPr>
        <w:pStyle w:val="SmallNote"/>
        <w:spacing w:after="80"/>
      </w:pPr>
      <w:r>
        <w:t>Discovery trace: Q2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BR-006</w:t>
            </w:r>
          </w:p>
        </w:tc>
        <w:tc>
          <w:tcPr>
            <w:tcW w:type="dxa" w:w="7056"/>
            <w:tcMar>
              <w:top w:w="90" w:type="dxa"/>
              <w:start w:w="90" w:type="dxa"/>
              <w:bottom w:w="90" w:type="dxa"/>
              <w:end w:w="90" w:type="dxa"/>
            </w:tcMar>
            <w:vAlign w:val="center"/>
            <w:shd w:fill="EAF2F8"/>
          </w:tcPr>
          <w:p>
            <w:r>
              <w:rPr>
                <w:b/>
                <w:color w:val="17365D"/>
                <w:sz w:val="17"/>
              </w:rPr>
              <w:t>Free/low-friction initial operation</w:t>
            </w:r>
          </w:p>
        </w:tc>
        <w:tc>
          <w:tcPr>
            <w:tcW w:type="dxa" w:w="1656"/>
            <w:tcMar>
              <w:top w:w="90" w:type="dxa"/>
              <w:start w:w="90" w:type="dxa"/>
              <w:bottom w:w="90" w:type="dxa"/>
              <w:end w:w="90" w:type="dxa"/>
            </w:tcMar>
            <w:vAlign w:val="center"/>
            <w:shd w:fill="EAF2F8"/>
          </w:tcPr>
          <w:p>
            <w:r>
              <w:rPr>
                <w:b/>
                <w:color w:val="17365D"/>
                <w:sz w:val="17"/>
              </w:rPr>
              <w:t>Provisional</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initial platform may operate without platform fees to reduce adoption friction and learn marketplace behaviour.</w:t>
            </w:r>
          </w:p>
        </w:tc>
        <w:tc>
          <w:tcPr>
            <w:tcW w:type="dxa" w:w="1656"/>
            <w:tcMar>
              <w:top w:w="90" w:type="dxa"/>
              <w:start w:w="90" w:type="dxa"/>
              <w:bottom w:w="90" w:type="dxa"/>
              <w:end w:w="90" w:type="dxa"/>
            </w:tcMar>
            <w:vAlign w:val="center"/>
          </w:tcPr>
          <w:p>
            <w:r>
              <w:t>V1_Initial Candidate</w:t>
            </w:r>
          </w:p>
        </w:tc>
      </w:tr>
    </w:tbl>
    <w:p>
      <w:pPr>
        <w:pStyle w:val="SmallNote"/>
        <w:spacing w:after="80"/>
      </w:pPr>
      <w:r>
        <w:t>Discovery trace: Q2, Q20</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BR-007</w:t>
            </w:r>
          </w:p>
        </w:tc>
        <w:tc>
          <w:tcPr>
            <w:tcW w:type="dxa" w:w="7056"/>
            <w:tcMar>
              <w:top w:w="90" w:type="dxa"/>
              <w:start w:w="90" w:type="dxa"/>
              <w:bottom w:w="90" w:type="dxa"/>
              <w:end w:w="90" w:type="dxa"/>
            </w:tcMar>
            <w:vAlign w:val="center"/>
            <w:shd w:fill="EAF2F8"/>
          </w:tcPr>
          <w:p>
            <w:r>
              <w:rPr>
                <w:b/>
                <w:color w:val="17365D"/>
                <w:sz w:val="17"/>
              </w:rPr>
              <w:t>Geographic expansion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product shall support gradual activation of new locations without making the business model or core domain Pakistan-Town-specific.</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Q12, Q24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BR-008</w:t>
            </w:r>
          </w:p>
        </w:tc>
        <w:tc>
          <w:tcPr>
            <w:tcW w:type="dxa" w:w="7056"/>
            <w:tcMar>
              <w:top w:w="90" w:type="dxa"/>
              <w:start w:w="90" w:type="dxa"/>
              <w:bottom w:w="90" w:type="dxa"/>
              <w:end w:w="90" w:type="dxa"/>
            </w:tcMar>
            <w:vAlign w:val="center"/>
            <w:shd w:fill="EAF2F8"/>
          </w:tcPr>
          <w:p>
            <w:r>
              <w:rPr>
                <w:b/>
                <w:color w:val="17365D"/>
                <w:sz w:val="17"/>
              </w:rPr>
              <w:t>Living product policies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Policies for verification, visibility, completion, ranking, reputation, monetization, and categories shall be expected to evolve through evidence and product versions.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Q5, Q10, Q11, Q16, Q24</w:t>
      </w:r>
    </w:p>
    <w:p>
      <w:pPr>
        <w:pStyle w:val="Heading1"/>
      </w:pPr>
      <w:r>
        <w:t>10. Functional Requirements</w:t>
      </w:r>
    </w:p>
    <w:p>
      <w:pPr>
        <w:pStyle w:val="Heading2"/>
      </w:pPr>
      <w:r>
        <w:t>10.1 Registration, onboarding, and roles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FR-001</w:t>
            </w:r>
          </w:p>
        </w:tc>
        <w:tc>
          <w:tcPr>
            <w:tcW w:type="dxa" w:w="7056"/>
            <w:tcMar>
              <w:top w:w="90" w:type="dxa"/>
              <w:start w:w="90" w:type="dxa"/>
              <w:bottom w:w="90" w:type="dxa"/>
              <w:end w:w="90" w:type="dxa"/>
            </w:tcMar>
            <w:vAlign w:val="center"/>
            <w:shd w:fill="EAF2F8"/>
          </w:tcPr>
          <w:p>
            <w:r>
              <w:rPr>
                <w:b/>
                <w:color w:val="17365D"/>
                <w:sz w:val="17"/>
              </w:rPr>
              <w:t>Low-friction registration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permit users to begin with minimal friction and shall avoid unnecessary identity or profile requirements before those requirements are justified by an action or risk.</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Q10, Q13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FR-002</w:t>
            </w:r>
          </w:p>
        </w:tc>
        <w:tc>
          <w:tcPr>
            <w:tcW w:type="dxa" w:w="7056"/>
            <w:tcMar>
              <w:top w:w="90" w:type="dxa"/>
              <w:start w:w="90" w:type="dxa"/>
              <w:bottom w:w="90" w:type="dxa"/>
              <w:end w:w="90" w:type="dxa"/>
            </w:tcMar>
            <w:vAlign w:val="center"/>
            <w:shd w:fill="EAF2F8"/>
          </w:tcPr>
          <w:p>
            <w:r>
              <w:rPr>
                <w:b/>
                <w:color w:val="17365D"/>
                <w:sz w:val="17"/>
              </w:rPr>
              <w:t>Progressive data collection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collect information progressively when relevant rather than demanding a complete profile during first use.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Q10, Q13,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FR-003</w:t>
            </w:r>
          </w:p>
        </w:tc>
        <w:tc>
          <w:tcPr>
            <w:tcW w:type="dxa" w:w="7056"/>
            <w:tcMar>
              <w:top w:w="90" w:type="dxa"/>
              <w:start w:w="90" w:type="dxa"/>
              <w:bottom w:w="90" w:type="dxa"/>
              <w:end w:w="90" w:type="dxa"/>
            </w:tcMar>
            <w:vAlign w:val="center"/>
            <w:shd w:fill="EAF2F8"/>
          </w:tcPr>
          <w:p>
            <w:r>
              <w:rPr>
                <w:b/>
                <w:color w:val="17365D"/>
                <w:sz w:val="17"/>
              </w:rPr>
              <w:t>Role-separated experiences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Customer, provider, and organization activities shall have logically separate workflows, permissions, reputation, and analytics, regardless of the later account/profile implementation.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FR-004</w:t>
            </w:r>
          </w:p>
        </w:tc>
        <w:tc>
          <w:tcPr>
            <w:tcW w:type="dxa" w:w="7056"/>
            <w:tcMar>
              <w:top w:w="90" w:type="dxa"/>
              <w:start w:w="90" w:type="dxa"/>
              <w:bottom w:w="90" w:type="dxa"/>
              <w:end w:w="90" w:type="dxa"/>
            </w:tcMar>
            <w:vAlign w:val="center"/>
            <w:shd w:fill="EAF2F8"/>
          </w:tcPr>
          <w:p>
            <w:r>
              <w:rPr>
                <w:b/>
                <w:color w:val="17365D"/>
                <w:sz w:val="17"/>
              </w:rPr>
              <w:t>Cross-role integrity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prevent a party from using different roles to apply to, select, complete, or review its own job or otherwise manufacture marketplace reputation.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OPEN-001</w:t>
            </w:r>
          </w:p>
        </w:tc>
        <w:tc>
          <w:tcPr>
            <w:tcW w:type="dxa" w:w="7056"/>
            <w:tcMar>
              <w:top w:w="90" w:type="dxa"/>
              <w:start w:w="90" w:type="dxa"/>
              <w:bottom w:w="90" w:type="dxa"/>
              <w:end w:w="90" w:type="dxa"/>
            </w:tcMar>
            <w:vAlign w:val="center"/>
            <w:shd w:fill="EAF2F8"/>
          </w:tcPr>
          <w:p>
            <w:r>
              <w:rPr>
                <w:b/>
                <w:color w:val="17365D"/>
                <w:sz w:val="17"/>
              </w:rPr>
              <w:t>Identity/account representation</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Whether one platform identity has multiple profiles, logins, or another representation shall be resolved during domain and security modeling.</w:t>
            </w:r>
          </w:p>
        </w:tc>
        <w:tc>
          <w:tcPr>
            <w:tcW w:type="dxa" w:w="1656"/>
            <w:tcMar>
              <w:top w:w="90" w:type="dxa"/>
              <w:start w:w="90" w:type="dxa"/>
              <w:bottom w:w="90" w:type="dxa"/>
              <w:end w:w="90" w:type="dxa"/>
            </w:tcMar>
            <w:vAlign w:val="center"/>
          </w:tcPr>
          <w:p>
            <w:r>
              <w:t>Open</w:t>
            </w:r>
          </w:p>
        </w:tc>
      </w:tr>
    </w:tbl>
    <w:p>
      <w:pPr>
        <w:pStyle w:val="SmallNote"/>
        <w:spacing w:after="80"/>
      </w:pPr>
      <w:r>
        <w:t>Discovery trace: Q13</w:t>
      </w:r>
    </w:p>
    <w:p>
      <w:pPr>
        <w:pStyle w:val="Heading2"/>
      </w:pPr>
      <w:r>
        <w:t>10.2 Job creation and lifecycle</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FR-010</w:t>
            </w:r>
          </w:p>
        </w:tc>
        <w:tc>
          <w:tcPr>
            <w:tcW w:type="dxa" w:w="7056"/>
            <w:tcMar>
              <w:top w:w="90" w:type="dxa"/>
              <w:start w:w="90" w:type="dxa"/>
              <w:bottom w:w="90" w:type="dxa"/>
              <w:end w:w="90" w:type="dxa"/>
            </w:tcMar>
            <w:vAlign w:val="center"/>
            <w:shd w:fill="EAF2F8"/>
          </w:tcPr>
          <w:p>
            <w:r>
              <w:rPr>
                <w:b/>
                <w:color w:val="17365D"/>
                <w:sz w:val="17"/>
              </w:rPr>
              <w:t>Create service request</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An eligible customer shall be able to create and publish a service request for assistance, diagnosis, inspection, repair, installation, maintenance, or other supported service.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FR-011</w:t>
            </w:r>
          </w:p>
        </w:tc>
        <w:tc>
          <w:tcPr>
            <w:tcW w:type="dxa" w:w="7056"/>
            <w:tcMar>
              <w:top w:w="90" w:type="dxa"/>
              <w:start w:w="90" w:type="dxa"/>
              <w:bottom w:w="90" w:type="dxa"/>
              <w:end w:w="90" w:type="dxa"/>
            </w:tcMar>
            <w:vAlign w:val="center"/>
            <w:shd w:fill="EAF2F8"/>
          </w:tcPr>
          <w:p>
            <w:r>
              <w:rPr>
                <w:b/>
                <w:color w:val="17365D"/>
                <w:sz w:val="17"/>
              </w:rPr>
              <w:t>Known and unknown scope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job shall support both known work and ambiguous problems whose cause, scope, solution, or price is not yet known.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FR-012</w:t>
            </w:r>
          </w:p>
        </w:tc>
        <w:tc>
          <w:tcPr>
            <w:tcW w:type="dxa" w:w="7056"/>
            <w:tcMar>
              <w:top w:w="90" w:type="dxa"/>
              <w:start w:w="90" w:type="dxa"/>
              <w:bottom w:w="90" w:type="dxa"/>
              <w:end w:w="90" w:type="dxa"/>
            </w:tcMar>
            <w:vAlign w:val="center"/>
            <w:shd w:fill="EAF2F8"/>
          </w:tcPr>
          <w:p>
            <w:r>
              <w:rPr>
                <w:b/>
                <w:color w:val="17365D"/>
                <w:sz w:val="17"/>
              </w:rPr>
              <w:t>Optional pricing intent</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customer may omit price, provide a proposed fixed price, provide a budget or range, or leave price for later discussion or inspection.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 Q6</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FR-013</w:t>
            </w:r>
          </w:p>
        </w:tc>
        <w:tc>
          <w:tcPr>
            <w:tcW w:type="dxa" w:w="7056"/>
            <w:tcMar>
              <w:top w:w="90" w:type="dxa"/>
              <w:start w:w="90" w:type="dxa"/>
              <w:bottom w:w="90" w:type="dxa"/>
              <w:end w:w="90" w:type="dxa"/>
            </w:tcMar>
            <w:vAlign w:val="center"/>
            <w:shd w:fill="EAF2F8"/>
          </w:tcPr>
          <w:p>
            <w:r>
              <w:rPr>
                <w:b/>
                <w:color w:val="17365D"/>
                <w:sz w:val="17"/>
              </w:rPr>
              <w:t>Inspection flow</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A job may require an inspection before the parties know the final scope, schedule, or price. Inspection may also be the agreed deliverable of a standalone inspection or diagnosis job. A preliminary inspection does not complete a broader job unless the parties redefine inspection as the agreed deliverable.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 Q4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FR-014</w:t>
            </w:r>
          </w:p>
        </w:tc>
        <w:tc>
          <w:tcPr>
            <w:tcW w:type="dxa" w:w="7056"/>
            <w:tcMar>
              <w:top w:w="90" w:type="dxa"/>
              <w:start w:w="90" w:type="dxa"/>
              <w:bottom w:w="90" w:type="dxa"/>
              <w:end w:w="90" w:type="dxa"/>
            </w:tcMar>
            <w:vAlign w:val="center"/>
            <w:shd w:fill="EAF2F8"/>
          </w:tcPr>
          <w:p>
            <w:r>
              <w:rPr>
                <w:b/>
                <w:color w:val="17365D"/>
                <w:sz w:val="17"/>
              </w:rPr>
              <w:t>Optional categories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customer may select one or more categories, or publish without selecting a category. Categorization exists to improve discovery and matching.</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FR-015</w:t>
            </w:r>
          </w:p>
        </w:tc>
        <w:tc>
          <w:tcPr>
            <w:tcW w:type="dxa" w:w="7056"/>
            <w:tcMar>
              <w:top w:w="90" w:type="dxa"/>
              <w:start w:w="90" w:type="dxa"/>
              <w:bottom w:w="90" w:type="dxa"/>
              <w:end w:w="90" w:type="dxa"/>
            </w:tcMar>
            <w:vAlign w:val="center"/>
            <w:shd w:fill="EAF2F8"/>
          </w:tcPr>
          <w:p>
            <w:r>
              <w:rPr>
                <w:b/>
                <w:color w:val="17365D"/>
                <w:sz w:val="17"/>
              </w:rPr>
              <w:t>Job content</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job may include ordinary-language description, photos, short video, approximate location, urgency, preferred schedule, price information, and relevant optional details. Mandatory fields shall be minimized.</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 Q6, Q21,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FR-016</w:t>
            </w:r>
          </w:p>
        </w:tc>
        <w:tc>
          <w:tcPr>
            <w:tcW w:type="dxa" w:w="7056"/>
            <w:tcMar>
              <w:top w:w="90" w:type="dxa"/>
              <w:start w:w="90" w:type="dxa"/>
              <w:bottom w:w="90" w:type="dxa"/>
              <w:end w:w="90" w:type="dxa"/>
            </w:tcMar>
            <w:vAlign w:val="center"/>
            <w:shd w:fill="EAF2F8"/>
          </w:tcPr>
          <w:p>
            <w:r>
              <w:rPr>
                <w:b/>
                <w:color w:val="17365D"/>
                <w:sz w:val="17"/>
              </w:rPr>
              <w:t>Minimal lifecycle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system shall distinguish at least published, selected/assigned, completed, cancelled, and disputed outcomes; detailed state modeling is reserved for domain modeling.</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Q4, Q18, Q19</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OPEN-002</w:t>
            </w:r>
          </w:p>
        </w:tc>
        <w:tc>
          <w:tcPr>
            <w:tcW w:type="dxa" w:w="7056"/>
            <w:tcMar>
              <w:top w:w="90" w:type="dxa"/>
              <w:start w:w="90" w:type="dxa"/>
              <w:bottom w:w="90" w:type="dxa"/>
              <w:end w:w="90" w:type="dxa"/>
            </w:tcMar>
            <w:vAlign w:val="center"/>
            <w:shd w:fill="EAF2F8"/>
          </w:tcPr>
          <w:p>
            <w:r>
              <w:rPr>
                <w:b/>
                <w:color w:val="17365D"/>
                <w:sz w:val="17"/>
              </w:rPr>
              <w:t>Completion confirmation policy</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The definitive completion policy is unresolved. The current candidate is provider marks work complete and customer confirms or disputes. The policy must support both inspection-as-deliverable and inspection-as-preliminary-activity cases and remain evolvable.</w:t>
            </w:r>
          </w:p>
        </w:tc>
        <w:tc>
          <w:tcPr>
            <w:tcW w:type="dxa" w:w="1656"/>
            <w:tcMar>
              <w:top w:w="90" w:type="dxa"/>
              <w:start w:w="90" w:type="dxa"/>
              <w:bottom w:w="90" w:type="dxa"/>
              <w:end w:w="90" w:type="dxa"/>
            </w:tcMar>
            <w:vAlign w:val="center"/>
          </w:tcPr>
          <w:p>
            <w:r>
              <w:t>Open</w:t>
            </w:r>
          </w:p>
        </w:tc>
      </w:tr>
    </w:tbl>
    <w:p>
      <w:pPr>
        <w:pStyle w:val="SmallNote"/>
        <w:spacing w:after="80"/>
      </w:pPr>
      <w:r>
        <w:t>Discovery trace: Q5</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FR-017</w:t>
            </w:r>
          </w:p>
        </w:tc>
        <w:tc>
          <w:tcPr>
            <w:tcW w:type="dxa" w:w="7056"/>
            <w:shd w:fill="D9EAF7"/>
            <w:tcMar>
              <w:top w:w="90" w:type="dxa"/>
              <w:start w:w="90" w:type="dxa"/>
              <w:bottom w:w="90" w:type="dxa"/>
              <w:end w:w="90" w:type="dxa"/>
            </w:tcMar>
            <w:vAlign w:val="center"/>
          </w:tcPr>
          <w:p>
            <w:r>
              <w:rPr>
                <w:b/>
                <w:color w:val="17365D"/>
                <w:sz w:val="17"/>
              </w:rPr>
              <w:t>Job closure without selection</w:t>
            </w:r>
          </w:p>
        </w:tc>
        <w:tc>
          <w:tcPr>
            <w:tcW w:type="dxa" w:w="1656"/>
            <w:shd w:fill="D9EAF7"/>
            <w:tcMar>
              <w:top w:w="90" w:type="dxa"/>
              <w:start w:w="90" w:type="dxa"/>
              <w:bottom w:w="90" w:type="dxa"/>
              <w:end w:w="90" w:type="dxa"/>
            </w:tcMar>
            <w:vAlign w:val="center"/>
          </w:tcPr>
          <w:p>
            <w:r>
              <w:rPr>
                <w:b/>
                <w:color w:val="17365D"/>
                <w:sz w:val="17"/>
              </w:rPr>
              <w:t>Accepted</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A published job may close without provider selection as withdrawn by customer, no responses, no acceptable response, resolved independently, expired, or closed by platform. These outcomes shall remain distinct from assignment cancellation and successful completion. The system may request closure feedback when the job remained open long enough for that feedback to be useful; immediate withdrawal shall not force unnecessary feedback.</w:t>
            </w:r>
          </w:p>
        </w:tc>
        <w:tc>
          <w:tcPr>
            <w:tcW w:type="dxa" w:w="1656"/>
            <w:tcMar>
              <w:top w:w="90" w:type="dxa"/>
              <w:start w:w="90" w:type="dxa"/>
              <w:bottom w:w="90" w:type="dxa"/>
              <w:end w:w="90" w:type="dxa"/>
            </w:tcMar>
            <w:vAlign w:val="center"/>
          </w:tcPr>
          <w:p>
            <w:pPr>
              <w:spacing w:after="0" w:line="240" w:lineRule="auto"/>
            </w:pPr>
            <w:r>
              <w:rPr>
                <w:sz w:val="16"/>
              </w:rPr>
              <w:t>Intended Product</w:t>
            </w:r>
          </w:p>
        </w:tc>
      </w:tr>
    </w:tbl>
    <w:p>
      <w:pPr>
        <w:pStyle w:val="SmallNote"/>
      </w:pPr>
      <w:r>
        <w:t>Discovery trace: External audit + founder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FR-018</w:t>
            </w:r>
          </w:p>
        </w:tc>
        <w:tc>
          <w:tcPr>
            <w:tcW w:type="dxa" w:w="7056"/>
            <w:shd w:fill="D9EAF7"/>
            <w:tcMar>
              <w:top w:w="90" w:type="dxa"/>
              <w:start w:w="90" w:type="dxa"/>
              <w:bottom w:w="90" w:type="dxa"/>
              <w:end w:w="90" w:type="dxa"/>
            </w:tcMar>
            <w:vAlign w:val="center"/>
          </w:tcPr>
          <w:p>
            <w:r>
              <w:rPr>
                <w:b/>
                <w:color w:val="17365D"/>
                <w:sz w:val="17"/>
              </w:rPr>
              <w:t>Job expiry</w:t>
            </w:r>
          </w:p>
        </w:tc>
        <w:tc>
          <w:tcPr>
            <w:tcW w:type="dxa" w:w="1656"/>
            <w:shd w:fill="D9EAF7"/>
            <w:tcMar>
              <w:top w:w="90" w:type="dxa"/>
              <w:start w:w="90" w:type="dxa"/>
              <w:bottom w:w="90" w:type="dxa"/>
              <w:end w:w="90" w:type="dxa"/>
            </w:tcMar>
            <w:vAlign w:val="center"/>
          </w:tcPr>
          <w:p>
            <w:r>
              <w:rPr>
                <w:b/>
                <w:color w:val="17365D"/>
                <w:sz w:val="17"/>
              </w:rPr>
              <w:t>Accepted</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The platform shall support the concept of expiring stale jobs after a configurable period. The exact duration and whether expiry is automated in V1_Initial remain open.</w:t>
            </w:r>
          </w:p>
        </w:tc>
        <w:tc>
          <w:tcPr>
            <w:tcW w:type="dxa" w:w="1656"/>
            <w:tcMar>
              <w:top w:w="90" w:type="dxa"/>
              <w:start w:w="90" w:type="dxa"/>
              <w:bottom w:w="90" w:type="dxa"/>
              <w:end w:w="90" w:type="dxa"/>
            </w:tcMar>
            <w:vAlign w:val="center"/>
          </w:tcPr>
          <w:p>
            <w:pPr>
              <w:spacing w:after="0" w:line="240" w:lineRule="auto"/>
            </w:pPr>
            <w:r>
              <w:rPr>
                <w:sz w:val="16"/>
              </w:rPr>
              <w:t>Intended Product</w:t>
            </w:r>
          </w:p>
        </w:tc>
      </w:tr>
    </w:tbl>
    <w:p>
      <w:pPr>
        <w:pStyle w:val="SmallNote"/>
      </w:pPr>
      <w:r>
        <w:t>Discovery trace: External audit + founder decisions</w:t>
      </w:r>
    </w:p>
    <w:p>
      <w:pPr>
        <w:pStyle w:val="Heading2"/>
      </w:pPr>
      <w:r>
        <w:t>10.3 Provider responses and price discussion</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FR-020</w:t>
            </w:r>
          </w:p>
        </w:tc>
        <w:tc>
          <w:tcPr>
            <w:tcW w:type="dxa" w:w="7056"/>
            <w:tcMar>
              <w:top w:w="90" w:type="dxa"/>
              <w:start w:w="90" w:type="dxa"/>
              <w:bottom w:w="90" w:type="dxa"/>
              <w:end w:w="90" w:type="dxa"/>
            </w:tcMar>
            <w:vAlign w:val="center"/>
            <w:shd w:fill="EAF2F8"/>
          </w:tcPr>
          <w:p>
            <w:r>
              <w:rPr>
                <w:b/>
                <w:color w:val="17365D"/>
                <w:sz w:val="17"/>
              </w:rPr>
              <w:t>One-click response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relevant provider shall be able to express basic interest in a published job with minimal effort.</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Q6</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FR-021</w:t>
            </w:r>
          </w:p>
        </w:tc>
        <w:tc>
          <w:tcPr>
            <w:tcW w:type="dxa" w:w="7056"/>
            <w:tcMar>
              <w:top w:w="90" w:type="dxa"/>
              <w:start w:w="90" w:type="dxa"/>
              <w:bottom w:w="90" w:type="dxa"/>
              <w:end w:w="90" w:type="dxa"/>
            </w:tcMar>
            <w:vAlign w:val="center"/>
            <w:shd w:fill="EAF2F8"/>
          </w:tcPr>
          <w:p>
            <w:r>
              <w:rPr>
                <w:b/>
                <w:color w:val="17365D"/>
                <w:sz w:val="17"/>
              </w:rPr>
              <w:t>Enriched response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provider may optionally include a message, proposed or counter price, estimate/range, inspection request, earliest availability, or schedule proposal.</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Q6</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FR-022</w:t>
            </w:r>
          </w:p>
        </w:tc>
        <w:tc>
          <w:tcPr>
            <w:tcW w:type="dxa" w:w="7056"/>
            <w:tcMar>
              <w:top w:w="90" w:type="dxa"/>
              <w:start w:w="90" w:type="dxa"/>
              <w:bottom w:w="90" w:type="dxa"/>
              <w:end w:w="90" w:type="dxa"/>
            </w:tcMar>
            <w:vAlign w:val="center"/>
            <w:shd w:fill="EAF2F8"/>
          </w:tcPr>
          <w:p>
            <w:r>
              <w:rPr>
                <w:b/>
                <w:color w:val="17365D"/>
                <w:sz w:val="17"/>
              </w:rPr>
              <w:t>Accept customer proposal</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provider may accept the customer’s proposed price or other stated job terms when applicable.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Q6</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FR-023</w:t>
            </w:r>
          </w:p>
        </w:tc>
        <w:tc>
          <w:tcPr>
            <w:tcW w:type="dxa" w:w="7056"/>
            <w:tcMar>
              <w:top w:w="90" w:type="dxa"/>
              <w:start w:w="90" w:type="dxa"/>
              <w:bottom w:w="90" w:type="dxa"/>
              <w:end w:w="90" w:type="dxa"/>
            </w:tcMar>
            <w:vAlign w:val="center"/>
            <w:shd w:fill="EAF2F8"/>
          </w:tcPr>
          <w:p>
            <w:r>
              <w:rPr>
                <w:b/>
                <w:color w:val="17365D"/>
                <w:sz w:val="17"/>
              </w:rPr>
              <w:t>Flexible negotiation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facilitate flexible price and schedule discussion without enforcing one universal pricing workflow.</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 Q6, Q20, Q21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FR-024</w:t>
            </w:r>
          </w:p>
        </w:tc>
        <w:tc>
          <w:tcPr>
            <w:tcW w:type="dxa" w:w="7056"/>
            <w:tcMar>
              <w:top w:w="90" w:type="dxa"/>
              <w:start w:w="90" w:type="dxa"/>
              <w:bottom w:w="90" w:type="dxa"/>
              <w:end w:w="90" w:type="dxa"/>
            </w:tcMar>
            <w:vAlign w:val="center"/>
            <w:shd w:fill="EAF2F8"/>
          </w:tcPr>
          <w:p>
            <w:r>
              <w:rPr>
                <w:b/>
                <w:color w:val="17365D"/>
                <w:sz w:val="17"/>
              </w:rPr>
              <w:t>Direct provider invitation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customer who discovers a provider through search shall be able eventually to invite that provider to respond to an existing job.</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Q3, Q7, Q16</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FR-025</w:t>
            </w:r>
          </w:p>
        </w:tc>
        <w:tc>
          <w:tcPr>
            <w:tcW w:type="dxa" w:w="7056"/>
            <w:tcMar>
              <w:top w:w="90" w:type="dxa"/>
              <w:start w:w="90" w:type="dxa"/>
              <w:bottom w:w="90" w:type="dxa"/>
              <w:end w:w="90" w:type="dxa"/>
            </w:tcMar>
            <w:vAlign w:val="center"/>
            <w:shd w:fill="EAF2F8"/>
          </w:tcPr>
          <w:p>
            <w:r>
              <w:rPr>
                <w:b/>
                <w:color w:val="17365D"/>
                <w:sz w:val="17"/>
              </w:rPr>
              <w:t>No forced selection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customer shall not be required to select any provider response and may continue provider search or allow the job to end without a deal.</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 Q3</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FR-026</w:t>
            </w:r>
          </w:p>
        </w:tc>
        <w:tc>
          <w:tcPr>
            <w:tcW w:type="dxa" w:w="7056"/>
            <w:shd w:fill="D9EAF7"/>
            <w:tcMar>
              <w:top w:w="90" w:type="dxa"/>
              <w:start w:w="90" w:type="dxa"/>
              <w:bottom w:w="90" w:type="dxa"/>
              <w:end w:w="90" w:type="dxa"/>
            </w:tcMar>
            <w:vAlign w:val="center"/>
          </w:tcPr>
          <w:p>
            <w:r>
              <w:rPr>
                <w:b/>
                <w:color w:val="17365D"/>
                <w:sz w:val="17"/>
              </w:rPr>
              <w:t>Provider response to selection request</w:t>
            </w:r>
          </w:p>
        </w:tc>
        <w:tc>
          <w:tcPr>
            <w:tcW w:type="dxa" w:w="1656"/>
            <w:shd w:fill="D9EAF7"/>
            <w:tcMar>
              <w:top w:w="90" w:type="dxa"/>
              <w:start w:w="90" w:type="dxa"/>
              <w:bottom w:w="90" w:type="dxa"/>
              <w:end w:w="90" w:type="dxa"/>
            </w:tcMar>
            <w:vAlign w:val="center"/>
          </w:tcPr>
          <w:p>
            <w:r>
              <w:rPr>
                <w:b/>
                <w:color w:val="17365D"/>
                <w:sz w:val="17"/>
              </w:rPr>
              <w:t>Accepted</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Customer selection shall create a selection or engagement request rather than an immediate assignment. The selected provider may accept or decline. Acceptance begins the assignment; decline returns the customer to provider selection and shall not automatically affect star ratings. Repeated declines after voluntary responses may later inform a separate reliability policy.</w:t>
            </w:r>
          </w:p>
        </w:tc>
        <w:tc>
          <w:tcPr>
            <w:tcW w:type="dxa" w:w="1656"/>
            <w:tcMar>
              <w:top w:w="90" w:type="dxa"/>
              <w:start w:w="90" w:type="dxa"/>
              <w:bottom w:w="90" w:type="dxa"/>
              <w:end w:w="90" w:type="dxa"/>
            </w:tcMar>
            <w:vAlign w:val="center"/>
          </w:tcPr>
          <w:p>
            <w:pPr>
              <w:spacing w:after="0" w:line="240" w:lineRule="auto"/>
            </w:pPr>
            <w:r>
              <w:rPr>
                <w:sz w:val="16"/>
              </w:rPr>
              <w:t>Intended Product</w:t>
            </w:r>
          </w:p>
        </w:tc>
      </w:tr>
    </w:tbl>
    <w:p>
      <w:pPr>
        <w:pStyle w:val="SmallNote"/>
      </w:pPr>
      <w:r>
        <w:t>Discovery trace: External audit + founder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FR-027</w:t>
            </w:r>
          </w:p>
        </w:tc>
        <w:tc>
          <w:tcPr>
            <w:tcW w:type="dxa" w:w="7056"/>
            <w:shd w:fill="D9EAF7"/>
            <w:tcMar>
              <w:top w:w="90" w:type="dxa"/>
              <w:start w:w="90" w:type="dxa"/>
              <w:bottom w:w="90" w:type="dxa"/>
              <w:end w:w="90" w:type="dxa"/>
            </w:tcMar>
            <w:vAlign w:val="center"/>
          </w:tcPr>
          <w:p>
            <w:r>
              <w:rPr>
                <w:b/>
                <w:color w:val="17365D"/>
                <w:sz w:val="17"/>
              </w:rPr>
              <w:t>Profile-initiated engagement</w:t>
            </w:r>
          </w:p>
        </w:tc>
        <w:tc>
          <w:tcPr>
            <w:tcW w:type="dxa" w:w="1656"/>
            <w:shd w:fill="D9EAF7"/>
            <w:tcMar>
              <w:top w:w="90" w:type="dxa"/>
              <w:start w:w="90" w:type="dxa"/>
              <w:bottom w:w="90" w:type="dxa"/>
              <w:end w:w="90" w:type="dxa"/>
            </w:tcMar>
            <w:vAlign w:val="center"/>
          </w:tcPr>
          <w:p>
            <w:r>
              <w:rPr>
                <w:b/>
                <w:color w:val="17365D"/>
                <w:sz w:val="17"/>
              </w:rPr>
              <w:t>Accepted</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A customer may start in-platform communication from a provider profile, create a lightweight job from that profile, or invite the provider to an existing job. Direct profile communication alone shall not create completed-job history or rating eligibility; lifecycle tracking and reputation require a linked job.</w:t>
            </w:r>
          </w:p>
        </w:tc>
        <w:tc>
          <w:tcPr>
            <w:tcW w:type="dxa" w:w="1656"/>
            <w:tcMar>
              <w:top w:w="90" w:type="dxa"/>
              <w:start w:w="90" w:type="dxa"/>
              <w:bottom w:w="90" w:type="dxa"/>
              <w:end w:w="90" w:type="dxa"/>
            </w:tcMar>
            <w:vAlign w:val="center"/>
          </w:tcPr>
          <w:p>
            <w:pPr>
              <w:spacing w:after="0" w:line="240" w:lineRule="auto"/>
            </w:pPr>
            <w:r>
              <w:rPr>
                <w:sz w:val="16"/>
              </w:rPr>
              <w:t>Intended Product</w:t>
            </w:r>
          </w:p>
        </w:tc>
      </w:tr>
    </w:tbl>
    <w:p>
      <w:pPr>
        <w:pStyle w:val="SmallNote"/>
      </w:pPr>
      <w:r>
        <w:t>Discovery trace: External audit + founder decisions</w:t>
      </w:r>
    </w:p>
    <w:p>
      <w:pPr>
        <w:pStyle w:val="Heading2"/>
      </w:pPr>
      <w:r>
        <w:t>10.4 Provider discovery and profiles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FR-030</w:t>
            </w:r>
          </w:p>
        </w:tc>
        <w:tc>
          <w:tcPr>
            <w:tcW w:type="dxa" w:w="7056"/>
            <w:tcMar>
              <w:top w:w="90" w:type="dxa"/>
              <w:start w:w="90" w:type="dxa"/>
              <w:bottom w:w="90" w:type="dxa"/>
              <w:end w:w="90" w:type="dxa"/>
            </w:tcMar>
            <w:vAlign w:val="center"/>
            <w:shd w:fill="EAF2F8"/>
          </w:tcPr>
          <w:p>
            <w:r>
              <w:rPr>
                <w:b/>
                <w:color w:val="17365D"/>
                <w:sz w:val="17"/>
              </w:rPr>
              <w:t>Provider search</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Customers shall be able to search and filter provider profiles independently of job posting.</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 Q7</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FR-031</w:t>
            </w:r>
          </w:p>
        </w:tc>
        <w:tc>
          <w:tcPr>
            <w:tcW w:type="dxa" w:w="7056"/>
            <w:tcMar>
              <w:top w:w="90" w:type="dxa"/>
              <w:start w:w="90" w:type="dxa"/>
              <w:bottom w:w="90" w:type="dxa"/>
              <w:end w:w="90" w:type="dxa"/>
            </w:tcMar>
            <w:vAlign w:val="center"/>
            <w:shd w:fill="EAF2F8"/>
          </w:tcPr>
          <w:p>
            <w:r>
              <w:rPr>
                <w:b/>
                <w:color w:val="17365D"/>
                <w:sz w:val="17"/>
              </w:rPr>
              <w:t>Visible provider type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Profiles shall explicitly identify whether the provider is an individual, shop, agency, or company.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Q8</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FR-032</w:t>
            </w:r>
          </w:p>
        </w:tc>
        <w:tc>
          <w:tcPr>
            <w:tcW w:type="dxa" w:w="7056"/>
            <w:tcMar>
              <w:top w:w="90" w:type="dxa"/>
              <w:start w:w="90" w:type="dxa"/>
              <w:bottom w:w="90" w:type="dxa"/>
              <w:end w:w="90" w:type="dxa"/>
            </w:tcMar>
            <w:vAlign w:val="center"/>
            <w:shd w:fill="EAF2F8"/>
          </w:tcPr>
          <w:p>
            <w:r>
              <w:rPr>
                <w:b/>
                <w:color w:val="17365D"/>
                <w:sz w:val="17"/>
              </w:rPr>
              <w:t>Trustworthy profile information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Provider profiles shall present relevant trust and service information such as supported categories, areas, verification indicators, completed work, ratings, account history, and other legitimate performance indicators as available.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Q7, Q14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FR-033</w:t>
            </w:r>
          </w:p>
        </w:tc>
        <w:tc>
          <w:tcPr>
            <w:tcW w:type="dxa" w:w="7056"/>
            <w:tcMar>
              <w:top w:w="90" w:type="dxa"/>
              <w:start w:w="90" w:type="dxa"/>
              <w:bottom w:w="90" w:type="dxa"/>
              <w:end w:w="90" w:type="dxa"/>
            </w:tcMar>
            <w:vAlign w:val="center"/>
            <w:shd w:fill="EAF2F8"/>
          </w:tcPr>
          <w:p>
            <w:r>
              <w:rPr>
                <w:b/>
                <w:color w:val="17365D"/>
                <w:sz w:val="17"/>
              </w:rPr>
              <w:t>New-provider participation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product shall not permanently exclude new providers merely because they have no reviews; future discovery and ranking policies shall address cold start fairly.</w:t>
            </w:r>
          </w:p>
        </w:tc>
        <w:tc>
          <w:tcPr>
            <w:tcW w:type="dxa" w:w="1656"/>
            <w:tcMar>
              <w:top w:w="90" w:type="dxa"/>
              <w:start w:w="90" w:type="dxa"/>
              <w:bottom w:w="90" w:type="dxa"/>
              <w:end w:w="90" w:type="dxa"/>
            </w:tcMar>
            <w:vAlign w:val="center"/>
          </w:tcPr>
          <w:p>
            <w:r>
              <w:t>Open</w:t>
            </w:r>
          </w:p>
        </w:tc>
      </w:tr>
    </w:tbl>
    <w:p>
      <w:pPr>
        <w:pStyle w:val="SmallNote"/>
        <w:spacing w:after="80"/>
      </w:pPr>
      <w:r>
        <w:t>Discovery trace: Q7</w:t>
      </w:r>
    </w:p>
    <w:p>
      <w:pPr>
        <w:pStyle w:val="Heading2"/>
      </w:pPr>
      <w:r>
        <w:t>10.5 Organizational providers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FR-040</w:t>
            </w:r>
          </w:p>
        </w:tc>
        <w:tc>
          <w:tcPr>
            <w:tcW w:type="dxa" w:w="7056"/>
            <w:tcMar>
              <w:top w:w="90" w:type="dxa"/>
              <w:start w:w="90" w:type="dxa"/>
              <w:bottom w:w="90" w:type="dxa"/>
              <w:end w:w="90" w:type="dxa"/>
            </w:tcMar>
            <w:vAlign w:val="center"/>
            <w:shd w:fill="EAF2F8"/>
          </w:tcPr>
          <w:p>
            <w:r>
              <w:rPr>
                <w:b/>
                <w:color w:val="17365D"/>
                <w:sz w:val="17"/>
              </w:rPr>
              <w:t>Organization profiles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Shops, agencies, and companies shall be able to maintain organization-representative profiles distinct from individual-provider representation.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Q8, Q17</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FR-041</w:t>
            </w:r>
          </w:p>
        </w:tc>
        <w:tc>
          <w:tcPr>
            <w:tcW w:type="dxa" w:w="7056"/>
            <w:tcMar>
              <w:top w:w="90" w:type="dxa"/>
              <w:start w:w="90" w:type="dxa"/>
              <w:bottom w:w="90" w:type="dxa"/>
              <w:end w:w="90" w:type="dxa"/>
            </w:tcMar>
            <w:vAlign w:val="center"/>
            <w:shd w:fill="EAF2F8"/>
          </w:tcPr>
          <w:p>
            <w:r>
              <w:rPr>
                <w:b/>
                <w:color w:val="17365D"/>
                <w:sz w:val="17"/>
              </w:rPr>
              <w:t>Associated workers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An organization may associate workers with its provider representation and assign an associated worker internally to an accepted job.</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Q8, Q17</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FR-042</w:t>
            </w:r>
          </w:p>
        </w:tc>
        <w:tc>
          <w:tcPr>
            <w:tcW w:type="dxa" w:w="7056"/>
            <w:tcMar>
              <w:top w:w="90" w:type="dxa"/>
              <w:start w:w="90" w:type="dxa"/>
              <w:bottom w:w="90" w:type="dxa"/>
              <w:end w:w="90" w:type="dxa"/>
            </w:tcMar>
            <w:vAlign w:val="center"/>
            <w:shd w:fill="EAF2F8"/>
          </w:tcPr>
          <w:p>
            <w:r>
              <w:rPr>
                <w:b/>
                <w:color w:val="17365D"/>
                <w:sz w:val="17"/>
              </w:rPr>
              <w:t>Assigned-worker disclosure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customer shall be informed which worker is expected to perform an organization’s assigned job before that worker arrives.</w:t>
            </w:r>
          </w:p>
        </w:tc>
        <w:tc>
          <w:tcPr>
            <w:tcW w:type="dxa" w:w="1656"/>
            <w:tcMar>
              <w:top w:w="90" w:type="dxa"/>
              <w:start w:w="90" w:type="dxa"/>
              <w:bottom w:w="90" w:type="dxa"/>
              <w:end w:w="90" w:type="dxa"/>
            </w:tcMar>
            <w:vAlign w:val="center"/>
          </w:tcPr>
          <w:p>
            <w:r>
              <w:t>Cross-Cutting Requirement</w:t>
            </w:r>
          </w:p>
        </w:tc>
      </w:tr>
    </w:tbl>
    <w:p>
      <w:pPr>
        <w:pStyle w:val="SmallNote"/>
        <w:spacing w:after="80"/>
      </w:pPr>
      <w:r>
        <w:t>Discovery trace: Q17</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OPEN-003</w:t>
            </w:r>
          </w:p>
        </w:tc>
        <w:tc>
          <w:tcPr>
            <w:tcW w:type="dxa" w:w="7056"/>
            <w:tcMar>
              <w:top w:w="90" w:type="dxa"/>
              <w:start w:w="90" w:type="dxa"/>
              <w:bottom w:w="90" w:type="dxa"/>
              <w:end w:w="90" w:type="dxa"/>
            </w:tcMar>
            <w:vAlign w:val="center"/>
            <w:shd w:fill="EAF2F8"/>
          </w:tcPr>
          <w:p>
            <w:r>
              <w:rPr>
                <w:b/>
                <w:color w:val="17365D"/>
                <w:sz w:val="17"/>
              </w:rPr>
              <w:t>Organization and worker reputation</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Whether completed work affects the organization reputation, worker reputation, or both remains unresolved. The initial candidate is organization-level reputation.</w:t>
            </w:r>
          </w:p>
        </w:tc>
        <w:tc>
          <w:tcPr>
            <w:tcW w:type="dxa" w:w="1656"/>
            <w:tcMar>
              <w:top w:w="90" w:type="dxa"/>
              <w:start w:w="90" w:type="dxa"/>
              <w:bottom w:w="90" w:type="dxa"/>
              <w:end w:w="90" w:type="dxa"/>
            </w:tcMar>
            <w:vAlign w:val="center"/>
          </w:tcPr>
          <w:p>
            <w:r>
              <w:t>Open</w:t>
            </w:r>
          </w:p>
        </w:tc>
      </w:tr>
    </w:tbl>
    <w:p>
      <w:pPr>
        <w:pStyle w:val="SmallNote"/>
        <w:spacing w:after="80"/>
      </w:pPr>
      <w:r>
        <w:t>Discovery trace: Q17</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FR-043</w:t>
            </w:r>
          </w:p>
        </w:tc>
        <w:tc>
          <w:tcPr>
            <w:tcW w:type="dxa" w:w="7056"/>
            <w:shd w:fill="D9EAF7"/>
            <w:tcMar>
              <w:top w:w="90" w:type="dxa"/>
              <w:start w:w="90" w:type="dxa"/>
              <w:bottom w:w="90" w:type="dxa"/>
              <w:end w:w="90" w:type="dxa"/>
            </w:tcMar>
            <w:vAlign w:val="center"/>
          </w:tcPr>
          <w:p>
            <w:r>
              <w:rPr>
                <w:b/>
                <w:color w:val="17365D"/>
                <w:sz w:val="17"/>
              </w:rPr>
              <w:t>Organization response actor</w:t>
            </w:r>
          </w:p>
        </w:tc>
        <w:tc>
          <w:tcPr>
            <w:tcW w:type="dxa" w:w="1656"/>
            <w:shd w:fill="D9EAF7"/>
            <w:tcMar>
              <w:top w:w="90" w:type="dxa"/>
              <w:start w:w="90" w:type="dxa"/>
              <w:bottom w:w="90" w:type="dxa"/>
              <w:end w:w="90" w:type="dxa"/>
            </w:tcMar>
            <w:vAlign w:val="center"/>
          </w:tcPr>
          <w:p>
            <w:r>
              <w:rPr>
                <w:b/>
                <w:color w:val="17365D"/>
                <w:sz w:val="17"/>
              </w:rPr>
              <w:t>Accepted</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For the initial organizational model, the organization profile shall submit the response and the customer shall select the organization. Associated workers shall not independently respond on behalf of the organization unless a future policy permits it.</w:t>
            </w:r>
          </w:p>
        </w:tc>
        <w:tc>
          <w:tcPr>
            <w:tcW w:type="dxa" w:w="1656"/>
            <w:tcMar>
              <w:top w:w="90" w:type="dxa"/>
              <w:start w:w="90" w:type="dxa"/>
              <w:bottom w:w="90" w:type="dxa"/>
              <w:end w:w="90" w:type="dxa"/>
            </w:tcMar>
            <w:vAlign w:val="center"/>
          </w:tcPr>
          <w:p>
            <w:pPr>
              <w:spacing w:after="0" w:line="240" w:lineRule="auto"/>
            </w:pPr>
            <w:r>
              <w:rPr>
                <w:sz w:val="16"/>
              </w:rPr>
              <w:t>Intended Product</w:t>
            </w:r>
          </w:p>
        </w:tc>
      </w:tr>
    </w:tbl>
    <w:p>
      <w:pPr>
        <w:pStyle w:val="SmallNote"/>
      </w:pPr>
      <w:r>
        <w:t>Discovery trace: External audit + founder decisions</w:t>
      </w:r>
    </w:p>
    <w:p>
      <w:pPr>
        <w:pStyle w:val="Heading2"/>
      </w:pPr>
      <w:r>
        <w:t>10.6 Service taxonomy</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FR-050</w:t>
            </w:r>
          </w:p>
        </w:tc>
        <w:tc>
          <w:tcPr>
            <w:tcW w:type="dxa" w:w="7056"/>
            <w:tcMar>
              <w:top w:w="90" w:type="dxa"/>
              <w:start w:w="90" w:type="dxa"/>
              <w:bottom w:w="90" w:type="dxa"/>
              <w:end w:w="90" w:type="dxa"/>
            </w:tcMar>
            <w:vAlign w:val="center"/>
            <w:shd w:fill="EAF2F8"/>
          </w:tcPr>
          <w:p>
            <w:r>
              <w:rPr>
                <w:b/>
                <w:color w:val="17365D"/>
                <w:sz w:val="17"/>
              </w:rPr>
              <w:t>Controlled taxonomy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Service categories shall be governed by the platform. Customers and providers shall not freely create public categories.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Q9</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FR-051</w:t>
            </w:r>
          </w:p>
        </w:tc>
        <w:tc>
          <w:tcPr>
            <w:tcW w:type="dxa" w:w="7056"/>
            <w:tcMar>
              <w:top w:w="90" w:type="dxa"/>
              <w:start w:w="90" w:type="dxa"/>
              <w:bottom w:w="90" w:type="dxa"/>
              <w:end w:w="90" w:type="dxa"/>
            </w:tcMar>
            <w:vAlign w:val="center"/>
            <w:shd w:fill="EAF2F8"/>
          </w:tcPr>
          <w:p>
            <w:r>
              <w:rPr>
                <w:b/>
                <w:color w:val="17365D"/>
                <w:sz w:val="17"/>
              </w:rPr>
              <w:t>Dynamic governance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Authorized platform governance shall be able to add, modify, organize, activate, deactivate, or retire categories without rebuilding the application.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Q9, Q24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FR-052</w:t>
            </w:r>
          </w:p>
        </w:tc>
        <w:tc>
          <w:tcPr>
            <w:tcW w:type="dxa" w:w="7056"/>
            <w:tcMar>
              <w:top w:w="90" w:type="dxa"/>
              <w:start w:w="90" w:type="dxa"/>
              <w:bottom w:w="90" w:type="dxa"/>
              <w:end w:w="90" w:type="dxa"/>
            </w:tcMar>
            <w:vAlign w:val="center"/>
            <w:shd w:fill="EAF2F8"/>
          </w:tcPr>
          <w:p>
            <w:r>
              <w:rPr>
                <w:b/>
                <w:color w:val="17365D"/>
                <w:sz w:val="17"/>
              </w:rPr>
              <w:t>Multiple relevant categories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job may be associated with multiple relevant categories when the requested work spans service boundaries.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OPEN-004</w:t>
            </w:r>
          </w:p>
        </w:tc>
        <w:tc>
          <w:tcPr>
            <w:tcW w:type="dxa" w:w="7056"/>
            <w:tcMar>
              <w:top w:w="90" w:type="dxa"/>
              <w:start w:w="90" w:type="dxa"/>
              <w:bottom w:w="90" w:type="dxa"/>
              <w:end w:w="90" w:type="dxa"/>
            </w:tcMar>
            <w:vAlign w:val="center"/>
            <w:shd w:fill="EAF2F8"/>
          </w:tcPr>
          <w:p>
            <w:r>
              <w:rPr>
                <w:b/>
                <w:color w:val="17365D"/>
                <w:sz w:val="17"/>
              </w:rPr>
              <w:t>Uncategorized-job handling</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Jobs may be published without customer-selected categories; the exact classification and distribution policy remains unresolved.</w:t>
            </w:r>
          </w:p>
        </w:tc>
        <w:tc>
          <w:tcPr>
            <w:tcW w:type="dxa" w:w="1656"/>
            <w:tcMar>
              <w:top w:w="90" w:type="dxa"/>
              <w:start w:w="90" w:type="dxa"/>
              <w:bottom w:w="90" w:type="dxa"/>
              <w:end w:w="90" w:type="dxa"/>
            </w:tcMar>
            <w:vAlign w:val="center"/>
          </w:tcPr>
          <w:p>
            <w:r>
              <w:t>Open</w:t>
            </w:r>
          </w:p>
        </w:tc>
      </w:tr>
    </w:tbl>
    <w:p>
      <w:pPr>
        <w:pStyle w:val="SmallNote"/>
        <w:spacing w:after="80"/>
      </w:pPr>
      <w:r>
        <w:t>Discovery trace: Q11</w:t>
      </w:r>
    </w:p>
    <w:p>
      <w:pPr>
        <w:pStyle w:val="Heading2"/>
      </w:pPr>
      <w:r>
        <w:t>10.7 Geographic market availability</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FR-060</w:t>
            </w:r>
          </w:p>
        </w:tc>
        <w:tc>
          <w:tcPr>
            <w:tcW w:type="dxa" w:w="7056"/>
            <w:tcMar>
              <w:top w:w="90" w:type="dxa"/>
              <w:start w:w="90" w:type="dxa"/>
              <w:bottom w:w="90" w:type="dxa"/>
              <w:end w:w="90" w:type="dxa"/>
            </w:tcMar>
            <w:vAlign w:val="center"/>
            <w:shd w:fill="EAF2F8"/>
          </w:tcPr>
          <w:p>
            <w:r>
              <w:rPr>
                <w:b/>
                <w:color w:val="17365D"/>
                <w:sz w:val="17"/>
              </w:rPr>
              <w:t>Hierarchical geographic scope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intended product shall support countries, cities, towns/societies/phases, and other local service areas without embedding one launch location into the core business model.</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FR-061</w:t>
            </w:r>
          </w:p>
        </w:tc>
        <w:tc>
          <w:tcPr>
            <w:tcW w:type="dxa" w:w="7056"/>
            <w:tcMar>
              <w:top w:w="90" w:type="dxa"/>
              <w:start w:w="90" w:type="dxa"/>
              <w:bottom w:w="90" w:type="dxa"/>
              <w:end w:w="90" w:type="dxa"/>
            </w:tcMar>
            <w:vAlign w:val="center"/>
            <w:shd w:fill="EAF2F8"/>
          </w:tcPr>
          <w:p>
            <w:r>
              <w:rPr>
                <w:b/>
                <w:color w:val="17365D"/>
                <w:sz w:val="17"/>
              </w:rPr>
              <w:t>Active and inactive markets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Locations may exist while inactive. Live jobs and provider interactions shall be enabled only in active markets.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FR-062</w:t>
            </w:r>
          </w:p>
        </w:tc>
        <w:tc>
          <w:tcPr>
            <w:tcW w:type="dxa" w:w="7056"/>
            <w:tcMar>
              <w:top w:w="90" w:type="dxa"/>
              <w:start w:w="90" w:type="dxa"/>
              <w:bottom w:w="90" w:type="dxa"/>
              <w:end w:w="90" w:type="dxa"/>
            </w:tcMar>
            <w:vAlign w:val="center"/>
            <w:shd w:fill="EAF2F8"/>
          </w:tcPr>
          <w:p>
            <w:r>
              <w:rPr>
                <w:b/>
                <w:color w:val="17365D"/>
                <w:sz w:val="17"/>
              </w:rPr>
              <w:t>Unsupported-location waitlist</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People outside active markets shall be able to register interest or join a location waitlist instead of reaching a dead end.</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FR-063</w:t>
            </w:r>
          </w:p>
        </w:tc>
        <w:tc>
          <w:tcPr>
            <w:tcW w:type="dxa" w:w="7056"/>
            <w:tcMar>
              <w:top w:w="90" w:type="dxa"/>
              <w:start w:w="90" w:type="dxa"/>
              <w:bottom w:w="90" w:type="dxa"/>
              <w:end w:w="90" w:type="dxa"/>
            </w:tcMar>
            <w:vAlign w:val="center"/>
            <w:shd w:fill="EAF2F8"/>
          </w:tcPr>
          <w:p>
            <w:r>
              <w:rPr>
                <w:b/>
                <w:color w:val="17365D"/>
                <w:sz w:val="17"/>
              </w:rPr>
              <w:t>Demand intelligence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may collect service-interest data from inactive locations to inform market expansion, subject to consent and data-minimization requirements.</w:t>
            </w:r>
          </w:p>
        </w:tc>
        <w:tc>
          <w:tcPr>
            <w:tcW w:type="dxa" w:w="1656"/>
            <w:tcMar>
              <w:top w:w="90" w:type="dxa"/>
              <w:start w:w="90" w:type="dxa"/>
              <w:bottom w:w="90" w:type="dxa"/>
              <w:end w:w="90" w:type="dxa"/>
            </w:tcMar>
            <w:vAlign w:val="center"/>
          </w:tcPr>
          <w:p>
            <w:r>
              <w:t>Cross-Cutting Requirement</w:t>
            </w:r>
          </w:p>
        </w:tc>
      </w:tr>
    </w:tbl>
    <w:p>
      <w:pPr>
        <w:pStyle w:val="SmallNote"/>
        <w:spacing w:after="80"/>
      </w:pPr>
      <w:r>
        <w:t>Discovery trace: Q12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FR-064</w:t>
            </w:r>
          </w:p>
        </w:tc>
        <w:tc>
          <w:tcPr>
            <w:tcW w:type="dxa" w:w="7056"/>
            <w:tcMar>
              <w:top w:w="90" w:type="dxa"/>
              <w:start w:w="90" w:type="dxa"/>
              <w:bottom w:w="90" w:type="dxa"/>
              <w:end w:w="90" w:type="dxa"/>
            </w:tcMar>
            <w:vAlign w:val="center"/>
            <w:shd w:fill="EAF2F8"/>
          </w:tcPr>
          <w:p>
            <w:r>
              <w:rPr>
                <w:b/>
                <w:color w:val="17365D"/>
                <w:sz w:val="17"/>
              </w:rPr>
              <w:t>No live inactive-area jobs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Requests from inactive areas shall not operate as live marketplace jobs available for provider applications.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Q12</w:t>
      </w:r>
    </w:p>
    <w:p>
      <w:pPr>
        <w:pStyle w:val="Heading2"/>
      </w:pPr>
      <w:r>
        <w:t>10.8 Visibility, communication, and privacy</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FR-070</w:t>
            </w:r>
          </w:p>
        </w:tc>
        <w:tc>
          <w:tcPr>
            <w:tcW w:type="dxa" w:w="7056"/>
            <w:tcMar>
              <w:top w:w="90" w:type="dxa"/>
              <w:start w:w="90" w:type="dxa"/>
              <w:bottom w:w="90" w:type="dxa"/>
              <w:end w:w="90" w:type="dxa"/>
            </w:tcMar>
            <w:vAlign w:val="center"/>
            <w:shd w:fill="EAF2F8"/>
          </w:tcPr>
          <w:p>
            <w:r>
              <w:rPr>
                <w:b/>
                <w:color w:val="17365D"/>
                <w:sz w:val="17"/>
              </w:rPr>
              <w:t>Relevant broad discovery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During low marketplace density, jobs shall be visible broadly enough among reasonably relevant providers in active areas to create a realistic chance of response.</w:t>
            </w:r>
          </w:p>
        </w:tc>
        <w:tc>
          <w:tcPr>
            <w:tcW w:type="dxa" w:w="1656"/>
            <w:tcMar>
              <w:top w:w="90" w:type="dxa"/>
              <w:start w:w="90" w:type="dxa"/>
              <w:bottom w:w="90" w:type="dxa"/>
              <w:end w:w="90" w:type="dxa"/>
            </w:tcMar>
            <w:vAlign w:val="center"/>
          </w:tcPr>
          <w:p>
            <w:r>
              <w:t>V1_Initial Principle</w:t>
            </w:r>
          </w:p>
        </w:tc>
      </w:tr>
    </w:tbl>
    <w:p>
      <w:pPr>
        <w:pStyle w:val="SmallNote"/>
        <w:spacing w:after="80"/>
      </w:pPr>
      <w:r>
        <w:t>Discovery trace: Q16</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FR-071</w:t>
            </w:r>
          </w:p>
        </w:tc>
        <w:tc>
          <w:tcPr>
            <w:tcW w:type="dxa" w:w="7056"/>
            <w:tcMar>
              <w:top w:w="90" w:type="dxa"/>
              <w:start w:w="90" w:type="dxa"/>
              <w:bottom w:w="90" w:type="dxa"/>
              <w:end w:w="90" w:type="dxa"/>
            </w:tcMar>
            <w:vAlign w:val="center"/>
            <w:shd w:fill="EAF2F8"/>
          </w:tcPr>
          <w:p>
            <w:r>
              <w:rPr>
                <w:b/>
                <w:color w:val="17365D"/>
                <w:sz w:val="17"/>
              </w:rPr>
              <w:t>Future visibility modes</w:t>
            </w:r>
          </w:p>
        </w:tc>
        <w:tc>
          <w:tcPr>
            <w:tcW w:type="dxa" w:w="1656"/>
            <w:tcMar>
              <w:top w:w="90" w:type="dxa"/>
              <w:start w:w="90" w:type="dxa"/>
              <w:bottom w:w="90" w:type="dxa"/>
              <w:end w:w="90" w:type="dxa"/>
            </w:tcMar>
            <w:vAlign w:val="center"/>
            <w:shd w:fill="EAF2F8"/>
          </w:tcPr>
          <w:p>
            <w:r>
              <w:rPr>
                <w:b/>
                <w:color w:val="17365D"/>
                <w:sz w:val="17"/>
              </w:rPr>
              <w:t>Provisional</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intended product may support publication to eligible providers, direct invitations, both simultaneously, and later invitation-only jobs. Private-only jobs need not be in V1_Initial.</w:t>
            </w:r>
          </w:p>
        </w:tc>
        <w:tc>
          <w:tcPr>
            <w:tcW w:type="dxa" w:w="1656"/>
            <w:tcMar>
              <w:top w:w="90" w:type="dxa"/>
              <w:start w:w="90" w:type="dxa"/>
              <w:bottom w:w="90" w:type="dxa"/>
              <w:end w:w="90" w:type="dxa"/>
            </w:tcMar>
            <w:vAlign w:val="center"/>
          </w:tcPr>
          <w:p>
            <w:r>
              <w:t>Future Capability</w:t>
            </w:r>
          </w:p>
        </w:tc>
      </w:tr>
    </w:tbl>
    <w:p>
      <w:pPr>
        <w:pStyle w:val="SmallNote"/>
        <w:spacing w:after="80"/>
      </w:pPr>
      <w:r>
        <w:t>Discovery trace: Q16</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FR-072</w:t>
            </w:r>
          </w:p>
        </w:tc>
        <w:tc>
          <w:tcPr>
            <w:tcW w:type="dxa" w:w="7056"/>
            <w:tcMar>
              <w:top w:w="90" w:type="dxa"/>
              <w:start w:w="90" w:type="dxa"/>
              <w:bottom w:w="90" w:type="dxa"/>
              <w:end w:w="90" w:type="dxa"/>
            </w:tcMar>
            <w:vAlign w:val="center"/>
            <w:shd w:fill="EAF2F8"/>
          </w:tcPr>
          <w:p>
            <w:r>
              <w:rPr>
                <w:b/>
                <w:color w:val="17365D"/>
                <w:sz w:val="17"/>
              </w:rPr>
              <w:t>In-platform communication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Customers and providers shall be able to discuss legitimate job details within the platform.</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Q15</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PRV-001</w:t>
            </w:r>
          </w:p>
        </w:tc>
        <w:tc>
          <w:tcPr>
            <w:tcW w:type="dxa" w:w="7056"/>
            <w:tcMar>
              <w:top w:w="90" w:type="dxa"/>
              <w:start w:w="90" w:type="dxa"/>
              <w:bottom w:w="90" w:type="dxa"/>
              <w:end w:w="90" w:type="dxa"/>
            </w:tcMar>
            <w:vAlign w:val="center"/>
            <w:shd w:fill="EAF2F8"/>
          </w:tcPr>
          <w:p>
            <w:r>
              <w:rPr>
                <w:b/>
                <w:color w:val="17365D"/>
                <w:sz w:val="17"/>
              </w:rPr>
              <w:t>Consent-based contact disclosure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Personal phone numbers and email addresses shall not be disclosed merely because a provider viewed or responded to a job; disclosure requires consent or a qualifying job stage.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Q15</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PRV-002</w:t>
            </w:r>
          </w:p>
        </w:tc>
        <w:tc>
          <w:tcPr>
            <w:tcW w:type="dxa" w:w="7056"/>
            <w:tcMar>
              <w:top w:w="90" w:type="dxa"/>
              <w:start w:w="90" w:type="dxa"/>
              <w:bottom w:w="90" w:type="dxa"/>
              <w:end w:w="90" w:type="dxa"/>
            </w:tcMar>
            <w:vAlign w:val="center"/>
            <w:shd w:fill="EAF2F8"/>
          </w:tcPr>
          <w:p>
            <w:r>
              <w:rPr>
                <w:b/>
                <w:color w:val="17365D"/>
                <w:sz w:val="17"/>
              </w:rPr>
              <w:t>Restricted exact address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Exact residential or service addresses shall not be visible to every provider discovering or responding to a job.</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Q15,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PRV-003</w:t>
            </w:r>
          </w:p>
        </w:tc>
        <w:tc>
          <w:tcPr>
            <w:tcW w:type="dxa" w:w="7056"/>
            <w:tcMar>
              <w:top w:w="90" w:type="dxa"/>
              <w:start w:w="90" w:type="dxa"/>
              <w:bottom w:w="90" w:type="dxa"/>
              <w:end w:w="90" w:type="dxa"/>
            </w:tcMar>
            <w:vAlign w:val="center"/>
            <w:shd w:fill="EAF2F8"/>
          </w:tcPr>
          <w:p>
            <w:r>
              <w:rPr>
                <w:b/>
                <w:color w:val="17365D"/>
                <w:sz w:val="17"/>
              </w:rPr>
              <w:t>Purpose limitation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Communication and information access shall be limited to legitimate marketplace use and shall not enable unrelated solicitation.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Q15</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OPEN-005</w:t>
            </w:r>
          </w:p>
        </w:tc>
        <w:tc>
          <w:tcPr>
            <w:tcW w:type="dxa" w:w="7056"/>
            <w:tcMar>
              <w:top w:w="90" w:type="dxa"/>
              <w:start w:w="90" w:type="dxa"/>
              <w:bottom w:w="90" w:type="dxa"/>
              <w:end w:w="90" w:type="dxa"/>
            </w:tcMar>
            <w:vAlign w:val="center"/>
            <w:shd w:fill="EAF2F8"/>
          </w:tcPr>
          <w:p>
            <w:r>
              <w:rPr>
                <w:b/>
                <w:color w:val="17365D"/>
                <w:sz w:val="17"/>
              </w:rPr>
              <w:t>Disclosure timing</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exact stage and consent mechanism for releasing contact details and exact address remain unresolved.</w:t>
            </w:r>
          </w:p>
        </w:tc>
        <w:tc>
          <w:tcPr>
            <w:tcW w:type="dxa" w:w="1656"/>
            <w:tcMar>
              <w:top w:w="90" w:type="dxa"/>
              <w:start w:w="90" w:type="dxa"/>
              <w:bottom w:w="90" w:type="dxa"/>
              <w:end w:w="90" w:type="dxa"/>
            </w:tcMar>
            <w:vAlign w:val="center"/>
          </w:tcPr>
          <w:p>
            <w:r>
              <w:t>Open</w:t>
            </w:r>
          </w:p>
        </w:tc>
      </w:tr>
    </w:tbl>
    <w:p>
      <w:pPr>
        <w:pStyle w:val="SmallNote"/>
        <w:spacing w:after="80"/>
      </w:pPr>
      <w:r>
        <w:t>Discovery trace: Q15</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FR-073</w:t>
            </w:r>
          </w:p>
        </w:tc>
        <w:tc>
          <w:tcPr>
            <w:tcW w:type="dxa" w:w="7056"/>
            <w:shd w:fill="D9EAF7"/>
            <w:tcMar>
              <w:top w:w="90" w:type="dxa"/>
              <w:start w:w="90" w:type="dxa"/>
              <w:bottom w:w="90" w:type="dxa"/>
              <w:end w:w="90" w:type="dxa"/>
            </w:tcMar>
            <w:vAlign w:val="center"/>
          </w:tcPr>
          <w:p>
            <w:r>
              <w:rPr>
                <w:b/>
                <w:color w:val="17365D"/>
                <w:sz w:val="17"/>
              </w:rPr>
              <w:t>Published job-media visibility</w:t>
            </w:r>
          </w:p>
        </w:tc>
        <w:tc>
          <w:tcPr>
            <w:tcW w:type="dxa" w:w="1656"/>
            <w:shd w:fill="D9EAF7"/>
            <w:tcMar>
              <w:top w:w="90" w:type="dxa"/>
              <w:start w:w="90" w:type="dxa"/>
              <w:bottom w:w="90" w:type="dxa"/>
              <w:end w:w="90" w:type="dxa"/>
            </w:tcMar>
            <w:vAlign w:val="center"/>
          </w:tcPr>
          <w:p>
            <w:r>
              <w:rPr>
                <w:b/>
                <w:color w:val="17365D"/>
                <w:sz w:val="17"/>
              </w:rPr>
              <w:t>Accepted</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Media intentionally attached to a published job may be viewed by providers eligible to discover that job. The platform shall warn customers before publication, permit preview and removal, prevent access by unrelated providers or inactive markets, and continue protecting exact addresses and private contact details. The interface shall not require granular per-file visibility controls in V1_Initial.</w:t>
            </w:r>
          </w:p>
        </w:tc>
        <w:tc>
          <w:tcPr>
            <w:tcW w:type="dxa" w:w="1656"/>
            <w:tcMar>
              <w:top w:w="90" w:type="dxa"/>
              <w:start w:w="90" w:type="dxa"/>
              <w:bottom w:w="90" w:type="dxa"/>
              <w:end w:w="90" w:type="dxa"/>
            </w:tcMar>
            <w:vAlign w:val="center"/>
          </w:tcPr>
          <w:p>
            <w:pPr>
              <w:spacing w:after="0" w:line="240" w:lineRule="auto"/>
            </w:pPr>
            <w:r>
              <w:rPr>
                <w:sz w:val="16"/>
              </w:rPr>
              <w:t>V1_Initial Principle</w:t>
            </w:r>
          </w:p>
        </w:tc>
      </w:tr>
    </w:tbl>
    <w:p>
      <w:pPr>
        <w:pStyle w:val="SmallNote"/>
      </w:pPr>
      <w:r>
        <w:t>Discovery trace: External audit + founder decisions</w:t>
      </w:r>
    </w:p>
    <w:p>
      <w:pPr>
        <w:pStyle w:val="Heading2"/>
      </w:pPr>
      <w:r>
        <w:t>10.9 Scheduling and emergency work</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FR-080</w:t>
            </w:r>
          </w:p>
        </w:tc>
        <w:tc>
          <w:tcPr>
            <w:tcW w:type="dxa" w:w="7056"/>
            <w:tcMar>
              <w:top w:w="90" w:type="dxa"/>
              <w:start w:w="90" w:type="dxa"/>
              <w:bottom w:w="90" w:type="dxa"/>
              <w:end w:w="90" w:type="dxa"/>
            </w:tcMar>
            <w:vAlign w:val="center"/>
            <w:shd w:fill="EAF2F8"/>
          </w:tcPr>
          <w:p>
            <w:r>
              <w:rPr>
                <w:b/>
                <w:color w:val="17365D"/>
                <w:sz w:val="17"/>
              </w:rPr>
              <w:t>Scheduling modes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Customers may request emergency, ASAP, scheduled, or inspection-based service.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FR-081</w:t>
            </w:r>
          </w:p>
        </w:tc>
        <w:tc>
          <w:tcPr>
            <w:tcW w:type="dxa" w:w="7056"/>
            <w:tcMar>
              <w:top w:w="90" w:type="dxa"/>
              <w:start w:w="90" w:type="dxa"/>
              <w:bottom w:w="90" w:type="dxa"/>
              <w:end w:w="90" w:type="dxa"/>
            </w:tcMar>
            <w:vAlign w:val="center"/>
            <w:shd w:fill="EAF2F8"/>
          </w:tcPr>
          <w:p>
            <w:r>
              <w:rPr>
                <w:b/>
                <w:color w:val="17365D"/>
                <w:sz w:val="17"/>
              </w:rPr>
              <w:t>Schedule negotiation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Providers may accept, reject, or counter a proposed time and state earliest availability. A schedule becomes agreed only when both parties accept it.</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FR-082</w:t>
            </w:r>
          </w:p>
        </w:tc>
        <w:tc>
          <w:tcPr>
            <w:tcW w:type="dxa" w:w="7056"/>
            <w:tcMar>
              <w:top w:w="90" w:type="dxa"/>
              <w:start w:w="90" w:type="dxa"/>
              <w:bottom w:w="90" w:type="dxa"/>
              <w:end w:w="90" w:type="dxa"/>
            </w:tcMar>
            <w:vAlign w:val="center"/>
            <w:shd w:fill="EAF2F8"/>
          </w:tcPr>
          <w:p>
            <w:r>
              <w:rPr>
                <w:b/>
                <w:color w:val="17365D"/>
                <w:sz w:val="17"/>
              </w:rPr>
              <w:t>Rescheduling</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Rescheduling shall be represented separately from cancellation.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FR-083</w:t>
            </w:r>
          </w:p>
        </w:tc>
        <w:tc>
          <w:tcPr>
            <w:tcW w:type="dxa" w:w="7056"/>
            <w:tcMar>
              <w:top w:w="90" w:type="dxa"/>
              <w:start w:w="90" w:type="dxa"/>
              <w:bottom w:w="90" w:type="dxa"/>
              <w:end w:w="90" w:type="dxa"/>
            </w:tcMar>
            <w:vAlign w:val="center"/>
            <w:shd w:fill="EAF2F8"/>
          </w:tcPr>
          <w:p>
            <w:r>
              <w:rPr>
                <w:b/>
                <w:color w:val="17365D"/>
                <w:sz w:val="17"/>
              </w:rPr>
              <w:t>Configurable lead time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No universal 45-minute minimum shall be hard-coded as a business requirement; lead-time policies may vary.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Q21</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FR-084</w:t>
            </w:r>
          </w:p>
        </w:tc>
        <w:tc>
          <w:tcPr>
            <w:tcW w:type="dxa" w:w="7056"/>
            <w:tcMar>
              <w:top w:w="90" w:type="dxa"/>
              <w:start w:w="90" w:type="dxa"/>
              <w:bottom w:w="90" w:type="dxa"/>
              <w:end w:w="90" w:type="dxa"/>
            </w:tcMar>
            <w:vAlign w:val="center"/>
            <w:shd w:fill="EAF2F8"/>
          </w:tcPr>
          <w:p>
            <w:r>
              <w:rPr>
                <w:b/>
                <w:color w:val="17365D"/>
                <w:sz w:val="17"/>
              </w:rPr>
              <w:t>Emergency eligibility</w:t>
            </w:r>
          </w:p>
        </w:tc>
        <w:tc>
          <w:tcPr>
            <w:tcW w:type="dxa" w:w="1656"/>
            <w:tcMar>
              <w:top w:w="90" w:type="dxa"/>
              <w:start w:w="90" w:type="dxa"/>
              <w:bottom w:w="90" w:type="dxa"/>
              <w:end w:w="90" w:type="dxa"/>
            </w:tcMar>
            <w:vAlign w:val="center"/>
            <w:shd w:fill="EAF2F8"/>
          </w:tcPr>
          <w:p>
            <w:r>
              <w:rPr>
                <w:b/>
                <w:color w:val="17365D"/>
                <w:sz w:val="17"/>
              </w:rPr>
              <w:t>Provisional</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Emergency opportunities should be restricted to providers meeting acceptable reliability and eligibility thresholds.</w:t>
            </w:r>
          </w:p>
        </w:tc>
        <w:tc>
          <w:tcPr>
            <w:tcW w:type="dxa" w:w="1656"/>
            <w:tcMar>
              <w:top w:w="90" w:type="dxa"/>
              <w:start w:w="90" w:type="dxa"/>
              <w:bottom w:w="90" w:type="dxa"/>
              <w:end w:w="90" w:type="dxa"/>
            </w:tcMar>
            <w:vAlign w:val="center"/>
          </w:tcPr>
          <w:p>
            <w:r>
              <w:t>Future Capability</w:t>
            </w:r>
          </w:p>
        </w:tc>
      </w:tr>
    </w:tbl>
    <w:p>
      <w:pPr>
        <w:pStyle w:val="SmallNote"/>
        <w:spacing w:after="80"/>
      </w:pPr>
      <w:r>
        <w:t>Discovery trace: Q18</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t>HYP-009</w:t>
            </w:r>
          </w:p>
        </w:tc>
        <w:tc>
          <w:tcPr>
            <w:tcW w:type="dxa" w:w="7056"/>
            <w:tcMar>
              <w:top w:w="90" w:type="dxa"/>
              <w:start w:w="90" w:type="dxa"/>
              <w:bottom w:w="90" w:type="dxa"/>
              <w:end w:w="90" w:type="dxa"/>
            </w:tcMar>
            <w:vAlign w:val="center"/>
            <w:shd w:fill="EAF2F8"/>
          </w:tcPr>
          <w:p>
            <w:r>
              <w:t>Emergency incentive</w:t>
            </w:r>
          </w:p>
        </w:tc>
        <w:tc>
          <w:tcPr>
            <w:tcW w:type="dxa" w:w="1656"/>
            <w:tcMar>
              <w:top w:w="90" w:type="dxa"/>
              <w:start w:w="90" w:type="dxa"/>
              <w:bottom w:w="90" w:type="dxa"/>
              <w:end w:w="90" w:type="dxa"/>
            </w:tcMar>
            <w:vAlign w:val="center"/>
            <w:shd w:fill="EAF2F8"/>
          </w:tcPr>
          <w:p>
            <w:r>
              <w:rPr>
                <w:b/>
                <w:color w:val="17365D"/>
                <w:sz w:val="17"/>
              </w:rPr>
              <w:t>Hypothesis</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Emergency jobs may support higher compensation or reduced future platform fees to incentivize reliable rapid response.</w:t>
            </w:r>
          </w:p>
        </w:tc>
        <w:tc>
          <w:tcPr>
            <w:tcW w:type="dxa" w:w="1656"/>
            <w:tcMar>
              <w:top w:w="90" w:type="dxa"/>
              <w:start w:w="90" w:type="dxa"/>
              <w:bottom w:w="90" w:type="dxa"/>
              <w:end w:w="90" w:type="dxa"/>
            </w:tcMar>
            <w:vAlign w:val="center"/>
          </w:tcPr>
          <w:p>
            <w:r>
              <w:t>Future Capability</w:t>
            </w:r>
          </w:p>
        </w:tc>
      </w:tr>
    </w:tbl>
    <w:p>
      <w:pPr>
        <w:pStyle w:val="SmallNote"/>
        <w:spacing w:after="80"/>
      </w:pPr>
      <w:r>
        <w:t>Discovery trace: Q18</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FR-085</w:t>
            </w:r>
          </w:p>
        </w:tc>
        <w:tc>
          <w:tcPr>
            <w:tcW w:type="dxa" w:w="7056"/>
            <w:shd w:fill="D9EAF7"/>
            <w:tcMar>
              <w:top w:w="90" w:type="dxa"/>
              <w:start w:w="90" w:type="dxa"/>
              <w:bottom w:w="90" w:type="dxa"/>
              <w:end w:w="90" w:type="dxa"/>
            </w:tcMar>
            <w:vAlign w:val="center"/>
          </w:tcPr>
          <w:p>
            <w:r>
              <w:rPr>
                <w:b/>
                <w:color w:val="17365D"/>
                <w:sz w:val="17"/>
              </w:rPr>
              <w:t>No-show reporting</w:t>
            </w:r>
          </w:p>
        </w:tc>
        <w:tc>
          <w:tcPr>
            <w:tcW w:type="dxa" w:w="1656"/>
            <w:shd w:fill="D9EAF7"/>
            <w:tcMar>
              <w:top w:w="90" w:type="dxa"/>
              <w:start w:w="90" w:type="dxa"/>
              <w:bottom w:w="90" w:type="dxa"/>
              <w:end w:w="90" w:type="dxa"/>
            </w:tcMar>
            <w:vAlign w:val="center"/>
          </w:tcPr>
          <w:p>
            <w:r>
              <w:rPr>
                <w:b/>
                <w:color w:val="17365D"/>
                <w:sz w:val="17"/>
              </w:rPr>
              <w:t>Provisional</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After an agreed arrival window, the platform may ask whether the provider arrived. A customer may report an alleged provider no-show, and the provider shall be notified and may dispute it. Exact reminder timing and automation may be simplified or deferred if infeasible for V1_Initial.</w:t>
            </w:r>
          </w:p>
        </w:tc>
        <w:tc>
          <w:tcPr>
            <w:tcW w:type="dxa" w:w="1656"/>
            <w:tcMar>
              <w:top w:w="90" w:type="dxa"/>
              <w:start w:w="90" w:type="dxa"/>
              <w:bottom w:w="90" w:type="dxa"/>
              <w:end w:w="90" w:type="dxa"/>
            </w:tcMar>
            <w:vAlign w:val="center"/>
          </w:tcPr>
          <w:p>
            <w:pPr>
              <w:spacing w:after="0" w:line="240" w:lineRule="auto"/>
            </w:pPr>
            <w:r>
              <w:rPr>
                <w:sz w:val="16"/>
              </w:rPr>
              <w:t>V1_Initial Candidate</w:t>
            </w:r>
          </w:p>
        </w:tc>
      </w:tr>
    </w:tbl>
    <w:p>
      <w:pPr>
        <w:pStyle w:val="SmallNote"/>
      </w:pPr>
      <w:r>
        <w:t>Discovery trace: External audit + founder decisions</w:t>
      </w:r>
    </w:p>
    <w:p>
      <w:pPr>
        <w:pStyle w:val="Heading2"/>
      </w:pPr>
      <w:r>
        <w:t>10.10 Completion, cancellation, complaints, and disputes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FR-090</w:t>
            </w:r>
          </w:p>
        </w:tc>
        <w:tc>
          <w:tcPr>
            <w:tcW w:type="dxa" w:w="7056"/>
            <w:tcMar>
              <w:top w:w="90" w:type="dxa"/>
              <w:start w:w="90" w:type="dxa"/>
              <w:bottom w:w="90" w:type="dxa"/>
              <w:end w:w="90" w:type="dxa"/>
            </w:tcMar>
            <w:vAlign w:val="center"/>
            <w:shd w:fill="EAF2F8"/>
          </w:tcPr>
          <w:p>
            <w:r>
              <w:rPr>
                <w:b/>
                <w:color w:val="17365D"/>
                <w:sz w:val="17"/>
              </w:rPr>
              <w:t>Completion recording</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record job completion under a configurable completion-confirmation policy.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Q4, Q5</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FR-091</w:t>
            </w:r>
          </w:p>
        </w:tc>
        <w:tc>
          <w:tcPr>
            <w:tcW w:type="dxa" w:w="7056"/>
            <w:tcMar>
              <w:top w:w="90" w:type="dxa"/>
              <w:start w:w="90" w:type="dxa"/>
              <w:bottom w:w="90" w:type="dxa"/>
              <w:end w:w="90" w:type="dxa"/>
            </w:tcMar>
            <w:vAlign w:val="center"/>
            <w:shd w:fill="EAF2F8"/>
          </w:tcPr>
          <w:p>
            <w:r>
              <w:rPr>
                <w:b/>
                <w:color w:val="17365D"/>
                <w:sz w:val="17"/>
              </w:rPr>
              <w:t>Cancellation rights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Before provider selection, a customer may withdraw a job and a provider may withdraw an unselected response. After a provider accepts a customer selection request, either party may cancel the resulting assignment and shall provide a reason.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Q18</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FR-092</w:t>
            </w:r>
          </w:p>
        </w:tc>
        <w:tc>
          <w:tcPr>
            <w:tcW w:type="dxa" w:w="7056"/>
            <w:tcMar>
              <w:top w:w="90" w:type="dxa"/>
              <w:start w:w="90" w:type="dxa"/>
              <w:bottom w:w="90" w:type="dxa"/>
              <w:end w:w="90" w:type="dxa"/>
            </w:tcMar>
            <w:vAlign w:val="center"/>
            <w:shd w:fill="EAF2F8"/>
          </w:tcPr>
          <w:p>
            <w:r>
              <w:t>Cancellation actor and responsibility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The platform shall record who performed the cancellation action, the stated reason, the party alleged to have caused it, whether responsibility is agreed or disputed, and any later confirmed attribution. The cancelling actor shall not automatically be presumed responsible. Disputed responsibility shall not negatively affect public cancellation statistics until resolved or confirmed under the prevailing policy.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Q18</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FR-093</w:t>
            </w:r>
          </w:p>
        </w:tc>
        <w:tc>
          <w:tcPr>
            <w:tcW w:type="dxa" w:w="7056"/>
            <w:tcMar>
              <w:top w:w="90" w:type="dxa"/>
              <w:start w:w="90" w:type="dxa"/>
              <w:bottom w:w="90" w:type="dxa"/>
              <w:end w:w="90" w:type="dxa"/>
            </w:tcMar>
            <w:vAlign w:val="center"/>
            <w:shd w:fill="EAF2F8"/>
          </w:tcPr>
          <w:p>
            <w:r>
              <w:rPr>
                <w:b/>
                <w:color w:val="17365D"/>
                <w:sz w:val="17"/>
              </w:rPr>
              <w:t>Separate cancellation history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Cancellation history shall remain separate from star ratings and shall not automatically modify ratings.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Q18</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FR-094</w:t>
            </w:r>
          </w:p>
        </w:tc>
        <w:tc>
          <w:tcPr>
            <w:tcW w:type="dxa" w:w="7056"/>
            <w:tcMar>
              <w:top w:w="90" w:type="dxa"/>
              <w:start w:w="90" w:type="dxa"/>
              <w:bottom w:w="90" w:type="dxa"/>
              <w:end w:w="90" w:type="dxa"/>
            </w:tcMar>
            <w:vAlign w:val="center"/>
            <w:shd w:fill="EAF2F8"/>
          </w:tcPr>
          <w:p>
            <w:r>
              <w:rPr>
                <w:b/>
                <w:color w:val="17365D"/>
                <w:sz w:val="17"/>
              </w:rPr>
              <w:t>Cancellation classification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The system shall distinguish job withdrawal, response withdrawal, provider decline of a selection request, assignment cancellation, alleged no-show, mutually agreed cancellation reason, platform cancellation, and safety or exceptional cancellation.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Q18</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OPEN-006</w:t>
            </w:r>
          </w:p>
        </w:tc>
        <w:tc>
          <w:tcPr>
            <w:tcW w:type="dxa" w:w="7056"/>
            <w:tcMar>
              <w:top w:w="90" w:type="dxa"/>
              <w:start w:w="90" w:type="dxa"/>
              <w:bottom w:w="90" w:type="dxa"/>
              <w:end w:w="90" w:type="dxa"/>
            </w:tcMar>
            <w:vAlign w:val="center"/>
            <w:shd w:fill="EAF2F8"/>
          </w:tcPr>
          <w:p>
            <w:r>
              <w:rPr>
                <w:b/>
                <w:color w:val="17365D"/>
                <w:sz w:val="17"/>
              </w:rPr>
              <w:t>Disputed cancellation responsibility</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When parties disagree about cancellation responsibility, the attribution and resolution policy remains unresolved.</w:t>
            </w:r>
          </w:p>
        </w:tc>
        <w:tc>
          <w:tcPr>
            <w:tcW w:type="dxa" w:w="1656"/>
            <w:tcMar>
              <w:top w:w="90" w:type="dxa"/>
              <w:start w:w="90" w:type="dxa"/>
              <w:bottom w:w="90" w:type="dxa"/>
              <w:end w:w="90" w:type="dxa"/>
            </w:tcMar>
            <w:vAlign w:val="center"/>
          </w:tcPr>
          <w:p>
            <w:r>
              <w:t>Open</w:t>
            </w:r>
          </w:p>
        </w:tc>
      </w:tr>
    </w:tbl>
    <w:p>
      <w:pPr>
        <w:pStyle w:val="SmallNote"/>
        <w:spacing w:after="80"/>
      </w:pPr>
      <w:r>
        <w:t>Discovery trace: Q18</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FR-095</w:t>
            </w:r>
          </w:p>
        </w:tc>
        <w:tc>
          <w:tcPr>
            <w:tcW w:type="dxa" w:w="7056"/>
            <w:tcMar>
              <w:top w:w="90" w:type="dxa"/>
              <w:start w:w="90" w:type="dxa"/>
              <w:bottom w:w="90" w:type="dxa"/>
              <w:end w:w="90" w:type="dxa"/>
            </w:tcMar>
            <w:vAlign w:val="center"/>
            <w:shd w:fill="EAF2F8"/>
          </w:tcPr>
          <w:p>
            <w:r>
              <w:rPr>
                <w:b/>
                <w:color w:val="17365D"/>
                <w:sz w:val="17"/>
              </w:rPr>
              <w:t>Complaint submission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Either party shall be able to report a problem connected to a legitimate job with a reason and optional evidence.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Q19</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FR-096</w:t>
            </w:r>
          </w:p>
        </w:tc>
        <w:tc>
          <w:tcPr>
            <w:tcW w:type="dxa" w:w="7056"/>
            <w:tcMar>
              <w:top w:w="90" w:type="dxa"/>
              <w:start w:w="90" w:type="dxa"/>
              <w:bottom w:w="90" w:type="dxa"/>
              <w:end w:w="90" w:type="dxa"/>
            </w:tcMar>
            <w:vAlign w:val="center"/>
            <w:shd w:fill="EAF2F8"/>
          </w:tcPr>
          <w:p>
            <w:r>
              <w:rPr>
                <w:b/>
                <w:color w:val="17365D"/>
                <w:sz w:val="17"/>
              </w:rPr>
              <w:t>Right to respond</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other party shall have an opportunity to respond to a complaint or submit counter-evidence.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Q19</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FR-097</w:t>
            </w:r>
          </w:p>
        </w:tc>
        <w:tc>
          <w:tcPr>
            <w:tcW w:type="dxa" w:w="7056"/>
            <w:tcMar>
              <w:top w:w="90" w:type="dxa"/>
              <w:start w:w="90" w:type="dxa"/>
              <w:bottom w:w="90" w:type="dxa"/>
              <w:end w:w="90" w:type="dxa"/>
            </w:tcMar>
            <w:vAlign w:val="center"/>
            <w:shd w:fill="EAF2F8"/>
          </w:tcPr>
          <w:p>
            <w:r>
              <w:rPr>
                <w:b/>
                <w:color w:val="17365D"/>
                <w:sz w:val="17"/>
              </w:rPr>
              <w:t>Disputed outcome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contested job shall be flagged or disputed rather than silently counted as successful.</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Q19</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FR-098</w:t>
            </w:r>
          </w:p>
        </w:tc>
        <w:tc>
          <w:tcPr>
            <w:tcW w:type="dxa" w:w="7056"/>
            <w:tcMar>
              <w:top w:w="90" w:type="dxa"/>
              <w:start w:w="90" w:type="dxa"/>
              <w:bottom w:w="90" w:type="dxa"/>
              <w:end w:w="90" w:type="dxa"/>
            </w:tcMar>
            <w:vAlign w:val="center"/>
            <w:shd w:fill="EAF2F8"/>
          </w:tcPr>
          <w:p>
            <w:r>
              <w:rPr>
                <w:b/>
                <w:color w:val="17365D"/>
                <w:sz w:val="17"/>
              </w:rPr>
              <w:t>No automatic reputational harm</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Unsubstantiated complaints shall not automatically damage reputation. Repeated substantiated misconduct may lead to restrictions or suspension.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Q19</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BRL-001</w:t>
            </w:r>
          </w:p>
        </w:tc>
        <w:tc>
          <w:tcPr>
            <w:tcW w:type="dxa" w:w="7056"/>
            <w:tcMar>
              <w:top w:w="90" w:type="dxa"/>
              <w:start w:w="90" w:type="dxa"/>
              <w:bottom w:w="90" w:type="dxa"/>
              <w:end w:w="90" w:type="dxa"/>
            </w:tcMar>
            <w:vAlign w:val="center"/>
            <w:shd w:fill="EAF2F8"/>
          </w:tcPr>
          <w:p>
            <w:r>
              <w:rPr>
                <w:b/>
                <w:color w:val="17365D"/>
                <w:sz w:val="17"/>
              </w:rPr>
              <w:t>No initial remedy guarantee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initially facilitates complaint review but does not guarantee refunds, compensation, workmanship, or legal resolution.</w:t>
            </w:r>
          </w:p>
        </w:tc>
        <w:tc>
          <w:tcPr>
            <w:tcW w:type="dxa" w:w="1656"/>
            <w:tcMar>
              <w:top w:w="90" w:type="dxa"/>
              <w:start w:w="90" w:type="dxa"/>
              <w:bottom w:w="90" w:type="dxa"/>
              <w:end w:w="90" w:type="dxa"/>
            </w:tcMar>
            <w:vAlign w:val="center"/>
          </w:tcPr>
          <w:p>
            <w:r>
              <w:t>Boundary</w:t>
            </w:r>
          </w:p>
        </w:tc>
      </w:tr>
    </w:tbl>
    <w:p>
      <w:pPr>
        <w:pStyle w:val="SmallNote"/>
        <w:spacing w:after="80"/>
      </w:pPr>
      <w:r>
        <w:t>Discovery trace: Q19</w:t>
      </w:r>
    </w:p>
    <w:p>
      <w:pPr>
        <w:pStyle w:val="Heading2"/>
      </w:pPr>
      <w:r>
        <w:t>10.11 Two-sided reputation</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FR-100</w:t>
            </w:r>
          </w:p>
        </w:tc>
        <w:tc>
          <w:tcPr>
            <w:tcW w:type="dxa" w:w="7056"/>
            <w:tcMar>
              <w:top w:w="90" w:type="dxa"/>
              <w:start w:w="90" w:type="dxa"/>
              <w:bottom w:w="90" w:type="dxa"/>
              <w:end w:w="90" w:type="dxa"/>
            </w:tcMar>
            <w:vAlign w:val="center"/>
            <w:shd w:fill="EAF2F8"/>
          </w:tcPr>
          <w:p>
            <w:r>
              <w:rPr>
                <w:b/>
                <w:color w:val="17365D"/>
                <w:sz w:val="17"/>
              </w:rPr>
              <w:t>Mutual reputation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Customers and providers shall both develop reputation based on legitimate marketplace activity.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FR-101</w:t>
            </w:r>
          </w:p>
        </w:tc>
        <w:tc>
          <w:tcPr>
            <w:tcW w:type="dxa" w:w="7056"/>
            <w:tcMar>
              <w:top w:w="90" w:type="dxa"/>
              <w:start w:w="90" w:type="dxa"/>
              <w:bottom w:w="90" w:type="dxa"/>
              <w:end w:w="90" w:type="dxa"/>
            </w:tcMar>
            <w:vAlign w:val="center"/>
            <w:shd w:fill="EAF2F8"/>
          </w:tcPr>
          <w:p>
            <w:r>
              <w:rPr>
                <w:b/>
                <w:color w:val="17365D"/>
                <w:sz w:val="17"/>
              </w:rPr>
              <w:t>Customer trust indicators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Providers shall be able to review relevant customer indicators such as completed jobs, cancellation history, account age, rating, feedback, and verification when available.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FR-102</w:t>
            </w:r>
          </w:p>
        </w:tc>
        <w:tc>
          <w:tcPr>
            <w:tcW w:type="dxa" w:w="7056"/>
            <w:tcMar>
              <w:top w:w="90" w:type="dxa"/>
              <w:start w:w="90" w:type="dxa"/>
              <w:bottom w:w="90" w:type="dxa"/>
              <w:end w:w="90" w:type="dxa"/>
            </w:tcMar>
            <w:vAlign w:val="center"/>
            <w:shd w:fill="EAF2F8"/>
          </w:tcPr>
          <w:p>
            <w:r>
              <w:rPr>
                <w:b/>
                <w:color w:val="17365D"/>
                <w:sz w:val="17"/>
              </w:rPr>
              <w:t>Provider trust indicators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Customers shall be able to review relevant provider indicators such as completed jobs, ratings, cancellations, verification, account history, and legitimate performance data.</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Q7, Q14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FR-103</w:t>
            </w:r>
          </w:p>
        </w:tc>
        <w:tc>
          <w:tcPr>
            <w:tcW w:type="dxa" w:w="7056"/>
            <w:tcMar>
              <w:top w:w="90" w:type="dxa"/>
              <w:start w:w="90" w:type="dxa"/>
              <w:bottom w:w="90" w:type="dxa"/>
              <w:end w:w="90" w:type="dxa"/>
            </w:tcMar>
            <w:vAlign w:val="center"/>
            <w:shd w:fill="EAF2F8"/>
          </w:tcPr>
          <w:p>
            <w:r>
              <w:rPr>
                <w:b/>
                <w:color w:val="17365D"/>
                <w:sz w:val="17"/>
              </w:rPr>
              <w:t>Qualifying feedback only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Viewing, applying, messaging, or inspection without completed work shall not by itself create a star rating.</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Q4, Q14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SEC-001</w:t>
            </w:r>
          </w:p>
        </w:tc>
        <w:tc>
          <w:tcPr>
            <w:tcW w:type="dxa" w:w="7056"/>
            <w:tcMar>
              <w:top w:w="90" w:type="dxa"/>
              <w:start w:w="90" w:type="dxa"/>
              <w:bottom w:w="90" w:type="dxa"/>
              <w:end w:w="90" w:type="dxa"/>
            </w:tcMar>
            <w:vAlign w:val="center"/>
            <w:shd w:fill="EAF2F8"/>
          </w:tcPr>
          <w:p>
            <w:r>
              <w:rPr>
                <w:b/>
                <w:color w:val="17365D"/>
                <w:sz w:val="17"/>
              </w:rPr>
              <w:t>Reputation integrity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reduce self-review, fabricated jobs, coordinated ratings, retaliation, fake reviews, and other reputation manipulation.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Q13, Q14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OPEN-007</w:t>
            </w:r>
          </w:p>
        </w:tc>
        <w:tc>
          <w:tcPr>
            <w:tcW w:type="dxa" w:w="7056"/>
            <w:tcMar>
              <w:top w:w="90" w:type="dxa"/>
              <w:start w:w="90" w:type="dxa"/>
              <w:bottom w:w="90" w:type="dxa"/>
              <w:end w:w="90" w:type="dxa"/>
            </w:tcMar>
            <w:vAlign w:val="center"/>
            <w:shd w:fill="EAF2F8"/>
          </w:tcPr>
          <w:p>
            <w:r>
              <w:rPr>
                <w:b/>
                <w:color w:val="17365D"/>
                <w:sz w:val="17"/>
              </w:rPr>
              <w:t>Review publication policy</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Simultaneous publication, public versus private feedback, cancelled-job feedback, and disputed-review handling remain unresolved.</w:t>
            </w:r>
          </w:p>
        </w:tc>
        <w:tc>
          <w:tcPr>
            <w:tcW w:type="dxa" w:w="1656"/>
            <w:tcMar>
              <w:top w:w="90" w:type="dxa"/>
              <w:start w:w="90" w:type="dxa"/>
              <w:bottom w:w="90" w:type="dxa"/>
              <w:end w:w="90" w:type="dxa"/>
            </w:tcMar>
            <w:vAlign w:val="center"/>
          </w:tcPr>
          <w:p>
            <w:r>
              <w:t>Open</w:t>
            </w:r>
          </w:p>
        </w:tc>
      </w:tr>
    </w:tbl>
    <w:p>
      <w:pPr>
        <w:pStyle w:val="SmallNote"/>
        <w:spacing w:after="80"/>
      </w:pPr>
      <w:r>
        <w:t>Discovery trace: Q14</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D9EAF7"/>
            <w:tcMar>
              <w:top w:w="90" w:type="dxa"/>
              <w:start w:w="90" w:type="dxa"/>
              <w:bottom w:w="90" w:type="dxa"/>
              <w:end w:w="90" w:type="dxa"/>
            </w:tcMar>
            <w:vAlign w:val="center"/>
          </w:tcPr>
          <w:p>
            <w:r>
              <w:rPr>
                <w:b/>
                <w:color w:val="17365D"/>
                <w:sz w:val="17"/>
              </w:rPr>
              <w:t>FR-104</w:t>
            </w:r>
          </w:p>
        </w:tc>
        <w:tc>
          <w:tcPr>
            <w:tcW w:type="dxa" w:w="7056"/>
            <w:shd w:fill="D9EAF7"/>
            <w:tcMar>
              <w:top w:w="90" w:type="dxa"/>
              <w:start w:w="90" w:type="dxa"/>
              <w:bottom w:w="90" w:type="dxa"/>
              <w:end w:w="90" w:type="dxa"/>
            </w:tcMar>
            <w:vAlign w:val="center"/>
          </w:tcPr>
          <w:p>
            <w:r>
              <w:rPr>
                <w:b/>
                <w:color w:val="17365D"/>
                <w:sz w:val="17"/>
              </w:rPr>
              <w:t>Rating-to-job linkage</w:t>
            </w:r>
          </w:p>
        </w:tc>
        <w:tc>
          <w:tcPr>
            <w:tcW w:type="dxa" w:w="1656"/>
            <w:shd w:fill="D9EAF7"/>
            <w:tcMar>
              <w:top w:w="90" w:type="dxa"/>
              <w:start w:w="90" w:type="dxa"/>
              <w:bottom w:w="90" w:type="dxa"/>
              <w:end w:w="90" w:type="dxa"/>
            </w:tcMar>
            <w:vAlign w:val="center"/>
          </w:tcPr>
          <w:p>
            <w:r>
              <w:rPr>
                <w:b/>
                <w:color w:val="17365D"/>
                <w:sz w:val="17"/>
              </w:rPr>
              <w:t>Accepted</w:t>
            </w:r>
          </w:p>
        </w:tc>
      </w:tr>
      <w:tr>
        <w:tc>
          <w:tcPr>
            <w:tcW w:type="dxa" w:w="1800"/>
            <w:tcMar>
              <w:top w:w="90" w:type="dxa"/>
              <w:start w:w="90" w:type="dxa"/>
              <w:bottom w:w="90" w:type="dxa"/>
              <w:end w:w="90" w:type="dxa"/>
            </w:tcMar>
            <w:vAlign w:val="center"/>
          </w:tcPr>
          <w:p>
            <w:pPr>
              <w:spacing w:after="0" w:line="240" w:lineRule="auto"/>
            </w:pPr>
            <w:r>
              <w:rPr>
                <w:sz w:val="16"/>
              </w:rPr>
              <w:t>Requirement</w:t>
            </w:r>
          </w:p>
        </w:tc>
        <w:tc>
          <w:tcPr>
            <w:tcW w:type="dxa" w:w="7056"/>
            <w:tcMar>
              <w:top w:w="90" w:type="dxa"/>
              <w:start w:w="90" w:type="dxa"/>
              <w:bottom w:w="90" w:type="dxa"/>
              <w:end w:w="90" w:type="dxa"/>
            </w:tcMar>
            <w:vAlign w:val="center"/>
          </w:tcPr>
          <w:p>
            <w:pPr>
              <w:spacing w:after="0" w:line="240" w:lineRule="auto"/>
            </w:pPr>
            <w:r>
              <w:rPr>
                <w:sz w:val="16"/>
              </w:rPr>
              <w:t>Each rating or feedback record shall reference one specific qualifying completed job. Each party may maintain at most one active rating of the other party per job. A standalone inspection qualifies only when inspection or diagnosis was the agreed completed service.</w:t>
            </w:r>
          </w:p>
        </w:tc>
        <w:tc>
          <w:tcPr>
            <w:tcW w:type="dxa" w:w="1656"/>
            <w:tcMar>
              <w:top w:w="90" w:type="dxa"/>
              <w:start w:w="90" w:type="dxa"/>
              <w:bottom w:w="90" w:type="dxa"/>
              <w:end w:w="90" w:type="dxa"/>
            </w:tcMar>
            <w:vAlign w:val="center"/>
          </w:tcPr>
          <w:p>
            <w:pPr>
              <w:spacing w:after="0" w:line="240" w:lineRule="auto"/>
            </w:pPr>
            <w:r>
              <w:rPr>
                <w:sz w:val="16"/>
              </w:rPr>
              <w:t>Intended Product</w:t>
            </w:r>
          </w:p>
        </w:tc>
      </w:tr>
    </w:tbl>
    <w:p>
      <w:pPr>
        <w:pStyle w:val="SmallNote"/>
      </w:pPr>
      <w:r>
        <w:t>Discovery trace: External audit + founder decisions</w:t>
      </w:r>
    </w:p>
    <w:p>
      <w:pPr>
        <w:pStyle w:val="Heading2"/>
      </w:pPr>
      <w:r>
        <w:t>10.12 Pricing records and V1 payments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FR-110</w:t>
            </w:r>
          </w:p>
        </w:tc>
        <w:tc>
          <w:tcPr>
            <w:tcW w:type="dxa" w:w="7056"/>
            <w:tcMar>
              <w:top w:w="90" w:type="dxa"/>
              <w:start w:w="90" w:type="dxa"/>
              <w:bottom w:w="90" w:type="dxa"/>
              <w:end w:w="90" w:type="dxa"/>
            </w:tcMar>
            <w:vAlign w:val="center"/>
            <w:shd w:fill="EAF2F8"/>
          </w:tcPr>
          <w:p>
            <w:r>
              <w:rPr>
                <w:b/>
                <w:color w:val="17365D"/>
                <w:sz w:val="17"/>
              </w:rPr>
              <w:t>Price discussion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support price proposals, counter-proposals, estimates, ranges, inspection-first pricing, and optional recording of agreed/final price.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 Q6, Q20</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BRL-002</w:t>
            </w:r>
          </w:p>
        </w:tc>
        <w:tc>
          <w:tcPr>
            <w:tcW w:type="dxa" w:w="7056"/>
            <w:tcMar>
              <w:top w:w="90" w:type="dxa"/>
              <w:start w:w="90" w:type="dxa"/>
              <w:bottom w:w="90" w:type="dxa"/>
              <w:end w:w="90" w:type="dxa"/>
            </w:tcMar>
            <w:vAlign w:val="center"/>
            <w:shd w:fill="EAF2F8"/>
          </w:tcPr>
          <w:p>
            <w:r>
              <w:rPr>
                <w:b/>
                <w:color w:val="17365D"/>
                <w:sz w:val="17"/>
              </w:rPr>
              <w:t>Independent V1 payment</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In V1, customer and provider exchange payment independently. The platform does not collect, hold, distribute, refund, or guarantee payment.</w:t>
            </w:r>
          </w:p>
        </w:tc>
        <w:tc>
          <w:tcPr>
            <w:tcW w:type="dxa" w:w="1656"/>
            <w:tcMar>
              <w:top w:w="90" w:type="dxa"/>
              <w:start w:w="90" w:type="dxa"/>
              <w:bottom w:w="90" w:type="dxa"/>
              <w:end w:w="90" w:type="dxa"/>
            </w:tcMar>
            <w:vAlign w:val="center"/>
          </w:tcPr>
          <w:p>
            <w:r>
              <w:t>Boundary</w:t>
            </w:r>
          </w:p>
        </w:tc>
      </w:tr>
    </w:tbl>
    <w:p>
      <w:pPr>
        <w:pStyle w:val="SmallNote"/>
        <w:spacing w:after="80"/>
      </w:pPr>
      <w:r>
        <w:t>Discovery trace: Q20</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DEF-001</w:t>
            </w:r>
          </w:p>
        </w:tc>
        <w:tc>
          <w:tcPr>
            <w:tcW w:type="dxa" w:w="7056"/>
            <w:tcMar>
              <w:top w:w="90" w:type="dxa"/>
              <w:start w:w="90" w:type="dxa"/>
              <w:bottom w:w="90" w:type="dxa"/>
              <w:end w:w="90" w:type="dxa"/>
            </w:tcMar>
            <w:vAlign w:val="center"/>
            <w:shd w:fill="EAF2F8"/>
          </w:tcPr>
          <w:p>
            <w:r>
              <w:rPr>
                <w:b/>
                <w:color w:val="17365D"/>
                <w:sz w:val="17"/>
              </w:rPr>
              <w:t>Platform payments</w:t>
            </w:r>
          </w:p>
        </w:tc>
        <w:tc>
          <w:tcPr>
            <w:tcW w:type="dxa" w:w="1656"/>
            <w:tcMar>
              <w:top w:w="90" w:type="dxa"/>
              <w:start w:w="90" w:type="dxa"/>
              <w:bottom w:w="90" w:type="dxa"/>
              <w:end w:w="90" w:type="dxa"/>
            </w:tcMar>
            <w:vAlign w:val="center"/>
            <w:shd w:fill="EAF2F8"/>
          </w:tcPr>
          <w:p>
            <w:r>
              <w:rPr>
                <w:b/>
                <w:color w:val="17365D"/>
                <w:sz w:val="17"/>
              </w:rPr>
              <w:t>Deferred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Optional or mandatory platform payment processing, escrow, and payment protection are deferred.</w:t>
            </w:r>
          </w:p>
        </w:tc>
        <w:tc>
          <w:tcPr>
            <w:tcW w:type="dxa" w:w="1656"/>
            <w:tcMar>
              <w:top w:w="90" w:type="dxa"/>
              <w:start w:w="90" w:type="dxa"/>
              <w:bottom w:w="90" w:type="dxa"/>
              <w:end w:w="90" w:type="dxa"/>
            </w:tcMar>
            <w:vAlign w:val="center"/>
          </w:tcPr>
          <w:p>
            <w:r>
              <w:t>Future Capability</w:t>
            </w:r>
          </w:p>
        </w:tc>
      </w:tr>
    </w:tbl>
    <w:p>
      <w:pPr>
        <w:pStyle w:val="SmallNote"/>
        <w:spacing w:after="80"/>
      </w:pPr>
      <w:r>
        <w:t>Discovery trace: Q20</w:t>
      </w:r>
    </w:p>
    <w:p>
      <w:pPr>
        <w:pStyle w:val="Heading2"/>
      </w:pPr>
      <w:r>
        <w:t>10.13 Verification and trust progression</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FR-120</w:t>
            </w:r>
          </w:p>
        </w:tc>
        <w:tc>
          <w:tcPr>
            <w:tcW w:type="dxa" w:w="7056"/>
            <w:tcMar>
              <w:top w:w="90" w:type="dxa"/>
              <w:start w:w="90" w:type="dxa"/>
              <w:bottom w:w="90" w:type="dxa"/>
              <w:end w:w="90" w:type="dxa"/>
            </w:tcMar>
            <w:vAlign w:val="center"/>
            <w:shd w:fill="EAF2F8"/>
          </w:tcPr>
          <w:p>
            <w:r>
              <w:rPr>
                <w:b/>
                <w:color w:val="17365D"/>
                <w:sz w:val="17"/>
              </w:rPr>
              <w:t>Progressive verification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support increasingly strong verification over time, with different requirements possible for customers, individual providers, and organizations.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Q10</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FR-121</w:t>
            </w:r>
          </w:p>
        </w:tc>
        <w:tc>
          <w:tcPr>
            <w:tcW w:type="dxa" w:w="7056"/>
            <w:tcMar>
              <w:top w:w="90" w:type="dxa"/>
              <w:start w:w="90" w:type="dxa"/>
              <w:bottom w:w="90" w:type="dxa"/>
              <w:end w:w="90" w:type="dxa"/>
            </w:tcMar>
            <w:vAlign w:val="center"/>
            <w:shd w:fill="EAF2F8"/>
          </w:tcPr>
          <w:p>
            <w:r>
              <w:rPr>
                <w:b/>
                <w:color w:val="17365D"/>
                <w:sz w:val="17"/>
              </w:rPr>
              <w:t>Low-friction initial verification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Early onboarding shall require only the minimum verification justified by the immediate action and current operational risk.</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Q10, Q13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FR-122</w:t>
            </w:r>
          </w:p>
        </w:tc>
        <w:tc>
          <w:tcPr>
            <w:tcW w:type="dxa" w:w="7056"/>
            <w:tcMar>
              <w:top w:w="90" w:type="dxa"/>
              <w:start w:w="90" w:type="dxa"/>
              <w:bottom w:w="90" w:type="dxa"/>
              <w:end w:w="90" w:type="dxa"/>
            </w:tcMar>
            <w:vAlign w:val="center"/>
            <w:shd w:fill="EAF2F8"/>
          </w:tcPr>
          <w:p>
            <w:r>
              <w:rPr>
                <w:b/>
                <w:color w:val="17365D"/>
                <w:sz w:val="17"/>
              </w:rPr>
              <w:t>Verification not certification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A provider shall not be represented as formally certified unless genuine certification evidence exists.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Earlier project discussion + Q8/Q10</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SEC-002</w:t>
            </w:r>
          </w:p>
        </w:tc>
        <w:tc>
          <w:tcPr>
            <w:tcW w:type="dxa" w:w="7056"/>
            <w:tcMar>
              <w:top w:w="90" w:type="dxa"/>
              <w:start w:w="90" w:type="dxa"/>
              <w:bottom w:w="90" w:type="dxa"/>
              <w:end w:w="90" w:type="dxa"/>
            </w:tcMar>
            <w:vAlign w:val="center"/>
            <w:shd w:fill="EAF2F8"/>
          </w:tcPr>
          <w:p>
            <w:r>
              <w:rPr>
                <w:b/>
                <w:color w:val="17365D"/>
                <w:sz w:val="17"/>
              </w:rPr>
              <w:t>Ghost-job reduction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Verification and abuse controls shall be designed to reduce fake customers, fake providers, and ghost jobs while avoiding unnecessary adoption barriers.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Q10, Q13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SEC-003</w:t>
            </w:r>
          </w:p>
        </w:tc>
        <w:tc>
          <w:tcPr>
            <w:tcW w:type="dxa" w:w="7056"/>
            <w:tcMar>
              <w:top w:w="90" w:type="dxa"/>
              <w:start w:w="90" w:type="dxa"/>
              <w:bottom w:w="90" w:type="dxa"/>
              <w:end w:w="90" w:type="dxa"/>
            </w:tcMar>
            <w:vAlign w:val="center"/>
            <w:shd w:fill="EAF2F8"/>
          </w:tcPr>
          <w:p>
            <w:r>
              <w:rPr>
                <w:b/>
                <w:color w:val="17365D"/>
                <w:sz w:val="17"/>
              </w:rPr>
              <w:t>Multiple-account resilience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anticipate duplicate accounts and limit their ability to manipulate jobs, reviews, reputation, or analytics.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OPEN-008</w:t>
            </w:r>
          </w:p>
        </w:tc>
        <w:tc>
          <w:tcPr>
            <w:tcW w:type="dxa" w:w="7056"/>
            <w:tcMar>
              <w:top w:w="90" w:type="dxa"/>
              <w:start w:w="90" w:type="dxa"/>
              <w:bottom w:w="90" w:type="dxa"/>
              <w:end w:w="90" w:type="dxa"/>
            </w:tcMar>
            <w:vAlign w:val="center"/>
            <w:shd w:fill="EAF2F8"/>
          </w:tcPr>
          <w:p>
            <w:r>
              <w:rPr>
                <w:b/>
                <w:color w:val="17365D"/>
                <w:sz w:val="17"/>
              </w:rPr>
              <w:t>Exact verification policy</w:t>
            </w:r>
          </w:p>
        </w:tc>
        <w:tc>
          <w:tcPr>
            <w:tcW w:type="dxa" w:w="1656"/>
            <w:tcMar>
              <w:top w:w="90" w:type="dxa"/>
              <w:start w:w="90" w:type="dxa"/>
              <w:bottom w:w="90" w:type="dxa"/>
              <w:end w:w="90" w:type="dxa"/>
            </w:tcMar>
            <w:vAlign w:val="center"/>
            <w:shd w:fill="EAF2F8"/>
          </w:tcPr>
          <w:p>
            <w:r>
              <w:rPr>
                <w:b/>
                <w:color w:val="17365D"/>
                <w:sz w:val="17"/>
              </w:rPr>
              <w:t>Open</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Minimum customer/provider verification, evidence, timing, and escalation remain open and must evolve through validation.</w:t>
            </w:r>
          </w:p>
        </w:tc>
        <w:tc>
          <w:tcPr>
            <w:tcW w:type="dxa" w:w="1656"/>
            <w:tcMar>
              <w:top w:w="90" w:type="dxa"/>
              <w:start w:w="90" w:type="dxa"/>
              <w:bottom w:w="90" w:type="dxa"/>
              <w:end w:w="90" w:type="dxa"/>
            </w:tcMar>
            <w:vAlign w:val="center"/>
          </w:tcPr>
          <w:p>
            <w:r>
              <w:t>Open</w:t>
            </w:r>
          </w:p>
        </w:tc>
      </w:tr>
    </w:tbl>
    <w:p>
      <w:pPr>
        <w:pStyle w:val="SmallNote"/>
        <w:spacing w:after="80"/>
      </w:pPr>
      <w:r>
        <w:t>Discovery trace: Q10</w:t>
      </w:r>
    </w:p>
    <w:p>
      <w:pPr>
        <w:pStyle w:val="Heading1"/>
      </w:pPr>
      <w:r>
        <w:t>11. Data and Analytics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DR-001</w:t>
            </w:r>
          </w:p>
        </w:tc>
        <w:tc>
          <w:tcPr>
            <w:tcW w:type="dxa" w:w="7056"/>
            <w:tcMar>
              <w:top w:w="90" w:type="dxa"/>
              <w:start w:w="90" w:type="dxa"/>
              <w:bottom w:w="90" w:type="dxa"/>
              <w:end w:w="90" w:type="dxa"/>
            </w:tcMar>
            <w:vAlign w:val="center"/>
            <w:shd w:fill="EAF2F8"/>
          </w:tcPr>
          <w:p>
            <w:r>
              <w:rPr>
                <w:b/>
                <w:color w:val="17365D"/>
                <w:sz w:val="17"/>
              </w:rPr>
              <w:t>Operational data</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record the minimum data needed to operate jobs, responses, selections, scheduling, completion, cancellation, disputes, reputation, organizations, categories, and locations.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Across Q1–Q24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DR-002</w:t>
            </w:r>
          </w:p>
        </w:tc>
        <w:tc>
          <w:tcPr>
            <w:tcW w:type="dxa" w:w="7056"/>
            <w:tcMar>
              <w:top w:w="90" w:type="dxa"/>
              <w:start w:w="90" w:type="dxa"/>
              <w:bottom w:w="90" w:type="dxa"/>
              <w:end w:w="90" w:type="dxa"/>
            </w:tcMar>
            <w:vAlign w:val="center"/>
            <w:shd w:fill="EAF2F8"/>
          </w:tcPr>
          <w:p>
            <w:r>
              <w:rPr>
                <w:b/>
                <w:color w:val="17365D"/>
                <w:sz w:val="17"/>
              </w:rPr>
              <w:t>Role-based analytics</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Customer and provider activities shall remain analytically distinguishable even if represented under one real-world identity.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DR-003</w:t>
            </w:r>
          </w:p>
        </w:tc>
        <w:tc>
          <w:tcPr>
            <w:tcW w:type="dxa" w:w="7056"/>
            <w:tcMar>
              <w:top w:w="90" w:type="dxa"/>
              <w:start w:w="90" w:type="dxa"/>
              <w:bottom w:w="90" w:type="dxa"/>
              <w:end w:w="90" w:type="dxa"/>
            </w:tcMar>
            <w:vAlign w:val="center"/>
            <w:shd w:fill="EAF2F8"/>
          </w:tcPr>
          <w:p>
            <w:r>
              <w:rPr>
                <w:b/>
                <w:color w:val="17365D"/>
                <w:sz w:val="17"/>
              </w:rPr>
              <w:t>Success integrity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Only qualifying completed jobs shall contribute to successful-job counts. Other outcomes shall be represented distinctly.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DR-004</w:t>
            </w:r>
          </w:p>
        </w:tc>
        <w:tc>
          <w:tcPr>
            <w:tcW w:type="dxa" w:w="7056"/>
            <w:tcMar>
              <w:top w:w="90" w:type="dxa"/>
              <w:start w:w="90" w:type="dxa"/>
              <w:bottom w:w="90" w:type="dxa"/>
              <w:end w:w="90" w:type="dxa"/>
            </w:tcMar>
            <w:vAlign w:val="center"/>
            <w:shd w:fill="EAF2F8"/>
          </w:tcPr>
          <w:p>
            <w:r>
              <w:rPr>
                <w:b/>
                <w:color w:val="17365D"/>
                <w:sz w:val="17"/>
              </w:rPr>
              <w:t>Data minimization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not collect personal, behavioural, or operational information merely because it might be useful someday. Each collected field should have a defined use.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Q10, Q11,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DR-005</w:t>
            </w:r>
          </w:p>
        </w:tc>
        <w:tc>
          <w:tcPr>
            <w:tcW w:type="dxa" w:w="7056"/>
            <w:tcMar>
              <w:top w:w="90" w:type="dxa"/>
              <w:start w:w="90" w:type="dxa"/>
              <w:bottom w:w="90" w:type="dxa"/>
              <w:end w:w="90" w:type="dxa"/>
            </w:tcMar>
            <w:vAlign w:val="center"/>
            <w:shd w:fill="EAF2F8"/>
          </w:tcPr>
          <w:p>
            <w:r>
              <w:rPr>
                <w:b/>
                <w:color w:val="17365D"/>
                <w:sz w:val="17"/>
              </w:rPr>
              <w:t>Expansion intelligence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may analyze demand from inactive locations and unmet service needs to guide future expansion, subject to consent and privacy.</w:t>
            </w:r>
          </w:p>
        </w:tc>
        <w:tc>
          <w:tcPr>
            <w:tcW w:type="dxa" w:w="1656"/>
            <w:tcMar>
              <w:top w:w="90" w:type="dxa"/>
              <w:start w:w="90" w:type="dxa"/>
              <w:bottom w:w="90" w:type="dxa"/>
              <w:end w:w="90" w:type="dxa"/>
            </w:tcMar>
            <w:vAlign w:val="center"/>
          </w:tcPr>
          <w:p>
            <w:r>
              <w:t>Cross-Cutting Requirement</w:t>
            </w:r>
          </w:p>
        </w:tc>
      </w:tr>
    </w:tbl>
    <w:p>
      <w:pPr>
        <w:pStyle w:val="SmallNote"/>
        <w:spacing w:after="80"/>
      </w:pPr>
      <w:r>
        <w:t>Discovery trace: Q12</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DR-006</w:t>
            </w:r>
          </w:p>
        </w:tc>
        <w:tc>
          <w:tcPr>
            <w:tcW w:type="dxa" w:w="7056"/>
            <w:tcMar>
              <w:top w:w="90" w:type="dxa"/>
              <w:start w:w="90" w:type="dxa"/>
              <w:bottom w:w="90" w:type="dxa"/>
              <w:end w:w="90" w:type="dxa"/>
            </w:tcMar>
            <w:vAlign w:val="center"/>
            <w:shd w:fill="EAF2F8"/>
          </w:tcPr>
          <w:p>
            <w:r>
              <w:rPr>
                <w:b/>
                <w:color w:val="17365D"/>
                <w:sz w:val="17"/>
              </w:rPr>
              <w:t>Policy evolution data</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The system shall preserve enough trustworthy event history to evaluate completion, cancellation, visibility, ranking, verification, and monetization policies over time.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Q5, Q18, Q24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PRV-004</w:t>
            </w:r>
          </w:p>
        </w:tc>
        <w:tc>
          <w:tcPr>
            <w:tcW w:type="dxa" w:w="7056"/>
            <w:tcMar>
              <w:top w:w="90" w:type="dxa"/>
              <w:start w:w="90" w:type="dxa"/>
              <w:bottom w:w="90" w:type="dxa"/>
              <w:end w:w="90" w:type="dxa"/>
            </w:tcMar>
            <w:vAlign w:val="center"/>
            <w:shd w:fill="EAF2F8"/>
          </w:tcPr>
          <w:p>
            <w:r>
              <w:rPr>
                <w:b/>
                <w:color w:val="17365D"/>
                <w:sz w:val="17"/>
              </w:rPr>
              <w:t>No unnecessary personal profiling</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platform shall not assume that a person’s attributes or past service use determine all future needs; behavioural personalization is not a current product requirement.</w:t>
            </w:r>
          </w:p>
        </w:tc>
        <w:tc>
          <w:tcPr>
            <w:tcW w:type="dxa" w:w="1656"/>
            <w:tcMar>
              <w:top w:w="90" w:type="dxa"/>
              <w:start w:w="90" w:type="dxa"/>
              <w:bottom w:w="90" w:type="dxa"/>
              <w:end w:w="90" w:type="dxa"/>
            </w:tcMar>
            <w:vAlign w:val="center"/>
          </w:tcPr>
          <w:p>
            <w:r>
              <w:t>Boundary</w:t>
            </w:r>
          </w:p>
        </w:tc>
      </w:tr>
    </w:tbl>
    <w:p>
      <w:pPr>
        <w:pStyle w:val="SmallNote"/>
        <w:spacing w:after="80"/>
      </w:pPr>
      <w:r>
        <w:t>Discovery trace: Q11</w:t>
      </w:r>
    </w:p>
    <w:p>
      <w:pPr>
        <w:pStyle w:val="Heading1"/>
      </w:pPr>
      <w:r>
        <w:t>12. Non-Functional Requirements</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NFR-001</w:t>
            </w:r>
          </w:p>
        </w:tc>
        <w:tc>
          <w:tcPr>
            <w:tcW w:type="dxa" w:w="7056"/>
            <w:tcMar>
              <w:top w:w="90" w:type="dxa"/>
              <w:start w:w="90" w:type="dxa"/>
              <w:bottom w:w="90" w:type="dxa"/>
              <w:end w:w="90" w:type="dxa"/>
            </w:tcMar>
            <w:vAlign w:val="center"/>
            <w:shd w:fill="EAF2F8"/>
          </w:tcPr>
          <w:p>
            <w:r>
              <w:rPr>
                <w:b/>
                <w:color w:val="17365D"/>
                <w:sz w:val="17"/>
              </w:rPr>
              <w:t>Web-first delivery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initial product shall be delivered as a web application before native mobile applications.</w:t>
            </w:r>
          </w:p>
        </w:tc>
        <w:tc>
          <w:tcPr>
            <w:tcW w:type="dxa" w:w="1656"/>
            <w:tcMar>
              <w:top w:w="90" w:type="dxa"/>
              <w:start w:w="90" w:type="dxa"/>
              <w:bottom w:w="90" w:type="dxa"/>
              <w:end w:w="90" w:type="dxa"/>
            </w:tcMar>
            <w:vAlign w:val="center"/>
          </w:tcPr>
          <w:p>
            <w:r>
              <w:rPr>
                <w:b w:val="0"/>
                <w:sz w:val="17"/>
              </w:rPr>
              <w:t>V1</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NFR-002</w:t>
            </w:r>
          </w:p>
        </w:tc>
        <w:tc>
          <w:tcPr>
            <w:tcW w:type="dxa" w:w="7056"/>
            <w:tcMar>
              <w:top w:w="90" w:type="dxa"/>
              <w:start w:w="90" w:type="dxa"/>
              <w:bottom w:w="90" w:type="dxa"/>
              <w:end w:w="90" w:type="dxa"/>
            </w:tcMar>
            <w:vAlign w:val="center"/>
            <w:shd w:fill="EAF2F8"/>
          </w:tcPr>
          <w:p>
            <w:r>
              <w:rPr>
                <w:b/>
                <w:color w:val="17365D"/>
                <w:sz w:val="17"/>
              </w:rPr>
              <w:t>Mobile-first UX</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web product shall be designed primarily for mobile screens and phone-based use.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NFR-003</w:t>
            </w:r>
          </w:p>
        </w:tc>
        <w:tc>
          <w:tcPr>
            <w:tcW w:type="dxa" w:w="7056"/>
            <w:tcMar>
              <w:top w:w="90" w:type="dxa"/>
              <w:start w:w="90" w:type="dxa"/>
              <w:bottom w:w="90" w:type="dxa"/>
              <w:end w:w="90" w:type="dxa"/>
            </w:tcMar>
            <w:vAlign w:val="center"/>
            <w:shd w:fill="EAF2F8"/>
          </w:tcPr>
          <w:p>
            <w:r>
              <w:rPr>
                <w:b/>
                <w:color w:val="17365D"/>
                <w:sz w:val="17"/>
              </w:rPr>
              <w:t>Low-end device usability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Core flows shall remain usable on lower-end mobile devices.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NFR-004</w:t>
            </w:r>
          </w:p>
        </w:tc>
        <w:tc>
          <w:tcPr>
            <w:tcW w:type="dxa" w:w="7056"/>
            <w:tcMar>
              <w:top w:w="90" w:type="dxa"/>
              <w:start w:w="90" w:type="dxa"/>
              <w:bottom w:w="90" w:type="dxa"/>
              <w:end w:w="90" w:type="dxa"/>
            </w:tcMar>
            <w:vAlign w:val="center"/>
            <w:shd w:fill="EAF2F8"/>
          </w:tcPr>
          <w:p>
            <w:r>
              <w:rPr>
                <w:b/>
                <w:color w:val="17365D"/>
                <w:sz w:val="17"/>
              </w:rPr>
              <w:t>Weak-network resilience</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Core flows shall tolerate slow, unstable, or intermittent connectivity and shall present recoverable failures.</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NFR-005</w:t>
            </w:r>
          </w:p>
        </w:tc>
        <w:tc>
          <w:tcPr>
            <w:tcW w:type="dxa" w:w="7056"/>
            <w:tcMar>
              <w:top w:w="90" w:type="dxa"/>
              <w:start w:w="90" w:type="dxa"/>
              <w:bottom w:w="90" w:type="dxa"/>
              <w:end w:w="90" w:type="dxa"/>
            </w:tcMar>
            <w:vAlign w:val="center"/>
            <w:shd w:fill="EAF2F8"/>
          </w:tcPr>
          <w:p>
            <w:r>
              <w:rPr>
                <w:b/>
                <w:color w:val="17365D"/>
                <w:sz w:val="17"/>
              </w:rPr>
              <w:t>Low cognitive load</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product shall use clear language, recognizable actions, minimal mandatory input, understandable status, and recoverable errors for users with limited technical experience.</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NFR-006</w:t>
            </w:r>
          </w:p>
        </w:tc>
        <w:tc>
          <w:tcPr>
            <w:tcW w:type="dxa" w:w="7056"/>
            <w:tcMar>
              <w:top w:w="90" w:type="dxa"/>
              <w:start w:w="90" w:type="dxa"/>
              <w:bottom w:w="90" w:type="dxa"/>
              <w:end w:w="90" w:type="dxa"/>
            </w:tcMar>
            <w:vAlign w:val="center"/>
            <w:shd w:fill="EAF2F8"/>
          </w:tcPr>
          <w:p>
            <w:r>
              <w:rPr>
                <w:b/>
                <w:color w:val="17365D"/>
                <w:sz w:val="17"/>
              </w:rPr>
              <w:t>Media failure transparency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Media uploads shall communicate progress and failure and shall avoid silently losing customer input.</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NFR-007</w:t>
            </w:r>
          </w:p>
        </w:tc>
        <w:tc>
          <w:tcPr>
            <w:tcW w:type="dxa" w:w="7056"/>
            <w:tcMar>
              <w:top w:w="90" w:type="dxa"/>
              <w:start w:w="90" w:type="dxa"/>
              <w:bottom w:w="90" w:type="dxa"/>
              <w:end w:w="90" w:type="dxa"/>
            </w:tcMar>
            <w:vAlign w:val="center"/>
            <w:shd w:fill="EAF2F8"/>
          </w:tcPr>
          <w:p>
            <w:r>
              <w:rPr>
                <w:b/>
                <w:color w:val="17365D"/>
                <w:sz w:val="17"/>
              </w:rPr>
              <w:t>Language evolution</w:t>
            </w:r>
          </w:p>
        </w:tc>
        <w:tc>
          <w:tcPr>
            <w:tcW w:type="dxa" w:w="1656"/>
            <w:tcMar>
              <w:top w:w="90" w:type="dxa"/>
              <w:start w:w="90" w:type="dxa"/>
              <w:bottom w:w="90" w:type="dxa"/>
              <w:end w:w="90" w:type="dxa"/>
            </w:tcMar>
            <w:vAlign w:val="center"/>
            <w:shd w:fill="EAF2F8"/>
          </w:tcPr>
          <w:p>
            <w: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intended product shall support English and Urdu. V1_Initial may launch in one language; the first language remains open.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NFR-008</w:t>
            </w:r>
          </w:p>
        </w:tc>
        <w:tc>
          <w:tcPr>
            <w:tcW w:type="dxa" w:w="7056"/>
            <w:tcMar>
              <w:top w:w="90" w:type="dxa"/>
              <w:start w:w="90" w:type="dxa"/>
              <w:bottom w:w="90" w:type="dxa"/>
              <w:end w:w="90" w:type="dxa"/>
            </w:tcMar>
            <w:vAlign w:val="center"/>
            <w:shd w:fill="EAF2F8"/>
          </w:tcPr>
          <w:p>
            <w:r>
              <w:rPr>
                <w:b/>
                <w:color w:val="17365D"/>
                <w:sz w:val="17"/>
              </w:rPr>
              <w:t>Basic accessibility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t>The product shall follow basic accessibility practices from the beginning, including readable text, sufficient contrast, usable touch targets, labelled forms, non-colour-only status, understandable errors, and practical assistive-technology support.</w:t>
            </w:r>
          </w:p>
        </w:tc>
        <w:tc>
          <w:tcPr>
            <w:tcW w:type="dxa" w:w="1656"/>
            <w:tcMar>
              <w:top w:w="90" w:type="dxa"/>
              <w:start w:w="90" w:type="dxa"/>
              <w:bottom w:w="90" w:type="dxa"/>
              <w:end w:w="90" w:type="dxa"/>
            </w:tcMar>
            <w:vAlign w:val="center"/>
          </w:tcPr>
          <w:p>
            <w:r>
              <w:t>Cross-Cutting Requirement</w:t>
            </w:r>
          </w:p>
        </w:tc>
      </w:tr>
    </w:tbl>
    <w:p>
      <w:pPr>
        <w:pStyle w:val="SmallNote"/>
        <w:spacing w:after="80"/>
      </w:pPr>
      <w:r>
        <w:t>Discovery trace: Q23</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NFR-009</w:t>
            </w:r>
          </w:p>
        </w:tc>
        <w:tc>
          <w:tcPr>
            <w:tcW w:type="dxa" w:w="7056"/>
            <w:tcMar>
              <w:top w:w="90" w:type="dxa"/>
              <w:start w:w="90" w:type="dxa"/>
              <w:bottom w:w="90" w:type="dxa"/>
              <w:end w:w="90" w:type="dxa"/>
            </w:tcMar>
            <w:vAlign w:val="center"/>
            <w:shd w:fill="EAF2F8"/>
          </w:tcPr>
          <w:p>
            <w:r>
              <w:rPr>
                <w:b/>
                <w:color w:val="17365D"/>
                <w:sz w:val="17"/>
              </w:rPr>
              <w:t>Evolvability</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Categories, locations, verification, visibility, ranking, reputation, and monetization policies shall be changeable without rebuilding the entire product.</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Q5, Q9–Q11, Q16, Q23–Q24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NFR-010</w:t>
            </w:r>
          </w:p>
        </w:tc>
        <w:tc>
          <w:tcPr>
            <w:tcW w:type="dxa" w:w="7056"/>
            <w:tcMar>
              <w:top w:w="90" w:type="dxa"/>
              <w:start w:w="90" w:type="dxa"/>
              <w:bottom w:w="90" w:type="dxa"/>
              <w:end w:w="90" w:type="dxa"/>
            </w:tcMar>
            <w:vAlign w:val="center"/>
            <w:shd w:fill="EAF2F8"/>
          </w:tcPr>
          <w:p>
            <w:r>
              <w:rPr>
                <w:b/>
                <w:color w:val="17365D"/>
                <w:sz w:val="17"/>
              </w:rPr>
              <w:t>Scalability path</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product shall avoid domain and architectural decisions that fundamentally block expansion to many locations and larger usage. V1_Initial is not required to demonstrate national traffic capacity.</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Q12, Q23, Q24</w:t>
      </w:r>
    </w:p>
    <w:tbl>
      <w:tblPr>
        <w:tblStyle w:val="TableGrid"/>
        <w:tblW w:type="auto" w:w="0"/>
        <w:jc w:val="center"/>
        <w:tblLook w:firstColumn="1" w:firstRow="1" w:lastColumn="0" w:lastRow="0" w:noHBand="0" w:noVBand="1" w:val="04A0"/>
      </w:tblPr>
      <w:tblGrid>
        <w:gridCol w:w="3331"/>
        <w:gridCol w:w="3331"/>
        <w:gridCol w:w="3331"/>
      </w:tblGrid>
      <w:tr>
        <w:tc>
          <w:tcPr>
            <w:tcW w:type="dxa" w:w="1800"/>
            <w:tcMar>
              <w:top w:w="90" w:type="dxa"/>
              <w:start w:w="90" w:type="dxa"/>
              <w:bottom w:w="90" w:type="dxa"/>
              <w:end w:w="90" w:type="dxa"/>
            </w:tcMar>
            <w:vAlign w:val="center"/>
            <w:shd w:fill="EAF2F8"/>
          </w:tcPr>
          <w:p>
            <w:r>
              <w:rPr>
                <w:b/>
                <w:color w:val="17365D"/>
                <w:sz w:val="17"/>
              </w:rPr>
              <w:t>NFR-011</w:t>
            </w:r>
          </w:p>
        </w:tc>
        <w:tc>
          <w:tcPr>
            <w:tcW w:type="dxa" w:w="7056"/>
            <w:tcMar>
              <w:top w:w="90" w:type="dxa"/>
              <w:start w:w="90" w:type="dxa"/>
              <w:bottom w:w="90" w:type="dxa"/>
              <w:end w:w="90" w:type="dxa"/>
            </w:tcMar>
            <w:vAlign w:val="center"/>
            <w:shd w:fill="EAF2F8"/>
          </w:tcPr>
          <w:p>
            <w:r>
              <w:rPr>
                <w:b/>
                <w:color w:val="17365D"/>
                <w:sz w:val="17"/>
              </w:rPr>
              <w:t>Sensitive-data protection</w:t>
            </w:r>
          </w:p>
        </w:tc>
        <w:tc>
          <w:tcPr>
            <w:tcW w:type="dxa" w:w="1656"/>
            <w:tcMar>
              <w:top w:w="90" w:type="dxa"/>
              <w:start w:w="90" w:type="dxa"/>
              <w:bottom w:w="90" w:type="dxa"/>
              <w:end w:w="90" w:type="dxa"/>
            </w:tcMar>
            <w:vAlign w:val="center"/>
            <w:shd w:fill="EAF2F8"/>
          </w:tcPr>
          <w:p>
            <w:r>
              <w:rPr>
                <w:b/>
                <w:color w:val="17365D"/>
                <w:sz w:val="17"/>
              </w:rPr>
              <w:t>Accepted</w:t>
            </w:r>
          </w:p>
        </w:tc>
      </w:tr>
      <w:tr>
        <w:tc>
          <w:tcPr>
            <w:tcW w:type="dxa" w:w="1800"/>
            <w:tcMar>
              <w:top w:w="90" w:type="dxa"/>
              <w:start w:w="90" w:type="dxa"/>
              <w:bottom w:w="90" w:type="dxa"/>
              <w:end w:w="90" w:type="dxa"/>
            </w:tcMar>
            <w:vAlign w:val="center"/>
          </w:tcPr>
          <w:p>
            <w:r>
              <w:rPr>
                <w:b/>
                <w:sz w:val="17"/>
              </w:rPr>
              <w:t>Requirement</w:t>
            </w:r>
          </w:p>
        </w:tc>
        <w:tc>
          <w:tcPr>
            <w:tcW w:type="dxa" w:w="7056"/>
            <w:tcMar>
              <w:top w:w="90" w:type="dxa"/>
              <w:start w:w="90" w:type="dxa"/>
              <w:bottom w:w="90" w:type="dxa"/>
              <w:end w:w="90" w:type="dxa"/>
            </w:tcMar>
            <w:vAlign w:val="center"/>
          </w:tcPr>
          <w:p>
            <w:r>
              <w:rPr>
                <w:b w:val="0"/>
                <w:sz w:val="17"/>
              </w:rPr>
              <w:t>The product shall protect addresses, contact details, verification evidence, household media, private communications, and other sensitive information.</w:t>
            </w:r>
          </w:p>
        </w:tc>
        <w:tc>
          <w:tcPr>
            <w:tcW w:type="dxa" w:w="1656"/>
            <w:tcMar>
              <w:top w:w="90" w:type="dxa"/>
              <w:start w:w="90" w:type="dxa"/>
              <w:bottom w:w="90" w:type="dxa"/>
              <w:end w:w="90" w:type="dxa"/>
            </w:tcMar>
            <w:vAlign w:val="center"/>
          </w:tcPr>
          <w:p>
            <w:r>
              <w:t>Intended Product</w:t>
            </w:r>
          </w:p>
        </w:tc>
      </w:tr>
    </w:tbl>
    <w:p>
      <w:pPr>
        <w:pStyle w:val="SmallNote"/>
        <w:spacing w:after="80"/>
      </w:pPr>
      <w:r>
        <w:t>Discovery trace: Q15, Q23</w:t>
      </w:r>
    </w:p>
    <w:p>
      <w:pPr>
        <w:pStyle w:val="Heading1"/>
      </w:pPr>
      <w:r>
        <w:t>13. V1_Initial Validation Baseline</w:t>
      </w:r>
    </w:p>
    <w:p>
      <w:r>
        <w:t>V1_Initial is a real first implementation with a deployed database and selected deployed components. It is not a disposable mock-up and is not guaranteed to be a complete public production release. Its final implementation boundary will be chosen after domain and feasibility analysis.</w:t>
      </w:r>
    </w:p>
    <w:p>
      <w:pPr>
        <w:pStyle w:val="Heading2"/>
      </w:pPr>
      <w:r>
        <w:t>13.1 Validation objectives</w:t>
      </w:r>
    </w:p>
    <w:p>
      <w:pPr>
        <w:pStyle w:val="ListBullet"/>
      </w:pPr>
      <w:r>
        <w:t>A legitimate customer can create a service request without excessive difficulty.</w:t>
      </w:r>
    </w:p>
    <w:p>
      <w:pPr>
        <w:pStyle w:val="ListBullet"/>
      </w:pPr>
      <w:r>
        <w:t>Relevant providers can discover the request.</w:t>
      </w:r>
    </w:p>
    <w:p>
      <w:pPr>
        <w:pStyle w:val="ListBullet"/>
      </w:pPr>
      <w:r>
        <w:t>A provider can respond minimally and optionally add a message, price, inspection request, or schedule.</w:t>
      </w:r>
    </w:p>
    <w:p>
      <w:pPr>
        <w:pStyle w:val="ListBullet"/>
      </w:pPr>
      <w:r>
        <w:t>A customer can evaluate provider information and a response.</w:t>
      </w:r>
    </w:p>
    <w:p>
      <w:pPr>
        <w:pStyle w:val="ListBullet"/>
      </w:pPr>
      <w:r>
        <w:t>The parties can communicate without immediate uncontrolled disclosure of private contact information.</w:t>
      </w:r>
    </w:p>
    <w:p>
      <w:pPr>
        <w:pStyle w:val="ListBullet"/>
      </w:pPr>
      <w:r>
        <w:t>The customer can select a provider.</w:t>
      </w:r>
    </w:p>
    <w:p>
      <w:pPr>
        <w:pStyle w:val="ListBullet"/>
      </w:pPr>
      <w:r>
        <w:t>The job can move through a minimal meaningful lifecycle.</w:t>
      </w:r>
    </w:p>
    <w:p>
      <w:pPr>
        <w:pStyle w:val="ListBullet"/>
      </w:pPr>
      <w:r>
        <w:t>Legitimately completed work can produce two-sided reputation information.</w:t>
      </w:r>
    </w:p>
    <w:p>
      <w:pPr>
        <w:pStyle w:val="ListBullet"/>
      </w:pPr>
      <w:r>
        <w:t>Cancellation, disagreement, and disputes are not falsely counted as successful jobs.</w:t>
      </w:r>
    </w:p>
    <w:p>
      <w:pPr>
        <w:pStyle w:val="ListBullet"/>
      </w:pPr>
      <w:r>
        <w:t>The platform captures useful operational data for future requirements and policy evolution.</w:t>
      </w:r>
    </w:p>
    <w:p>
      <w:pPr>
        <w:pStyle w:val="Heading2"/>
      </w:pPr>
      <w:r>
        <w:t>13.2 Not required to prove</w:t>
      </w:r>
    </w:p>
    <w:p>
      <w:pPr>
        <w:pStyle w:val="ListBullet"/>
      </w:pPr>
      <w:r>
        <w:t>Profitability</w:t>
      </w:r>
    </w:p>
    <w:p>
      <w:pPr>
        <w:pStyle w:val="ListBullet"/>
      </w:pPr>
      <w:r>
        <w:t>Payment processing or escrow</w:t>
      </w:r>
    </w:p>
    <w:p>
      <w:pPr>
        <w:pStyle w:val="ListBullet"/>
      </w:pPr>
      <w:r>
        <w:t>Advanced emergency dispatch</w:t>
      </w:r>
    </w:p>
    <w:p>
      <w:pPr>
        <w:pStyle w:val="ListBullet"/>
      </w:pPr>
      <w:r>
        <w:t>Perfect identity verification</w:t>
      </w:r>
    </w:p>
    <w:p>
      <w:pPr>
        <w:pStyle w:val="ListBullet"/>
      </w:pPr>
      <w:r>
        <w:t>Complete organization workforce management</w:t>
      </w:r>
    </w:p>
    <w:p>
      <w:pPr>
        <w:pStyle w:val="ListBullet"/>
      </w:pPr>
      <w:r>
        <w:t>AI classification</w:t>
      </w:r>
    </w:p>
    <w:p>
      <w:pPr>
        <w:pStyle w:val="ListBullet"/>
      </w:pPr>
      <w:r>
        <w:t>Fully automated moderation</w:t>
      </w:r>
    </w:p>
    <w:p>
      <w:pPr>
        <w:pStyle w:val="ListBullet"/>
      </w:pPr>
      <w:r>
        <w:t>All possible service categories</w:t>
      </w:r>
    </w:p>
    <w:p>
      <w:pPr>
        <w:pStyle w:val="ListBullet"/>
      </w:pPr>
      <w:r>
        <w:t>Production operation at national-scale traffic</w:t>
      </w:r>
    </w:p>
    <w:p>
      <w:pPr>
        <w:pStyle w:val="Heading2"/>
      </w:pPr>
      <w:r>
        <w:t>13.3 Candidate scope warning</w:t>
      </w:r>
    </w:p>
    <w:p>
      <w:r>
        <w:t>No feature list in this document should be interpreted as a guarantee that every accepted intended-product requirement will be implemented in V1_Initial. Scope prioritization must consider business validation value, solo-founder capacity, domain complexity, privacy risk, and implementation feasibility.</w:t>
      </w:r>
    </w:p>
    <w:p>
      <w:pPr>
        <w:pStyle w:val="Heading1"/>
      </w:pPr>
      <w:r>
        <w:t>14. Open Requirements Register</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152"/>
            <w:shd w:fill="D9EAF7"/>
            <w:tcMar>
              <w:top w:w="90" w:type="dxa"/>
              <w:start w:w="90" w:type="dxa"/>
              <w:bottom w:w="90" w:type="dxa"/>
              <w:end w:w="90" w:type="dxa"/>
            </w:tcMar>
            <w:vAlign w:val="center"/>
          </w:tcPr>
          <w:p>
            <w:r>
              <w:rPr>
                <w:b/>
                <w:color w:val="17365D"/>
                <w:sz w:val="17"/>
              </w:rPr>
              <w:t>ID</w:t>
            </w:r>
          </w:p>
        </w:tc>
        <w:tc>
          <w:tcPr>
            <w:tcW w:type="dxa" w:w="6336"/>
            <w:shd w:fill="D9EAF7"/>
            <w:tcMar>
              <w:top w:w="90" w:type="dxa"/>
              <w:start w:w="90" w:type="dxa"/>
              <w:bottom w:w="90" w:type="dxa"/>
              <w:end w:w="90" w:type="dxa"/>
            </w:tcMar>
            <w:vAlign w:val="center"/>
          </w:tcPr>
          <w:p>
            <w:r>
              <w:rPr>
                <w:b/>
                <w:color w:val="17365D"/>
                <w:sz w:val="17"/>
              </w:rPr>
              <w:t>Open decision</w:t>
            </w:r>
          </w:p>
        </w:tc>
        <w:tc>
          <w:tcPr>
            <w:tcW w:type="dxa" w:w="2448"/>
            <w:shd w:fill="D9EAF7"/>
            <w:tcMar>
              <w:top w:w="90" w:type="dxa"/>
              <w:start w:w="90" w:type="dxa"/>
              <w:bottom w:w="90" w:type="dxa"/>
              <w:end w:w="90" w:type="dxa"/>
            </w:tcMar>
            <w:vAlign w:val="center"/>
          </w:tcPr>
          <w:p>
            <w:r>
              <w:rPr>
                <w:b/>
                <w:color w:val="17365D"/>
                <w:sz w:val="17"/>
              </w:rPr>
              <w:t>Required before</w:t>
            </w:r>
          </w:p>
        </w:tc>
      </w:tr>
      <w:tr>
        <w:tc>
          <w:tcPr>
            <w:tcW w:type="dxa" w:w="1152"/>
            <w:tcMar>
              <w:top w:w="90" w:type="dxa"/>
              <w:start w:w="90" w:type="dxa"/>
              <w:bottom w:w="90" w:type="dxa"/>
              <w:end w:w="90" w:type="dxa"/>
            </w:tcMar>
            <w:vAlign w:val="center"/>
          </w:tcPr>
          <w:p>
            <w:pPr>
              <w:spacing w:after="0" w:line="240" w:lineRule="auto"/>
            </w:pPr>
            <w:r>
              <w:rPr>
                <w:sz w:val="16"/>
              </w:rPr>
              <w:t>OPEN-001</w:t>
            </w:r>
          </w:p>
        </w:tc>
        <w:tc>
          <w:tcPr>
            <w:tcW w:type="dxa" w:w="6336"/>
            <w:tcMar>
              <w:top w:w="90" w:type="dxa"/>
              <w:start w:w="90" w:type="dxa"/>
              <w:bottom w:w="90" w:type="dxa"/>
              <w:end w:w="90" w:type="dxa"/>
            </w:tcMar>
            <w:vAlign w:val="center"/>
          </w:tcPr>
          <w:p>
            <w:pPr>
              <w:spacing w:after="0" w:line="240" w:lineRule="auto"/>
            </w:pPr>
            <w:r>
              <w:rPr>
                <w:sz w:val="16"/>
              </w:rPr>
              <w:t>Account/identity/profile representation for customers, providers, and organization membership</w:t>
            </w:r>
          </w:p>
        </w:tc>
        <w:tc>
          <w:tcPr>
            <w:tcW w:type="dxa" w:w="2448"/>
            <w:tcMar>
              <w:top w:w="90" w:type="dxa"/>
              <w:start w:w="90" w:type="dxa"/>
              <w:bottom w:w="90" w:type="dxa"/>
              <w:end w:w="90" w:type="dxa"/>
            </w:tcMar>
            <w:vAlign w:val="center"/>
          </w:tcPr>
          <w:p>
            <w:pPr>
              <w:spacing w:after="0" w:line="240" w:lineRule="auto"/>
            </w:pPr>
            <w:r>
              <w:rPr>
                <w:sz w:val="16"/>
              </w:rPr>
              <w:t>Detailed domain and security design</w:t>
            </w:r>
          </w:p>
        </w:tc>
      </w:tr>
      <w:tr>
        <w:tc>
          <w:tcPr>
            <w:tcW w:type="dxa" w:w="1152"/>
            <w:tcMar>
              <w:top w:w="90" w:type="dxa"/>
              <w:start w:w="90" w:type="dxa"/>
              <w:bottom w:w="90" w:type="dxa"/>
              <w:end w:w="90" w:type="dxa"/>
            </w:tcMar>
            <w:vAlign w:val="center"/>
          </w:tcPr>
          <w:p>
            <w:pPr>
              <w:spacing w:after="0" w:line="240" w:lineRule="auto"/>
            </w:pPr>
            <w:r>
              <w:rPr>
                <w:sz w:val="16"/>
              </w:rPr>
              <w:t>OPEN-002</w:t>
            </w:r>
          </w:p>
        </w:tc>
        <w:tc>
          <w:tcPr>
            <w:tcW w:type="dxa" w:w="6336"/>
            <w:tcMar>
              <w:top w:w="90" w:type="dxa"/>
              <w:start w:w="90" w:type="dxa"/>
              <w:bottom w:w="90" w:type="dxa"/>
              <w:end w:w="90" w:type="dxa"/>
            </w:tcMar>
            <w:vAlign w:val="center"/>
          </w:tcPr>
          <w:p>
            <w:pPr>
              <w:spacing w:after="0" w:line="240" w:lineRule="auto"/>
            </w:pPr>
            <w:r>
              <w:rPr>
                <w:sz w:val="16"/>
              </w:rPr>
              <w:t>Exact job-completion confirmation and auto-close policy</w:t>
            </w:r>
          </w:p>
        </w:tc>
        <w:tc>
          <w:tcPr>
            <w:tcW w:type="dxa" w:w="2448"/>
            <w:tcMar>
              <w:top w:w="90" w:type="dxa"/>
              <w:start w:w="90" w:type="dxa"/>
              <w:bottom w:w="90" w:type="dxa"/>
              <w:end w:w="90" w:type="dxa"/>
            </w:tcMar>
            <w:vAlign w:val="center"/>
          </w:tcPr>
          <w:p>
            <w:pPr>
              <w:spacing w:after="0" w:line="240" w:lineRule="auto"/>
            </w:pPr>
            <w:r>
              <w:rPr>
                <w:sz w:val="16"/>
              </w:rPr>
              <w:t>V1 lifecycle implementation</w:t>
            </w:r>
          </w:p>
        </w:tc>
      </w:tr>
      <w:tr>
        <w:tc>
          <w:tcPr>
            <w:tcW w:type="dxa" w:w="1152"/>
            <w:tcMar>
              <w:top w:w="90" w:type="dxa"/>
              <w:start w:w="90" w:type="dxa"/>
              <w:bottom w:w="90" w:type="dxa"/>
              <w:end w:w="90" w:type="dxa"/>
            </w:tcMar>
            <w:vAlign w:val="center"/>
          </w:tcPr>
          <w:p>
            <w:pPr>
              <w:spacing w:after="0" w:line="240" w:lineRule="auto"/>
            </w:pPr>
            <w:r>
              <w:rPr>
                <w:sz w:val="16"/>
              </w:rPr>
              <w:t>OPEN-003</w:t>
            </w:r>
          </w:p>
        </w:tc>
        <w:tc>
          <w:tcPr>
            <w:tcW w:type="dxa" w:w="6336"/>
            <w:tcMar>
              <w:top w:w="90" w:type="dxa"/>
              <w:start w:w="90" w:type="dxa"/>
              <w:bottom w:w="90" w:type="dxa"/>
              <w:end w:w="90" w:type="dxa"/>
            </w:tcMar>
            <w:vAlign w:val="center"/>
          </w:tcPr>
          <w:p>
            <w:pPr>
              <w:spacing w:after="0" w:line="240" w:lineRule="auto"/>
            </w:pPr>
            <w:r>
              <w:rPr>
                <w:sz w:val="16"/>
              </w:rPr>
              <w:t>Organization versus assigned-worker reputation</w:t>
            </w:r>
          </w:p>
        </w:tc>
        <w:tc>
          <w:tcPr>
            <w:tcW w:type="dxa" w:w="2448"/>
            <w:tcMar>
              <w:top w:w="90" w:type="dxa"/>
              <w:start w:w="90" w:type="dxa"/>
              <w:bottom w:w="90" w:type="dxa"/>
              <w:end w:w="90" w:type="dxa"/>
            </w:tcMar>
            <w:vAlign w:val="center"/>
          </w:tcPr>
          <w:p>
            <w:pPr>
              <w:spacing w:after="0" w:line="240" w:lineRule="auto"/>
            </w:pPr>
            <w:r>
              <w:rPr>
                <w:sz w:val="16"/>
              </w:rPr>
              <w:t>Advanced organization support</w:t>
            </w:r>
          </w:p>
        </w:tc>
      </w:tr>
      <w:tr>
        <w:tc>
          <w:tcPr>
            <w:tcW w:type="dxa" w:w="1152"/>
            <w:tcMar>
              <w:top w:w="90" w:type="dxa"/>
              <w:start w:w="90" w:type="dxa"/>
              <w:bottom w:w="90" w:type="dxa"/>
              <w:end w:w="90" w:type="dxa"/>
            </w:tcMar>
            <w:vAlign w:val="center"/>
          </w:tcPr>
          <w:p>
            <w:pPr>
              <w:spacing w:after="0" w:line="240" w:lineRule="auto"/>
            </w:pPr>
            <w:r>
              <w:rPr>
                <w:sz w:val="16"/>
              </w:rPr>
              <w:t>OPEN-004</w:t>
            </w:r>
          </w:p>
        </w:tc>
        <w:tc>
          <w:tcPr>
            <w:tcW w:type="dxa" w:w="6336"/>
            <w:tcMar>
              <w:top w:w="90" w:type="dxa"/>
              <w:start w:w="90" w:type="dxa"/>
              <w:bottom w:w="90" w:type="dxa"/>
              <w:end w:w="90" w:type="dxa"/>
            </w:tcMar>
            <w:vAlign w:val="center"/>
          </w:tcPr>
          <w:p>
            <w:pPr>
              <w:spacing w:after="0" w:line="240" w:lineRule="auto"/>
            </w:pPr>
            <w:r>
              <w:rPr>
                <w:sz w:val="16"/>
              </w:rPr>
              <w:t>Handling and distribution of uncategorized jobs</w:t>
            </w:r>
          </w:p>
        </w:tc>
        <w:tc>
          <w:tcPr>
            <w:tcW w:type="dxa" w:w="2448"/>
            <w:tcMar>
              <w:top w:w="90" w:type="dxa"/>
              <w:start w:w="90" w:type="dxa"/>
              <w:bottom w:w="90" w:type="dxa"/>
              <w:end w:w="90" w:type="dxa"/>
            </w:tcMar>
            <w:vAlign w:val="center"/>
          </w:tcPr>
          <w:p>
            <w:pPr>
              <w:spacing w:after="0" w:line="240" w:lineRule="auto"/>
            </w:pPr>
            <w:r>
              <w:rPr>
                <w:sz w:val="16"/>
              </w:rPr>
              <w:t>V1 job discovery</w:t>
            </w:r>
          </w:p>
        </w:tc>
      </w:tr>
      <w:tr>
        <w:tc>
          <w:tcPr>
            <w:tcW w:type="dxa" w:w="1152"/>
            <w:tcMar>
              <w:top w:w="90" w:type="dxa"/>
              <w:start w:w="90" w:type="dxa"/>
              <w:bottom w:w="90" w:type="dxa"/>
              <w:end w:w="90" w:type="dxa"/>
            </w:tcMar>
            <w:vAlign w:val="center"/>
          </w:tcPr>
          <w:p>
            <w:pPr>
              <w:spacing w:after="0" w:line="240" w:lineRule="auto"/>
            </w:pPr>
            <w:r>
              <w:rPr>
                <w:sz w:val="16"/>
              </w:rPr>
              <w:t>OPEN-005</w:t>
            </w:r>
          </w:p>
        </w:tc>
        <w:tc>
          <w:tcPr>
            <w:tcW w:type="dxa" w:w="6336"/>
            <w:tcMar>
              <w:top w:w="90" w:type="dxa"/>
              <w:start w:w="90" w:type="dxa"/>
              <w:bottom w:w="90" w:type="dxa"/>
              <w:end w:w="90" w:type="dxa"/>
            </w:tcMar>
            <w:vAlign w:val="center"/>
          </w:tcPr>
          <w:p>
            <w:pPr>
              <w:spacing w:after="0" w:line="240" w:lineRule="auto"/>
            </w:pPr>
            <w:r>
              <w:rPr>
                <w:sz w:val="16"/>
              </w:rPr>
              <w:t>Exact contact/address disclosure stage and consent mechanism</w:t>
            </w:r>
          </w:p>
        </w:tc>
        <w:tc>
          <w:tcPr>
            <w:tcW w:type="dxa" w:w="2448"/>
            <w:tcMar>
              <w:top w:w="90" w:type="dxa"/>
              <w:start w:w="90" w:type="dxa"/>
              <w:bottom w:w="90" w:type="dxa"/>
              <w:end w:w="90" w:type="dxa"/>
            </w:tcMar>
            <w:vAlign w:val="center"/>
          </w:tcPr>
          <w:p>
            <w:pPr>
              <w:spacing w:after="0" w:line="240" w:lineRule="auto"/>
            </w:pPr>
            <w:r>
              <w:rPr>
                <w:sz w:val="16"/>
              </w:rPr>
              <w:t>V1 communication/privacy implementation</w:t>
            </w:r>
          </w:p>
        </w:tc>
      </w:tr>
      <w:tr>
        <w:tc>
          <w:tcPr>
            <w:tcW w:type="dxa" w:w="1152"/>
            <w:tcMar>
              <w:top w:w="90" w:type="dxa"/>
              <w:start w:w="90" w:type="dxa"/>
              <w:bottom w:w="90" w:type="dxa"/>
              <w:end w:w="90" w:type="dxa"/>
            </w:tcMar>
            <w:vAlign w:val="center"/>
          </w:tcPr>
          <w:p>
            <w:pPr>
              <w:spacing w:after="0" w:line="240" w:lineRule="auto"/>
            </w:pPr>
            <w:r>
              <w:rPr>
                <w:sz w:val="16"/>
              </w:rPr>
              <w:t>OPEN-006</w:t>
            </w:r>
          </w:p>
        </w:tc>
        <w:tc>
          <w:tcPr>
            <w:tcW w:type="dxa" w:w="6336"/>
            <w:tcMar>
              <w:top w:w="90" w:type="dxa"/>
              <w:start w:w="90" w:type="dxa"/>
              <w:bottom w:w="90" w:type="dxa"/>
              <w:end w:w="90" w:type="dxa"/>
            </w:tcMar>
            <w:vAlign w:val="center"/>
          </w:tcPr>
          <w:p>
            <w:r>
              <w:t>Resolution and confirmation policy for disputed cancellation responsibility or alleged no-show</w:t>
            </w:r>
          </w:p>
        </w:tc>
        <w:tc>
          <w:tcPr>
            <w:tcW w:type="dxa" w:w="2448"/>
            <w:tcMar>
              <w:top w:w="90" w:type="dxa"/>
              <w:start w:w="90" w:type="dxa"/>
              <w:bottom w:w="90" w:type="dxa"/>
              <w:end w:w="90" w:type="dxa"/>
            </w:tcMar>
            <w:vAlign w:val="center"/>
          </w:tcPr>
          <w:p>
            <w:pPr>
              <w:spacing w:after="0" w:line="240" w:lineRule="auto"/>
            </w:pPr>
            <w:r>
              <w:rPr>
                <w:sz w:val="16"/>
              </w:rPr>
              <w:t>Cancellation/dispute policy</w:t>
            </w:r>
          </w:p>
        </w:tc>
      </w:tr>
      <w:tr>
        <w:tc>
          <w:tcPr>
            <w:tcW w:type="dxa" w:w="1152"/>
            <w:tcMar>
              <w:top w:w="90" w:type="dxa"/>
              <w:start w:w="90" w:type="dxa"/>
              <w:bottom w:w="90" w:type="dxa"/>
              <w:end w:w="90" w:type="dxa"/>
            </w:tcMar>
            <w:vAlign w:val="center"/>
          </w:tcPr>
          <w:p>
            <w:pPr>
              <w:spacing w:after="0" w:line="240" w:lineRule="auto"/>
            </w:pPr>
            <w:r>
              <w:rPr>
                <w:sz w:val="16"/>
              </w:rPr>
              <w:t>OPEN-007</w:t>
            </w:r>
          </w:p>
        </w:tc>
        <w:tc>
          <w:tcPr>
            <w:tcW w:type="dxa" w:w="6336"/>
            <w:tcMar>
              <w:top w:w="90" w:type="dxa"/>
              <w:start w:w="90" w:type="dxa"/>
              <w:bottom w:w="90" w:type="dxa"/>
              <w:end w:w="90" w:type="dxa"/>
            </w:tcMar>
            <w:vAlign w:val="center"/>
          </w:tcPr>
          <w:p>
            <w:pPr>
              <w:spacing w:after="0" w:line="240" w:lineRule="auto"/>
            </w:pPr>
            <w:r>
              <w:rPr>
                <w:sz w:val="16"/>
              </w:rPr>
              <w:t>Public/private/timed review publication and cancelled-job feedback</w:t>
            </w:r>
          </w:p>
        </w:tc>
        <w:tc>
          <w:tcPr>
            <w:tcW w:type="dxa" w:w="2448"/>
            <w:tcMar>
              <w:top w:w="90" w:type="dxa"/>
              <w:start w:w="90" w:type="dxa"/>
              <w:bottom w:w="90" w:type="dxa"/>
              <w:end w:w="90" w:type="dxa"/>
            </w:tcMar>
            <w:vAlign w:val="center"/>
          </w:tcPr>
          <w:p>
            <w:pPr>
              <w:spacing w:after="0" w:line="240" w:lineRule="auto"/>
            </w:pPr>
            <w:r>
              <w:rPr>
                <w:sz w:val="16"/>
              </w:rPr>
              <w:t>Reputation implementation</w:t>
            </w:r>
          </w:p>
        </w:tc>
      </w:tr>
      <w:tr>
        <w:tc>
          <w:tcPr>
            <w:tcW w:type="dxa" w:w="1152"/>
            <w:tcMar>
              <w:top w:w="90" w:type="dxa"/>
              <w:start w:w="90" w:type="dxa"/>
              <w:bottom w:w="90" w:type="dxa"/>
              <w:end w:w="90" w:type="dxa"/>
            </w:tcMar>
            <w:vAlign w:val="center"/>
          </w:tcPr>
          <w:p>
            <w:pPr>
              <w:spacing w:after="0" w:line="240" w:lineRule="auto"/>
            </w:pPr>
            <w:r>
              <w:rPr>
                <w:sz w:val="16"/>
              </w:rPr>
              <w:t>OPEN-008</w:t>
            </w:r>
          </w:p>
        </w:tc>
        <w:tc>
          <w:tcPr>
            <w:tcW w:type="dxa" w:w="6336"/>
            <w:tcMar>
              <w:top w:w="90" w:type="dxa"/>
              <w:start w:w="90" w:type="dxa"/>
              <w:bottom w:w="90" w:type="dxa"/>
              <w:end w:w="90" w:type="dxa"/>
            </w:tcMar>
            <w:vAlign w:val="center"/>
          </w:tcPr>
          <w:p>
            <w:pPr>
              <w:spacing w:after="0" w:line="240" w:lineRule="auto"/>
            </w:pPr>
            <w:r>
              <w:rPr>
                <w:sz w:val="16"/>
              </w:rPr>
              <w:t>Exact progressive verification policy</w:t>
            </w:r>
          </w:p>
        </w:tc>
        <w:tc>
          <w:tcPr>
            <w:tcW w:type="dxa" w:w="2448"/>
            <w:tcMar>
              <w:top w:w="90" w:type="dxa"/>
              <w:start w:w="90" w:type="dxa"/>
              <w:bottom w:w="90" w:type="dxa"/>
              <w:end w:w="90" w:type="dxa"/>
            </w:tcMar>
            <w:vAlign w:val="center"/>
          </w:tcPr>
          <w:p>
            <w:pPr>
              <w:spacing w:after="0" w:line="240" w:lineRule="auto"/>
            </w:pPr>
            <w:r>
              <w:rPr>
                <w:sz w:val="16"/>
              </w:rPr>
              <w:t>Onboarding and verification implementation</w:t>
            </w:r>
          </w:p>
        </w:tc>
      </w:tr>
      <w:tr>
        <w:tc>
          <w:tcPr>
            <w:tcW w:type="dxa" w:w="1152"/>
            <w:tcMar>
              <w:top w:w="90" w:type="dxa"/>
              <w:start w:w="90" w:type="dxa"/>
              <w:bottom w:w="90" w:type="dxa"/>
              <w:end w:w="90" w:type="dxa"/>
            </w:tcMar>
            <w:vAlign w:val="center"/>
          </w:tcPr>
          <w:p>
            <w:pPr>
              <w:spacing w:after="0" w:line="240" w:lineRule="auto"/>
            </w:pPr>
            <w:r>
              <w:rPr>
                <w:sz w:val="16"/>
              </w:rPr>
              <w:t>OPEN-009</w:t>
            </w:r>
          </w:p>
        </w:tc>
        <w:tc>
          <w:tcPr>
            <w:tcW w:type="dxa" w:w="6336"/>
            <w:tcMar>
              <w:top w:w="90" w:type="dxa"/>
              <w:start w:w="90" w:type="dxa"/>
              <w:bottom w:w="90" w:type="dxa"/>
              <w:end w:w="90" w:type="dxa"/>
            </w:tcMar>
            <w:vAlign w:val="center"/>
          </w:tcPr>
          <w:p>
            <w:pPr>
              <w:spacing w:after="0" w:line="240" w:lineRule="auto"/>
            </w:pPr>
            <w:r>
              <w:rPr>
                <w:sz w:val="16"/>
              </w:rPr>
              <w:t>First V1_Initial language</w:t>
            </w:r>
          </w:p>
        </w:tc>
        <w:tc>
          <w:tcPr>
            <w:tcW w:type="dxa" w:w="2448"/>
            <w:tcMar>
              <w:top w:w="90" w:type="dxa"/>
              <w:start w:w="90" w:type="dxa"/>
              <w:bottom w:w="90" w:type="dxa"/>
              <w:end w:w="90" w:type="dxa"/>
            </w:tcMar>
            <w:vAlign w:val="center"/>
          </w:tcPr>
          <w:p>
            <w:pPr>
              <w:spacing w:after="0" w:line="240" w:lineRule="auto"/>
            </w:pPr>
            <w:r>
              <w:rPr>
                <w:sz w:val="16"/>
              </w:rPr>
              <w:t>Before UX copy finalization</w:t>
            </w:r>
          </w:p>
        </w:tc>
      </w:tr>
      <w:tr>
        <w:tc>
          <w:tcPr>
            <w:tcW w:type="dxa" w:w="1152"/>
            <w:tcMar>
              <w:top w:w="90" w:type="dxa"/>
              <w:start w:w="90" w:type="dxa"/>
              <w:bottom w:w="90" w:type="dxa"/>
              <w:end w:w="90" w:type="dxa"/>
            </w:tcMar>
            <w:vAlign w:val="center"/>
          </w:tcPr>
          <w:p>
            <w:pPr>
              <w:spacing w:after="0" w:line="240" w:lineRule="auto"/>
            </w:pPr>
            <w:r>
              <w:rPr>
                <w:sz w:val="16"/>
              </w:rPr>
              <w:t>OPEN-010</w:t>
            </w:r>
          </w:p>
        </w:tc>
        <w:tc>
          <w:tcPr>
            <w:tcW w:type="dxa" w:w="6336"/>
            <w:tcMar>
              <w:top w:w="90" w:type="dxa"/>
              <w:start w:w="90" w:type="dxa"/>
              <w:bottom w:w="90" w:type="dxa"/>
              <w:end w:w="90" w:type="dxa"/>
            </w:tcMar>
            <w:vAlign w:val="center"/>
          </w:tcPr>
          <w:p>
            <w:pPr>
              <w:spacing w:after="0" w:line="240" w:lineRule="auto"/>
            </w:pPr>
            <w:r>
              <w:rPr>
                <w:sz w:val="16"/>
              </w:rPr>
              <w:t>Final prioritized V1_Initial scope</w:t>
            </w:r>
          </w:p>
        </w:tc>
        <w:tc>
          <w:tcPr>
            <w:tcW w:type="dxa" w:w="2448"/>
            <w:tcMar>
              <w:top w:w="90" w:type="dxa"/>
              <w:start w:w="90" w:type="dxa"/>
              <w:bottom w:w="90" w:type="dxa"/>
              <w:end w:w="90" w:type="dxa"/>
            </w:tcMar>
            <w:vAlign w:val="center"/>
          </w:tcPr>
          <w:p>
            <w:pPr>
              <w:spacing w:after="0" w:line="240" w:lineRule="auto"/>
            </w:pPr>
            <w:r>
              <w:rPr>
                <w:sz w:val="16"/>
              </w:rPr>
              <w:t>After domain and feasibility analysis</w:t>
            </w:r>
          </w:p>
        </w:tc>
      </w:tr>
    </w:tbl>
    <w:p>
      <w:pPr>
        <w:spacing w:after="20"/>
      </w:pPr>
    </w:p>
    <w:p>
      <w:pPr>
        <w:pStyle w:val="Heading1"/>
      </w:pPr>
      <w:r>
        <w:t>15. Business Hypotheses Requiring Validation</w:t>
      </w:r>
    </w:p>
    <w:p>
      <w:pPr>
        <w:pStyle w:val="ListBullet"/>
      </w:pPr>
      <w:r>
        <w:t>HYP-001: Customers will value posting visual job descriptions and receiving local provider responses.</w:t>
      </w:r>
    </w:p>
    <w:p>
      <w:pPr>
        <w:pStyle w:val="ListBullet"/>
      </w:pPr>
      <w:r>
        <w:t>HYP-002: Providers will respond to relevant local opportunities and accept platform-mediated discovery.</w:t>
      </w:r>
    </w:p>
    <w:p>
      <w:pPr>
        <w:pStyle w:val="ListBullet"/>
      </w:pPr>
      <w:r>
        <w:t>HYP-003: Flexible responses and price discussion will fit local service behaviour better than mandatory fixed pricing.</w:t>
      </w:r>
    </w:p>
    <w:p>
      <w:pPr>
        <w:pStyle w:val="ListBullet"/>
      </w:pPr>
      <w:r>
        <w:t>HYP-004: Two-sided reputation will improve trust for both providers and customers.</w:t>
      </w:r>
    </w:p>
    <w:p>
      <w:pPr>
        <w:pStyle w:val="ListBullet"/>
      </w:pPr>
      <w:r>
        <w:t>HYP-005: Low-friction onboarding will generate more legitimate activity than strict early verification, without creating unacceptable abuse.</w:t>
      </w:r>
    </w:p>
    <w:p>
      <w:pPr>
        <w:pStyle w:val="ListBullet"/>
      </w:pPr>
      <w:r>
        <w:t>HYP-006: A controlled but dynamically governed taxonomy will improve matching and analytics.</w:t>
      </w:r>
    </w:p>
    <w:p>
      <w:pPr>
        <w:pStyle w:val="ListBullet"/>
      </w:pPr>
      <w:r>
        <w:t>HYP-007: Demand concentration in initial active locations can create enough marketplace liquidity.</w:t>
      </w:r>
    </w:p>
    <w:p>
      <w:pPr>
        <w:pStyle w:val="ListBullet"/>
      </w:pPr>
      <w:r>
        <w:t>HYP-008: Provider-side monetization may become viable after sufficient demand exists.</w:t>
      </w:r>
    </w:p>
    <w:p>
      <w:pPr>
        <w:pStyle w:val="ListBullet"/>
      </w:pPr>
      <w:r>
        <w:t>HYP-009: Emergency-job incentives and eligibility restrictions may improve rapid response.</w:t>
      </w:r>
    </w:p>
    <w:p>
      <w:pPr>
        <w:pStyle w:val="ListBullet"/>
      </w:pPr>
      <w:r>
        <w:t>HYP-010: Some users will create multiple accounts when economic or reputation incentives exist; controls must be proportionate.</w:t>
      </w:r>
    </w:p>
    <w:p>
      <w:pPr>
        <w:pStyle w:val="Heading1"/>
      </w:pPr>
      <w:r>
        <w:t>16. Superseded and Rejected Decisions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880"/>
            <w:shd w:fill="D9EAF7"/>
            <w:tcMar>
              <w:top w:w="90" w:type="dxa"/>
              <w:start w:w="90" w:type="dxa"/>
              <w:bottom w:w="90" w:type="dxa"/>
              <w:end w:w="90" w:type="dxa"/>
            </w:tcMar>
            <w:vAlign w:val="center"/>
          </w:tcPr>
          <w:p>
            <w:r>
              <w:rPr>
                <w:b/>
                <w:color w:val="17365D"/>
                <w:sz w:val="17"/>
              </w:rPr>
              <w:t>Item</w:t>
            </w:r>
          </w:p>
        </w:tc>
        <w:tc>
          <w:tcPr>
            <w:tcW w:type="dxa" w:w="1584"/>
            <w:shd w:fill="D9EAF7"/>
            <w:tcMar>
              <w:top w:w="90" w:type="dxa"/>
              <w:start w:w="90" w:type="dxa"/>
              <w:bottom w:w="90" w:type="dxa"/>
              <w:end w:w="90" w:type="dxa"/>
            </w:tcMar>
            <w:vAlign w:val="center"/>
          </w:tcPr>
          <w:p>
            <w:r>
              <w:rPr>
                <w:b/>
                <w:color w:val="17365D"/>
                <w:sz w:val="17"/>
              </w:rPr>
              <w:t>Disposition</w:t>
            </w:r>
          </w:p>
        </w:tc>
        <w:tc>
          <w:tcPr>
            <w:tcW w:type="dxa" w:w="5472"/>
            <w:shd w:fill="D9EAF7"/>
            <w:tcMar>
              <w:top w:w="90" w:type="dxa"/>
              <w:start w:w="90" w:type="dxa"/>
              <w:bottom w:w="90" w:type="dxa"/>
              <w:end w:w="90" w:type="dxa"/>
            </w:tcMar>
            <w:vAlign w:val="center"/>
          </w:tcPr>
          <w:p>
            <w:r>
              <w:rPr>
                <w:b/>
                <w:color w:val="17365D"/>
                <w:sz w:val="17"/>
              </w:rPr>
              <w:t>Reason</w:t>
            </w:r>
          </w:p>
        </w:tc>
      </w:tr>
      <w:tr>
        <w:tc>
          <w:tcPr>
            <w:tcW w:type="dxa" w:w="2880"/>
            <w:tcMar>
              <w:top w:w="90" w:type="dxa"/>
              <w:start w:w="90" w:type="dxa"/>
              <w:bottom w:w="90" w:type="dxa"/>
              <w:end w:w="90" w:type="dxa"/>
            </w:tcMar>
            <w:vAlign w:val="center"/>
          </w:tcPr>
          <w:p>
            <w:pPr>
              <w:spacing w:after="0" w:line="240" w:lineRule="auto"/>
            </w:pPr>
            <w:r>
              <w:rPr>
                <w:sz w:val="16"/>
              </w:rPr>
              <w:t>Separate real-world identities/accounts for customer and provider</w:t>
            </w:r>
          </w:p>
        </w:tc>
        <w:tc>
          <w:tcPr>
            <w:tcW w:type="dxa" w:w="1584"/>
            <w:tcMar>
              <w:top w:w="90" w:type="dxa"/>
              <w:start w:w="90" w:type="dxa"/>
              <w:bottom w:w="90" w:type="dxa"/>
              <w:end w:w="90" w:type="dxa"/>
            </w:tcMar>
            <w:vAlign w:val="center"/>
          </w:tcPr>
          <w:p>
            <w:pPr>
              <w:spacing w:after="0" w:line="240" w:lineRule="auto"/>
            </w:pPr>
            <w:r>
              <w:rPr>
                <w:sz w:val="16"/>
              </w:rPr>
              <w:t>Superseded</w:t>
            </w:r>
          </w:p>
        </w:tc>
        <w:tc>
          <w:tcPr>
            <w:tcW w:type="dxa" w:w="5472"/>
            <w:tcMar>
              <w:top w:w="90" w:type="dxa"/>
              <w:start w:w="90" w:type="dxa"/>
              <w:bottom w:w="90" w:type="dxa"/>
              <w:end w:w="90" w:type="dxa"/>
            </w:tcMar>
            <w:vAlign w:val="center"/>
          </w:tcPr>
          <w:p>
            <w:pPr>
              <w:spacing w:after="0" w:line="240" w:lineRule="auto"/>
            </w:pPr>
            <w:r>
              <w:rPr>
                <w:sz w:val="16"/>
              </w:rPr>
              <w:t>Role separation is required, but duplicate identities may harm analytics, trust, and abuse prevention. Final identity model remains open.</w:t>
            </w:r>
          </w:p>
        </w:tc>
      </w:tr>
      <w:tr>
        <w:tc>
          <w:tcPr>
            <w:tcW w:type="dxa" w:w="2880"/>
            <w:tcMar>
              <w:top w:w="90" w:type="dxa"/>
              <w:start w:w="90" w:type="dxa"/>
              <w:bottom w:w="90" w:type="dxa"/>
              <w:end w:w="90" w:type="dxa"/>
            </w:tcMar>
            <w:vAlign w:val="center"/>
          </w:tcPr>
          <w:p>
            <w:pPr>
              <w:spacing w:after="0" w:line="240" w:lineRule="auto"/>
            </w:pPr>
            <w:r>
              <w:rPr>
                <w:sz w:val="16"/>
              </w:rPr>
              <w:t>Users freely create public service categories</w:t>
            </w:r>
          </w:p>
        </w:tc>
        <w:tc>
          <w:tcPr>
            <w:tcW w:type="dxa" w:w="1584"/>
            <w:tcMar>
              <w:top w:w="90" w:type="dxa"/>
              <w:start w:w="90" w:type="dxa"/>
              <w:bottom w:w="90" w:type="dxa"/>
              <w:end w:w="90" w:type="dxa"/>
            </w:tcMar>
            <w:vAlign w:val="center"/>
          </w:tcPr>
          <w:p>
            <w:pPr>
              <w:spacing w:after="0" w:line="240" w:lineRule="auto"/>
            </w:pPr>
            <w:r>
              <w:rPr>
                <w:sz w:val="16"/>
              </w:rPr>
              <w:t>Rejected</w:t>
            </w:r>
          </w:p>
        </w:tc>
        <w:tc>
          <w:tcPr>
            <w:tcW w:type="dxa" w:w="5472"/>
            <w:tcMar>
              <w:top w:w="90" w:type="dxa"/>
              <w:start w:w="90" w:type="dxa"/>
              <w:bottom w:w="90" w:type="dxa"/>
              <w:end w:w="90" w:type="dxa"/>
            </w:tcMar>
            <w:vAlign w:val="center"/>
          </w:tcPr>
          <w:p>
            <w:pPr>
              <w:spacing w:after="0" w:line="240" w:lineRule="auto"/>
            </w:pPr>
            <w:r>
              <w:rPr>
                <w:sz w:val="16"/>
              </w:rPr>
              <w:t>Would fragment taxonomy, matching, search, and analytics.</w:t>
            </w:r>
          </w:p>
        </w:tc>
      </w:tr>
      <w:tr>
        <w:tc>
          <w:tcPr>
            <w:tcW w:type="dxa" w:w="2880"/>
            <w:tcMar>
              <w:top w:w="90" w:type="dxa"/>
              <w:start w:w="90" w:type="dxa"/>
              <w:bottom w:w="90" w:type="dxa"/>
              <w:end w:w="90" w:type="dxa"/>
            </w:tcMar>
            <w:vAlign w:val="center"/>
          </w:tcPr>
          <w:p>
            <w:pPr>
              <w:spacing w:after="0" w:line="240" w:lineRule="auto"/>
            </w:pPr>
            <w:r>
              <w:rPr>
                <w:sz w:val="16"/>
              </w:rPr>
              <w:t>Inspection counts as successful job</w:t>
            </w:r>
          </w:p>
        </w:tc>
        <w:tc>
          <w:tcPr>
            <w:tcW w:type="dxa" w:w="1584"/>
            <w:tcMar>
              <w:top w:w="90" w:type="dxa"/>
              <w:start w:w="90" w:type="dxa"/>
              <w:bottom w:w="90" w:type="dxa"/>
              <w:end w:w="90" w:type="dxa"/>
            </w:tcMar>
            <w:vAlign w:val="center"/>
          </w:tcPr>
          <w:p>
            <w:pPr>
              <w:spacing w:after="0" w:line="240" w:lineRule="auto"/>
            </w:pPr>
            <w:r>
              <w:rPr>
                <w:sz w:val="16"/>
              </w:rPr>
              <w:t>Rejected</w:t>
            </w:r>
          </w:p>
        </w:tc>
        <w:tc>
          <w:tcPr>
            <w:tcW w:type="dxa" w:w="5472"/>
            <w:tcMar>
              <w:top w:w="90" w:type="dxa"/>
              <w:start w:w="90" w:type="dxa"/>
              <w:bottom w:w="90" w:type="dxa"/>
              <w:end w:w="90" w:type="dxa"/>
            </w:tcMar>
            <w:vAlign w:val="center"/>
          </w:tcPr>
          <w:p>
            <w:pPr>
              <w:spacing w:after="0" w:line="240" w:lineRule="auto"/>
            </w:pPr>
            <w:r>
              <w:rPr>
                <w:sz w:val="16"/>
              </w:rPr>
              <w:t>Success requires performed work and recorded completion.</w:t>
            </w:r>
          </w:p>
        </w:tc>
      </w:tr>
      <w:tr>
        <w:tc>
          <w:tcPr>
            <w:tcW w:type="dxa" w:w="2880"/>
            <w:tcMar>
              <w:top w:w="90" w:type="dxa"/>
              <w:start w:w="90" w:type="dxa"/>
              <w:bottom w:w="90" w:type="dxa"/>
              <w:end w:w="90" w:type="dxa"/>
            </w:tcMar>
            <w:vAlign w:val="center"/>
          </w:tcPr>
          <w:p>
            <w:pPr>
              <w:spacing w:after="0" w:line="240" w:lineRule="auto"/>
            </w:pPr>
            <w:r>
              <w:rPr>
                <w:sz w:val="16"/>
              </w:rPr>
              <w:t>Lowest-price provider automatically wins</w:t>
            </w:r>
          </w:p>
        </w:tc>
        <w:tc>
          <w:tcPr>
            <w:tcW w:type="dxa" w:w="1584"/>
            <w:tcMar>
              <w:top w:w="90" w:type="dxa"/>
              <w:start w:w="90" w:type="dxa"/>
              <w:bottom w:w="90" w:type="dxa"/>
              <w:end w:w="90" w:type="dxa"/>
            </w:tcMar>
            <w:vAlign w:val="center"/>
          </w:tcPr>
          <w:p>
            <w:pPr>
              <w:spacing w:after="0" w:line="240" w:lineRule="auto"/>
            </w:pPr>
            <w:r>
              <w:rPr>
                <w:sz w:val="16"/>
              </w:rPr>
              <w:t>Rejected</w:t>
            </w:r>
          </w:p>
        </w:tc>
        <w:tc>
          <w:tcPr>
            <w:tcW w:type="dxa" w:w="5472"/>
            <w:tcMar>
              <w:top w:w="90" w:type="dxa"/>
              <w:start w:w="90" w:type="dxa"/>
              <w:bottom w:w="90" w:type="dxa"/>
              <w:end w:w="90" w:type="dxa"/>
            </w:tcMar>
            <w:vAlign w:val="center"/>
          </w:tcPr>
          <w:p>
            <w:pPr>
              <w:spacing w:after="0" w:line="240" w:lineRule="auto"/>
            </w:pPr>
            <w:r>
              <w:rPr>
                <w:sz w:val="16"/>
              </w:rPr>
              <w:t>Customer choice must consider trust, suitability, availability, reputation, and price.</w:t>
            </w:r>
          </w:p>
        </w:tc>
      </w:tr>
      <w:tr>
        <w:tc>
          <w:tcPr>
            <w:tcW w:type="dxa" w:w="2880"/>
            <w:tcMar>
              <w:top w:w="90" w:type="dxa"/>
              <w:start w:w="90" w:type="dxa"/>
              <w:bottom w:w="90" w:type="dxa"/>
              <w:end w:w="90" w:type="dxa"/>
            </w:tcMar>
            <w:vAlign w:val="center"/>
          </w:tcPr>
          <w:p>
            <w:pPr>
              <w:spacing w:after="0" w:line="240" w:lineRule="auto"/>
            </w:pPr>
            <w:r>
              <w:rPr>
                <w:sz w:val="16"/>
              </w:rPr>
              <w:t>Every response must contain a detailed proposal</w:t>
            </w:r>
          </w:p>
        </w:tc>
        <w:tc>
          <w:tcPr>
            <w:tcW w:type="dxa" w:w="1584"/>
            <w:tcMar>
              <w:top w:w="90" w:type="dxa"/>
              <w:start w:w="90" w:type="dxa"/>
              <w:bottom w:w="90" w:type="dxa"/>
              <w:end w:w="90" w:type="dxa"/>
            </w:tcMar>
            <w:vAlign w:val="center"/>
          </w:tcPr>
          <w:p>
            <w:pPr>
              <w:spacing w:after="0" w:line="240" w:lineRule="auto"/>
            </w:pPr>
            <w:r>
              <w:rPr>
                <w:sz w:val="16"/>
              </w:rPr>
              <w:t>Rejected</w:t>
            </w:r>
          </w:p>
        </w:tc>
        <w:tc>
          <w:tcPr>
            <w:tcW w:type="dxa" w:w="5472"/>
            <w:tcMar>
              <w:top w:w="90" w:type="dxa"/>
              <w:start w:w="90" w:type="dxa"/>
              <w:bottom w:w="90" w:type="dxa"/>
              <w:end w:w="90" w:type="dxa"/>
            </w:tcMar>
            <w:vAlign w:val="center"/>
          </w:tcPr>
          <w:p>
            <w:pPr>
              <w:spacing w:after="0" w:line="240" w:lineRule="auto"/>
            </w:pPr>
            <w:r>
              <w:rPr>
                <w:sz w:val="16"/>
              </w:rPr>
              <w:t>Provider may apply with one click and enrich the response optionally.</w:t>
            </w:r>
          </w:p>
        </w:tc>
      </w:tr>
      <w:tr>
        <w:tc>
          <w:tcPr>
            <w:tcW w:type="dxa" w:w="2880"/>
            <w:tcMar>
              <w:top w:w="90" w:type="dxa"/>
              <w:start w:w="90" w:type="dxa"/>
              <w:bottom w:w="90" w:type="dxa"/>
              <w:end w:w="90" w:type="dxa"/>
            </w:tcMar>
            <w:vAlign w:val="center"/>
          </w:tcPr>
          <w:p>
            <w:pPr>
              <w:spacing w:after="0" w:line="240" w:lineRule="auto"/>
            </w:pPr>
            <w:r>
              <w:rPr>
                <w:sz w:val="16"/>
              </w:rPr>
              <w:t>Cancellation automatically affects star rating</w:t>
            </w:r>
          </w:p>
        </w:tc>
        <w:tc>
          <w:tcPr>
            <w:tcW w:type="dxa" w:w="1584"/>
            <w:tcMar>
              <w:top w:w="90" w:type="dxa"/>
              <w:start w:w="90" w:type="dxa"/>
              <w:bottom w:w="90" w:type="dxa"/>
              <w:end w:w="90" w:type="dxa"/>
            </w:tcMar>
            <w:vAlign w:val="center"/>
          </w:tcPr>
          <w:p>
            <w:pPr>
              <w:spacing w:after="0" w:line="240" w:lineRule="auto"/>
            </w:pPr>
            <w:r>
              <w:rPr>
                <w:sz w:val="16"/>
              </w:rPr>
              <w:t>Rejected</w:t>
            </w:r>
          </w:p>
        </w:tc>
        <w:tc>
          <w:tcPr>
            <w:tcW w:type="dxa" w:w="5472"/>
            <w:tcMar>
              <w:top w:w="90" w:type="dxa"/>
              <w:start w:w="90" w:type="dxa"/>
              <w:bottom w:w="90" w:type="dxa"/>
              <w:end w:w="90" w:type="dxa"/>
            </w:tcMar>
            <w:vAlign w:val="center"/>
          </w:tcPr>
          <w:p>
            <w:pPr>
              <w:spacing w:after="0" w:line="240" w:lineRule="auto"/>
            </w:pPr>
            <w:r>
              <w:rPr>
                <w:sz w:val="16"/>
              </w:rPr>
              <w:t>Cancellation history is separate and attributed to the responsible party.</w:t>
            </w:r>
          </w:p>
        </w:tc>
      </w:tr>
      <w:tr>
        <w:tc>
          <w:tcPr>
            <w:tcW w:type="dxa" w:w="2880"/>
            <w:tcMar>
              <w:top w:w="90" w:type="dxa"/>
              <w:start w:w="90" w:type="dxa"/>
              <w:bottom w:w="90" w:type="dxa"/>
              <w:end w:w="90" w:type="dxa"/>
            </w:tcMar>
            <w:vAlign w:val="center"/>
          </w:tcPr>
          <w:p>
            <w:pPr>
              <w:spacing w:after="0" w:line="240" w:lineRule="auto"/>
            </w:pPr>
            <w:r>
              <w:rPr>
                <w:sz w:val="16"/>
              </w:rPr>
              <w:t>All locations blocked without any alternative</w:t>
            </w:r>
          </w:p>
        </w:tc>
        <w:tc>
          <w:tcPr>
            <w:tcW w:type="dxa" w:w="1584"/>
            <w:tcMar>
              <w:top w:w="90" w:type="dxa"/>
              <w:start w:w="90" w:type="dxa"/>
              <w:bottom w:w="90" w:type="dxa"/>
              <w:end w:w="90" w:type="dxa"/>
            </w:tcMar>
            <w:vAlign w:val="center"/>
          </w:tcPr>
          <w:p>
            <w:pPr>
              <w:spacing w:after="0" w:line="240" w:lineRule="auto"/>
            </w:pPr>
            <w:r>
              <w:rPr>
                <w:sz w:val="16"/>
              </w:rPr>
              <w:t>Rejected</w:t>
            </w:r>
          </w:p>
        </w:tc>
        <w:tc>
          <w:tcPr>
            <w:tcW w:type="dxa" w:w="5472"/>
            <w:tcMar>
              <w:top w:w="90" w:type="dxa"/>
              <w:start w:w="90" w:type="dxa"/>
              <w:bottom w:w="90" w:type="dxa"/>
              <w:end w:w="90" w:type="dxa"/>
            </w:tcMar>
            <w:vAlign w:val="center"/>
          </w:tcPr>
          <w:p>
            <w:pPr>
              <w:spacing w:after="0" w:line="240" w:lineRule="auto"/>
            </w:pPr>
            <w:r>
              <w:rPr>
                <w:sz w:val="16"/>
              </w:rPr>
              <w:t>Inactive-area users should have waitlist/demand-interest options.</w:t>
            </w:r>
          </w:p>
        </w:tc>
      </w:tr>
      <w:tr>
        <w:tc>
          <w:tcPr>
            <w:tcW w:type="dxa" w:w="2880"/>
            <w:tcMar>
              <w:top w:w="90" w:type="dxa"/>
              <w:start w:w="90" w:type="dxa"/>
              <w:bottom w:w="90" w:type="dxa"/>
              <w:end w:w="90" w:type="dxa"/>
            </w:tcMar>
            <w:vAlign w:val="center"/>
          </w:tcPr>
          <w:p>
            <w:pPr>
              <w:spacing w:after="0" w:line="240" w:lineRule="auto"/>
            </w:pPr>
            <w:r>
              <w:rPr>
                <w:sz w:val="16"/>
              </w:rPr>
              <w:t>Immediate full national infrastructure</w:t>
            </w:r>
          </w:p>
        </w:tc>
        <w:tc>
          <w:tcPr>
            <w:tcW w:type="dxa" w:w="1584"/>
            <w:tcMar>
              <w:top w:w="90" w:type="dxa"/>
              <w:start w:w="90" w:type="dxa"/>
              <w:bottom w:w="90" w:type="dxa"/>
              <w:end w:w="90" w:type="dxa"/>
            </w:tcMar>
            <w:vAlign w:val="center"/>
          </w:tcPr>
          <w:p>
            <w:pPr>
              <w:spacing w:after="0" w:line="240" w:lineRule="auto"/>
            </w:pPr>
            <w:r>
              <w:rPr>
                <w:sz w:val="16"/>
              </w:rPr>
              <w:t>Rejected as V1 obligation</w:t>
            </w:r>
          </w:p>
        </w:tc>
        <w:tc>
          <w:tcPr>
            <w:tcW w:type="dxa" w:w="5472"/>
            <w:tcMar>
              <w:top w:w="90" w:type="dxa"/>
              <w:start w:w="90" w:type="dxa"/>
              <w:bottom w:w="90" w:type="dxa"/>
              <w:end w:w="90" w:type="dxa"/>
            </w:tcMar>
            <w:vAlign w:val="center"/>
          </w:tcPr>
          <w:p>
            <w:pPr>
              <w:spacing w:after="0" w:line="240" w:lineRule="auto"/>
            </w:pPr>
            <w:r>
              <w:rPr>
                <w:sz w:val="16"/>
              </w:rPr>
              <w:t>Nationwide growth is a goal; V1 proves the marketplace rather than national traffic capacity.</w:t>
            </w:r>
          </w:p>
        </w:tc>
      </w:tr>
    </w:tbl>
    <w:p>
      <w:pPr>
        <w:spacing w:after="20"/>
      </w:pPr>
    </w:p>
    <w:p>
      <w:pPr>
        <w:pStyle w:val="Heading1"/>
      </w:pPr>
      <w:r>
        <w:t>17. Major Product Risks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D9EAF7"/>
            <w:tcMar>
              <w:top w:w="90" w:type="dxa"/>
              <w:start w:w="90" w:type="dxa"/>
              <w:bottom w:w="90" w:type="dxa"/>
              <w:end w:w="90" w:type="dxa"/>
            </w:tcMar>
            <w:vAlign w:val="center"/>
          </w:tcPr>
          <w:p>
            <w:r>
              <w:rPr>
                <w:b/>
                <w:color w:val="17365D"/>
                <w:sz w:val="17"/>
              </w:rPr>
              <w:t>Risk</w:t>
            </w:r>
          </w:p>
        </w:tc>
        <w:tc>
          <w:tcPr>
            <w:tcW w:type="dxa" w:w="6768"/>
            <w:shd w:fill="D9EAF7"/>
            <w:tcMar>
              <w:top w:w="90" w:type="dxa"/>
              <w:start w:w="90" w:type="dxa"/>
              <w:bottom w:w="90" w:type="dxa"/>
              <w:end w:w="90" w:type="dxa"/>
            </w:tcMar>
            <w:vAlign w:val="center"/>
          </w:tcPr>
          <w:p>
            <w:r>
              <w:rPr>
                <w:b/>
                <w:color w:val="17365D"/>
                <w:sz w:val="17"/>
              </w:rPr>
              <w:t>Requirement response</w:t>
            </w:r>
          </w:p>
        </w:tc>
      </w:tr>
      <w:tr>
        <w:tc>
          <w:tcPr>
            <w:tcW w:type="dxa" w:w="3168"/>
            <w:tcMar>
              <w:top w:w="90" w:type="dxa"/>
              <w:start w:w="90" w:type="dxa"/>
              <w:bottom w:w="90" w:type="dxa"/>
              <w:end w:w="90" w:type="dxa"/>
            </w:tcMar>
            <w:vAlign w:val="center"/>
          </w:tcPr>
          <w:p>
            <w:pPr>
              <w:spacing w:after="0" w:line="240" w:lineRule="auto"/>
            </w:pPr>
            <w:r>
              <w:rPr>
                <w:sz w:val="16"/>
              </w:rPr>
              <w:t>Marketplace has insufficient customer/provider density</w:t>
            </w:r>
          </w:p>
        </w:tc>
        <w:tc>
          <w:tcPr>
            <w:tcW w:type="dxa" w:w="6768"/>
            <w:tcMar>
              <w:top w:w="90" w:type="dxa"/>
              <w:start w:w="90" w:type="dxa"/>
              <w:bottom w:w="90" w:type="dxa"/>
              <w:end w:w="90" w:type="dxa"/>
            </w:tcMar>
            <w:vAlign w:val="center"/>
          </w:tcPr>
          <w:p>
            <w:pPr>
              <w:spacing w:after="0" w:line="240" w:lineRule="auto"/>
            </w:pPr>
            <w:r>
              <w:rPr>
                <w:sz w:val="16"/>
              </w:rPr>
              <w:t>Broad relevant V1 visibility, concentrated active locations, waitlists, and phased expansion.</w:t>
            </w:r>
          </w:p>
        </w:tc>
      </w:tr>
      <w:tr>
        <w:tc>
          <w:tcPr>
            <w:tcW w:type="dxa" w:w="3168"/>
            <w:tcMar>
              <w:top w:w="90" w:type="dxa"/>
              <w:start w:w="90" w:type="dxa"/>
              <w:bottom w:w="90" w:type="dxa"/>
              <w:end w:w="90" w:type="dxa"/>
            </w:tcMar>
            <w:vAlign w:val="center"/>
          </w:tcPr>
          <w:p>
            <w:pPr>
              <w:spacing w:after="0" w:line="240" w:lineRule="auto"/>
            </w:pPr>
            <w:r>
              <w:rPr>
                <w:sz w:val="16"/>
              </w:rPr>
              <w:t>Fake jobs and fake accounts</w:t>
            </w:r>
          </w:p>
        </w:tc>
        <w:tc>
          <w:tcPr>
            <w:tcW w:type="dxa" w:w="6768"/>
            <w:tcMar>
              <w:top w:w="90" w:type="dxa"/>
              <w:start w:w="90" w:type="dxa"/>
              <w:bottom w:w="90" w:type="dxa"/>
              <w:end w:w="90" w:type="dxa"/>
            </w:tcMar>
            <w:vAlign w:val="center"/>
          </w:tcPr>
          <w:p>
            <w:pPr>
              <w:spacing w:after="0" w:line="240" w:lineRule="auto"/>
            </w:pPr>
            <w:r>
              <w:rPr>
                <w:sz w:val="16"/>
              </w:rPr>
              <w:t>Progressive verification, cancellation and completion history, two-sided reputation, and abuse resilience.</w:t>
            </w:r>
          </w:p>
        </w:tc>
      </w:tr>
      <w:tr>
        <w:tc>
          <w:tcPr>
            <w:tcW w:type="dxa" w:w="3168"/>
            <w:tcMar>
              <w:top w:w="90" w:type="dxa"/>
              <w:start w:w="90" w:type="dxa"/>
              <w:bottom w:w="90" w:type="dxa"/>
              <w:end w:w="90" w:type="dxa"/>
            </w:tcMar>
            <w:vAlign w:val="center"/>
          </w:tcPr>
          <w:p>
            <w:pPr>
              <w:spacing w:after="0" w:line="240" w:lineRule="auto"/>
            </w:pPr>
            <w:r>
              <w:rPr>
                <w:sz w:val="16"/>
              </w:rPr>
              <w:t>Privacy leakage from jobs/media</w:t>
            </w:r>
          </w:p>
        </w:tc>
        <w:tc>
          <w:tcPr>
            <w:tcW w:type="dxa" w:w="6768"/>
            <w:tcMar>
              <w:top w:w="90" w:type="dxa"/>
              <w:start w:w="90" w:type="dxa"/>
              <w:bottom w:w="90" w:type="dxa"/>
              <w:end w:w="90" w:type="dxa"/>
            </w:tcMar>
            <w:vAlign w:val="center"/>
          </w:tcPr>
          <w:p>
            <w:pPr>
              <w:spacing w:after="0" w:line="240" w:lineRule="auto"/>
            </w:pPr>
            <w:r>
              <w:rPr>
                <w:sz w:val="16"/>
              </w:rPr>
              <w:t>Restricted address/contact disclosure, in-platform communication, purpose limitation, and sensitive-data protection.</w:t>
            </w:r>
          </w:p>
        </w:tc>
      </w:tr>
      <w:tr>
        <w:tc>
          <w:tcPr>
            <w:tcW w:type="dxa" w:w="3168"/>
            <w:tcMar>
              <w:top w:w="90" w:type="dxa"/>
              <w:start w:w="90" w:type="dxa"/>
              <w:bottom w:w="90" w:type="dxa"/>
              <w:end w:w="90" w:type="dxa"/>
            </w:tcMar>
            <w:vAlign w:val="center"/>
          </w:tcPr>
          <w:p>
            <w:pPr>
              <w:spacing w:after="0" w:line="240" w:lineRule="auto"/>
            </w:pPr>
            <w:r>
              <w:rPr>
                <w:sz w:val="16"/>
              </w:rPr>
              <w:t>Low-price baiting or price disputes</w:t>
            </w:r>
          </w:p>
        </w:tc>
        <w:tc>
          <w:tcPr>
            <w:tcW w:type="dxa" w:w="6768"/>
            <w:tcMar>
              <w:top w:w="90" w:type="dxa"/>
              <w:start w:w="90" w:type="dxa"/>
              <w:bottom w:w="90" w:type="dxa"/>
              <w:end w:w="90" w:type="dxa"/>
            </w:tcMar>
            <w:vAlign w:val="center"/>
          </w:tcPr>
          <w:p>
            <w:pPr>
              <w:spacing w:after="0" w:line="240" w:lineRule="auto"/>
            </w:pPr>
            <w:r>
              <w:rPr>
                <w:sz w:val="16"/>
              </w:rPr>
              <w:t>Flexible price records, inspection-first flow, complaints, and no false claim of platform guarantee.</w:t>
            </w:r>
          </w:p>
        </w:tc>
      </w:tr>
      <w:tr>
        <w:tc>
          <w:tcPr>
            <w:tcW w:type="dxa" w:w="3168"/>
            <w:tcMar>
              <w:top w:w="90" w:type="dxa"/>
              <w:start w:w="90" w:type="dxa"/>
              <w:bottom w:w="90" w:type="dxa"/>
              <w:end w:w="90" w:type="dxa"/>
            </w:tcMar>
            <w:vAlign w:val="center"/>
          </w:tcPr>
          <w:p>
            <w:pPr>
              <w:spacing w:after="0" w:line="240" w:lineRule="auto"/>
            </w:pPr>
            <w:r>
              <w:rPr>
                <w:sz w:val="16"/>
              </w:rPr>
              <w:t>Rating manipulation</w:t>
            </w:r>
          </w:p>
        </w:tc>
        <w:tc>
          <w:tcPr>
            <w:tcW w:type="dxa" w:w="6768"/>
            <w:tcMar>
              <w:top w:w="90" w:type="dxa"/>
              <w:start w:w="90" w:type="dxa"/>
              <w:bottom w:w="90" w:type="dxa"/>
              <w:end w:w="90" w:type="dxa"/>
            </w:tcMar>
            <w:vAlign w:val="center"/>
          </w:tcPr>
          <w:p>
            <w:pPr>
              <w:spacing w:after="0" w:line="240" w:lineRule="auto"/>
            </w:pPr>
            <w:r>
              <w:rPr>
                <w:sz w:val="16"/>
              </w:rPr>
              <w:t>Qualifying interactions only, cross-role integrity, two-sided reputation, and anti-abuse requirement.</w:t>
            </w:r>
          </w:p>
        </w:tc>
      </w:tr>
      <w:tr>
        <w:tc>
          <w:tcPr>
            <w:tcW w:type="dxa" w:w="3168"/>
            <w:tcMar>
              <w:top w:w="90" w:type="dxa"/>
              <w:start w:w="90" w:type="dxa"/>
              <w:bottom w:w="90" w:type="dxa"/>
              <w:end w:w="90" w:type="dxa"/>
            </w:tcMar>
            <w:vAlign w:val="center"/>
          </w:tcPr>
          <w:p>
            <w:pPr>
              <w:spacing w:after="0" w:line="240" w:lineRule="auto"/>
            </w:pPr>
            <w:r>
              <w:rPr>
                <w:sz w:val="16"/>
              </w:rPr>
              <w:t>Provider no-shows or cancellations</w:t>
            </w:r>
          </w:p>
        </w:tc>
        <w:tc>
          <w:tcPr>
            <w:tcW w:type="dxa" w:w="6768"/>
            <w:tcMar>
              <w:top w:w="90" w:type="dxa"/>
              <w:start w:w="90" w:type="dxa"/>
              <w:bottom w:w="90" w:type="dxa"/>
              <w:end w:w="90" w:type="dxa"/>
            </w:tcMar>
            <w:vAlign w:val="center"/>
          </w:tcPr>
          <w:p>
            <w:pPr>
              <w:spacing w:after="0" w:line="240" w:lineRule="auto"/>
            </w:pPr>
            <w:r>
              <w:rPr>
                <w:sz w:val="16"/>
              </w:rPr>
              <w:t>Attributed cancellation history, scheduling history, reliability indicators, and emergency eligibility.</w:t>
            </w:r>
          </w:p>
        </w:tc>
      </w:tr>
      <w:tr>
        <w:tc>
          <w:tcPr>
            <w:tcW w:type="dxa" w:w="3168"/>
            <w:tcMar>
              <w:top w:w="90" w:type="dxa"/>
              <w:start w:w="90" w:type="dxa"/>
              <w:bottom w:w="90" w:type="dxa"/>
              <w:end w:w="90" w:type="dxa"/>
            </w:tcMar>
            <w:vAlign w:val="center"/>
          </w:tcPr>
          <w:p>
            <w:pPr>
              <w:spacing w:after="0" w:line="240" w:lineRule="auto"/>
            </w:pPr>
            <w:r>
              <w:rPr>
                <w:sz w:val="16"/>
              </w:rPr>
              <w:t>Overengineering prevents V1 delivery</w:t>
            </w:r>
          </w:p>
        </w:tc>
        <w:tc>
          <w:tcPr>
            <w:tcW w:type="dxa" w:w="6768"/>
            <w:tcMar>
              <w:top w:w="90" w:type="dxa"/>
              <w:start w:w="90" w:type="dxa"/>
              <w:bottom w:w="90" w:type="dxa"/>
              <w:end w:w="90" w:type="dxa"/>
            </w:tcMar>
            <w:vAlign w:val="center"/>
          </w:tcPr>
          <w:p>
            <w:pPr>
              <w:spacing w:after="0" w:line="240" w:lineRule="auto"/>
            </w:pPr>
            <w:r>
              <w:rPr>
                <w:sz w:val="16"/>
              </w:rPr>
              <w:t>V1_Initial scope remains provisional and may manually operate or defer intended-product requirements.</w:t>
            </w:r>
          </w:p>
        </w:tc>
      </w:tr>
      <w:tr>
        <w:tc>
          <w:tcPr>
            <w:tcW w:type="dxa" w:w="3168"/>
            <w:tcMar>
              <w:top w:w="90" w:type="dxa"/>
              <w:start w:w="90" w:type="dxa"/>
              <w:bottom w:w="90" w:type="dxa"/>
              <w:end w:w="90" w:type="dxa"/>
            </w:tcMar>
            <w:vAlign w:val="center"/>
          </w:tcPr>
          <w:p>
            <w:pPr>
              <w:spacing w:after="0" w:line="240" w:lineRule="auto"/>
            </w:pPr>
            <w:r>
              <w:rPr>
                <w:sz w:val="16"/>
              </w:rPr>
              <w:t>Rigid early decisions block evolution</w:t>
            </w:r>
          </w:p>
        </w:tc>
        <w:tc>
          <w:tcPr>
            <w:tcW w:type="dxa" w:w="6768"/>
            <w:tcMar>
              <w:top w:w="90" w:type="dxa"/>
              <w:start w:w="90" w:type="dxa"/>
              <w:bottom w:w="90" w:type="dxa"/>
              <w:end w:w="90" w:type="dxa"/>
            </w:tcMar>
            <w:vAlign w:val="center"/>
          </w:tcPr>
          <w:p>
            <w:pPr>
              <w:spacing w:after="0" w:line="240" w:lineRule="auto"/>
            </w:pPr>
            <w:r>
              <w:rPr>
                <w:sz w:val="16"/>
              </w:rPr>
              <w:t>Dynamic platform governance and evolvable policy requirements.</w:t>
            </w:r>
          </w:p>
        </w:tc>
      </w:tr>
      <w:tr>
        <w:tc>
          <w:tcPr>
            <w:tcW w:type="dxa" w:w="3168"/>
            <w:tcMar>
              <w:top w:w="90" w:type="dxa"/>
              <w:start w:w="90" w:type="dxa"/>
              <w:bottom w:w="90" w:type="dxa"/>
              <w:end w:w="90" w:type="dxa"/>
            </w:tcMar>
            <w:vAlign w:val="center"/>
          </w:tcPr>
          <w:p>
            <w:pPr>
              <w:spacing w:after="0" w:line="240" w:lineRule="auto"/>
            </w:pPr>
            <w:r>
              <w:rPr>
                <w:sz w:val="16"/>
              </w:rPr>
              <w:t>Organizations obscure worker accountability</w:t>
            </w:r>
          </w:p>
        </w:tc>
        <w:tc>
          <w:tcPr>
            <w:tcW w:type="dxa" w:w="6768"/>
            <w:tcMar>
              <w:top w:w="90" w:type="dxa"/>
              <w:start w:w="90" w:type="dxa"/>
              <w:bottom w:w="90" w:type="dxa"/>
              <w:end w:w="90" w:type="dxa"/>
            </w:tcMar>
            <w:vAlign w:val="center"/>
          </w:tcPr>
          <w:p>
            <w:pPr>
              <w:spacing w:after="0" w:line="240" w:lineRule="auto"/>
            </w:pPr>
            <w:r>
              <w:rPr>
                <w:sz w:val="16"/>
              </w:rPr>
              <w:t>Provider type transparency and assigned-worker disclosure; reputation policy remains open.</w:t>
            </w:r>
          </w:p>
        </w:tc>
      </w:tr>
      <w:tr>
        <w:tc>
          <w:tcPr>
            <w:tcW w:type="dxa" w:w="3168"/>
            <w:tcMar>
              <w:top w:w="90" w:type="dxa"/>
              <w:start w:w="90" w:type="dxa"/>
              <w:bottom w:w="90" w:type="dxa"/>
              <w:end w:w="90" w:type="dxa"/>
            </w:tcMar>
            <w:vAlign w:val="center"/>
          </w:tcPr>
          <w:p>
            <w:pPr>
              <w:spacing w:after="0" w:line="240" w:lineRule="auto"/>
            </w:pPr>
            <w:r>
              <w:rPr>
                <w:sz w:val="16"/>
              </w:rPr>
              <w:t>SRS treated as immutable</w:t>
            </w:r>
          </w:p>
        </w:tc>
        <w:tc>
          <w:tcPr>
            <w:tcW w:type="dxa" w:w="6768"/>
            <w:tcMar>
              <w:top w:w="90" w:type="dxa"/>
              <w:start w:w="90" w:type="dxa"/>
              <w:bottom w:w="90" w:type="dxa"/>
              <w:end w:w="90" w:type="dxa"/>
            </w:tcMar>
            <w:vAlign w:val="center"/>
          </w:tcPr>
          <w:p>
            <w:pPr>
              <w:spacing w:after="0" w:line="240" w:lineRule="auto"/>
            </w:pPr>
            <w:r>
              <w:rPr>
                <w:sz w:val="16"/>
              </w:rPr>
              <w:t>Document is expressly versioned and living; changes require traceable revision.</w:t>
            </w:r>
          </w:p>
        </w:tc>
      </w:tr>
    </w:tbl>
    <w:p>
      <w:pPr>
        <w:spacing w:after="20"/>
      </w:pPr>
    </w:p>
    <w:p>
      <w:pPr>
        <w:pStyle w:val="Heading1"/>
      </w:pPr>
      <w:r>
        <w:t>18. Discovery Coverage: Questions 1–24</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864"/>
            <w:shd w:fill="D9EAF7"/>
            <w:tcMar>
              <w:top w:w="90" w:type="dxa"/>
              <w:start w:w="90" w:type="dxa"/>
              <w:bottom w:w="90" w:type="dxa"/>
              <w:end w:w="90" w:type="dxa"/>
            </w:tcMar>
            <w:vAlign w:val="center"/>
          </w:tcPr>
          <w:p>
            <w:r>
              <w:rPr>
                <w:b/>
                <w:color w:val="17365D"/>
                <w:sz w:val="17"/>
              </w:rPr>
              <w:t>Source</w:t>
            </w:r>
          </w:p>
        </w:tc>
        <w:tc>
          <w:tcPr>
            <w:tcW w:type="dxa" w:w="4464"/>
            <w:shd w:fill="D9EAF7"/>
            <w:tcMar>
              <w:top w:w="90" w:type="dxa"/>
              <w:start w:w="90" w:type="dxa"/>
              <w:bottom w:w="90" w:type="dxa"/>
              <w:end w:w="90" w:type="dxa"/>
            </w:tcMar>
            <w:vAlign w:val="center"/>
          </w:tcPr>
          <w:p>
            <w:r>
              <w:rPr>
                <w:b/>
                <w:color w:val="17365D"/>
                <w:sz w:val="17"/>
              </w:rPr>
              <w:t>Discovery subject</w:t>
            </w:r>
          </w:p>
        </w:tc>
        <w:tc>
          <w:tcPr>
            <w:tcW w:type="dxa" w:w="4464"/>
            <w:shd w:fill="D9EAF7"/>
            <w:tcMar>
              <w:top w:w="90" w:type="dxa"/>
              <w:start w:w="90" w:type="dxa"/>
              <w:bottom w:w="90" w:type="dxa"/>
              <w:end w:w="90" w:type="dxa"/>
            </w:tcMar>
            <w:vAlign w:val="center"/>
          </w:tcPr>
          <w:p>
            <w:r>
              <w:rPr>
                <w:b/>
                <w:color w:val="17365D"/>
                <w:sz w:val="17"/>
              </w:rPr>
              <w:t>SRS destination</w:t>
            </w:r>
          </w:p>
        </w:tc>
      </w:tr>
      <w:tr>
        <w:tc>
          <w:tcPr>
            <w:tcW w:type="dxa" w:w="864"/>
            <w:tcMar>
              <w:top w:w="90" w:type="dxa"/>
              <w:start w:w="90" w:type="dxa"/>
              <w:bottom w:w="90" w:type="dxa"/>
              <w:end w:w="90" w:type="dxa"/>
            </w:tcMar>
            <w:vAlign w:val="center"/>
          </w:tcPr>
          <w:p>
            <w:pPr>
              <w:spacing w:after="0" w:line="240" w:lineRule="auto"/>
            </w:pPr>
            <w:r>
              <w:rPr>
                <w:sz w:val="16"/>
              </w:rPr>
              <w:t>Q1</w:t>
            </w:r>
          </w:p>
        </w:tc>
        <w:tc>
          <w:tcPr>
            <w:tcW w:type="dxa" w:w="4464"/>
            <w:tcMar>
              <w:top w:w="90" w:type="dxa"/>
              <w:start w:w="90" w:type="dxa"/>
              <w:bottom w:w="90" w:type="dxa"/>
              <w:end w:w="90" w:type="dxa"/>
            </w:tcMar>
            <w:vAlign w:val="center"/>
          </w:tcPr>
          <w:p>
            <w:pPr>
              <w:spacing w:after="0" w:line="240" w:lineRule="auto"/>
            </w:pPr>
            <w:r>
              <w:rPr>
                <w:sz w:val="16"/>
              </w:rPr>
              <w:t>Primary customer and two discovery paths</w:t>
            </w:r>
          </w:p>
        </w:tc>
        <w:tc>
          <w:tcPr>
            <w:tcW w:type="dxa" w:w="4464"/>
            <w:tcMar>
              <w:top w:w="90" w:type="dxa"/>
              <w:start w:w="90" w:type="dxa"/>
              <w:bottom w:w="90" w:type="dxa"/>
              <w:end w:w="90" w:type="dxa"/>
            </w:tcMar>
            <w:vAlign w:val="center"/>
          </w:tcPr>
          <w:p>
            <w:pPr>
              <w:spacing w:after="0" w:line="240" w:lineRule="auto"/>
            </w:pPr>
            <w:r>
              <w:rPr>
                <w:sz w:val="16"/>
              </w:rPr>
              <w:t>BR-001, BR-002, FR-010, FR-030</w:t>
            </w:r>
          </w:p>
        </w:tc>
      </w:tr>
      <w:tr>
        <w:tc>
          <w:tcPr>
            <w:tcW w:type="dxa" w:w="864"/>
            <w:tcMar>
              <w:top w:w="90" w:type="dxa"/>
              <w:start w:w="90" w:type="dxa"/>
              <w:bottom w:w="90" w:type="dxa"/>
              <w:end w:w="90" w:type="dxa"/>
            </w:tcMar>
            <w:vAlign w:val="center"/>
          </w:tcPr>
          <w:p>
            <w:pPr>
              <w:spacing w:after="0" w:line="240" w:lineRule="auto"/>
            </w:pPr>
            <w:r>
              <w:rPr>
                <w:sz w:val="16"/>
              </w:rPr>
              <w:t>Q2</w:t>
            </w:r>
          </w:p>
        </w:tc>
        <w:tc>
          <w:tcPr>
            <w:tcW w:type="dxa" w:w="4464"/>
            <w:tcMar>
              <w:top w:w="90" w:type="dxa"/>
              <w:start w:w="90" w:type="dxa"/>
              <w:bottom w:w="90" w:type="dxa"/>
              <w:end w:w="90" w:type="dxa"/>
            </w:tcMar>
            <w:vAlign w:val="center"/>
          </w:tcPr>
          <w:p>
            <w:pPr>
              <w:spacing w:after="0" w:line="240" w:lineRule="auto"/>
            </w:pPr>
            <w:r>
              <w:rPr>
                <w:sz w:val="16"/>
              </w:rPr>
              <w:t>Meaning of job, inspection, pricing, platform role</w:t>
            </w:r>
          </w:p>
        </w:tc>
        <w:tc>
          <w:tcPr>
            <w:tcW w:type="dxa" w:w="4464"/>
            <w:tcMar>
              <w:top w:w="90" w:type="dxa"/>
              <w:start w:w="90" w:type="dxa"/>
              <w:bottom w:w="90" w:type="dxa"/>
              <w:end w:w="90" w:type="dxa"/>
            </w:tcMar>
            <w:vAlign w:val="center"/>
          </w:tcPr>
          <w:p>
            <w:pPr>
              <w:spacing w:after="0" w:line="240" w:lineRule="auto"/>
            </w:pPr>
            <w:r>
              <w:rPr>
                <w:sz w:val="16"/>
              </w:rPr>
              <w:t>FR-010–013, BR-003, BR-005–006</w:t>
            </w:r>
          </w:p>
        </w:tc>
      </w:tr>
      <w:tr>
        <w:tc>
          <w:tcPr>
            <w:tcW w:type="dxa" w:w="864"/>
            <w:tcMar>
              <w:top w:w="90" w:type="dxa"/>
              <w:start w:w="90" w:type="dxa"/>
              <w:bottom w:w="90" w:type="dxa"/>
              <w:end w:w="90" w:type="dxa"/>
            </w:tcMar>
            <w:vAlign w:val="center"/>
          </w:tcPr>
          <w:p>
            <w:pPr>
              <w:spacing w:after="0" w:line="240" w:lineRule="auto"/>
            </w:pPr>
            <w:r>
              <w:rPr>
                <w:sz w:val="16"/>
              </w:rPr>
              <w:t>Q3</w:t>
            </w:r>
          </w:p>
        </w:tc>
        <w:tc>
          <w:tcPr>
            <w:tcW w:type="dxa" w:w="4464"/>
            <w:tcMar>
              <w:top w:w="90" w:type="dxa"/>
              <w:start w:w="90" w:type="dxa"/>
              <w:bottom w:w="90" w:type="dxa"/>
              <w:end w:w="90" w:type="dxa"/>
            </w:tcMar>
            <w:vAlign w:val="center"/>
          </w:tcPr>
          <w:p>
            <w:pPr>
              <w:spacing w:after="0" w:line="240" w:lineRule="auto"/>
            </w:pPr>
            <w:r>
              <w:rPr>
                <w:sz w:val="16"/>
              </w:rPr>
              <w:t>Future relationship and rehire/history</w:t>
            </w:r>
          </w:p>
        </w:tc>
        <w:tc>
          <w:tcPr>
            <w:tcW w:type="dxa" w:w="4464"/>
            <w:tcMar>
              <w:top w:w="90" w:type="dxa"/>
              <w:start w:w="90" w:type="dxa"/>
              <w:bottom w:w="90" w:type="dxa"/>
              <w:end w:w="90" w:type="dxa"/>
            </w:tcMar>
            <w:vAlign w:val="center"/>
          </w:tcPr>
          <w:p>
            <w:pPr>
              <w:spacing w:after="0" w:line="240" w:lineRule="auto"/>
            </w:pPr>
            <w:r>
              <w:rPr>
                <w:sz w:val="16"/>
              </w:rPr>
              <w:t>BR-003, FR-024–025</w:t>
            </w:r>
          </w:p>
        </w:tc>
      </w:tr>
      <w:tr>
        <w:tc>
          <w:tcPr>
            <w:tcW w:type="dxa" w:w="864"/>
            <w:tcMar>
              <w:top w:w="90" w:type="dxa"/>
              <w:start w:w="90" w:type="dxa"/>
              <w:bottom w:w="90" w:type="dxa"/>
              <w:end w:w="90" w:type="dxa"/>
            </w:tcMar>
            <w:vAlign w:val="center"/>
          </w:tcPr>
          <w:p>
            <w:pPr>
              <w:spacing w:after="0" w:line="240" w:lineRule="auto"/>
            </w:pPr>
            <w:r>
              <w:rPr>
                <w:sz w:val="16"/>
              </w:rPr>
              <w:t>Q4</w:t>
            </w:r>
          </w:p>
        </w:tc>
        <w:tc>
          <w:tcPr>
            <w:tcW w:type="dxa" w:w="4464"/>
            <w:tcMar>
              <w:top w:w="90" w:type="dxa"/>
              <w:start w:w="90" w:type="dxa"/>
              <w:bottom w:w="90" w:type="dxa"/>
              <w:end w:w="90" w:type="dxa"/>
            </w:tcMar>
            <w:vAlign w:val="center"/>
          </w:tcPr>
          <w:p>
            <w:pPr>
              <w:spacing w:after="0" w:line="240" w:lineRule="auto"/>
            </w:pPr>
            <w:r>
              <w:rPr>
                <w:sz w:val="16"/>
              </w:rPr>
              <w:t>Successful job definition</w:t>
            </w:r>
          </w:p>
        </w:tc>
        <w:tc>
          <w:tcPr>
            <w:tcW w:type="dxa" w:w="4464"/>
            <w:tcMar>
              <w:top w:w="90" w:type="dxa"/>
              <w:start w:w="90" w:type="dxa"/>
              <w:bottom w:w="90" w:type="dxa"/>
              <w:end w:w="90" w:type="dxa"/>
            </w:tcMar>
            <w:vAlign w:val="center"/>
          </w:tcPr>
          <w:p>
            <w:pPr>
              <w:spacing w:after="0" w:line="240" w:lineRule="auto"/>
            </w:pPr>
            <w:r>
              <w:rPr>
                <w:sz w:val="16"/>
              </w:rPr>
              <w:t>BR-004, FR-016, DR-003</w:t>
            </w:r>
          </w:p>
        </w:tc>
      </w:tr>
      <w:tr>
        <w:tc>
          <w:tcPr>
            <w:tcW w:type="dxa" w:w="864"/>
            <w:tcMar>
              <w:top w:w="90" w:type="dxa"/>
              <w:start w:w="90" w:type="dxa"/>
              <w:bottom w:w="90" w:type="dxa"/>
              <w:end w:w="90" w:type="dxa"/>
            </w:tcMar>
            <w:vAlign w:val="center"/>
          </w:tcPr>
          <w:p>
            <w:pPr>
              <w:spacing w:after="0" w:line="240" w:lineRule="auto"/>
            </w:pPr>
            <w:r>
              <w:rPr>
                <w:sz w:val="16"/>
              </w:rPr>
              <w:t>Q5</w:t>
            </w:r>
          </w:p>
        </w:tc>
        <w:tc>
          <w:tcPr>
            <w:tcW w:type="dxa" w:w="4464"/>
            <w:tcMar>
              <w:top w:w="90" w:type="dxa"/>
              <w:start w:w="90" w:type="dxa"/>
              <w:bottom w:w="90" w:type="dxa"/>
              <w:end w:w="90" w:type="dxa"/>
            </w:tcMar>
            <w:vAlign w:val="center"/>
          </w:tcPr>
          <w:p>
            <w:pPr>
              <w:spacing w:after="0" w:line="240" w:lineRule="auto"/>
            </w:pPr>
            <w:r>
              <w:rPr>
                <w:sz w:val="16"/>
              </w:rPr>
              <w:t>Completion confirmation</w:t>
            </w:r>
          </w:p>
        </w:tc>
        <w:tc>
          <w:tcPr>
            <w:tcW w:type="dxa" w:w="4464"/>
            <w:tcMar>
              <w:top w:w="90" w:type="dxa"/>
              <w:start w:w="90" w:type="dxa"/>
              <w:bottom w:w="90" w:type="dxa"/>
              <w:end w:w="90" w:type="dxa"/>
            </w:tcMar>
            <w:vAlign w:val="center"/>
          </w:tcPr>
          <w:p>
            <w:pPr>
              <w:spacing w:after="0" w:line="240" w:lineRule="auto"/>
            </w:pPr>
            <w:r>
              <w:rPr>
                <w:sz w:val="16"/>
              </w:rPr>
              <w:t>FR-090, OPEN-002</w:t>
            </w:r>
          </w:p>
        </w:tc>
      </w:tr>
      <w:tr>
        <w:tc>
          <w:tcPr>
            <w:tcW w:type="dxa" w:w="864"/>
            <w:tcMar>
              <w:top w:w="90" w:type="dxa"/>
              <w:start w:w="90" w:type="dxa"/>
              <w:bottom w:w="90" w:type="dxa"/>
              <w:end w:w="90" w:type="dxa"/>
            </w:tcMar>
            <w:vAlign w:val="center"/>
          </w:tcPr>
          <w:p>
            <w:pPr>
              <w:spacing w:after="0" w:line="240" w:lineRule="auto"/>
            </w:pPr>
            <w:r>
              <w:rPr>
                <w:sz w:val="16"/>
              </w:rPr>
              <w:t>Q6</w:t>
            </w:r>
          </w:p>
        </w:tc>
        <w:tc>
          <w:tcPr>
            <w:tcW w:type="dxa" w:w="4464"/>
            <w:tcMar>
              <w:top w:w="90" w:type="dxa"/>
              <w:start w:w="90" w:type="dxa"/>
              <w:bottom w:w="90" w:type="dxa"/>
              <w:end w:w="90" w:type="dxa"/>
            </w:tcMar>
            <w:vAlign w:val="center"/>
          </w:tcPr>
          <w:p>
            <w:pPr>
              <w:spacing w:after="0" w:line="240" w:lineRule="auto"/>
            </w:pPr>
            <w:r>
              <w:rPr>
                <w:sz w:val="16"/>
              </w:rPr>
              <w:t>Provider response/application/offer flexibility</w:t>
            </w:r>
          </w:p>
        </w:tc>
        <w:tc>
          <w:tcPr>
            <w:tcW w:type="dxa" w:w="4464"/>
            <w:tcMar>
              <w:top w:w="90" w:type="dxa"/>
              <w:start w:w="90" w:type="dxa"/>
              <w:bottom w:w="90" w:type="dxa"/>
              <w:end w:w="90" w:type="dxa"/>
            </w:tcMar>
            <w:vAlign w:val="center"/>
          </w:tcPr>
          <w:p>
            <w:pPr>
              <w:spacing w:after="0" w:line="240" w:lineRule="auto"/>
            </w:pPr>
            <w:r>
              <w:rPr>
                <w:sz w:val="16"/>
              </w:rPr>
              <w:t>FR-020–023</w:t>
            </w:r>
          </w:p>
        </w:tc>
      </w:tr>
      <w:tr>
        <w:tc>
          <w:tcPr>
            <w:tcW w:type="dxa" w:w="864"/>
            <w:tcMar>
              <w:top w:w="90" w:type="dxa"/>
              <w:start w:w="90" w:type="dxa"/>
              <w:bottom w:w="90" w:type="dxa"/>
              <w:end w:w="90" w:type="dxa"/>
            </w:tcMar>
            <w:vAlign w:val="center"/>
          </w:tcPr>
          <w:p>
            <w:pPr>
              <w:spacing w:after="0" w:line="240" w:lineRule="auto"/>
            </w:pPr>
            <w:r>
              <w:rPr>
                <w:sz w:val="16"/>
              </w:rPr>
              <w:t>Q7</w:t>
            </w:r>
          </w:p>
        </w:tc>
        <w:tc>
          <w:tcPr>
            <w:tcW w:type="dxa" w:w="4464"/>
            <w:tcMar>
              <w:top w:w="90" w:type="dxa"/>
              <w:start w:w="90" w:type="dxa"/>
              <w:bottom w:w="90" w:type="dxa"/>
              <w:end w:w="90" w:type="dxa"/>
            </w:tcMar>
            <w:vAlign w:val="center"/>
          </w:tcPr>
          <w:p>
            <w:pPr>
              <w:spacing w:after="0" w:line="240" w:lineRule="auto"/>
            </w:pPr>
            <w:r>
              <w:rPr>
                <w:sz w:val="16"/>
              </w:rPr>
              <w:t>Jobs and profiles both first-class; cold start</w:t>
            </w:r>
          </w:p>
        </w:tc>
        <w:tc>
          <w:tcPr>
            <w:tcW w:type="dxa" w:w="4464"/>
            <w:tcMar>
              <w:top w:w="90" w:type="dxa"/>
              <w:start w:w="90" w:type="dxa"/>
              <w:bottom w:w="90" w:type="dxa"/>
              <w:end w:w="90" w:type="dxa"/>
            </w:tcMar>
            <w:vAlign w:val="center"/>
          </w:tcPr>
          <w:p>
            <w:pPr>
              <w:spacing w:after="0" w:line="240" w:lineRule="auto"/>
            </w:pPr>
            <w:r>
              <w:rPr>
                <w:sz w:val="16"/>
              </w:rPr>
              <w:t>BR-002, FR-030–033</w:t>
            </w:r>
          </w:p>
        </w:tc>
      </w:tr>
      <w:tr>
        <w:tc>
          <w:tcPr>
            <w:tcW w:type="dxa" w:w="864"/>
            <w:tcMar>
              <w:top w:w="90" w:type="dxa"/>
              <w:start w:w="90" w:type="dxa"/>
              <w:bottom w:w="90" w:type="dxa"/>
              <w:end w:w="90" w:type="dxa"/>
            </w:tcMar>
            <w:vAlign w:val="center"/>
          </w:tcPr>
          <w:p>
            <w:pPr>
              <w:spacing w:after="0" w:line="240" w:lineRule="auto"/>
            </w:pPr>
            <w:r>
              <w:rPr>
                <w:sz w:val="16"/>
              </w:rPr>
              <w:t>Q8</w:t>
            </w:r>
          </w:p>
        </w:tc>
        <w:tc>
          <w:tcPr>
            <w:tcW w:type="dxa" w:w="4464"/>
            <w:tcMar>
              <w:top w:w="90" w:type="dxa"/>
              <w:start w:w="90" w:type="dxa"/>
              <w:bottom w:w="90" w:type="dxa"/>
              <w:end w:w="90" w:type="dxa"/>
            </w:tcMar>
            <w:vAlign w:val="center"/>
          </w:tcPr>
          <w:p>
            <w:pPr>
              <w:spacing w:after="0" w:line="240" w:lineRule="auto"/>
            </w:pPr>
            <w:r>
              <w:rPr>
                <w:sz w:val="16"/>
              </w:rPr>
              <w:t>Individual/shop/agency/company providers</w:t>
            </w:r>
          </w:p>
        </w:tc>
        <w:tc>
          <w:tcPr>
            <w:tcW w:type="dxa" w:w="4464"/>
            <w:tcMar>
              <w:top w:w="90" w:type="dxa"/>
              <w:start w:w="90" w:type="dxa"/>
              <w:bottom w:w="90" w:type="dxa"/>
              <w:end w:w="90" w:type="dxa"/>
            </w:tcMar>
            <w:vAlign w:val="center"/>
          </w:tcPr>
          <w:p>
            <w:pPr>
              <w:spacing w:after="0" w:line="240" w:lineRule="auto"/>
            </w:pPr>
            <w:r>
              <w:rPr>
                <w:sz w:val="16"/>
              </w:rPr>
              <w:t>FR-031, FR-040–042</w:t>
            </w:r>
          </w:p>
        </w:tc>
      </w:tr>
      <w:tr>
        <w:tc>
          <w:tcPr>
            <w:tcW w:type="dxa" w:w="864"/>
            <w:tcMar>
              <w:top w:w="90" w:type="dxa"/>
              <w:start w:w="90" w:type="dxa"/>
              <w:bottom w:w="90" w:type="dxa"/>
              <w:end w:w="90" w:type="dxa"/>
            </w:tcMar>
            <w:vAlign w:val="center"/>
          </w:tcPr>
          <w:p>
            <w:pPr>
              <w:spacing w:after="0" w:line="240" w:lineRule="auto"/>
            </w:pPr>
            <w:r>
              <w:rPr>
                <w:sz w:val="16"/>
              </w:rPr>
              <w:t>Q9</w:t>
            </w:r>
          </w:p>
        </w:tc>
        <w:tc>
          <w:tcPr>
            <w:tcW w:type="dxa" w:w="4464"/>
            <w:tcMar>
              <w:top w:w="90" w:type="dxa"/>
              <w:start w:w="90" w:type="dxa"/>
              <w:bottom w:w="90" w:type="dxa"/>
              <w:end w:w="90" w:type="dxa"/>
            </w:tcMar>
            <w:vAlign w:val="center"/>
          </w:tcPr>
          <w:p>
            <w:pPr>
              <w:spacing w:after="0" w:line="240" w:lineRule="auto"/>
            </w:pPr>
            <w:r>
              <w:rPr>
                <w:sz w:val="16"/>
              </w:rPr>
              <w:t>Platform-governed categories</w:t>
            </w:r>
          </w:p>
        </w:tc>
        <w:tc>
          <w:tcPr>
            <w:tcW w:type="dxa" w:w="4464"/>
            <w:tcMar>
              <w:top w:w="90" w:type="dxa"/>
              <w:start w:w="90" w:type="dxa"/>
              <w:bottom w:w="90" w:type="dxa"/>
              <w:end w:w="90" w:type="dxa"/>
            </w:tcMar>
            <w:vAlign w:val="center"/>
          </w:tcPr>
          <w:p>
            <w:pPr>
              <w:spacing w:after="0" w:line="240" w:lineRule="auto"/>
            </w:pPr>
            <w:r>
              <w:rPr>
                <w:sz w:val="16"/>
              </w:rPr>
              <w:t>FR-050–051</w:t>
            </w:r>
          </w:p>
        </w:tc>
      </w:tr>
      <w:tr>
        <w:tc>
          <w:tcPr>
            <w:tcW w:type="dxa" w:w="864"/>
            <w:tcMar>
              <w:top w:w="90" w:type="dxa"/>
              <w:start w:w="90" w:type="dxa"/>
              <w:bottom w:w="90" w:type="dxa"/>
              <w:end w:w="90" w:type="dxa"/>
            </w:tcMar>
            <w:vAlign w:val="center"/>
          </w:tcPr>
          <w:p>
            <w:pPr>
              <w:spacing w:after="0" w:line="240" w:lineRule="auto"/>
            </w:pPr>
            <w:r>
              <w:rPr>
                <w:sz w:val="16"/>
              </w:rPr>
              <w:t>Q10</w:t>
            </w:r>
          </w:p>
        </w:tc>
        <w:tc>
          <w:tcPr>
            <w:tcW w:type="dxa" w:w="4464"/>
            <w:tcMar>
              <w:top w:w="90" w:type="dxa"/>
              <w:start w:w="90" w:type="dxa"/>
              <w:bottom w:w="90" w:type="dxa"/>
              <w:end w:w="90" w:type="dxa"/>
            </w:tcMar>
            <w:vAlign w:val="center"/>
          </w:tcPr>
          <w:p>
            <w:pPr>
              <w:spacing w:after="0" w:line="240" w:lineRule="auto"/>
            </w:pPr>
            <w:r>
              <w:rPr>
                <w:sz w:val="16"/>
              </w:rPr>
              <w:t>Progressive verification</w:t>
            </w:r>
          </w:p>
        </w:tc>
        <w:tc>
          <w:tcPr>
            <w:tcW w:type="dxa" w:w="4464"/>
            <w:tcMar>
              <w:top w:w="90" w:type="dxa"/>
              <w:start w:w="90" w:type="dxa"/>
              <w:bottom w:w="90" w:type="dxa"/>
              <w:end w:w="90" w:type="dxa"/>
            </w:tcMar>
            <w:vAlign w:val="center"/>
          </w:tcPr>
          <w:p>
            <w:pPr>
              <w:spacing w:after="0" w:line="240" w:lineRule="auto"/>
            </w:pPr>
            <w:r>
              <w:rPr>
                <w:sz w:val="16"/>
              </w:rPr>
              <w:t>FR-120–122, SEC-002, OPEN-008</w:t>
            </w:r>
          </w:p>
        </w:tc>
      </w:tr>
      <w:tr>
        <w:tc>
          <w:tcPr>
            <w:tcW w:type="dxa" w:w="864"/>
            <w:tcMar>
              <w:top w:w="90" w:type="dxa"/>
              <w:start w:w="90" w:type="dxa"/>
              <w:bottom w:w="90" w:type="dxa"/>
              <w:end w:w="90" w:type="dxa"/>
            </w:tcMar>
            <w:vAlign w:val="center"/>
          </w:tcPr>
          <w:p>
            <w:pPr>
              <w:spacing w:after="0" w:line="240" w:lineRule="auto"/>
            </w:pPr>
            <w:r>
              <w:rPr>
                <w:sz w:val="16"/>
              </w:rPr>
              <w:t>Q11</w:t>
            </w:r>
          </w:p>
        </w:tc>
        <w:tc>
          <w:tcPr>
            <w:tcW w:type="dxa" w:w="4464"/>
            <w:tcMar>
              <w:top w:w="90" w:type="dxa"/>
              <w:start w:w="90" w:type="dxa"/>
              <w:bottom w:w="90" w:type="dxa"/>
              <w:end w:w="90" w:type="dxa"/>
            </w:tcMar>
            <w:vAlign w:val="center"/>
          </w:tcPr>
          <w:p>
            <w:pPr>
              <w:spacing w:after="0" w:line="240" w:lineRule="auto"/>
            </w:pPr>
            <w:r>
              <w:rPr>
                <w:sz w:val="16"/>
              </w:rPr>
              <w:t>Optional/multiple categories; no behavioural personalization</w:t>
            </w:r>
          </w:p>
        </w:tc>
        <w:tc>
          <w:tcPr>
            <w:tcW w:type="dxa" w:w="4464"/>
            <w:tcMar>
              <w:top w:w="90" w:type="dxa"/>
              <w:start w:w="90" w:type="dxa"/>
              <w:bottom w:w="90" w:type="dxa"/>
              <w:end w:w="90" w:type="dxa"/>
            </w:tcMar>
            <w:vAlign w:val="center"/>
          </w:tcPr>
          <w:p>
            <w:pPr>
              <w:spacing w:after="0" w:line="240" w:lineRule="auto"/>
            </w:pPr>
            <w:r>
              <w:rPr>
                <w:sz w:val="16"/>
              </w:rPr>
              <w:t>FR-014, FR-052, OPEN-004, PRV-004</w:t>
            </w:r>
          </w:p>
        </w:tc>
      </w:tr>
      <w:tr>
        <w:tc>
          <w:tcPr>
            <w:tcW w:type="dxa" w:w="864"/>
            <w:tcMar>
              <w:top w:w="90" w:type="dxa"/>
              <w:start w:w="90" w:type="dxa"/>
              <w:bottom w:w="90" w:type="dxa"/>
              <w:end w:w="90" w:type="dxa"/>
            </w:tcMar>
            <w:vAlign w:val="center"/>
          </w:tcPr>
          <w:p>
            <w:pPr>
              <w:spacing w:after="0" w:line="240" w:lineRule="auto"/>
            </w:pPr>
            <w:r>
              <w:rPr>
                <w:sz w:val="16"/>
              </w:rPr>
              <w:t>Q12</w:t>
            </w:r>
          </w:p>
        </w:tc>
        <w:tc>
          <w:tcPr>
            <w:tcW w:type="dxa" w:w="4464"/>
            <w:tcMar>
              <w:top w:w="90" w:type="dxa"/>
              <w:start w:w="90" w:type="dxa"/>
              <w:bottom w:w="90" w:type="dxa"/>
              <w:end w:w="90" w:type="dxa"/>
            </w:tcMar>
            <w:vAlign w:val="center"/>
          </w:tcPr>
          <w:p>
            <w:pPr>
              <w:spacing w:after="0" w:line="240" w:lineRule="auto"/>
            </w:pPr>
            <w:r>
              <w:rPr>
                <w:sz w:val="16"/>
              </w:rPr>
              <w:t>Active/inactive locations and waitlists</w:t>
            </w:r>
          </w:p>
        </w:tc>
        <w:tc>
          <w:tcPr>
            <w:tcW w:type="dxa" w:w="4464"/>
            <w:tcMar>
              <w:top w:w="90" w:type="dxa"/>
              <w:start w:w="90" w:type="dxa"/>
              <w:bottom w:w="90" w:type="dxa"/>
              <w:end w:w="90" w:type="dxa"/>
            </w:tcMar>
            <w:vAlign w:val="center"/>
          </w:tcPr>
          <w:p>
            <w:pPr>
              <w:spacing w:after="0" w:line="240" w:lineRule="auto"/>
            </w:pPr>
            <w:r>
              <w:rPr>
                <w:sz w:val="16"/>
              </w:rPr>
              <w:t>BR-007, FR-060–064, DR-005</w:t>
            </w:r>
          </w:p>
        </w:tc>
      </w:tr>
      <w:tr>
        <w:tc>
          <w:tcPr>
            <w:tcW w:type="dxa" w:w="864"/>
            <w:tcMar>
              <w:top w:w="90" w:type="dxa"/>
              <w:start w:w="90" w:type="dxa"/>
              <w:bottom w:w="90" w:type="dxa"/>
              <w:end w:w="90" w:type="dxa"/>
            </w:tcMar>
            <w:vAlign w:val="center"/>
          </w:tcPr>
          <w:p>
            <w:pPr>
              <w:spacing w:after="0" w:line="240" w:lineRule="auto"/>
            </w:pPr>
            <w:r>
              <w:rPr>
                <w:sz w:val="16"/>
              </w:rPr>
              <w:t>Q13</w:t>
            </w:r>
          </w:p>
        </w:tc>
        <w:tc>
          <w:tcPr>
            <w:tcW w:type="dxa" w:w="4464"/>
            <w:tcMar>
              <w:top w:w="90" w:type="dxa"/>
              <w:start w:w="90" w:type="dxa"/>
              <w:bottom w:w="90" w:type="dxa"/>
              <w:end w:w="90" w:type="dxa"/>
            </w:tcMar>
            <w:vAlign w:val="center"/>
          </w:tcPr>
          <w:p>
            <w:pPr>
              <w:spacing w:after="0" w:line="240" w:lineRule="auto"/>
            </w:pPr>
            <w:r>
              <w:rPr>
                <w:sz w:val="16"/>
              </w:rPr>
              <w:t>Role separation, identity ambiguity, analytics integrity</w:t>
            </w:r>
          </w:p>
        </w:tc>
        <w:tc>
          <w:tcPr>
            <w:tcW w:type="dxa" w:w="4464"/>
            <w:tcMar>
              <w:top w:w="90" w:type="dxa"/>
              <w:start w:w="90" w:type="dxa"/>
              <w:bottom w:w="90" w:type="dxa"/>
              <w:end w:w="90" w:type="dxa"/>
            </w:tcMar>
            <w:vAlign w:val="center"/>
          </w:tcPr>
          <w:p>
            <w:pPr>
              <w:spacing w:after="0" w:line="240" w:lineRule="auto"/>
            </w:pPr>
            <w:r>
              <w:rPr>
                <w:sz w:val="16"/>
              </w:rPr>
              <w:t>FR-003–004, DR-002, SEC-003, OPEN-001</w:t>
            </w:r>
          </w:p>
        </w:tc>
      </w:tr>
      <w:tr>
        <w:tc>
          <w:tcPr>
            <w:tcW w:type="dxa" w:w="864"/>
            <w:tcMar>
              <w:top w:w="90" w:type="dxa"/>
              <w:start w:w="90" w:type="dxa"/>
              <w:bottom w:w="90" w:type="dxa"/>
              <w:end w:w="90" w:type="dxa"/>
            </w:tcMar>
            <w:vAlign w:val="center"/>
          </w:tcPr>
          <w:p>
            <w:pPr>
              <w:spacing w:after="0" w:line="240" w:lineRule="auto"/>
            </w:pPr>
            <w:r>
              <w:rPr>
                <w:sz w:val="16"/>
              </w:rPr>
              <w:t>Q14</w:t>
            </w:r>
          </w:p>
        </w:tc>
        <w:tc>
          <w:tcPr>
            <w:tcW w:type="dxa" w:w="4464"/>
            <w:tcMar>
              <w:top w:w="90" w:type="dxa"/>
              <w:start w:w="90" w:type="dxa"/>
              <w:bottom w:w="90" w:type="dxa"/>
              <w:end w:w="90" w:type="dxa"/>
            </w:tcMar>
            <w:vAlign w:val="center"/>
          </w:tcPr>
          <w:p>
            <w:pPr>
              <w:spacing w:after="0" w:line="240" w:lineRule="auto"/>
            </w:pPr>
            <w:r>
              <w:rPr>
                <w:sz w:val="16"/>
              </w:rPr>
              <w:t>Two-sided reputation</w:t>
            </w:r>
          </w:p>
        </w:tc>
        <w:tc>
          <w:tcPr>
            <w:tcW w:type="dxa" w:w="4464"/>
            <w:tcMar>
              <w:top w:w="90" w:type="dxa"/>
              <w:start w:w="90" w:type="dxa"/>
              <w:bottom w:w="90" w:type="dxa"/>
              <w:end w:w="90" w:type="dxa"/>
            </w:tcMar>
            <w:vAlign w:val="center"/>
          </w:tcPr>
          <w:p>
            <w:pPr>
              <w:spacing w:after="0" w:line="240" w:lineRule="auto"/>
            </w:pPr>
            <w:r>
              <w:rPr>
                <w:sz w:val="16"/>
              </w:rPr>
              <w:t>FR-100–103, SEC-001, OPEN-007</w:t>
            </w:r>
          </w:p>
        </w:tc>
      </w:tr>
      <w:tr>
        <w:tc>
          <w:tcPr>
            <w:tcW w:type="dxa" w:w="864"/>
            <w:tcMar>
              <w:top w:w="90" w:type="dxa"/>
              <w:start w:w="90" w:type="dxa"/>
              <w:bottom w:w="90" w:type="dxa"/>
              <w:end w:w="90" w:type="dxa"/>
            </w:tcMar>
            <w:vAlign w:val="center"/>
          </w:tcPr>
          <w:p>
            <w:pPr>
              <w:spacing w:after="0" w:line="240" w:lineRule="auto"/>
            </w:pPr>
            <w:r>
              <w:rPr>
                <w:sz w:val="16"/>
              </w:rPr>
              <w:t>Q15</w:t>
            </w:r>
          </w:p>
        </w:tc>
        <w:tc>
          <w:tcPr>
            <w:tcW w:type="dxa" w:w="4464"/>
            <w:tcMar>
              <w:top w:w="90" w:type="dxa"/>
              <w:start w:w="90" w:type="dxa"/>
              <w:bottom w:w="90" w:type="dxa"/>
              <w:end w:w="90" w:type="dxa"/>
            </w:tcMar>
            <w:vAlign w:val="center"/>
          </w:tcPr>
          <w:p>
            <w:pPr>
              <w:spacing w:after="0" w:line="240" w:lineRule="auto"/>
            </w:pPr>
            <w:r>
              <w:rPr>
                <w:sz w:val="16"/>
              </w:rPr>
              <w:t>Hybrid in-platform communication and consent</w:t>
            </w:r>
          </w:p>
        </w:tc>
        <w:tc>
          <w:tcPr>
            <w:tcW w:type="dxa" w:w="4464"/>
            <w:tcMar>
              <w:top w:w="90" w:type="dxa"/>
              <w:start w:w="90" w:type="dxa"/>
              <w:bottom w:w="90" w:type="dxa"/>
              <w:end w:w="90" w:type="dxa"/>
            </w:tcMar>
            <w:vAlign w:val="center"/>
          </w:tcPr>
          <w:p>
            <w:pPr>
              <w:spacing w:after="0" w:line="240" w:lineRule="auto"/>
            </w:pPr>
            <w:r>
              <w:rPr>
                <w:sz w:val="16"/>
              </w:rPr>
              <w:t>FR-072, PRV-001–003, OPEN-005</w:t>
            </w:r>
          </w:p>
        </w:tc>
      </w:tr>
      <w:tr>
        <w:tc>
          <w:tcPr>
            <w:tcW w:type="dxa" w:w="864"/>
            <w:tcMar>
              <w:top w:w="90" w:type="dxa"/>
              <w:start w:w="90" w:type="dxa"/>
              <w:bottom w:w="90" w:type="dxa"/>
              <w:end w:w="90" w:type="dxa"/>
            </w:tcMar>
            <w:vAlign w:val="center"/>
          </w:tcPr>
          <w:p>
            <w:pPr>
              <w:spacing w:after="0" w:line="240" w:lineRule="auto"/>
            </w:pPr>
            <w:r>
              <w:rPr>
                <w:sz w:val="16"/>
              </w:rPr>
              <w:t>Q16</w:t>
            </w:r>
          </w:p>
        </w:tc>
        <w:tc>
          <w:tcPr>
            <w:tcW w:type="dxa" w:w="4464"/>
            <w:tcMar>
              <w:top w:w="90" w:type="dxa"/>
              <w:start w:w="90" w:type="dxa"/>
              <w:bottom w:w="90" w:type="dxa"/>
              <w:end w:w="90" w:type="dxa"/>
            </w:tcMar>
            <w:vAlign w:val="center"/>
          </w:tcPr>
          <w:p>
            <w:pPr>
              <w:spacing w:after="0" w:line="240" w:lineRule="auto"/>
            </w:pPr>
            <w:r>
              <w:rPr>
                <w:sz w:val="16"/>
              </w:rPr>
              <w:t>Broad V1 visibility, future invitation modes</w:t>
            </w:r>
          </w:p>
        </w:tc>
        <w:tc>
          <w:tcPr>
            <w:tcW w:type="dxa" w:w="4464"/>
            <w:tcMar>
              <w:top w:w="90" w:type="dxa"/>
              <w:start w:w="90" w:type="dxa"/>
              <w:bottom w:w="90" w:type="dxa"/>
              <w:end w:w="90" w:type="dxa"/>
            </w:tcMar>
            <w:vAlign w:val="center"/>
          </w:tcPr>
          <w:p>
            <w:pPr>
              <w:spacing w:after="0" w:line="240" w:lineRule="auto"/>
            </w:pPr>
            <w:r>
              <w:rPr>
                <w:sz w:val="16"/>
              </w:rPr>
              <w:t>FR-070–071, FR-024</w:t>
            </w:r>
          </w:p>
        </w:tc>
      </w:tr>
      <w:tr>
        <w:tc>
          <w:tcPr>
            <w:tcW w:type="dxa" w:w="864"/>
            <w:tcMar>
              <w:top w:w="90" w:type="dxa"/>
              <w:start w:w="90" w:type="dxa"/>
              <w:bottom w:w="90" w:type="dxa"/>
              <w:end w:w="90" w:type="dxa"/>
            </w:tcMar>
            <w:vAlign w:val="center"/>
          </w:tcPr>
          <w:p>
            <w:pPr>
              <w:spacing w:after="0" w:line="240" w:lineRule="auto"/>
            </w:pPr>
            <w:r>
              <w:rPr>
                <w:sz w:val="16"/>
              </w:rPr>
              <w:t>Q17</w:t>
            </w:r>
          </w:p>
        </w:tc>
        <w:tc>
          <w:tcPr>
            <w:tcW w:type="dxa" w:w="4464"/>
            <w:tcMar>
              <w:top w:w="90" w:type="dxa"/>
              <w:start w:w="90" w:type="dxa"/>
              <w:bottom w:w="90" w:type="dxa"/>
              <w:end w:w="90" w:type="dxa"/>
            </w:tcMar>
            <w:vAlign w:val="center"/>
          </w:tcPr>
          <w:p>
            <w:pPr>
              <w:spacing w:after="0" w:line="240" w:lineRule="auto"/>
            </w:pPr>
            <w:r>
              <w:rPr>
                <w:sz w:val="16"/>
              </w:rPr>
              <w:t>Organization assignment and reputation ambiguity</w:t>
            </w:r>
          </w:p>
        </w:tc>
        <w:tc>
          <w:tcPr>
            <w:tcW w:type="dxa" w:w="4464"/>
            <w:tcMar>
              <w:top w:w="90" w:type="dxa"/>
              <w:start w:w="90" w:type="dxa"/>
              <w:bottom w:w="90" w:type="dxa"/>
              <w:end w:w="90" w:type="dxa"/>
            </w:tcMar>
            <w:vAlign w:val="center"/>
          </w:tcPr>
          <w:p>
            <w:pPr>
              <w:spacing w:after="0" w:line="240" w:lineRule="auto"/>
            </w:pPr>
            <w:r>
              <w:rPr>
                <w:sz w:val="16"/>
              </w:rPr>
              <w:t>FR-040–042, OPEN-003</w:t>
            </w:r>
          </w:p>
        </w:tc>
      </w:tr>
      <w:tr>
        <w:tc>
          <w:tcPr>
            <w:tcW w:type="dxa" w:w="864"/>
            <w:tcMar>
              <w:top w:w="90" w:type="dxa"/>
              <w:start w:w="90" w:type="dxa"/>
              <w:bottom w:w="90" w:type="dxa"/>
              <w:end w:w="90" w:type="dxa"/>
            </w:tcMar>
            <w:vAlign w:val="center"/>
          </w:tcPr>
          <w:p>
            <w:pPr>
              <w:spacing w:after="0" w:line="240" w:lineRule="auto"/>
            </w:pPr>
            <w:r>
              <w:rPr>
                <w:sz w:val="16"/>
              </w:rPr>
              <w:t>Q18</w:t>
            </w:r>
          </w:p>
        </w:tc>
        <w:tc>
          <w:tcPr>
            <w:tcW w:type="dxa" w:w="4464"/>
            <w:tcMar>
              <w:top w:w="90" w:type="dxa"/>
              <w:start w:w="90" w:type="dxa"/>
              <w:bottom w:w="90" w:type="dxa"/>
              <w:end w:w="90" w:type="dxa"/>
            </w:tcMar>
            <w:vAlign w:val="center"/>
          </w:tcPr>
          <w:p>
            <w:pPr>
              <w:spacing w:after="0" w:line="240" w:lineRule="auto"/>
            </w:pPr>
            <w:r>
              <w:rPr>
                <w:sz w:val="16"/>
              </w:rPr>
              <w:t>Attributed cancellation and emergency policy</w:t>
            </w:r>
          </w:p>
        </w:tc>
        <w:tc>
          <w:tcPr>
            <w:tcW w:type="dxa" w:w="4464"/>
            <w:tcMar>
              <w:top w:w="90" w:type="dxa"/>
              <w:start w:w="90" w:type="dxa"/>
              <w:bottom w:w="90" w:type="dxa"/>
              <w:end w:w="90" w:type="dxa"/>
            </w:tcMar>
            <w:vAlign w:val="center"/>
          </w:tcPr>
          <w:p>
            <w:r>
              <w:t>FR-091–094, FR-085, OPEN-006, FR-084, HYP-009</w:t>
            </w:r>
          </w:p>
        </w:tc>
      </w:tr>
      <w:tr>
        <w:tc>
          <w:tcPr>
            <w:tcW w:type="dxa" w:w="864"/>
            <w:tcMar>
              <w:top w:w="90" w:type="dxa"/>
              <w:start w:w="90" w:type="dxa"/>
              <w:bottom w:w="90" w:type="dxa"/>
              <w:end w:w="90" w:type="dxa"/>
            </w:tcMar>
            <w:vAlign w:val="center"/>
          </w:tcPr>
          <w:p>
            <w:pPr>
              <w:spacing w:after="0" w:line="240" w:lineRule="auto"/>
            </w:pPr>
            <w:r>
              <w:rPr>
                <w:sz w:val="16"/>
              </w:rPr>
              <w:t>Q19</w:t>
            </w:r>
          </w:p>
        </w:tc>
        <w:tc>
          <w:tcPr>
            <w:tcW w:type="dxa" w:w="4464"/>
            <w:tcMar>
              <w:top w:w="90" w:type="dxa"/>
              <w:start w:w="90" w:type="dxa"/>
              <w:bottom w:w="90" w:type="dxa"/>
              <w:end w:w="90" w:type="dxa"/>
            </w:tcMar>
            <w:vAlign w:val="center"/>
          </w:tcPr>
          <w:p>
            <w:pPr>
              <w:spacing w:after="0" w:line="240" w:lineRule="auto"/>
            </w:pPr>
            <w:r>
              <w:rPr>
                <w:sz w:val="16"/>
              </w:rPr>
              <w:t>Complaints and disputes</w:t>
            </w:r>
          </w:p>
        </w:tc>
        <w:tc>
          <w:tcPr>
            <w:tcW w:type="dxa" w:w="4464"/>
            <w:tcMar>
              <w:top w:w="90" w:type="dxa"/>
              <w:start w:w="90" w:type="dxa"/>
              <w:bottom w:w="90" w:type="dxa"/>
              <w:end w:w="90" w:type="dxa"/>
            </w:tcMar>
            <w:vAlign w:val="center"/>
          </w:tcPr>
          <w:p>
            <w:pPr>
              <w:spacing w:after="0" w:line="240" w:lineRule="auto"/>
            </w:pPr>
            <w:r>
              <w:rPr>
                <w:sz w:val="16"/>
              </w:rPr>
              <w:t>FR-095–098, BRL-001</w:t>
            </w:r>
          </w:p>
        </w:tc>
      </w:tr>
      <w:tr>
        <w:tc>
          <w:tcPr>
            <w:tcW w:type="dxa" w:w="864"/>
            <w:tcMar>
              <w:top w:w="90" w:type="dxa"/>
              <w:start w:w="90" w:type="dxa"/>
              <w:bottom w:w="90" w:type="dxa"/>
              <w:end w:w="90" w:type="dxa"/>
            </w:tcMar>
            <w:vAlign w:val="center"/>
          </w:tcPr>
          <w:p>
            <w:pPr>
              <w:spacing w:after="0" w:line="240" w:lineRule="auto"/>
            </w:pPr>
            <w:r>
              <w:rPr>
                <w:sz w:val="16"/>
              </w:rPr>
              <w:t>Q20</w:t>
            </w:r>
          </w:p>
        </w:tc>
        <w:tc>
          <w:tcPr>
            <w:tcW w:type="dxa" w:w="4464"/>
            <w:tcMar>
              <w:top w:w="90" w:type="dxa"/>
              <w:start w:w="90" w:type="dxa"/>
              <w:bottom w:w="90" w:type="dxa"/>
              <w:end w:w="90" w:type="dxa"/>
            </w:tcMar>
            <w:vAlign w:val="center"/>
          </w:tcPr>
          <w:p>
            <w:pPr>
              <w:spacing w:after="0" w:line="240" w:lineRule="auto"/>
            </w:pPr>
            <w:r>
              <w:rPr>
                <w:sz w:val="16"/>
              </w:rPr>
              <w:t>No V1 payment handling</w:t>
            </w:r>
          </w:p>
        </w:tc>
        <w:tc>
          <w:tcPr>
            <w:tcW w:type="dxa" w:w="4464"/>
            <w:tcMar>
              <w:top w:w="90" w:type="dxa"/>
              <w:start w:w="90" w:type="dxa"/>
              <w:bottom w:w="90" w:type="dxa"/>
              <w:end w:w="90" w:type="dxa"/>
            </w:tcMar>
            <w:vAlign w:val="center"/>
          </w:tcPr>
          <w:p>
            <w:pPr>
              <w:spacing w:after="0" w:line="240" w:lineRule="auto"/>
            </w:pPr>
            <w:r>
              <w:rPr>
                <w:sz w:val="16"/>
              </w:rPr>
              <w:t>FR-110, BRL-002, DEF-001</w:t>
            </w:r>
          </w:p>
        </w:tc>
      </w:tr>
      <w:tr>
        <w:tc>
          <w:tcPr>
            <w:tcW w:type="dxa" w:w="864"/>
            <w:tcMar>
              <w:top w:w="90" w:type="dxa"/>
              <w:start w:w="90" w:type="dxa"/>
              <w:bottom w:w="90" w:type="dxa"/>
              <w:end w:w="90" w:type="dxa"/>
            </w:tcMar>
            <w:vAlign w:val="center"/>
          </w:tcPr>
          <w:p>
            <w:pPr>
              <w:spacing w:after="0" w:line="240" w:lineRule="auto"/>
            </w:pPr>
            <w:r>
              <w:rPr>
                <w:sz w:val="16"/>
              </w:rPr>
              <w:t>Q21</w:t>
            </w:r>
          </w:p>
        </w:tc>
        <w:tc>
          <w:tcPr>
            <w:tcW w:type="dxa" w:w="4464"/>
            <w:tcMar>
              <w:top w:w="90" w:type="dxa"/>
              <w:start w:w="90" w:type="dxa"/>
              <w:bottom w:w="90" w:type="dxa"/>
              <w:end w:w="90" w:type="dxa"/>
            </w:tcMar>
            <w:vAlign w:val="center"/>
          </w:tcPr>
          <w:p>
            <w:pPr>
              <w:spacing w:after="0" w:line="240" w:lineRule="auto"/>
            </w:pPr>
            <w:r>
              <w:rPr>
                <w:sz w:val="16"/>
              </w:rPr>
              <w:t>Scheduling baseline</w:t>
            </w:r>
          </w:p>
        </w:tc>
        <w:tc>
          <w:tcPr>
            <w:tcW w:type="dxa" w:w="4464"/>
            <w:tcMar>
              <w:top w:w="90" w:type="dxa"/>
              <w:start w:w="90" w:type="dxa"/>
              <w:bottom w:w="90" w:type="dxa"/>
              <w:end w:w="90" w:type="dxa"/>
            </w:tcMar>
            <w:vAlign w:val="center"/>
          </w:tcPr>
          <w:p>
            <w:pPr>
              <w:spacing w:after="0" w:line="240" w:lineRule="auto"/>
            </w:pPr>
            <w:r>
              <w:rPr>
                <w:sz w:val="16"/>
              </w:rPr>
              <w:t>FR-080–083</w:t>
            </w:r>
          </w:p>
        </w:tc>
      </w:tr>
      <w:tr>
        <w:tc>
          <w:tcPr>
            <w:tcW w:type="dxa" w:w="864"/>
            <w:tcMar>
              <w:top w:w="90" w:type="dxa"/>
              <w:start w:w="90" w:type="dxa"/>
              <w:bottom w:w="90" w:type="dxa"/>
              <w:end w:w="90" w:type="dxa"/>
            </w:tcMar>
            <w:vAlign w:val="center"/>
          </w:tcPr>
          <w:p>
            <w:pPr>
              <w:spacing w:after="0" w:line="240" w:lineRule="auto"/>
            </w:pPr>
            <w:r>
              <w:rPr>
                <w:sz w:val="16"/>
              </w:rPr>
              <w:t>Q22</w:t>
            </w:r>
          </w:p>
        </w:tc>
        <w:tc>
          <w:tcPr>
            <w:tcW w:type="dxa" w:w="4464"/>
            <w:tcMar>
              <w:top w:w="90" w:type="dxa"/>
              <w:start w:w="90" w:type="dxa"/>
              <w:bottom w:w="90" w:type="dxa"/>
              <w:end w:w="90" w:type="dxa"/>
            </w:tcMar>
            <w:vAlign w:val="center"/>
          </w:tcPr>
          <w:p>
            <w:pPr>
              <w:spacing w:after="0" w:line="240" w:lineRule="auto"/>
            </w:pPr>
            <w:r>
              <w:rPr>
                <w:sz w:val="16"/>
              </w:rPr>
              <w:t>Candidate V1 scope not finalized</w:t>
            </w:r>
          </w:p>
        </w:tc>
        <w:tc>
          <w:tcPr>
            <w:tcW w:type="dxa" w:w="4464"/>
            <w:tcMar>
              <w:top w:w="90" w:type="dxa"/>
              <w:start w:w="90" w:type="dxa"/>
              <w:bottom w:w="90" w:type="dxa"/>
              <w:end w:w="90" w:type="dxa"/>
            </w:tcMar>
            <w:vAlign w:val="center"/>
          </w:tcPr>
          <w:p>
            <w:pPr>
              <w:spacing w:after="0" w:line="240" w:lineRule="auto"/>
            </w:pPr>
            <w:r>
              <w:rPr>
                <w:sz w:val="16"/>
              </w:rPr>
              <w:t>OPEN-010, Section 13</w:t>
            </w:r>
          </w:p>
        </w:tc>
      </w:tr>
      <w:tr>
        <w:tc>
          <w:tcPr>
            <w:tcW w:type="dxa" w:w="864"/>
            <w:tcMar>
              <w:top w:w="90" w:type="dxa"/>
              <w:start w:w="90" w:type="dxa"/>
              <w:bottom w:w="90" w:type="dxa"/>
              <w:end w:w="90" w:type="dxa"/>
            </w:tcMar>
            <w:vAlign w:val="center"/>
          </w:tcPr>
          <w:p>
            <w:pPr>
              <w:spacing w:after="0" w:line="240" w:lineRule="auto"/>
            </w:pPr>
            <w:r>
              <w:rPr>
                <w:sz w:val="16"/>
              </w:rPr>
              <w:t>Q23</w:t>
            </w:r>
          </w:p>
        </w:tc>
        <w:tc>
          <w:tcPr>
            <w:tcW w:type="dxa" w:w="4464"/>
            <w:tcMar>
              <w:top w:w="90" w:type="dxa"/>
              <w:start w:w="90" w:type="dxa"/>
              <w:bottom w:w="90" w:type="dxa"/>
              <w:end w:w="90" w:type="dxa"/>
            </w:tcMar>
            <w:vAlign w:val="center"/>
          </w:tcPr>
          <w:p>
            <w:pPr>
              <w:spacing w:after="0" w:line="240" w:lineRule="auto"/>
            </w:pPr>
            <w:r>
              <w:rPr>
                <w:sz w:val="16"/>
              </w:rPr>
              <w:t>Mobile/web/quality/accessibility/scalability</w:t>
            </w:r>
          </w:p>
        </w:tc>
        <w:tc>
          <w:tcPr>
            <w:tcW w:type="dxa" w:w="4464"/>
            <w:tcMar>
              <w:top w:w="90" w:type="dxa"/>
              <w:start w:w="90" w:type="dxa"/>
              <w:bottom w:w="90" w:type="dxa"/>
              <w:end w:w="90" w:type="dxa"/>
            </w:tcMar>
            <w:vAlign w:val="center"/>
          </w:tcPr>
          <w:p>
            <w:pPr>
              <w:spacing w:after="0" w:line="240" w:lineRule="auto"/>
            </w:pPr>
            <w:r>
              <w:rPr>
                <w:sz w:val="16"/>
              </w:rPr>
              <w:t>NFR-001–011, OPEN-009</w:t>
            </w:r>
          </w:p>
        </w:tc>
      </w:tr>
      <w:tr>
        <w:tc>
          <w:tcPr>
            <w:tcW w:type="dxa" w:w="864"/>
            <w:tcMar>
              <w:top w:w="90" w:type="dxa"/>
              <w:start w:w="90" w:type="dxa"/>
              <w:bottom w:w="90" w:type="dxa"/>
              <w:end w:w="90" w:type="dxa"/>
            </w:tcMar>
            <w:vAlign w:val="center"/>
          </w:tcPr>
          <w:p>
            <w:pPr>
              <w:spacing w:after="0" w:line="240" w:lineRule="auto"/>
            </w:pPr>
            <w:r>
              <w:rPr>
                <w:sz w:val="16"/>
              </w:rPr>
              <w:t>Q24</w:t>
            </w:r>
          </w:p>
        </w:tc>
        <w:tc>
          <w:tcPr>
            <w:tcW w:type="dxa" w:w="4464"/>
            <w:tcMar>
              <w:top w:w="90" w:type="dxa"/>
              <w:start w:w="90" w:type="dxa"/>
              <w:bottom w:w="90" w:type="dxa"/>
              <w:end w:w="90" w:type="dxa"/>
            </w:tcMar>
            <w:vAlign w:val="center"/>
          </w:tcPr>
          <w:p>
            <w:pPr>
              <w:spacing w:after="0" w:line="240" w:lineRule="auto"/>
            </w:pPr>
            <w:r>
              <w:rPr>
                <w:sz w:val="16"/>
              </w:rPr>
              <w:t>V1_Initial validation and non-obligations</w:t>
            </w:r>
          </w:p>
        </w:tc>
        <w:tc>
          <w:tcPr>
            <w:tcW w:type="dxa" w:w="4464"/>
            <w:tcMar>
              <w:top w:w="90" w:type="dxa"/>
              <w:start w:w="90" w:type="dxa"/>
              <w:bottom w:w="90" w:type="dxa"/>
              <w:end w:w="90" w:type="dxa"/>
            </w:tcMar>
            <w:vAlign w:val="center"/>
          </w:tcPr>
          <w:p>
            <w:pPr>
              <w:spacing w:after="0" w:line="240" w:lineRule="auto"/>
            </w:pPr>
            <w:r>
              <w:rPr>
                <w:sz w:val="16"/>
              </w:rPr>
              <w:t>Section 13, BR-007, FR-051</w:t>
            </w:r>
          </w:p>
        </w:tc>
      </w:tr>
    </w:tbl>
    <w:p>
      <w:pPr>
        <w:spacing w:after="20"/>
      </w:pPr>
    </w:p>
    <w:p>
      <w:pPr>
        <w:pStyle w:val="Heading1"/>
      </w:pPr>
      <w:r>
        <w:t>19. v0.2 Change Log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032"/>
            <w:shd w:fill="D9EAF7"/>
            <w:tcMar>
              <w:top w:w="90" w:type="dxa"/>
              <w:start w:w="90" w:type="dxa"/>
              <w:bottom w:w="90" w:type="dxa"/>
              <w:end w:w="90" w:type="dxa"/>
            </w:tcMar>
            <w:vAlign w:val="center"/>
          </w:tcPr>
          <w:p>
            <w:r>
              <w:rPr>
                <w:b/>
                <w:color w:val="17365D"/>
                <w:sz w:val="17"/>
              </w:rPr>
              <w:t>Change</w:t>
            </w:r>
          </w:p>
        </w:tc>
        <w:tc>
          <w:tcPr>
            <w:tcW w:type="dxa" w:w="5904"/>
            <w:shd w:fill="D9EAF7"/>
            <w:tcMar>
              <w:top w:w="90" w:type="dxa"/>
              <w:start w:w="90" w:type="dxa"/>
              <w:bottom w:w="90" w:type="dxa"/>
              <w:end w:w="90" w:type="dxa"/>
            </w:tcMar>
            <w:vAlign w:val="center"/>
          </w:tcPr>
          <w:p>
            <w:r>
              <w:rPr>
                <w:b/>
                <w:color w:val="17365D"/>
                <w:sz w:val="17"/>
              </w:rPr>
              <w:t>Reason</w:t>
            </w:r>
          </w:p>
        </w:tc>
      </w:tr>
      <w:tr>
        <w:tc>
          <w:tcPr>
            <w:tcW w:type="dxa" w:w="4032"/>
            <w:tcMar>
              <w:top w:w="90" w:type="dxa"/>
              <w:start w:w="90" w:type="dxa"/>
              <w:bottom w:w="90" w:type="dxa"/>
              <w:end w:w="90" w:type="dxa"/>
            </w:tcMar>
            <w:vAlign w:val="center"/>
          </w:tcPr>
          <w:p>
            <w:pPr>
              <w:spacing w:after="0" w:line="240" w:lineRule="auto"/>
            </w:pPr>
            <w:r>
              <w:rPr>
                <w:sz w:val="16"/>
              </w:rPr>
              <w:t>Clarified inspection as deliverable versus preliminary activity</w:t>
            </w:r>
          </w:p>
        </w:tc>
        <w:tc>
          <w:tcPr>
            <w:tcW w:type="dxa" w:w="5904"/>
            <w:tcMar>
              <w:top w:w="90" w:type="dxa"/>
              <w:start w:w="90" w:type="dxa"/>
              <w:bottom w:w="90" w:type="dxa"/>
              <w:end w:w="90" w:type="dxa"/>
            </w:tcMar>
            <w:vAlign w:val="center"/>
          </w:tcPr>
          <w:p>
            <w:pPr>
              <w:spacing w:after="0" w:line="240" w:lineRule="auto"/>
            </w:pPr>
            <w:r>
              <w:rPr>
                <w:sz w:val="16"/>
              </w:rPr>
              <w:t>Removed lifecycle contradiction identified by Kimi K3.</w:t>
            </w:r>
          </w:p>
        </w:tc>
      </w:tr>
      <w:tr>
        <w:tc>
          <w:tcPr>
            <w:tcW w:type="dxa" w:w="4032"/>
            <w:tcMar>
              <w:top w:w="90" w:type="dxa"/>
              <w:start w:w="90" w:type="dxa"/>
              <w:bottom w:w="90" w:type="dxa"/>
              <w:end w:w="90" w:type="dxa"/>
            </w:tcMar>
            <w:vAlign w:val="center"/>
          </w:tcPr>
          <w:p>
            <w:pPr>
              <w:spacing w:after="0" w:line="240" w:lineRule="auto"/>
            </w:pPr>
            <w:r>
              <w:rPr>
                <w:sz w:val="16"/>
              </w:rPr>
              <w:t>Separated cancellation action, alleged cause, dispute, and confirmed responsibility</w:t>
            </w:r>
          </w:p>
        </w:tc>
        <w:tc>
          <w:tcPr>
            <w:tcW w:type="dxa" w:w="5904"/>
            <w:tcMar>
              <w:top w:w="90" w:type="dxa"/>
              <w:start w:w="90" w:type="dxa"/>
              <w:bottom w:w="90" w:type="dxa"/>
              <w:end w:w="90" w:type="dxa"/>
            </w:tcMar>
            <w:vAlign w:val="center"/>
          </w:tcPr>
          <w:p>
            <w:pPr>
              <w:spacing w:after="0" w:line="240" w:lineRule="auto"/>
            </w:pPr>
            <w:r>
              <w:rPr>
                <w:sz w:val="16"/>
              </w:rPr>
              <w:t>Prevents unfair attribution and supports no-show cases.</w:t>
            </w:r>
          </w:p>
        </w:tc>
      </w:tr>
      <w:tr>
        <w:tc>
          <w:tcPr>
            <w:tcW w:type="dxa" w:w="4032"/>
            <w:tcMar>
              <w:top w:w="90" w:type="dxa"/>
              <w:start w:w="90" w:type="dxa"/>
              <w:bottom w:w="90" w:type="dxa"/>
              <w:end w:w="90" w:type="dxa"/>
            </w:tcMar>
            <w:vAlign w:val="center"/>
          </w:tcPr>
          <w:p>
            <w:pPr>
              <w:spacing w:after="0" w:line="240" w:lineRule="auto"/>
            </w:pPr>
            <w:r>
              <w:rPr>
                <w:sz w:val="16"/>
              </w:rPr>
              <w:t>Added Agreement glossary term</w:t>
            </w:r>
          </w:p>
        </w:tc>
        <w:tc>
          <w:tcPr>
            <w:tcW w:type="dxa" w:w="5904"/>
            <w:tcMar>
              <w:top w:w="90" w:type="dxa"/>
              <w:start w:w="90" w:type="dxa"/>
              <w:bottom w:w="90" w:type="dxa"/>
              <w:end w:w="90" w:type="dxa"/>
            </w:tcMar>
            <w:vAlign w:val="center"/>
          </w:tcPr>
          <w:p>
            <w:pPr>
              <w:spacing w:after="0" w:line="240" w:lineRule="auto"/>
            </w:pPr>
            <w:r>
              <w:rPr>
                <w:sz w:val="16"/>
              </w:rPr>
              <w:t>Supports ubiquitous-language and lifecycle discovery.</w:t>
            </w:r>
          </w:p>
        </w:tc>
      </w:tr>
      <w:tr>
        <w:tc>
          <w:tcPr>
            <w:tcW w:type="dxa" w:w="4032"/>
            <w:tcMar>
              <w:top w:w="90" w:type="dxa"/>
              <w:start w:w="90" w:type="dxa"/>
              <w:bottom w:w="90" w:type="dxa"/>
              <w:end w:w="90" w:type="dxa"/>
            </w:tcMar>
            <w:vAlign w:val="center"/>
          </w:tcPr>
          <w:p>
            <w:pPr>
              <w:spacing w:after="0" w:line="240" w:lineRule="auto"/>
            </w:pPr>
            <w:r>
              <w:rPr>
                <w:sz w:val="16"/>
              </w:rPr>
              <w:t>Added job closure, expiry, provider selection acceptance/decline, profile engagement, organization response, media visibility, no-show, and rating linkage requirements</w:t>
            </w:r>
          </w:p>
        </w:tc>
        <w:tc>
          <w:tcPr>
            <w:tcW w:type="dxa" w:w="5904"/>
            <w:tcMar>
              <w:top w:w="90" w:type="dxa"/>
              <w:start w:w="90" w:type="dxa"/>
              <w:bottom w:w="90" w:type="dxa"/>
              <w:end w:w="90" w:type="dxa"/>
            </w:tcMar>
            <w:vAlign w:val="center"/>
          </w:tcPr>
          <w:p>
            <w:pPr>
              <w:spacing w:after="0" w:line="240" w:lineRule="auto"/>
            </w:pPr>
            <w:r>
              <w:rPr>
                <w:sz w:val="16"/>
              </w:rPr>
              <w:t>Closed high-value omissions from both independent audits and founder decisions.</w:t>
            </w:r>
          </w:p>
        </w:tc>
      </w:tr>
      <w:tr>
        <w:tc>
          <w:tcPr>
            <w:tcW w:type="dxa" w:w="4032"/>
            <w:tcMar>
              <w:top w:w="90" w:type="dxa"/>
              <w:start w:w="90" w:type="dxa"/>
              <w:bottom w:w="90" w:type="dxa"/>
              <w:end w:w="90" w:type="dxa"/>
            </w:tcMar>
            <w:vAlign w:val="center"/>
          </w:tcPr>
          <w:p>
            <w:pPr>
              <w:spacing w:after="0" w:line="240" w:lineRule="auto"/>
            </w:pPr>
            <w:r>
              <w:rPr>
                <w:sz w:val="16"/>
              </w:rPr>
              <w:t>Resolved duplicate HYP-001 and corrected Q18 trace</w:t>
            </w:r>
          </w:p>
        </w:tc>
        <w:tc>
          <w:tcPr>
            <w:tcW w:type="dxa" w:w="5904"/>
            <w:tcMar>
              <w:top w:w="90" w:type="dxa"/>
              <w:start w:w="90" w:type="dxa"/>
              <w:bottom w:w="90" w:type="dxa"/>
              <w:end w:w="90" w:type="dxa"/>
            </w:tcMar>
            <w:vAlign w:val="center"/>
          </w:tcPr>
          <w:p>
            <w:pPr>
              <w:spacing w:after="0" w:line="240" w:lineRule="auto"/>
            </w:pPr>
            <w:r>
              <w:rPr>
                <w:sz w:val="16"/>
              </w:rPr>
              <w:t>Restored identifier uniqueness.</w:t>
            </w:r>
          </w:p>
        </w:tc>
      </w:tr>
      <w:tr>
        <w:tc>
          <w:tcPr>
            <w:tcW w:type="dxa" w:w="4032"/>
            <w:tcMar>
              <w:top w:w="90" w:type="dxa"/>
              <w:start w:w="90" w:type="dxa"/>
              <w:bottom w:w="90" w:type="dxa"/>
              <w:end w:w="90" w:type="dxa"/>
            </w:tcMar>
            <w:vAlign w:val="center"/>
          </w:tcPr>
          <w:p>
            <w:pPr>
              <w:spacing w:after="0" w:line="240" w:lineRule="auto"/>
            </w:pPr>
            <w:r>
              <w:rPr>
                <w:sz w:val="16"/>
              </w:rPr>
              <w:t>Defined modal verbs and scope labels; normalized requirement strength and labels</w:t>
            </w:r>
          </w:p>
        </w:tc>
        <w:tc>
          <w:tcPr>
            <w:tcW w:type="dxa" w:w="5904"/>
            <w:tcMar>
              <w:top w:w="90" w:type="dxa"/>
              <w:start w:w="90" w:type="dxa"/>
              <w:bottom w:w="90" w:type="dxa"/>
              <w:end w:w="90" w:type="dxa"/>
            </w:tcMar>
            <w:vAlign w:val="center"/>
          </w:tcPr>
          <w:p>
            <w:pPr>
              <w:spacing w:after="0" w:line="240" w:lineRule="auto"/>
            </w:pPr>
            <w:r>
              <w:rPr>
                <w:sz w:val="16"/>
              </w:rPr>
              <w:t>Improved clarity and V1_Initial prioritization.</w:t>
            </w:r>
          </w:p>
        </w:tc>
      </w:tr>
      <w:tr>
        <w:tc>
          <w:tcPr>
            <w:tcW w:type="dxa" w:w="4032"/>
            <w:tcMar>
              <w:top w:w="90" w:type="dxa"/>
              <w:start w:w="90" w:type="dxa"/>
              <w:bottom w:w="90" w:type="dxa"/>
              <w:end w:w="90" w:type="dxa"/>
            </w:tcMar>
            <w:vAlign w:val="center"/>
          </w:tcPr>
          <w:p>
            <w:pPr>
              <w:spacing w:after="0" w:line="240" w:lineRule="auto"/>
            </w:pPr>
            <w:r>
              <w:rPr>
                <w:sz w:val="16"/>
              </w:rPr>
              <w:t>Retired Concise SRS as a controlled artifact</w:t>
            </w:r>
          </w:p>
        </w:tc>
        <w:tc>
          <w:tcPr>
            <w:tcW w:type="dxa" w:w="5904"/>
            <w:tcMar>
              <w:top w:w="90" w:type="dxa"/>
              <w:start w:w="90" w:type="dxa"/>
              <w:bottom w:w="90" w:type="dxa"/>
              <w:end w:w="90" w:type="dxa"/>
            </w:tcMar>
            <w:vAlign w:val="center"/>
          </w:tcPr>
          <w:p>
            <w:pPr>
              <w:spacing w:after="0" w:line="240" w:lineRule="auto"/>
            </w:pPr>
            <w:r>
              <w:rPr>
                <w:sz w:val="16"/>
              </w:rPr>
              <w:t>Established one authoritative SRS.</w:t>
            </w:r>
          </w:p>
        </w:tc>
      </w:tr>
      <w:tr>
        <w:tc>
          <w:tcPr>
            <w:tcW w:type="dxa" w:w="4032"/>
            <w:tcMar>
              <w:top w:w="90" w:type="dxa"/>
              <w:start w:w="90" w:type="dxa"/>
              <w:bottom w:w="90" w:type="dxa"/>
              <w:end w:w="90" w:type="dxa"/>
            </w:tcMar>
            <w:vAlign w:val="center"/>
          </w:tcPr>
          <w:p>
            <w:pPr>
              <w:spacing w:after="0" w:line="240" w:lineRule="auto"/>
            </w:pPr>
            <w:r>
              <w:rPr>
                <w:sz w:val="16"/>
              </w:rPr>
              <w:t>Preserved OPEN requirements that do not block domain modeling</w:t>
            </w:r>
          </w:p>
        </w:tc>
        <w:tc>
          <w:tcPr>
            <w:tcW w:type="dxa" w:w="5904"/>
            <w:tcMar>
              <w:top w:w="90" w:type="dxa"/>
              <w:start w:w="90" w:type="dxa"/>
              <w:bottom w:w="90" w:type="dxa"/>
              <w:end w:w="90" w:type="dxa"/>
            </w:tcMar>
            <w:vAlign w:val="center"/>
          </w:tcPr>
          <w:p>
            <w:pPr>
              <w:spacing w:after="0" w:line="240" w:lineRule="auto"/>
            </w:pPr>
            <w:r>
              <w:rPr>
                <w:sz w:val="16"/>
              </w:rPr>
              <w:t>Avoided false precision before domain discovery.</w:t>
            </w:r>
          </w:p>
        </w:tc>
      </w:tr>
    </w:tbl>
    <w:p>
      <w:pPr>
        <w:pStyle w:val="Heading1"/>
      </w:pPr>
      <w:r>
        <w:t>20. Baseline Review Checklist</w:t>
      </w:r>
    </w:p>
    <w:p>
      <w:pPr>
        <w:pStyle w:val="ListBullet"/>
      </w:pPr>
      <w:r>
        <w:t>Confirm that “job,” “response,” “selection,” “assignment,” “inspection,” and “successful job” match founder intent.</w:t>
      </w:r>
    </w:p>
    <w:p>
      <w:pPr>
        <w:pStyle w:val="ListBullet"/>
      </w:pPr>
      <w:r>
        <w:t>Confirm that the intended product and V1_Initial are not being treated as identical scope.</w:t>
      </w:r>
    </w:p>
    <w:p>
      <w:pPr>
        <w:pStyle w:val="ListBullet"/>
      </w:pPr>
      <w:r>
        <w:t>Confirm that open matters remain visibly open and were not silently decided.</w:t>
      </w:r>
    </w:p>
    <w:p>
      <w:pPr>
        <w:pStyle w:val="ListBullet"/>
      </w:pPr>
      <w:r>
        <w:t>Confirm that privacy requirements do not unintentionally block legitimate negotiation and service delivery.</w:t>
      </w:r>
    </w:p>
    <w:p>
      <w:pPr>
        <w:pStyle w:val="ListBullet"/>
      </w:pPr>
      <w:r>
        <w:t>Confirm that organization support is represented without forcing full workforce management into V1_Initial.</w:t>
      </w:r>
    </w:p>
    <w:p>
      <w:pPr>
        <w:pStyle w:val="ListBullet"/>
      </w:pPr>
      <w:r>
        <w:t>Confirm that categories are dynamically governable but not user-created.</w:t>
      </w:r>
    </w:p>
    <w:p>
      <w:pPr>
        <w:pStyle w:val="ListBullet"/>
      </w:pPr>
      <w:r>
        <w:t>Confirm that scaling is a growth-path requirement rather than a V1 traffic promise.</w:t>
      </w:r>
    </w:p>
    <w:p>
      <w:pPr>
        <w:pStyle w:val="ListBullet"/>
      </w:pPr>
      <w:r>
        <w:t>After approval, proceed to domain modeling before architecture, schema, and technology selection.</w:t>
      </w:r>
    </w:p>
    <w:p>
      <w:pPr>
        <w:pStyle w:val="Heading1"/>
      </w:pPr>
      <w:r>
        <w:t>21. Gold Baseline Approval</w:t>
      </w:r>
    </w:p>
    <w:p>
      <w:r>
        <w:t>This SRS is approved as the v0.2 Gold requirements baseline for domain modeling. “Gold” means authoritative for the next engineering stages, not immutable forever. A new version is created only when later domain, architecture, schema, implementation, or field evidence reveals a genuine correction, conflict, omission, or bottleneck.</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880"/>
            <w:shd w:fill="D9EAF7"/>
            <w:tcMar>
              <w:top w:w="90" w:type="dxa"/>
              <w:start w:w="90" w:type="dxa"/>
              <w:bottom w:w="90" w:type="dxa"/>
              <w:end w:w="90" w:type="dxa"/>
            </w:tcMar>
            <w:vAlign w:val="center"/>
          </w:tcPr>
          <w:p>
            <w:r>
              <w:rPr>
                <w:b/>
                <w:color w:val="17365D"/>
                <w:sz w:val="17"/>
              </w:rPr>
              <w:t>Role</w:t>
            </w:r>
          </w:p>
        </w:tc>
        <w:tc>
          <w:tcPr>
            <w:tcW w:type="dxa" w:w="3024"/>
            <w:shd w:fill="D9EAF7"/>
            <w:tcMar>
              <w:top w:w="90" w:type="dxa"/>
              <w:start w:w="90" w:type="dxa"/>
              <w:bottom w:w="90" w:type="dxa"/>
              <w:end w:w="90" w:type="dxa"/>
            </w:tcMar>
            <w:vAlign w:val="center"/>
          </w:tcPr>
          <w:p>
            <w:r>
              <w:rPr>
                <w:b/>
                <w:color w:val="17365D"/>
                <w:sz w:val="17"/>
              </w:rPr>
              <w:t>Name</w:t>
            </w:r>
          </w:p>
        </w:tc>
        <w:tc>
          <w:tcPr>
            <w:tcW w:type="dxa" w:w="2160"/>
            <w:shd w:fill="D9EAF7"/>
            <w:tcMar>
              <w:top w:w="90" w:type="dxa"/>
              <w:start w:w="90" w:type="dxa"/>
              <w:bottom w:w="90" w:type="dxa"/>
              <w:end w:w="90" w:type="dxa"/>
            </w:tcMar>
            <w:vAlign w:val="center"/>
          </w:tcPr>
          <w:p>
            <w:r>
              <w:rPr>
                <w:b/>
                <w:color w:val="17365D"/>
                <w:sz w:val="17"/>
              </w:rPr>
              <w:t>Decision</w:t>
            </w:r>
          </w:p>
        </w:tc>
        <w:tc>
          <w:tcPr>
            <w:tcW w:type="dxa" w:w="1584"/>
            <w:shd w:fill="D9EAF7"/>
            <w:tcMar>
              <w:top w:w="90" w:type="dxa"/>
              <w:start w:w="90" w:type="dxa"/>
              <w:bottom w:w="90" w:type="dxa"/>
              <w:end w:w="90" w:type="dxa"/>
            </w:tcMar>
            <w:vAlign w:val="center"/>
          </w:tcPr>
          <w:p>
            <w:r>
              <w:rPr>
                <w:b/>
                <w:color w:val="17365D"/>
                <w:sz w:val="17"/>
              </w:rPr>
              <w:t>Date</w:t>
            </w:r>
          </w:p>
        </w:tc>
      </w:tr>
      <w:tr>
        <w:tc>
          <w:tcPr>
            <w:tcW w:type="dxa" w:w="2880"/>
            <w:tcMar>
              <w:top w:w="90" w:type="dxa"/>
              <w:start w:w="90" w:type="dxa"/>
              <w:bottom w:w="90" w:type="dxa"/>
              <w:end w:w="90" w:type="dxa"/>
            </w:tcMar>
            <w:vAlign w:val="center"/>
          </w:tcPr>
          <w:p>
            <w:pPr>
              <w:spacing w:after="0" w:line="240" w:lineRule="auto"/>
            </w:pPr>
            <w:r>
              <w:rPr>
                <w:sz w:val="16"/>
              </w:rPr>
              <w:t>Founder / Product Authority</w:t>
            </w:r>
          </w:p>
        </w:tc>
        <w:tc>
          <w:tcPr>
            <w:tcW w:type="dxa" w:w="3024"/>
            <w:tcMar>
              <w:top w:w="90" w:type="dxa"/>
              <w:start w:w="90" w:type="dxa"/>
              <w:bottom w:w="90" w:type="dxa"/>
              <w:end w:w="90" w:type="dxa"/>
            </w:tcMar>
            <w:vAlign w:val="center"/>
          </w:tcPr>
          <w:p>
            <w:pPr>
              <w:spacing w:after="0" w:line="240" w:lineRule="auto"/>
            </w:pPr>
            <w:r>
              <w:rPr>
                <w:sz w:val="16"/>
              </w:rPr>
            </w:r>
          </w:p>
        </w:tc>
        <w:tc>
          <w:tcPr>
            <w:tcW w:type="dxa" w:w="2160"/>
            <w:tcMar>
              <w:top w:w="90" w:type="dxa"/>
              <w:start w:w="90" w:type="dxa"/>
              <w:bottom w:w="90" w:type="dxa"/>
              <w:end w:w="90" w:type="dxa"/>
            </w:tcMar>
            <w:vAlign w:val="center"/>
          </w:tcPr>
          <w:p>
            <w:r>
              <w:t>Approved as Gold SRS v0.2</w:t>
            </w:r>
          </w:p>
        </w:tc>
        <w:tc>
          <w:tcPr>
            <w:tcW w:type="dxa" w:w="1584"/>
            <w:tcMar>
              <w:top w:w="90" w:type="dxa"/>
              <w:start w:w="90" w:type="dxa"/>
              <w:bottom w:w="90" w:type="dxa"/>
              <w:end w:w="90" w:type="dxa"/>
            </w:tcMar>
            <w:vAlign w:val="center"/>
          </w:tcPr>
          <w:p>
            <w:r>
              <w:t>2026-07-08</w:t>
            </w:r>
          </w:p>
        </w:tc>
      </w:tr>
      <w:tr>
        <w:tc>
          <w:tcPr>
            <w:tcW w:type="dxa" w:w="2880"/>
            <w:tcMar>
              <w:top w:w="90" w:type="dxa"/>
              <w:start w:w="90" w:type="dxa"/>
              <w:bottom w:w="90" w:type="dxa"/>
              <w:end w:w="90" w:type="dxa"/>
            </w:tcMar>
            <w:vAlign w:val="center"/>
          </w:tcPr>
          <w:p>
            <w:pPr>
              <w:spacing w:after="0" w:line="240" w:lineRule="auto"/>
            </w:pPr>
            <w:r>
              <w:rPr>
                <w:sz w:val="16"/>
              </w:rPr>
              <w:t>Requirements Reviewer</w:t>
            </w:r>
          </w:p>
        </w:tc>
        <w:tc>
          <w:tcPr>
            <w:tcW w:type="dxa" w:w="3024"/>
            <w:tcMar>
              <w:top w:w="90" w:type="dxa"/>
              <w:start w:w="90" w:type="dxa"/>
              <w:bottom w:w="90" w:type="dxa"/>
              <w:end w:w="90" w:type="dxa"/>
            </w:tcMar>
            <w:vAlign w:val="center"/>
          </w:tcPr>
          <w:p>
            <w:pPr>
              <w:spacing w:after="0" w:line="240" w:lineRule="auto"/>
            </w:pPr>
            <w:r>
              <w:rPr>
                <w:sz w:val="16"/>
              </w:rPr>
            </w:r>
          </w:p>
        </w:tc>
        <w:tc>
          <w:tcPr>
            <w:tcW w:type="dxa" w:w="2160"/>
            <w:tcMar>
              <w:top w:w="90" w:type="dxa"/>
              <w:start w:w="90" w:type="dxa"/>
              <w:bottom w:w="90" w:type="dxa"/>
              <w:end w:w="90" w:type="dxa"/>
            </w:tcMar>
            <w:vAlign w:val="center"/>
          </w:tcPr>
          <w:p>
            <w:pPr>
              <w:spacing w:after="0" w:line="240" w:lineRule="auto"/>
            </w:pPr>
            <w:r>
              <w:rPr>
                <w:sz w:val="16"/>
              </w:rPr>
              <w:t>Reviewed</w:t>
            </w:r>
          </w:p>
        </w:tc>
        <w:tc>
          <w:tcPr>
            <w:tcW w:type="dxa" w:w="1584"/>
            <w:tcMar>
              <w:top w:w="90" w:type="dxa"/>
              <w:start w:w="90" w:type="dxa"/>
              <w:bottom w:w="90" w:type="dxa"/>
              <w:end w:w="90" w:type="dxa"/>
            </w:tcMar>
            <w:vAlign w:val="center"/>
          </w:tcPr>
          <w:p>
            <w:pPr>
              <w:spacing w:after="0" w:line="240" w:lineRule="auto"/>
            </w:pPr>
            <w:r>
              <w:rPr>
                <w:sz w:val="16"/>
              </w:rPr>
            </w:r>
          </w:p>
        </w:tc>
      </w:tr>
    </w:tbl>
    <w:p>
      <w:pPr>
        <w:spacing w:after="20"/>
      </w:pPr>
    </w:p>
    <w:sectPr w:rsidR="00FC693F" w:rsidRPr="0006063C" w:rsidSect="00034616">
      <w:headerReference w:type="default" r:id="rId9"/>
      <w:footerReference w:type="default" r:id="rId10"/>
      <w:pgSz w:w="12240" w:h="15840"/>
      <w:pgMar w:top="1080" w:right="1123" w:bottom="1080"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Requirements Baseline • Living Document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Local Services Marketplace  |  SRS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ID">
    <w:name w:val="Requirement ID"/>
    <w:basedOn w:val="Normal"/>
    <w:rPr>
      <w:rFonts w:ascii="Aptos" w:hAnsi="Aptos"/>
      <w:b/>
      <w:color w:val="17365D"/>
      <w:sz w:val="18"/>
    </w:rPr>
  </w:style>
  <w:style w:type="paragraph" w:customStyle="1" w:styleId="SmallNote">
    <w:name w:val="Small Note"/>
    <w:basedOn w:val="Normal"/>
    <w:rPr>
      <w:rFonts w:ascii="Aptos" w:hAnsi="Aptos"/>
      <w:b w:val="0"/>
      <w:color w:val="666666"/>
      <w:sz w:val="16"/>
    </w:rPr>
  </w:style>
  <w:style w:type="paragraph" w:customStyle="1" w:styleId="Callout">
    <w:name w:val="Callout"/>
    <w:basedOn w:val="Normal"/>
    <w:rPr>
      <w:rFonts w:ascii="Aptos" w:hAnsi="Aptos"/>
      <w:b w:val="0"/>
      <w:color w:val="1F1F1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Local Services Marketplace — Gold Software Requirements Specification v0.2</dc:title>
  <dc:subject>Single authoritative living requirements baseline approved for domain modeling</dc:subject>
  <dc:creator>M365 Copilot</dc:creator>
  <keywords/>
  <dc:description>Incorporates founder discovery Q1–Q24, Kimi K3 audit, DeepSeek V4 Pro audit, and founder decisions.</dc:description>
  <lastModifiedBy>M365 Copilot</lastModifiedBy>
  <revision>1</revision>
  <dcterms:created xsi:type="dcterms:W3CDTF">2026-08-30T11:36:35.2801386Z</dcterms:created>
  <dcterms:modified xsi:type="dcterms:W3CDTF">2026-08-30T11:36:35.2801386Z</dcterms:modified>
  <category/>
</coreProperties>
</file>