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Interactive Computer Vision</w:t>
        <w:br/>
        <w:t>Tool with GUI</w:t>
      </w:r>
    </w:p>
    <w:p>
      <w:r>
        <w:t>Student: [Name]    Student ID: [ID]</w:t>
        <w:br/>
        <w:t>Course: [Course]    Instructor: [Name]    Submission date: [Date]</w:t>
      </w:r>
    </w:p>
    <w:p>
      <w:r>
        <w:t>Demo video link (2–4 minutes): [Insert accessible Google Drive link here]</w:t>
      </w:r>
    </w:p>
    <w:p>
      <w:pPr>
        <w:pStyle w:val="Heading1"/>
      </w:pPr>
      <w:r>
        <w:t>1. Project overview</w:t>
      </w:r>
    </w:p>
    <w:p>
      <w:r>
        <w:t>This project is a standalone desktop application for exploring image processing through a graphical interface. Users can open a local image or capture a webcam snapshot, select an operation, adjust its settings, view the result, and save it. The application brings common computer-vision techniques into one accessible workspace for learning and demonstration.</w:t>
      </w:r>
    </w:p>
    <w:p>
      <w:r>
        <w:t>Thirteen operations cover the five assignment categories: foundations and color, image statistics, point and local operators, edge detection, and segmentation. The interface emphasizes clear controls, immediate visual feedback where appropriate, and safe recovery from invalid input.</w:t>
      </w:r>
    </w:p>
    <w:p>
      <w:pPr>
        <w:pStyle w:val="Heading1"/>
      </w:pPr>
      <w:r>
        <w:t>Tools used</w:t>
      </w:r>
    </w:p>
    <w:tbl>
      <w:tblPr>
        <w:tblStyle w:val="TableGrid"/>
        <w:tblW w:type="auto" w:w="0"/>
        <w:tblLayout w:type="fixed"/>
        <w:tblLook w:firstColumn="1" w:firstRow="1" w:lastColumn="0" w:lastRow="0" w:noHBand="0" w:noVBand="1" w:val="04A0"/>
      </w:tblPr>
      <w:tblGrid>
        <w:gridCol w:w="1656"/>
        <w:gridCol w:w="8136"/>
      </w:tblGrid>
      <w:tr>
        <w:trPr>
          <w:tblHeader/>
          <w:cantSplit/>
        </w:trPr>
        <w:tc>
          <w:tcPr>
            <w:tcW w:type="dxa" w:w="1656"/>
            <w:shd w:fill="234E70"/>
          </w:tcPr>
          <w:p>
            <w:pPr>
              <w:spacing w:after="60" w:before="60"/>
            </w:pPr>
            <w:r>
              <w:rPr>
                <w:b/>
                <w:color w:val="FFFFFF"/>
                <w:sz w:val="18"/>
              </w:rPr>
              <w:t>Tool</w:t>
            </w:r>
          </w:p>
        </w:tc>
        <w:tc>
          <w:tcPr>
            <w:tcW w:type="dxa" w:w="8136"/>
            <w:shd w:fill="234E70"/>
          </w:tcPr>
          <w:p>
            <w:pPr>
              <w:spacing w:after="60" w:before="60"/>
            </w:pPr>
            <w:r>
              <w:rPr>
                <w:b/>
                <w:color w:val="FFFFFF"/>
                <w:sz w:val="18"/>
              </w:rPr>
              <w:t>Role in the application</w:t>
            </w:r>
          </w:p>
        </w:tc>
      </w:tr>
      <w:tr>
        <w:trPr>
          <w:cantSplit/>
        </w:trPr>
        <w:tc>
          <w:tcPr>
            <w:tcW w:type="dxa" w:w="1656"/>
          </w:tcPr>
          <w:p>
            <w:pPr>
              <w:spacing w:after="60" w:before="60"/>
            </w:pPr>
            <w:r>
              <w:rPr>
                <w:sz w:val="18"/>
              </w:rPr>
              <w:t>Python</w:t>
            </w:r>
          </w:p>
        </w:tc>
        <w:tc>
          <w:tcPr>
            <w:tcW w:type="dxa" w:w="8136"/>
          </w:tcPr>
          <w:p>
            <w:pPr>
              <w:spacing w:after="60" w:before="60"/>
            </w:pPr>
            <w:r>
              <w:rPr>
                <w:sz w:val="18"/>
              </w:rPr>
              <w:t>Main programming language and application coordination.</w:t>
            </w:r>
          </w:p>
        </w:tc>
      </w:tr>
      <w:tr>
        <w:trPr>
          <w:cantSplit/>
        </w:trPr>
        <w:tc>
          <w:tcPr>
            <w:tcW w:type="dxa" w:w="1656"/>
          </w:tcPr>
          <w:p>
            <w:pPr>
              <w:spacing w:after="60" w:before="60"/>
            </w:pPr>
            <w:r>
              <w:rPr>
                <w:sz w:val="18"/>
              </w:rPr>
              <w:t>Tkinter</w:t>
            </w:r>
          </w:p>
        </w:tc>
        <w:tc>
          <w:tcPr>
            <w:tcW w:type="dxa" w:w="8136"/>
          </w:tcPr>
          <w:p>
            <w:pPr>
              <w:spacing w:after="60" w:before="60"/>
            </w:pPr>
            <w:r>
              <w:rPr>
                <w:sz w:val="18"/>
              </w:rPr>
              <w:t>Desktop window, menus, buttons, sliders, input fields, dialogs, and histogram display.</w:t>
            </w:r>
          </w:p>
        </w:tc>
      </w:tr>
      <w:tr>
        <w:trPr>
          <w:cantSplit/>
        </w:trPr>
        <w:tc>
          <w:tcPr>
            <w:tcW w:type="dxa" w:w="1656"/>
          </w:tcPr>
          <w:p>
            <w:pPr>
              <w:spacing w:after="60" w:before="60"/>
            </w:pPr>
            <w:r>
              <w:rPr>
                <w:sz w:val="18"/>
              </w:rPr>
              <w:t>OpenCV</w:t>
            </w:r>
          </w:p>
        </w:tc>
        <w:tc>
          <w:tcPr>
            <w:tcW w:type="dxa" w:w="8136"/>
          </w:tcPr>
          <w:p>
            <w:pPr>
              <w:spacing w:after="60" w:before="60"/>
            </w:pPr>
            <w:r>
              <w:rPr>
                <w:sz w:val="18"/>
              </w:rPr>
              <w:t>Image loading/saving, processing operations, and webcam capture.</w:t>
            </w:r>
          </w:p>
        </w:tc>
      </w:tr>
      <w:tr>
        <w:trPr>
          <w:cantSplit/>
        </w:trPr>
        <w:tc>
          <w:tcPr>
            <w:tcW w:type="dxa" w:w="1656"/>
          </w:tcPr>
          <w:p>
            <w:pPr>
              <w:spacing w:after="60" w:before="60"/>
            </w:pPr>
            <w:r>
              <w:rPr>
                <w:sz w:val="18"/>
              </w:rPr>
              <w:t>NumPy</w:t>
            </w:r>
          </w:p>
        </w:tc>
        <w:tc>
          <w:tcPr>
            <w:tcW w:type="dxa" w:w="8136"/>
          </w:tcPr>
          <w:p>
            <w:pPr>
              <w:spacing w:after="60" w:before="60"/>
            </w:pPr>
            <w:r>
              <w:rPr>
                <w:sz w:val="18"/>
              </w:rPr>
              <w:t>Numerical image calculations, including brightness and color adjustments.</w:t>
            </w:r>
          </w:p>
        </w:tc>
      </w:tr>
    </w:tbl>
    <w:p>
      <w:pPr>
        <w:pStyle w:val="Heading1"/>
      </w:pPr>
      <w:r>
        <w:t>Basic user workflow</w:t>
      </w:r>
    </w:p>
    <w:p>
      <w:r>
        <w:t>Open an image or capture a snapshot → choose an operation → adjust settings → inspect the preview → save the result. The program runs locally using Python with Tkinter and the dependencies listed in the project requirements.</w:t>
      </w:r>
    </w:p>
    <w:tbl>
      <w:tblPr>
        <w:tblW w:type="auto" w:w="0"/>
        <w:jc w:val="center"/>
        <w:tblLook w:firstColumn="1" w:firstRow="1" w:lastColumn="0" w:lastRow="0" w:noHBand="0" w:noVBand="1" w:val="04A0"/>
      </w:tblPr>
      <w:tblGrid>
        <w:gridCol w:w="9893"/>
      </w:tblGrid>
      <w:tr>
        <w:trPr>
          <w:trHeight w:val="2376"/>
        </w:trPr>
        <w:tc>
          <w:tcPr>
            <w:tcW w:type="dxa" w:w="9893"/>
            <w:vAlign w:val="center"/>
            <w:shd w:fill="F1F5F9"/>
          </w:tcPr>
          <w:p>
            <w:pPr>
              <w:jc w:val="center"/>
            </w:pPr>
            <w:r>
              <w:rPr>
                <w:i/>
              </w:rPr>
              <w:t>SS PLACE — INSERT SCREENSHOT HERE</w:t>
            </w:r>
          </w:p>
        </w:tc>
      </w:tr>
    </w:tbl>
    <w:p>
      <w:pPr>
        <w:pStyle w:val="Caption"/>
      </w:pPr>
      <w:r>
        <w:t>Figure 1. Main application with a loaded image, operation controls, preview, and applied-result label.</w:t>
      </w:r>
    </w:p>
    <w:p>
      <w:r>
        <w:br w:type="page"/>
      </w:r>
    </w:p>
    <w:p>
      <w:pPr>
        <w:pStyle w:val="Heading1"/>
      </w:pPr>
      <w:r>
        <w:t>2. Using the application</w:t>
      </w:r>
    </w:p>
    <w:p>
      <w:pPr>
        <w:pStyle w:val="Heading2"/>
      </w:pPr>
      <w:r>
        <w:t>Open, preview, and save images</w:t>
      </w:r>
    </w:p>
    <w:p>
      <w:r>
        <w:t>Choose File → Open… to load a JPG/JPEG, PNG, or BMP image. The preview fits the available space while preserving the image’s proportions. Choose File → Save As… or the Save As button to save the displayed result. The application keeps the full-resolution image separately from the preview, so resizing the window does not reduce saved image dimensions.</w:t>
      </w:r>
    </w:p>
    <w:p>
      <w:pPr>
        <w:pStyle w:val="Heading2"/>
      </w:pPr>
      <w:r>
        <w:t>Choose operations and adjust settings</w:t>
      </w:r>
    </w:p>
    <w:p>
      <w:r>
        <w:t>Select an operation from the operation selector or Tools menu. Its default settings are applied when an image is available. Brightness, contrast, RGB, and threshold sliders update the result interactively. For text fields and parameter dropdowns, edit the values and click Apply. The label above the preview identifies the operation and settings that produced the displayed result.</w:t>
      </w:r>
    </w:p>
    <w:p>
      <w:pPr>
        <w:pStyle w:val="Heading2"/>
      </w:pPr>
      <w:r>
        <w:t>Reset and compare results</w:t>
      </w:r>
    </w:p>
    <w:p>
      <w:r>
        <w:t>Each image-processing operation starts from the loaded image or captured snapshot. Repeated adjustments therefore do not accumulate, and switching operations does not combine effects. Reset restores the original image and default settings while keeping the selected operation. Histogram viewing is different: it measures the currently displayed result without replacing it.</w:t>
      </w:r>
    </w:p>
    <w:p>
      <w:pPr>
        <w:pStyle w:val="Heading2"/>
      </w:pPr>
      <w:r>
        <w:t>Access the webcam and take a snapshot</w:t>
      </w:r>
    </w:p>
    <w:p>
      <w:r>
        <w:t>Choose File → Access Live Webcam to view the camera feed. Take Snapshot captures the latest frame, stops the camera, and makes the captured image available for all processing and saving features. Stop Webcam returns to the previous static image and result. Snapshot and Stop controls appear during live capture; take a snapshot or stop the feed before processing or saving.</w:t>
      </w:r>
    </w:p>
    <w:p>
      <w:r>
        <w:t>At a high level, the application repeatedly reads camera frames and updates the preview. It releases the camera after a snapshot, on Stop, on a camera failure, and when the application closes.</w:t>
      </w:r>
    </w:p>
    <w:tbl>
      <w:tblPr>
        <w:tblW w:type="auto" w:w="0"/>
        <w:jc w:val="center"/>
        <w:tblLook w:firstColumn="1" w:firstRow="1" w:lastColumn="0" w:lastRow="0" w:noHBand="0" w:noVBand="1" w:val="04A0"/>
      </w:tblPr>
      <w:tblGrid>
        <w:gridCol w:w="9893"/>
      </w:tblGrid>
      <w:tr>
        <w:trPr>
          <w:trHeight w:val="2808"/>
        </w:trPr>
        <w:tc>
          <w:tcPr>
            <w:tcW w:type="dxa" w:w="9893"/>
            <w:vAlign w:val="center"/>
            <w:shd w:fill="F1F5F9"/>
          </w:tcPr>
          <w:p>
            <w:pPr>
              <w:jc w:val="center"/>
            </w:pPr>
            <w:r>
              <w:rPr>
                <w:i/>
              </w:rPr>
              <w:t>SS PLACE — INSERT SCREENSHOT HERE</w:t>
            </w:r>
          </w:p>
        </w:tc>
      </w:tr>
    </w:tbl>
    <w:p>
      <w:pPr>
        <w:pStyle w:val="Caption"/>
      </w:pPr>
      <w:r>
        <w:t>Figure 2. Live webcam preview with Take Snapshot and Stop Webcam controls visible.</w:t>
      </w:r>
    </w:p>
    <w:p>
      <w:r>
        <w:br w:type="page"/>
      </w:r>
    </w:p>
    <w:p>
      <w:pPr>
        <w:pStyle w:val="Heading1"/>
      </w:pPr>
      <w:r>
        <w:t>3. Foundations, color, and statistics</w:t>
      </w:r>
    </w:p>
    <w:p>
      <w:pPr>
        <w:pStyle w:val="Heading2"/>
      </w:pPr>
      <w:r>
        <w:t>Grayscale</w:t>
      </w:r>
    </w:p>
    <w:p>
      <w:r>
        <w:t>Select Grayscale to remove color and display brightness differences. The application combines the color information into a grayscale image, making shapes and light–dark patterns easier to examine. No settings are required.</w:t>
      </w:r>
    </w:p>
    <w:p>
      <w:pPr>
        <w:pStyle w:val="Heading2"/>
      </w:pPr>
      <w:r>
        <w:t>Brightness / Contrast</w:t>
      </w:r>
    </w:p>
    <w:p>
      <w:r>
        <w:t>Move the brightness slider to lighten or darken the image and the contrast slider to adjust intensity differences. The application shifts brightness and scales pixel intensities, keeping the result within the valid image range. Extreme adjustments can hide detail in very dark or bright regions.</w:t>
      </w:r>
    </w:p>
    <w:p>
      <w:pPr>
        <w:pStyle w:val="Heading2"/>
      </w:pPr>
      <w:r>
        <w:t>RGB Channels</w:t>
      </w:r>
    </w:p>
    <w:p>
      <w:r>
        <w:t>Adjust the Red, Green, and Blue sliders independently to change the color balance. Each control scales its corresponding color contribution: 1 keeps it unchanged, 0 removes it, and values above 1 strengthen it. The preview updates as the sliders move.</w:t>
      </w:r>
    </w:p>
    <w:p>
      <w:pPr>
        <w:pStyle w:val="Heading2"/>
      </w:pPr>
      <w:r>
        <w:t>Histogram computation and display</w:t>
      </w:r>
    </w:p>
    <w:p>
      <w:r>
        <w:t>Select Histogram to open a graph of the displayed image’s brightness distribution. The horizontal axis shows intensity from dark to bright; the vertical axis shows pixel counts. The application counts grayscale brightness levels and refreshes the graph when the displayed result changes. Viewing the histogram does not alter the image; Save As saves the image, not the graph.</w:t>
      </w:r>
    </w:p>
    <w:p>
      <w:pPr>
        <w:pStyle w:val="Heading2"/>
      </w:pPr>
      <w:r>
        <w:t>Histogram Equalization</w:t>
      </w:r>
    </w:p>
    <w:p>
      <w:r>
        <w:t>Select Histogram Equalization to redistribute grayscale brightness levels and improve contrast where intensities are concentrated in a narrow range. The application converts the original to grayscale and redistributes its intensity levels. The output is grayscale, requires no settings, and may show little change for some images.</w:t>
      </w:r>
    </w:p>
    <w:tbl>
      <w:tblPr>
        <w:tblW w:type="auto" w:w="0"/>
        <w:jc w:val="center"/>
        <w:tblLook w:firstColumn="1" w:firstRow="1" w:lastColumn="0" w:lastRow="0" w:noHBand="0" w:noVBand="1" w:val="04A0"/>
      </w:tblPr>
      <w:tblGrid>
        <w:gridCol w:w="9893"/>
      </w:tblGrid>
      <w:tr>
        <w:trPr>
          <w:trHeight w:val="2664"/>
        </w:trPr>
        <w:tc>
          <w:tcPr>
            <w:tcW w:type="dxa" w:w="9893"/>
            <w:vAlign w:val="center"/>
            <w:shd w:fill="F1F5F9"/>
          </w:tcPr>
          <w:p>
            <w:pPr>
              <w:jc w:val="center"/>
            </w:pPr>
            <w:r>
              <w:rPr>
                <w:i/>
              </w:rPr>
              <w:t>SS PLACE — INSERT SCREENSHOT HERE</w:t>
            </w:r>
          </w:p>
        </w:tc>
      </w:tr>
    </w:tbl>
    <w:p>
      <w:pPr>
        <w:pStyle w:val="Caption"/>
      </w:pPr>
      <w:r>
        <w:t>Figure 3. Histogram window alongside the corresponding equalized or grayscale image.</w:t>
      </w:r>
    </w:p>
    <w:p>
      <w:r>
        <w:br w:type="page"/>
      </w:r>
    </w:p>
    <w:p>
      <w:pPr>
        <w:pStyle w:val="Heading1"/>
      </w:pPr>
      <w:r>
        <w:t>4. Local filters and edge detection</w:t>
      </w:r>
    </w:p>
    <w:p>
      <w:pPr>
        <w:pStyle w:val="Heading2"/>
      </w:pPr>
      <w:r>
        <w:t>Median Filter</w:t>
      </w:r>
    </w:p>
    <w:p>
      <w:r>
        <w:t>Enter an odd kernel size and click Apply to reduce isolated speckle noise. The application replaces each pixel using the middle value in its surrounding neighborhood. Larger neighborhoods remove more small detail as well as noise.</w:t>
      </w:r>
    </w:p>
    <w:p>
      <w:pPr>
        <w:pStyle w:val="Heading2"/>
      </w:pPr>
      <w:r>
        <w:t>Gaussian Smoothing</w:t>
      </w:r>
    </w:p>
    <w:p>
      <w:r>
        <w:t>Set the kernel size and sigma, then click Apply to soften fine detail and reduce noise. The application blends neighboring pixels with greater influence from nearby pixels. Kernel size determines the neighborhood; sigma controls the spread of the smoothing. A sigma of 0 selects an automatic value.</w:t>
      </w:r>
    </w:p>
    <w:p>
      <w:pPr>
        <w:pStyle w:val="Heading2"/>
      </w:pPr>
      <w:r>
        <w:t>Sharpening</w:t>
      </w:r>
    </w:p>
    <w:p>
      <w:r>
        <w:t>Select Sharpening to emphasize local detail and boundaries. The application uses a fixed sharpening filter that increases differences between a pixel and its neighbors. No settings are needed. Sharpening can also make existing noise more noticeable.</w:t>
      </w:r>
    </w:p>
    <w:p>
      <w:pPr>
        <w:pStyle w:val="Heading2"/>
      </w:pPr>
      <w:r>
        <w:t>Sobel Edge Detection</w:t>
      </w:r>
    </w:p>
    <w:p>
      <w:r>
        <w:t>Choose a kernel size, enter a mean ratio, and click Apply. The application measures horizontal and vertical intensity changes, combines their strengths, and displays edges in white on black. It selects edges using a threshold based on the average edge strength multiplied by the mean ratio. Increasing the ratio generally retains fewer, stronger edges.</w:t>
      </w:r>
    </w:p>
    <w:p>
      <w:pPr>
        <w:pStyle w:val="Heading2"/>
      </w:pPr>
      <w:r>
        <w:t>Canny Edge Detection</w:t>
      </w:r>
    </w:p>
    <w:p>
      <w:r>
        <w:t>Enter the lower and upper thresholds, select an aperture size, and click Apply. The application detects intensity changes, narrows edge responses, and retains strong edges together with weaker edges connected to them. Higher thresholds generally reduce weak edge detail. The lower threshold must not exceed the upper threshold.</w:t>
      </w:r>
    </w:p>
    <w:tbl>
      <w:tblPr>
        <w:tblW w:type="auto" w:w="0"/>
        <w:jc w:val="center"/>
        <w:tblLook w:firstColumn="1" w:firstRow="1" w:lastColumn="0" w:lastRow="0" w:noHBand="0" w:noVBand="1" w:val="04A0"/>
      </w:tblPr>
      <w:tblGrid>
        <w:gridCol w:w="9893"/>
      </w:tblGrid>
      <w:tr>
        <w:trPr>
          <w:trHeight w:val="2808"/>
        </w:trPr>
        <w:tc>
          <w:tcPr>
            <w:tcW w:type="dxa" w:w="9893"/>
            <w:vAlign w:val="center"/>
            <w:shd w:fill="F1F5F9"/>
          </w:tcPr>
          <w:p>
            <w:pPr>
              <w:jc w:val="center"/>
            </w:pPr>
            <w:r>
              <w:rPr>
                <w:i/>
              </w:rPr>
              <w:t>SS PLACE — INSERT SCREENSHOT HERE</w:t>
            </w:r>
          </w:p>
        </w:tc>
      </w:tr>
    </w:tbl>
    <w:p>
      <w:pPr>
        <w:pStyle w:val="Caption"/>
      </w:pPr>
      <w:r>
        <w:t>Figure 4. Sobel or Canny result with the selected operation and applied settings visible.</w:t>
      </w:r>
    </w:p>
    <w:p>
      <w:r>
        <w:br w:type="page"/>
      </w:r>
    </w:p>
    <w:p>
      <w:pPr>
        <w:pStyle w:val="Heading1"/>
      </w:pPr>
      <w:r>
        <w:t>5. Segmentation and safe interaction</w:t>
      </w:r>
    </w:p>
    <w:p>
      <w:pPr>
        <w:pStyle w:val="Heading2"/>
      </w:pPr>
      <w:r>
        <w:t>Global Thresholding</w:t>
      </w:r>
    </w:p>
    <w:p>
      <w:r>
        <w:t>Move the threshold slider to separate bright regions from darker areas. The application converts the image to grayscale and compares every pixel with one threshold: pixels brighter than the threshold become white, while the rest become black. Raising the threshold reduces the white foreground.</w:t>
      </w:r>
    </w:p>
    <w:p>
      <w:pPr>
        <w:pStyle w:val="Heading2"/>
      </w:pPr>
      <w:r>
        <w:t>Adaptive Thresholding</w:t>
      </w:r>
    </w:p>
    <w:p>
      <w:r>
        <w:t>Choose a Mean or Gaussian method, set the block size and constant C, and click Apply. The application calculates a local threshold for each neighborhood, which can help with uneven illumination. Block size controls the area considered; C adjusts the local threshold. Increasing C generally makes more pixels white. Gaussian gives nearby pixels more influence than the Mean method.</w:t>
      </w:r>
    </w:p>
    <w:p>
      <w:pPr>
        <w:pStyle w:val="Heading2"/>
      </w:pPr>
      <w:r>
        <w:t>Contour Detection</w:t>
      </w:r>
    </w:p>
    <w:p>
      <w:r>
        <w:t>Move the threshold slider to control which bright regions are selected. The application first separates the foreground using global thresholding, then finds its outer boundaries and draws them in green over the original image. Internal holes are not outlined. Results depend on the chosen threshold and image lighting; the feature outlines regions rather than recognizing object identities.</w:t>
      </w:r>
    </w:p>
    <w:tbl>
      <w:tblPr>
        <w:tblW w:type="auto" w:w="0"/>
        <w:jc w:val="center"/>
        <w:tblLook w:firstColumn="1" w:firstRow="1" w:lastColumn="0" w:lastRow="0" w:noHBand="0" w:noVBand="1" w:val="04A0"/>
      </w:tblPr>
      <w:tblGrid>
        <w:gridCol w:w="9893"/>
      </w:tblGrid>
      <w:tr>
        <w:trPr>
          <w:trHeight w:val="2448"/>
        </w:trPr>
        <w:tc>
          <w:tcPr>
            <w:tcW w:type="dxa" w:w="9893"/>
            <w:vAlign w:val="center"/>
            <w:shd w:fill="F1F5F9"/>
          </w:tcPr>
          <w:p>
            <w:pPr>
              <w:jc w:val="center"/>
            </w:pPr>
            <w:r>
              <w:rPr>
                <w:i/>
              </w:rPr>
              <w:t>SS PLACE — INSERT SCREENSHOT HERE</w:t>
            </w:r>
          </w:p>
        </w:tc>
      </w:tr>
    </w:tbl>
    <w:p>
      <w:pPr>
        <w:pStyle w:val="Caption"/>
      </w:pPr>
      <w:r>
        <w:t>Figure 5. Contour Detection showing green outer boundaries and its threshold control.</w:t>
      </w:r>
    </w:p>
    <w:p>
      <w:pPr>
        <w:pStyle w:val="Heading2"/>
      </w:pPr>
      <w:r>
        <w:t>Validation and recovery</w:t>
      </w:r>
    </w:p>
    <w:p>
      <w:r>
        <w:t>The application checks that an image is available and that numeric settings have valid values before processing. Empty or nonnumeric input, unsupported kernel sizes, and reversed Canny thresholds produce clear feedback while preserving the last successful result. Cancelling a file dialog leaves the current work intact. Unreadable images, save failures, and unavailable cameras are handled with feedback so the user can recover.</w:t>
      </w:r>
    </w:p>
    <w:p>
      <w:r>
        <w:t>The progress tracker records completed integration checks and user-confirmed verification. Automated checks included simulated file dialogs and cameras; they do not independently establish physical-camera behavior on every computer. A reported native macOS Save As dialog clipping issue remains documented.</w:t>
      </w:r>
    </w:p>
    <w:p>
      <w:r>
        <w:br w:type="page"/>
      </w:r>
    </w:p>
    <w:p>
      <w:pPr>
        <w:pStyle w:val="Heading1"/>
      </w:pPr>
      <w:r>
        <w:t>6. Parameter reference</w:t>
      </w:r>
    </w:p>
    <w:p>
      <w:r>
        <w:t>Ranges below are the values accepted by this application. Selecting an operation loads its defaults. Sliders update live; edited text fields and parameter dropdowns take effect when Apply is clicked.</w:t>
      </w:r>
    </w:p>
    <w:tbl>
      <w:tblPr>
        <w:tblStyle w:val="TableGrid"/>
        <w:tblW w:type="auto" w:w="0"/>
        <w:tblLayout w:type="fixed"/>
        <w:tblLook w:firstColumn="1" w:firstRow="1" w:lastColumn="0" w:lastRow="0" w:noHBand="0" w:noVBand="1" w:val="04A0"/>
      </w:tblPr>
      <w:tblGrid>
        <w:gridCol w:w="1901"/>
        <w:gridCol w:w="2333"/>
        <w:gridCol w:w="2275"/>
        <w:gridCol w:w="3283"/>
      </w:tblGrid>
      <w:tr>
        <w:trPr>
          <w:tblHeader/>
          <w:cantSplit/>
        </w:trPr>
        <w:tc>
          <w:tcPr>
            <w:tcW w:type="dxa" w:w="1901"/>
            <w:shd w:fill="234E70"/>
          </w:tcPr>
          <w:p>
            <w:pPr>
              <w:spacing w:after="60" w:before="60"/>
            </w:pPr>
            <w:r>
              <w:rPr>
                <w:b/>
                <w:color w:val="FFFFFF"/>
                <w:sz w:val="18"/>
              </w:rPr>
              <w:t>Operation</w:t>
            </w:r>
          </w:p>
        </w:tc>
        <w:tc>
          <w:tcPr>
            <w:tcW w:type="dxa" w:w="2333"/>
            <w:shd w:fill="234E70"/>
          </w:tcPr>
          <w:p>
            <w:pPr>
              <w:spacing w:after="60" w:before="60"/>
            </w:pPr>
            <w:r>
              <w:rPr>
                <w:b/>
                <w:color w:val="FFFFFF"/>
                <w:sz w:val="18"/>
              </w:rPr>
              <w:t>Parameter / control</w:t>
            </w:r>
          </w:p>
        </w:tc>
        <w:tc>
          <w:tcPr>
            <w:tcW w:type="dxa" w:w="2275"/>
            <w:shd w:fill="234E70"/>
          </w:tcPr>
          <w:p>
            <w:pPr>
              <w:spacing w:after="60" w:before="60"/>
            </w:pPr>
            <w:r>
              <w:rPr>
                <w:b/>
                <w:color w:val="FFFFFF"/>
                <w:sz w:val="18"/>
              </w:rPr>
              <w:t>Range; default</w:t>
            </w:r>
          </w:p>
        </w:tc>
        <w:tc>
          <w:tcPr>
            <w:tcW w:type="dxa" w:w="3283"/>
            <w:shd w:fill="234E70"/>
          </w:tcPr>
          <w:p>
            <w:pPr>
              <w:spacing w:after="60" w:before="60"/>
            </w:pPr>
            <w:r>
              <w:rPr>
                <w:b/>
                <w:color w:val="FFFFFF"/>
                <w:sz w:val="18"/>
              </w:rPr>
              <w:t>Effect</w:t>
            </w:r>
          </w:p>
        </w:tc>
      </w:tr>
      <w:tr>
        <w:trPr>
          <w:cantSplit/>
        </w:trPr>
        <w:tc>
          <w:tcPr>
            <w:tcW w:type="dxa" w:w="1901"/>
          </w:tcPr>
          <w:p>
            <w:pPr>
              <w:spacing w:after="60" w:before="60"/>
            </w:pPr>
            <w:r>
              <w:rPr>
                <w:sz w:val="18"/>
              </w:rPr>
              <w:t>Brightness / Contrast</w:t>
            </w:r>
          </w:p>
        </w:tc>
        <w:tc>
          <w:tcPr>
            <w:tcW w:type="dxa" w:w="2333"/>
          </w:tcPr>
          <w:p>
            <w:pPr>
              <w:spacing w:after="60" w:before="60"/>
            </w:pPr>
            <w:r>
              <w:rPr>
                <w:sz w:val="18"/>
              </w:rPr>
              <w:t>Brightness · slider</w:t>
            </w:r>
          </w:p>
        </w:tc>
        <w:tc>
          <w:tcPr>
            <w:tcW w:type="dxa" w:w="2275"/>
          </w:tcPr>
          <w:p>
            <w:pPr>
              <w:spacing w:after="60" w:before="60"/>
            </w:pPr>
            <w:r>
              <w:rPr>
                <w:sz w:val="18"/>
              </w:rPr>
              <w:t>−255 to 255; 0</w:t>
            </w:r>
          </w:p>
        </w:tc>
        <w:tc>
          <w:tcPr>
            <w:tcW w:type="dxa" w:w="3283"/>
          </w:tcPr>
          <w:p>
            <w:pPr>
              <w:spacing w:after="60" w:before="60"/>
            </w:pPr>
            <w:r>
              <w:rPr>
                <w:sz w:val="18"/>
              </w:rPr>
              <w:t>Lightens or darkens.</w:t>
            </w:r>
          </w:p>
        </w:tc>
      </w:tr>
      <w:tr>
        <w:trPr>
          <w:cantSplit/>
        </w:trPr>
        <w:tc>
          <w:tcPr>
            <w:tcW w:type="dxa" w:w="1901"/>
          </w:tcPr>
          <w:p>
            <w:pPr>
              <w:spacing w:after="60" w:before="60"/>
            </w:pPr>
            <w:r>
              <w:rPr>
                <w:sz w:val="18"/>
              </w:rPr>
              <w:t>Brightness / Contrast</w:t>
            </w:r>
          </w:p>
        </w:tc>
        <w:tc>
          <w:tcPr>
            <w:tcW w:type="dxa" w:w="2333"/>
          </w:tcPr>
          <w:p>
            <w:pPr>
              <w:spacing w:after="60" w:before="60"/>
            </w:pPr>
            <w:r>
              <w:rPr>
                <w:sz w:val="18"/>
              </w:rPr>
              <w:t>Contrast · slider</w:t>
            </w:r>
          </w:p>
        </w:tc>
        <w:tc>
          <w:tcPr>
            <w:tcW w:type="dxa" w:w="2275"/>
          </w:tcPr>
          <w:p>
            <w:pPr>
              <w:spacing w:after="60" w:before="60"/>
            </w:pPr>
            <w:r>
              <w:rPr>
                <w:sz w:val="18"/>
              </w:rPr>
              <w:t>0 to 3; 1</w:t>
            </w:r>
          </w:p>
        </w:tc>
        <w:tc>
          <w:tcPr>
            <w:tcW w:type="dxa" w:w="3283"/>
          </w:tcPr>
          <w:p>
            <w:pPr>
              <w:spacing w:after="60" w:before="60"/>
            </w:pPr>
            <w:r>
              <w:rPr>
                <w:sz w:val="18"/>
              </w:rPr>
              <w:t>Scales intensity differences.</w:t>
            </w:r>
          </w:p>
        </w:tc>
      </w:tr>
      <w:tr>
        <w:trPr>
          <w:cantSplit/>
        </w:trPr>
        <w:tc>
          <w:tcPr>
            <w:tcW w:type="dxa" w:w="1901"/>
          </w:tcPr>
          <w:p>
            <w:pPr>
              <w:spacing w:after="60" w:before="60"/>
            </w:pPr>
            <w:r>
              <w:rPr>
                <w:sz w:val="18"/>
              </w:rPr>
              <w:t>RGB Channels</w:t>
            </w:r>
          </w:p>
        </w:tc>
        <w:tc>
          <w:tcPr>
            <w:tcW w:type="dxa" w:w="2333"/>
          </w:tcPr>
          <w:p>
            <w:pPr>
              <w:spacing w:after="60" w:before="60"/>
            </w:pPr>
            <w:r>
              <w:rPr>
                <w:sz w:val="18"/>
              </w:rPr>
              <w:t>R / G / B · sliders</w:t>
            </w:r>
          </w:p>
        </w:tc>
        <w:tc>
          <w:tcPr>
            <w:tcW w:type="dxa" w:w="2275"/>
          </w:tcPr>
          <w:p>
            <w:pPr>
              <w:spacing w:after="60" w:before="60"/>
            </w:pPr>
            <w:r>
              <w:rPr>
                <w:sz w:val="18"/>
              </w:rPr>
              <w:t>Each 0 to 2; 1</w:t>
            </w:r>
          </w:p>
        </w:tc>
        <w:tc>
          <w:tcPr>
            <w:tcW w:type="dxa" w:w="3283"/>
          </w:tcPr>
          <w:p>
            <w:pPr>
              <w:spacing w:after="60" w:before="60"/>
            </w:pPr>
            <w:r>
              <w:rPr>
                <w:sz w:val="18"/>
              </w:rPr>
              <w:t>Changes each color’s contribution.</w:t>
            </w:r>
          </w:p>
        </w:tc>
      </w:tr>
      <w:tr>
        <w:trPr>
          <w:cantSplit/>
        </w:trPr>
        <w:tc>
          <w:tcPr>
            <w:tcW w:type="dxa" w:w="1901"/>
          </w:tcPr>
          <w:p>
            <w:pPr>
              <w:spacing w:after="60" w:before="60"/>
            </w:pPr>
            <w:r>
              <w:rPr>
                <w:sz w:val="18"/>
              </w:rPr>
              <w:t>Median Filter</w:t>
            </w:r>
          </w:p>
        </w:tc>
        <w:tc>
          <w:tcPr>
            <w:tcW w:type="dxa" w:w="2333"/>
          </w:tcPr>
          <w:p>
            <w:pPr>
              <w:spacing w:after="60" w:before="60"/>
            </w:pPr>
            <w:r>
              <w:rPr>
                <w:sz w:val="18"/>
              </w:rPr>
              <w:t>Kernel · text field</w:t>
            </w:r>
          </w:p>
        </w:tc>
        <w:tc>
          <w:tcPr>
            <w:tcW w:type="dxa" w:w="2275"/>
          </w:tcPr>
          <w:p>
            <w:pPr>
              <w:spacing w:after="60" w:before="60"/>
            </w:pPr>
            <w:r>
              <w:rPr>
                <w:sz w:val="18"/>
              </w:rPr>
              <w:t>Odd 3–31; 3</w:t>
            </w:r>
          </w:p>
        </w:tc>
        <w:tc>
          <w:tcPr>
            <w:tcW w:type="dxa" w:w="3283"/>
          </w:tcPr>
          <w:p>
            <w:pPr>
              <w:spacing w:after="60" w:before="60"/>
            </w:pPr>
            <w:r>
              <w:rPr>
                <w:sz w:val="18"/>
              </w:rPr>
              <w:t>Sets noise-filter neighborhood.</w:t>
            </w:r>
          </w:p>
        </w:tc>
      </w:tr>
      <w:tr>
        <w:trPr>
          <w:cantSplit/>
        </w:trPr>
        <w:tc>
          <w:tcPr>
            <w:tcW w:type="dxa" w:w="1901"/>
          </w:tcPr>
          <w:p>
            <w:pPr>
              <w:spacing w:after="60" w:before="60"/>
            </w:pPr>
            <w:r>
              <w:rPr>
                <w:sz w:val="18"/>
              </w:rPr>
              <w:t>Gaussian Smoothing</w:t>
            </w:r>
          </w:p>
        </w:tc>
        <w:tc>
          <w:tcPr>
            <w:tcW w:type="dxa" w:w="2333"/>
          </w:tcPr>
          <w:p>
            <w:pPr>
              <w:spacing w:after="60" w:before="60"/>
            </w:pPr>
            <w:r>
              <w:rPr>
                <w:sz w:val="18"/>
              </w:rPr>
              <w:t>Kernel · text field</w:t>
            </w:r>
          </w:p>
        </w:tc>
        <w:tc>
          <w:tcPr>
            <w:tcW w:type="dxa" w:w="2275"/>
          </w:tcPr>
          <w:p>
            <w:pPr>
              <w:spacing w:after="60" w:before="60"/>
            </w:pPr>
            <w:r>
              <w:rPr>
                <w:sz w:val="18"/>
              </w:rPr>
              <w:t>Odd 3–31; 5</w:t>
            </w:r>
          </w:p>
        </w:tc>
        <w:tc>
          <w:tcPr>
            <w:tcW w:type="dxa" w:w="3283"/>
          </w:tcPr>
          <w:p>
            <w:pPr>
              <w:spacing w:after="60" w:before="60"/>
            </w:pPr>
            <w:r>
              <w:rPr>
                <w:sz w:val="18"/>
              </w:rPr>
              <w:t>Sets smoothing neighborhood.</w:t>
            </w:r>
          </w:p>
        </w:tc>
      </w:tr>
      <w:tr>
        <w:trPr>
          <w:cantSplit/>
        </w:trPr>
        <w:tc>
          <w:tcPr>
            <w:tcW w:type="dxa" w:w="1901"/>
          </w:tcPr>
          <w:p>
            <w:pPr>
              <w:spacing w:after="60" w:before="60"/>
            </w:pPr>
            <w:r>
              <w:rPr>
                <w:sz w:val="18"/>
              </w:rPr>
              <w:t>Gaussian Smoothing</w:t>
            </w:r>
          </w:p>
        </w:tc>
        <w:tc>
          <w:tcPr>
            <w:tcW w:type="dxa" w:w="2333"/>
          </w:tcPr>
          <w:p>
            <w:pPr>
              <w:spacing w:after="60" w:before="60"/>
            </w:pPr>
            <w:r>
              <w:rPr>
                <w:sz w:val="18"/>
              </w:rPr>
              <w:t>Sigma · text field</w:t>
            </w:r>
          </w:p>
        </w:tc>
        <w:tc>
          <w:tcPr>
            <w:tcW w:type="dxa" w:w="2275"/>
          </w:tcPr>
          <w:p>
            <w:pPr>
              <w:spacing w:after="60" w:before="60"/>
            </w:pPr>
            <w:r>
              <w:rPr>
                <w:sz w:val="18"/>
              </w:rPr>
              <w:t>0 to 10; 0</w:t>
            </w:r>
          </w:p>
        </w:tc>
        <w:tc>
          <w:tcPr>
            <w:tcW w:type="dxa" w:w="3283"/>
          </w:tcPr>
          <w:p>
            <w:pPr>
              <w:spacing w:after="60" w:before="60"/>
            </w:pPr>
            <w:r>
              <w:rPr>
                <w:sz w:val="18"/>
              </w:rPr>
              <w:t>Controls spread; 0 = automatic.</w:t>
            </w:r>
          </w:p>
        </w:tc>
      </w:tr>
      <w:tr>
        <w:trPr>
          <w:cantSplit/>
        </w:trPr>
        <w:tc>
          <w:tcPr>
            <w:tcW w:type="dxa" w:w="1901"/>
          </w:tcPr>
          <w:p>
            <w:pPr>
              <w:spacing w:after="60" w:before="60"/>
            </w:pPr>
            <w:r>
              <w:rPr>
                <w:sz w:val="18"/>
              </w:rPr>
              <w:t>Sobel</w:t>
            </w:r>
          </w:p>
        </w:tc>
        <w:tc>
          <w:tcPr>
            <w:tcW w:type="dxa" w:w="2333"/>
          </w:tcPr>
          <w:p>
            <w:pPr>
              <w:spacing w:after="60" w:before="60"/>
            </w:pPr>
            <w:r>
              <w:rPr>
                <w:sz w:val="18"/>
              </w:rPr>
              <w:t>Kernel · dropdown</w:t>
            </w:r>
          </w:p>
        </w:tc>
        <w:tc>
          <w:tcPr>
            <w:tcW w:type="dxa" w:w="2275"/>
          </w:tcPr>
          <w:p>
            <w:pPr>
              <w:spacing w:after="60" w:before="60"/>
            </w:pPr>
            <w:r>
              <w:rPr>
                <w:sz w:val="18"/>
              </w:rPr>
              <w:t>3, 5, 7; 3</w:t>
            </w:r>
          </w:p>
        </w:tc>
        <w:tc>
          <w:tcPr>
            <w:tcW w:type="dxa" w:w="3283"/>
          </w:tcPr>
          <w:p>
            <w:pPr>
              <w:spacing w:after="60" w:before="60"/>
            </w:pPr>
            <w:r>
              <w:rPr>
                <w:sz w:val="18"/>
              </w:rPr>
              <w:t>Sets edge-measurement neighborhood.</w:t>
            </w:r>
          </w:p>
        </w:tc>
      </w:tr>
      <w:tr>
        <w:trPr>
          <w:cantSplit/>
        </w:trPr>
        <w:tc>
          <w:tcPr>
            <w:tcW w:type="dxa" w:w="1901"/>
          </w:tcPr>
          <w:p>
            <w:pPr>
              <w:spacing w:after="60" w:before="60"/>
            </w:pPr>
            <w:r>
              <w:rPr>
                <w:sz w:val="18"/>
              </w:rPr>
              <w:t>Sobel</w:t>
            </w:r>
          </w:p>
        </w:tc>
        <w:tc>
          <w:tcPr>
            <w:tcW w:type="dxa" w:w="2333"/>
          </w:tcPr>
          <w:p>
            <w:pPr>
              <w:spacing w:after="60" w:before="60"/>
            </w:pPr>
            <w:r>
              <w:rPr>
                <w:sz w:val="18"/>
              </w:rPr>
              <w:t>Mean ratio · text field</w:t>
            </w:r>
          </w:p>
        </w:tc>
        <w:tc>
          <w:tcPr>
            <w:tcW w:type="dxa" w:w="2275"/>
          </w:tcPr>
          <w:p>
            <w:pPr>
              <w:spacing w:after="60" w:before="60"/>
            </w:pPr>
            <w:r>
              <w:rPr>
                <w:sz w:val="18"/>
              </w:rPr>
              <w:t>0 to 10; 1</w:t>
            </w:r>
          </w:p>
        </w:tc>
        <w:tc>
          <w:tcPr>
            <w:tcW w:type="dxa" w:w="3283"/>
          </w:tcPr>
          <w:p>
            <w:pPr>
              <w:spacing w:after="60" w:before="60"/>
            </w:pPr>
            <w:r>
              <w:rPr>
                <w:sz w:val="18"/>
              </w:rPr>
              <w:t>Higher values reject weaker edges.</w:t>
            </w:r>
          </w:p>
        </w:tc>
      </w:tr>
      <w:tr>
        <w:trPr>
          <w:cantSplit/>
        </w:trPr>
        <w:tc>
          <w:tcPr>
            <w:tcW w:type="dxa" w:w="1901"/>
          </w:tcPr>
          <w:p>
            <w:pPr>
              <w:spacing w:after="60" w:before="60"/>
            </w:pPr>
            <w:r>
              <w:rPr>
                <w:sz w:val="18"/>
              </w:rPr>
              <w:t>Canny</w:t>
            </w:r>
          </w:p>
        </w:tc>
        <w:tc>
          <w:tcPr>
            <w:tcW w:type="dxa" w:w="2333"/>
          </w:tcPr>
          <w:p>
            <w:pPr>
              <w:spacing w:after="60" w:before="60"/>
            </w:pPr>
            <w:r>
              <w:rPr>
                <w:sz w:val="18"/>
              </w:rPr>
              <w:t>Low threshold · text field</w:t>
            </w:r>
          </w:p>
        </w:tc>
        <w:tc>
          <w:tcPr>
            <w:tcW w:type="dxa" w:w="2275"/>
          </w:tcPr>
          <w:p>
            <w:pPr>
              <w:spacing w:after="60" w:before="60"/>
            </w:pPr>
            <w:r>
              <w:rPr>
                <w:sz w:val="18"/>
              </w:rPr>
              <w:t>0 to 255; 100</w:t>
            </w:r>
          </w:p>
        </w:tc>
        <w:tc>
          <w:tcPr>
            <w:tcW w:type="dxa" w:w="3283"/>
          </w:tcPr>
          <w:p>
            <w:pPr>
              <w:spacing w:after="60" w:before="60"/>
            </w:pPr>
            <w:r>
              <w:rPr>
                <w:sz w:val="18"/>
              </w:rPr>
              <w:t>Sets lower edge threshold.</w:t>
            </w:r>
          </w:p>
        </w:tc>
      </w:tr>
      <w:tr>
        <w:trPr>
          <w:cantSplit/>
        </w:trPr>
        <w:tc>
          <w:tcPr>
            <w:tcW w:type="dxa" w:w="1901"/>
          </w:tcPr>
          <w:p>
            <w:pPr>
              <w:spacing w:after="60" w:before="60"/>
            </w:pPr>
            <w:r>
              <w:rPr>
                <w:sz w:val="18"/>
              </w:rPr>
              <w:t>Canny</w:t>
            </w:r>
          </w:p>
        </w:tc>
        <w:tc>
          <w:tcPr>
            <w:tcW w:type="dxa" w:w="2333"/>
          </w:tcPr>
          <w:p>
            <w:pPr>
              <w:spacing w:after="60" w:before="60"/>
            </w:pPr>
            <w:r>
              <w:rPr>
                <w:sz w:val="18"/>
              </w:rPr>
              <w:t>High threshold · text field</w:t>
            </w:r>
          </w:p>
        </w:tc>
        <w:tc>
          <w:tcPr>
            <w:tcW w:type="dxa" w:w="2275"/>
          </w:tcPr>
          <w:p>
            <w:pPr>
              <w:spacing w:after="60" w:before="60"/>
            </w:pPr>
            <w:r>
              <w:rPr>
                <w:sz w:val="18"/>
              </w:rPr>
              <w:t>0 to 255; 200</w:t>
            </w:r>
          </w:p>
        </w:tc>
        <w:tc>
          <w:tcPr>
            <w:tcW w:type="dxa" w:w="3283"/>
          </w:tcPr>
          <w:p>
            <w:pPr>
              <w:spacing w:after="60" w:before="60"/>
            </w:pPr>
            <w:r>
              <w:rPr>
                <w:sz w:val="18"/>
              </w:rPr>
              <w:t>Sets strong-edge threshold; ≥ low.</w:t>
            </w:r>
          </w:p>
        </w:tc>
      </w:tr>
      <w:tr>
        <w:trPr>
          <w:cantSplit/>
        </w:trPr>
        <w:tc>
          <w:tcPr>
            <w:tcW w:type="dxa" w:w="1901"/>
          </w:tcPr>
          <w:p>
            <w:pPr>
              <w:spacing w:after="60" w:before="60"/>
            </w:pPr>
            <w:r>
              <w:rPr>
                <w:sz w:val="18"/>
              </w:rPr>
              <w:t>Canny</w:t>
            </w:r>
          </w:p>
        </w:tc>
        <w:tc>
          <w:tcPr>
            <w:tcW w:type="dxa" w:w="2333"/>
          </w:tcPr>
          <w:p>
            <w:pPr>
              <w:spacing w:after="60" w:before="60"/>
            </w:pPr>
            <w:r>
              <w:rPr>
                <w:sz w:val="18"/>
              </w:rPr>
              <w:t>Aperture · dropdown</w:t>
            </w:r>
          </w:p>
        </w:tc>
        <w:tc>
          <w:tcPr>
            <w:tcW w:type="dxa" w:w="2275"/>
          </w:tcPr>
          <w:p>
            <w:pPr>
              <w:spacing w:after="60" w:before="60"/>
            </w:pPr>
            <w:r>
              <w:rPr>
                <w:sz w:val="18"/>
              </w:rPr>
              <w:t>3, 5, 7; 3</w:t>
            </w:r>
          </w:p>
        </w:tc>
        <w:tc>
          <w:tcPr>
            <w:tcW w:type="dxa" w:w="3283"/>
          </w:tcPr>
          <w:p>
            <w:pPr>
              <w:spacing w:after="60" w:before="60"/>
            </w:pPr>
            <w:r>
              <w:rPr>
                <w:sz w:val="18"/>
              </w:rPr>
              <w:t>Sets edge-measurement neighborhood.</w:t>
            </w:r>
          </w:p>
        </w:tc>
      </w:tr>
      <w:tr>
        <w:trPr>
          <w:cantSplit/>
        </w:trPr>
        <w:tc>
          <w:tcPr>
            <w:tcW w:type="dxa" w:w="1901"/>
          </w:tcPr>
          <w:p>
            <w:pPr>
              <w:spacing w:after="60" w:before="60"/>
            </w:pPr>
            <w:r>
              <w:rPr>
                <w:sz w:val="18"/>
              </w:rPr>
              <w:t>Global / Contours</w:t>
            </w:r>
          </w:p>
        </w:tc>
        <w:tc>
          <w:tcPr>
            <w:tcW w:type="dxa" w:w="2333"/>
          </w:tcPr>
          <w:p>
            <w:pPr>
              <w:spacing w:after="60" w:before="60"/>
            </w:pPr>
            <w:r>
              <w:rPr>
                <w:sz w:val="18"/>
              </w:rPr>
              <w:t>Threshold · slider</w:t>
            </w:r>
          </w:p>
        </w:tc>
        <w:tc>
          <w:tcPr>
            <w:tcW w:type="dxa" w:w="2275"/>
          </w:tcPr>
          <w:p>
            <w:pPr>
              <w:spacing w:after="60" w:before="60"/>
            </w:pPr>
            <w:r>
              <w:rPr>
                <w:sz w:val="18"/>
              </w:rPr>
              <w:t>0 to 255; 127</w:t>
            </w:r>
          </w:p>
        </w:tc>
        <w:tc>
          <w:tcPr>
            <w:tcW w:type="dxa" w:w="3283"/>
          </w:tcPr>
          <w:p>
            <w:pPr>
              <w:spacing w:after="60" w:before="60"/>
            </w:pPr>
            <w:r>
              <w:rPr>
                <w:sz w:val="18"/>
              </w:rPr>
              <w:t>Selects bright foreground.</w:t>
            </w:r>
          </w:p>
        </w:tc>
      </w:tr>
      <w:tr>
        <w:trPr>
          <w:cantSplit/>
        </w:trPr>
        <w:tc>
          <w:tcPr>
            <w:tcW w:type="dxa" w:w="1901"/>
          </w:tcPr>
          <w:p>
            <w:pPr>
              <w:spacing w:after="60" w:before="60"/>
            </w:pPr>
            <w:r>
              <w:rPr>
                <w:sz w:val="18"/>
              </w:rPr>
              <w:t>Adaptive Thresholding</w:t>
            </w:r>
          </w:p>
        </w:tc>
        <w:tc>
          <w:tcPr>
            <w:tcW w:type="dxa" w:w="2333"/>
          </w:tcPr>
          <w:p>
            <w:pPr>
              <w:spacing w:after="60" w:before="60"/>
            </w:pPr>
            <w:r>
              <w:rPr>
                <w:sz w:val="18"/>
              </w:rPr>
              <w:t>Block · text field</w:t>
            </w:r>
          </w:p>
        </w:tc>
        <w:tc>
          <w:tcPr>
            <w:tcW w:type="dxa" w:w="2275"/>
          </w:tcPr>
          <w:p>
            <w:pPr>
              <w:spacing w:after="60" w:before="60"/>
            </w:pPr>
            <w:r>
              <w:rPr>
                <w:sz w:val="18"/>
              </w:rPr>
              <w:t>Odd 3–31; 11</w:t>
            </w:r>
          </w:p>
        </w:tc>
        <w:tc>
          <w:tcPr>
            <w:tcW w:type="dxa" w:w="3283"/>
          </w:tcPr>
          <w:p>
            <w:pPr>
              <w:spacing w:after="60" w:before="60"/>
            </w:pPr>
            <w:r>
              <w:rPr>
                <w:sz w:val="18"/>
              </w:rPr>
              <w:t>Sets local neighborhood.</w:t>
            </w:r>
          </w:p>
        </w:tc>
      </w:tr>
      <w:tr>
        <w:trPr>
          <w:cantSplit/>
        </w:trPr>
        <w:tc>
          <w:tcPr>
            <w:tcW w:type="dxa" w:w="1901"/>
          </w:tcPr>
          <w:p>
            <w:pPr>
              <w:spacing w:after="60" w:before="60"/>
            </w:pPr>
            <w:r>
              <w:rPr>
                <w:sz w:val="18"/>
              </w:rPr>
              <w:t>Adaptive Thresholding</w:t>
            </w:r>
          </w:p>
        </w:tc>
        <w:tc>
          <w:tcPr>
            <w:tcW w:type="dxa" w:w="2333"/>
          </w:tcPr>
          <w:p>
            <w:pPr>
              <w:spacing w:after="60" w:before="60"/>
            </w:pPr>
            <w:r>
              <w:rPr>
                <w:sz w:val="18"/>
              </w:rPr>
              <w:t>C · text field</w:t>
            </w:r>
          </w:p>
        </w:tc>
        <w:tc>
          <w:tcPr>
            <w:tcW w:type="dxa" w:w="2275"/>
          </w:tcPr>
          <w:p>
            <w:pPr>
              <w:spacing w:after="60" w:before="60"/>
            </w:pPr>
            <w:r>
              <w:rPr>
                <w:sz w:val="18"/>
              </w:rPr>
              <w:t>−50 to 50; 2</w:t>
            </w:r>
          </w:p>
        </w:tc>
        <w:tc>
          <w:tcPr>
            <w:tcW w:type="dxa" w:w="3283"/>
          </w:tcPr>
          <w:p>
            <w:pPr>
              <w:spacing w:after="60" w:before="60"/>
            </w:pPr>
            <w:r>
              <w:rPr>
                <w:sz w:val="18"/>
              </w:rPr>
              <w:t>Adjusts local threshold.</w:t>
            </w:r>
          </w:p>
        </w:tc>
      </w:tr>
      <w:tr>
        <w:trPr>
          <w:cantSplit/>
        </w:trPr>
        <w:tc>
          <w:tcPr>
            <w:tcW w:type="dxa" w:w="1901"/>
          </w:tcPr>
          <w:p>
            <w:pPr>
              <w:spacing w:after="60" w:before="60"/>
            </w:pPr>
            <w:r>
              <w:rPr>
                <w:sz w:val="18"/>
              </w:rPr>
              <w:t>Adaptive Thresholding</w:t>
            </w:r>
          </w:p>
        </w:tc>
        <w:tc>
          <w:tcPr>
            <w:tcW w:type="dxa" w:w="2333"/>
          </w:tcPr>
          <w:p>
            <w:pPr>
              <w:spacing w:after="60" w:before="60"/>
            </w:pPr>
            <w:r>
              <w:rPr>
                <w:sz w:val="18"/>
              </w:rPr>
              <w:t>Method · dropdown</w:t>
            </w:r>
          </w:p>
        </w:tc>
        <w:tc>
          <w:tcPr>
            <w:tcW w:type="dxa" w:w="2275"/>
          </w:tcPr>
          <w:p>
            <w:pPr>
              <w:spacing w:after="60" w:before="60"/>
            </w:pPr>
            <w:r>
              <w:rPr>
                <w:sz w:val="18"/>
              </w:rPr>
              <w:t>Mean / Gaussian; Gaussian</w:t>
            </w:r>
          </w:p>
        </w:tc>
        <w:tc>
          <w:tcPr>
            <w:tcW w:type="dxa" w:w="3283"/>
          </w:tcPr>
          <w:p>
            <w:pPr>
              <w:spacing w:after="60" w:before="60"/>
            </w:pPr>
            <w:r>
              <w:rPr>
                <w:sz w:val="18"/>
              </w:rPr>
              <w:t>Chooses local averaging method.</w:t>
            </w:r>
          </w:p>
        </w:tc>
      </w:tr>
    </w:tbl>
    <w:p>
      <w:r>
        <w:t>Brightness and threshold sliders use steps of 1; contrast and RGB sliders use steps of 0.05. Grayscale, Histogram, Histogram Equalization, and Sharpening have no editable parameters.</w:t>
      </w:r>
    </w:p>
    <w:p>
      <w:pPr>
        <w:pStyle w:val="Heading1"/>
      </w:pPr>
      <w:r>
        <w:t>7. High-level design and conclusion</w:t>
      </w:r>
    </w:p>
    <w:p>
      <w:r>
        <w:t>The interface gathers user choices, the application coordinator checks the current state, and separate processing functions produce the result. File and webcam components manage input and output, while shared validation checks settings. Keeping these responsibilities separate makes the application easier to understand and maintain.</w:t>
      </w:r>
    </w:p>
    <w:p>
      <w:r>
        <w:t>The project provides an interactive environment for comparing thirteen image-processing operations, exploring parameter effects, capturing webcam images, and saving results. Its combination of clear controls, preserved originals, and input validation supports practical learning and classroom demonstration.</w:t>
      </w:r>
    </w:p>
    <w:p>
      <w:r>
        <w:t>Demo coverage: open an image, show at least four operations, adjust parameters live, access the webcam, take a snapshot, and save an output. Add the video link on page 1.</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INTERACTIVE COMPUTER VISION TOOL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34E7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234E7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Calibri" w:hAnsi="Calibri"/>
      <w:color w:val="234E7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Computer Vision Tool with GUI — Project Report</dc:title>
  <dc:subject>Features, user interaction, and high-level implementation</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