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E2773" w14:textId="63036999" w:rsidR="00F004C7" w:rsidRDefault="000B5B21" w:rsidP="00F004C7">
      <w:pPr>
        <w:pStyle w:val="NormalWeb"/>
        <w:ind w:left="7080"/>
        <w:jc w:val="center"/>
        <w:rPr>
          <w:rFonts w:ascii="Calibri" w:eastAsiaTheme="majorEastAsia" w:hAnsi="Calibri" w:cs="Calibri"/>
          <w:b/>
          <w:bCs/>
          <w:color w:val="156082" w:themeColor="accent1"/>
        </w:rPr>
      </w:pPr>
      <w:r>
        <w:rPr>
          <w:rFonts w:ascii="Calibri" w:eastAsiaTheme="majorEastAsia" w:hAnsi="Calibri" w:cs="Calibri"/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6D78B7A" wp14:editId="599DD21E">
            <wp:simplePos x="0" y="0"/>
            <wp:positionH relativeFrom="column">
              <wp:posOffset>4410075</wp:posOffset>
            </wp:positionH>
            <wp:positionV relativeFrom="paragraph">
              <wp:posOffset>10673</wp:posOffset>
            </wp:positionV>
            <wp:extent cx="1077239" cy="537238"/>
            <wp:effectExtent l="0" t="0" r="2540" b="0"/>
            <wp:wrapNone/>
            <wp:docPr id="727097019" name="Image 2" descr="Une image contenant Graphique, Police, graphism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97019" name="Image 2" descr="Une image contenant Graphique, Police, graphisme, logo&#10;&#10;Description générée automatiquem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77239" cy="537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D77">
        <w:rPr>
          <w:rFonts w:ascii="Calibri" w:eastAsiaTheme="majorEastAsia" w:hAnsi="Calibri" w:cs="Calibri"/>
          <w:b/>
          <w:bCs/>
          <w:noProof/>
          <w:color w:val="156082" w:themeColor="accent1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7379D84" wp14:editId="07B6CD76">
            <wp:simplePos x="0" y="0"/>
            <wp:positionH relativeFrom="column">
              <wp:posOffset>101766</wp:posOffset>
            </wp:positionH>
            <wp:positionV relativeFrom="paragraph">
              <wp:posOffset>-114900</wp:posOffset>
            </wp:positionV>
            <wp:extent cx="1599330" cy="580068"/>
            <wp:effectExtent l="0" t="0" r="1270" b="4445"/>
            <wp:wrapNone/>
            <wp:docPr id="947997289" name="Image 1" descr="Une image contenant Police, text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97289" name="Image 1" descr="Une image contenant Police, texte, logo, Graphiqu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330" cy="580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8FF26" w14:textId="77777777" w:rsidR="00CD1D77" w:rsidRDefault="00CD1D77" w:rsidP="00F004C7">
      <w:pPr>
        <w:rPr>
          <w:rFonts w:ascii="Calibri" w:eastAsiaTheme="majorEastAsia" w:hAnsi="Calibri" w:cs="Calibri"/>
          <w:b/>
          <w:bCs/>
          <w:color w:val="156082" w:themeColor="accent1"/>
        </w:rPr>
      </w:pPr>
    </w:p>
    <w:p w14:paraId="01115C84" w14:textId="77777777" w:rsidR="00CD1D77" w:rsidRDefault="00CD1D77" w:rsidP="00F004C7">
      <w:pPr>
        <w:rPr>
          <w:rFonts w:ascii="Calibri" w:eastAsiaTheme="majorEastAsia" w:hAnsi="Calibri" w:cs="Calibri"/>
          <w:b/>
          <w:bCs/>
          <w:color w:val="156082" w:themeColor="accent1"/>
        </w:rPr>
      </w:pPr>
    </w:p>
    <w:p w14:paraId="51CDF7C5" w14:textId="77011F0E" w:rsidR="00F004C7" w:rsidRPr="00F004C7" w:rsidRDefault="00F004C7" w:rsidP="00F004C7">
      <w:pPr>
        <w:rPr>
          <w:rFonts w:ascii="Calibri" w:eastAsiaTheme="majorEastAsia" w:hAnsi="Calibri" w:cs="Calibri"/>
          <w:b/>
          <w:bCs/>
          <w:color w:val="156082" w:themeColor="accent1"/>
        </w:rPr>
      </w:pPr>
      <w:r w:rsidRPr="00F004C7">
        <w:rPr>
          <w:rFonts w:ascii="Calibri" w:eastAsiaTheme="majorEastAsia" w:hAnsi="Calibri" w:cs="Calibri"/>
          <w:b/>
          <w:bCs/>
          <w:color w:val="156082" w:themeColor="accent1"/>
        </w:rPr>
        <w:t>02/11</w:t>
      </w:r>
      <w:r>
        <w:rPr>
          <w:rFonts w:ascii="Calibri" w:eastAsiaTheme="majorEastAsia" w:hAnsi="Calibri" w:cs="Calibri"/>
          <w:b/>
          <w:bCs/>
          <w:color w:val="156082" w:themeColor="accent1"/>
        </w:rPr>
        <w:t xml:space="preserve">/2025 </w:t>
      </w:r>
      <w:r>
        <w:rPr>
          <w:rFonts w:ascii="Calibri" w:eastAsiaTheme="majorEastAsia" w:hAnsi="Calibri" w:cs="Calibri"/>
          <w:b/>
          <w:bCs/>
          <w:color w:val="156082" w:themeColor="accent1"/>
        </w:rPr>
        <w:tab/>
      </w:r>
      <w:r>
        <w:rPr>
          <w:rFonts w:ascii="Calibri" w:eastAsiaTheme="majorEastAsia" w:hAnsi="Calibri" w:cs="Calibri"/>
          <w:b/>
          <w:bCs/>
          <w:color w:val="156082" w:themeColor="accent1"/>
        </w:rPr>
        <w:tab/>
      </w:r>
      <w:r>
        <w:rPr>
          <w:rFonts w:ascii="Calibri" w:eastAsiaTheme="majorEastAsia" w:hAnsi="Calibri" w:cs="Calibri"/>
          <w:b/>
          <w:bCs/>
          <w:color w:val="156082" w:themeColor="accent1"/>
        </w:rPr>
        <w:tab/>
      </w:r>
      <w:r>
        <w:rPr>
          <w:rFonts w:ascii="Calibri" w:eastAsiaTheme="majorEastAsia" w:hAnsi="Calibri" w:cs="Calibri"/>
          <w:b/>
          <w:bCs/>
          <w:color w:val="156082" w:themeColor="accent1"/>
        </w:rPr>
        <w:tab/>
      </w:r>
      <w:r>
        <w:rPr>
          <w:rFonts w:ascii="Calibri" w:eastAsiaTheme="majorEastAsia" w:hAnsi="Calibri" w:cs="Calibri"/>
          <w:b/>
          <w:bCs/>
          <w:color w:val="156082" w:themeColor="accent1"/>
        </w:rPr>
        <w:tab/>
      </w:r>
      <w:r>
        <w:rPr>
          <w:rFonts w:ascii="Calibri" w:eastAsiaTheme="majorEastAsia" w:hAnsi="Calibri" w:cs="Calibri"/>
          <w:b/>
          <w:bCs/>
          <w:color w:val="156082" w:themeColor="accent1"/>
        </w:rPr>
        <w:tab/>
        <w:t xml:space="preserve">              </w:t>
      </w:r>
      <w:r w:rsidRPr="00F004C7">
        <w:rPr>
          <w:rFonts w:ascii="Calibri" w:eastAsiaTheme="majorEastAsia" w:hAnsi="Calibri" w:cs="Calibri"/>
          <w:b/>
          <w:bCs/>
          <w:color w:val="156082" w:themeColor="accent1"/>
        </w:rPr>
        <w:t xml:space="preserve">Binôme : Alia Chebbi et Rajaa </w:t>
      </w:r>
      <w:proofErr w:type="spellStart"/>
      <w:r w:rsidRPr="00F004C7">
        <w:rPr>
          <w:rFonts w:ascii="Calibri" w:eastAsiaTheme="majorEastAsia" w:hAnsi="Calibri" w:cs="Calibri"/>
          <w:b/>
          <w:bCs/>
          <w:color w:val="156082" w:themeColor="accent1"/>
        </w:rPr>
        <w:t>Yamoul</w:t>
      </w:r>
      <w:proofErr w:type="spellEnd"/>
    </w:p>
    <w:p w14:paraId="66B86B1B" w14:textId="5C561590" w:rsidR="00F644C7" w:rsidRPr="004222A3" w:rsidRDefault="00F644C7" w:rsidP="00F644C7">
      <w:pPr>
        <w:pStyle w:val="NormalWeb"/>
        <w:jc w:val="center"/>
        <w:rPr>
          <w:rFonts w:ascii="Calibri" w:eastAsiaTheme="majorEastAsia" w:hAnsi="Calibri" w:cs="Calibri"/>
          <w:b/>
          <w:bCs/>
          <w:color w:val="156082" w:themeColor="accent1"/>
        </w:rPr>
      </w:pPr>
      <w:r w:rsidRPr="004222A3">
        <w:rPr>
          <w:rFonts w:ascii="Calibri" w:eastAsiaTheme="majorEastAsia" w:hAnsi="Calibri" w:cs="Calibri"/>
          <w:b/>
          <w:bCs/>
          <w:color w:val="156082" w:themeColor="accent1"/>
        </w:rPr>
        <w:t>Mobilité internationale du capital à l’épreuve des crises récentes : une réévaluation du puzzle de Feldstein-</w:t>
      </w:r>
      <w:proofErr w:type="spellStart"/>
      <w:r w:rsidRPr="004222A3">
        <w:rPr>
          <w:rFonts w:ascii="Calibri" w:eastAsiaTheme="majorEastAsia" w:hAnsi="Calibri" w:cs="Calibri"/>
          <w:b/>
          <w:bCs/>
          <w:color w:val="156082" w:themeColor="accent1"/>
        </w:rPr>
        <w:t>Horioka</w:t>
      </w:r>
      <w:proofErr w:type="spellEnd"/>
    </w:p>
    <w:p w14:paraId="19EBAE1C" w14:textId="2279DB65" w:rsidR="00F644C7" w:rsidRPr="00490BF6" w:rsidRDefault="00F644C7" w:rsidP="00F644C7">
      <w:pPr>
        <w:pStyle w:val="NormalWeb"/>
        <w:jc w:val="both"/>
        <w:rPr>
          <w:rFonts w:ascii="Calibri" w:eastAsiaTheme="majorEastAsia" w:hAnsi="Calibri" w:cs="Calibri"/>
        </w:rPr>
      </w:pPr>
    </w:p>
    <w:p w14:paraId="229070E2" w14:textId="66C6F906" w:rsidR="00644F74" w:rsidRPr="00644F74" w:rsidRDefault="00644F74" w:rsidP="00F644C7">
      <w:pPr>
        <w:pStyle w:val="NormalWeb"/>
        <w:jc w:val="both"/>
        <w:rPr>
          <w:rFonts w:ascii="Calibri" w:eastAsiaTheme="majorEastAsia" w:hAnsi="Calibri" w:cs="Calibri"/>
        </w:rPr>
      </w:pPr>
      <w:r w:rsidRPr="00644F74">
        <w:rPr>
          <w:rFonts w:ascii="Calibri" w:eastAsiaTheme="majorEastAsia" w:hAnsi="Calibri" w:cs="Calibri"/>
        </w:rPr>
        <w:t xml:space="preserve">La mobilité du capital entre pays constitue aujourd’hui un enjeu majeur en économie internationale, en particulier depuis la levée progressive des restrictions sur les mouvements internationaux de capitaux. L’étude </w:t>
      </w:r>
      <w:r w:rsidR="00C47223" w:rsidRPr="00490BF6">
        <w:rPr>
          <w:rFonts w:ascii="Calibri" w:eastAsiaTheme="majorEastAsia" w:hAnsi="Calibri" w:cs="Calibri"/>
        </w:rPr>
        <w:t xml:space="preserve">pionnière </w:t>
      </w:r>
      <w:r w:rsidRPr="00644F74">
        <w:rPr>
          <w:rFonts w:ascii="Calibri" w:eastAsiaTheme="majorEastAsia" w:hAnsi="Calibri" w:cs="Calibri"/>
        </w:rPr>
        <w:t xml:space="preserve">de Feldstein et </w:t>
      </w:r>
      <w:proofErr w:type="spellStart"/>
      <w:r w:rsidRPr="00644F74">
        <w:rPr>
          <w:rFonts w:ascii="Calibri" w:eastAsiaTheme="majorEastAsia" w:hAnsi="Calibri" w:cs="Calibri"/>
        </w:rPr>
        <w:t>Horioka</w:t>
      </w:r>
      <w:proofErr w:type="spellEnd"/>
      <w:r w:rsidRPr="00644F74">
        <w:rPr>
          <w:rFonts w:ascii="Calibri" w:eastAsiaTheme="majorEastAsia" w:hAnsi="Calibri" w:cs="Calibri"/>
        </w:rPr>
        <w:t xml:space="preserve"> (1980) a </w:t>
      </w:r>
      <w:r w:rsidR="00FC4820" w:rsidRPr="00490BF6">
        <w:rPr>
          <w:rFonts w:ascii="Calibri" w:eastAsiaTheme="majorEastAsia" w:hAnsi="Calibri" w:cs="Calibri"/>
        </w:rPr>
        <w:t>permis</w:t>
      </w:r>
      <w:r w:rsidRPr="00644F74">
        <w:rPr>
          <w:rFonts w:ascii="Calibri" w:eastAsiaTheme="majorEastAsia" w:hAnsi="Calibri" w:cs="Calibri"/>
        </w:rPr>
        <w:t xml:space="preserve"> </w:t>
      </w:r>
      <w:r w:rsidR="00FC4820" w:rsidRPr="00490BF6">
        <w:rPr>
          <w:rFonts w:ascii="Calibri" w:eastAsiaTheme="majorEastAsia" w:hAnsi="Calibri" w:cs="Calibri"/>
        </w:rPr>
        <w:t xml:space="preserve">de </w:t>
      </w:r>
      <w:r w:rsidRPr="00644F74">
        <w:rPr>
          <w:rFonts w:ascii="Calibri" w:eastAsiaTheme="majorEastAsia" w:hAnsi="Calibri" w:cs="Calibri"/>
        </w:rPr>
        <w:t>propos</w:t>
      </w:r>
      <w:r w:rsidR="005B07F6" w:rsidRPr="00490BF6">
        <w:rPr>
          <w:rFonts w:ascii="Calibri" w:eastAsiaTheme="majorEastAsia" w:hAnsi="Calibri" w:cs="Calibri"/>
        </w:rPr>
        <w:t xml:space="preserve">er </w:t>
      </w:r>
      <w:r w:rsidRPr="00644F74">
        <w:rPr>
          <w:rFonts w:ascii="Calibri" w:eastAsiaTheme="majorEastAsia" w:hAnsi="Calibri" w:cs="Calibri"/>
        </w:rPr>
        <w:t>une approche empirique permettant d’évaluer ce degré de mobilité via la relation entre l’épargne nationale et l’investissement domestique.</w:t>
      </w:r>
    </w:p>
    <w:p w14:paraId="6624DFD0" w14:textId="24F58314" w:rsidR="008A520E" w:rsidRPr="00644F74" w:rsidRDefault="00644F74" w:rsidP="00CD0D93">
      <w:pPr>
        <w:pStyle w:val="NormalWeb"/>
        <w:jc w:val="both"/>
        <w:rPr>
          <w:rFonts w:ascii="Calibri" w:eastAsiaTheme="majorEastAsia" w:hAnsi="Calibri" w:cs="Calibri"/>
        </w:rPr>
      </w:pPr>
      <w:r w:rsidRPr="00644F74">
        <w:rPr>
          <w:rFonts w:ascii="Calibri" w:eastAsiaTheme="majorEastAsia" w:hAnsi="Calibri" w:cs="Calibri"/>
        </w:rPr>
        <w:t xml:space="preserve">Dans ce travail d’économétrie appliquée, nous réexaminons et étendons l’analyse de Feldstein et </w:t>
      </w:r>
      <w:proofErr w:type="spellStart"/>
      <w:r w:rsidRPr="00644F74">
        <w:rPr>
          <w:rFonts w:ascii="Calibri" w:eastAsiaTheme="majorEastAsia" w:hAnsi="Calibri" w:cs="Calibri"/>
        </w:rPr>
        <w:t>Horioka</w:t>
      </w:r>
      <w:proofErr w:type="spellEnd"/>
      <w:r w:rsidRPr="00644F74">
        <w:rPr>
          <w:rFonts w:ascii="Calibri" w:eastAsiaTheme="majorEastAsia" w:hAnsi="Calibri" w:cs="Calibri"/>
        </w:rPr>
        <w:t xml:space="preserve"> à partir de données relatives aux pays membres de l’Organisation de Coopération et de Développement </w:t>
      </w:r>
      <w:r w:rsidR="005B07F6" w:rsidRPr="00490BF6">
        <w:rPr>
          <w:rFonts w:ascii="Calibri" w:eastAsiaTheme="majorEastAsia" w:hAnsi="Calibri" w:cs="Calibri"/>
        </w:rPr>
        <w:t>E</w:t>
      </w:r>
      <w:r w:rsidRPr="00644F74">
        <w:rPr>
          <w:rFonts w:ascii="Calibri" w:eastAsiaTheme="majorEastAsia" w:hAnsi="Calibri" w:cs="Calibri"/>
        </w:rPr>
        <w:t xml:space="preserve">conomiques (OCDE), couvrant la période 2000–2024. L’objectif est d’évaluer empiriquement dans quelle mesure les évolutions économiques et financières récentes ont influencé la mobilité internationale du capital, en comparant nos résultats </w:t>
      </w:r>
      <w:r w:rsidR="008A520E" w:rsidRPr="00490BF6">
        <w:rPr>
          <w:rFonts w:ascii="Calibri" w:eastAsiaTheme="majorEastAsia" w:hAnsi="Calibri" w:cs="Calibri"/>
        </w:rPr>
        <w:t>à ceux obtenus dans la littérature.</w:t>
      </w:r>
    </w:p>
    <w:p w14:paraId="3BF62D91" w14:textId="77777777" w:rsidR="00644F74" w:rsidRPr="00644F74" w:rsidRDefault="00644F74" w:rsidP="00F644C7">
      <w:pPr>
        <w:pStyle w:val="NormalWeb"/>
        <w:jc w:val="both"/>
        <w:rPr>
          <w:rFonts w:ascii="Calibri" w:eastAsiaTheme="majorEastAsia" w:hAnsi="Calibri" w:cs="Calibri"/>
        </w:rPr>
      </w:pPr>
      <w:r w:rsidRPr="00644F74">
        <w:rPr>
          <w:rFonts w:ascii="Calibri" w:eastAsiaTheme="majorEastAsia" w:hAnsi="Calibri" w:cs="Calibri"/>
        </w:rPr>
        <w:t>Sur le plan empirique, l’analyse repose sur des données en coupe transversale, chaque pays représentant une unité d’observation, à partir de moyennes annuelles calculées sur différentes sous-périodes. Ce choix méthodologique permet d’examiner la relation épargne–investissement entre pays et d’en analyser la dynamique dans le temps. Plusieurs modèles économétriques seront mobilisés pour étudier cette relation et en apprécier l’évolution.</w:t>
      </w:r>
    </w:p>
    <w:p w14:paraId="3287D1E6" w14:textId="1AE6DA6A" w:rsidR="00CD0D93" w:rsidRPr="00644F74" w:rsidRDefault="00CD0D93" w:rsidP="00CD0D93">
      <w:pPr>
        <w:pStyle w:val="NormalWeb"/>
        <w:jc w:val="both"/>
        <w:rPr>
          <w:rFonts w:ascii="Calibri" w:eastAsiaTheme="majorEastAsia" w:hAnsi="Calibri" w:cs="Calibri"/>
        </w:rPr>
      </w:pPr>
      <w:r w:rsidRPr="00644F74">
        <w:rPr>
          <w:rFonts w:ascii="Calibri" w:eastAsiaTheme="majorEastAsia" w:hAnsi="Calibri" w:cs="Calibri"/>
        </w:rPr>
        <w:t>Par ailleurs, nous analyserons si les chocs récents</w:t>
      </w:r>
      <w:r w:rsidR="00AD7CEE">
        <w:rPr>
          <w:rFonts w:ascii="Calibri" w:eastAsiaTheme="majorEastAsia" w:hAnsi="Calibri" w:cs="Calibri"/>
        </w:rPr>
        <w:t>,</w:t>
      </w:r>
      <w:r w:rsidRPr="00644F74">
        <w:rPr>
          <w:rFonts w:ascii="Calibri" w:eastAsiaTheme="majorEastAsia" w:hAnsi="Calibri" w:cs="Calibri"/>
        </w:rPr>
        <w:t xml:space="preserve"> notamment la crise sanitaire de 2020 et la guerre en Ukraine</w:t>
      </w:r>
      <w:r w:rsidR="00AD7CEE">
        <w:rPr>
          <w:rFonts w:ascii="Calibri" w:eastAsiaTheme="majorEastAsia" w:hAnsi="Calibri" w:cs="Calibri"/>
        </w:rPr>
        <w:t>,</w:t>
      </w:r>
      <w:r w:rsidRPr="00644F74">
        <w:rPr>
          <w:rFonts w:ascii="Calibri" w:eastAsiaTheme="majorEastAsia" w:hAnsi="Calibri" w:cs="Calibri"/>
        </w:rPr>
        <w:t xml:space="preserve"> ont entraîné des ruptures dans cette relation. </w:t>
      </w:r>
      <w:r w:rsidR="004A223F" w:rsidRPr="00490BF6">
        <w:rPr>
          <w:rFonts w:ascii="Calibri" w:eastAsiaTheme="majorEastAsia" w:hAnsi="Calibri" w:cs="Calibri"/>
        </w:rPr>
        <w:t>A</w:t>
      </w:r>
      <w:r w:rsidRPr="00644F74">
        <w:rPr>
          <w:rFonts w:ascii="Calibri" w:eastAsiaTheme="majorEastAsia" w:hAnsi="Calibri" w:cs="Calibri"/>
        </w:rPr>
        <w:t xml:space="preserve"> cet effet, des estimations seront réalisées sur plusieurs sous-périodes, afin de mettre en évidence d’éventuelles ruptures structurelles dans la mobilité internationale du capital.</w:t>
      </w:r>
    </w:p>
    <w:p w14:paraId="4D193244" w14:textId="77777777" w:rsidR="00CD0D93" w:rsidRPr="00490BF6" w:rsidRDefault="00644F74" w:rsidP="00F644C7">
      <w:pPr>
        <w:pStyle w:val="NormalWeb"/>
        <w:jc w:val="both"/>
        <w:rPr>
          <w:rFonts w:ascii="Calibri" w:eastAsiaTheme="majorEastAsia" w:hAnsi="Calibri" w:cs="Calibri"/>
        </w:rPr>
      </w:pPr>
      <w:r w:rsidRPr="00644F74">
        <w:rPr>
          <w:rFonts w:ascii="Calibri" w:eastAsiaTheme="majorEastAsia" w:hAnsi="Calibri" w:cs="Calibri"/>
        </w:rPr>
        <w:t xml:space="preserve">Les résultats seront interprétés à la fois sur le plan statistique (significativité, qualité d’ajustement, stabilité des coefficients) et sur le plan économique (implications pour la mobilité du capital). </w:t>
      </w:r>
    </w:p>
    <w:p w14:paraId="50F77D2C" w14:textId="77777777" w:rsidR="004A223F" w:rsidRPr="00490BF6" w:rsidRDefault="004A223F" w:rsidP="00F644C7">
      <w:pPr>
        <w:pStyle w:val="NormalWeb"/>
        <w:jc w:val="both"/>
        <w:rPr>
          <w:rFonts w:ascii="Calibri" w:eastAsiaTheme="majorEastAsia" w:hAnsi="Calibri" w:cs="Calibri"/>
        </w:rPr>
      </w:pPr>
    </w:p>
    <w:p w14:paraId="42D3BFD7" w14:textId="2E97F364" w:rsidR="00ED5E0C" w:rsidRPr="00490BF6" w:rsidRDefault="00F004C7" w:rsidP="00F644C7">
      <w:pPr>
        <w:pStyle w:val="NormalWeb"/>
        <w:jc w:val="both"/>
        <w:rPr>
          <w:rStyle w:val="lev"/>
          <w:rFonts w:ascii="Calibri" w:eastAsiaTheme="majorEastAsia" w:hAnsi="Calibri" w:cs="Calibri"/>
          <w:b w:val="0"/>
          <w:bCs w:val="0"/>
        </w:rPr>
      </w:pPr>
      <w:r>
        <w:rPr>
          <w:rStyle w:val="lev"/>
          <w:rFonts w:ascii="Calibri" w:eastAsiaTheme="majorEastAsia" w:hAnsi="Calibri" w:cs="Calibri"/>
          <w:b w:val="0"/>
          <w:bCs w:val="0"/>
        </w:rPr>
        <w:tab/>
      </w:r>
      <w:r>
        <w:rPr>
          <w:rStyle w:val="lev"/>
          <w:rFonts w:ascii="Calibri" w:eastAsiaTheme="majorEastAsia" w:hAnsi="Calibri" w:cs="Calibri"/>
          <w:b w:val="0"/>
          <w:bCs w:val="0"/>
        </w:rPr>
        <w:tab/>
      </w:r>
      <w:r>
        <w:rPr>
          <w:rStyle w:val="lev"/>
          <w:rFonts w:ascii="Calibri" w:eastAsiaTheme="majorEastAsia" w:hAnsi="Calibri" w:cs="Calibri"/>
          <w:b w:val="0"/>
          <w:bCs w:val="0"/>
        </w:rPr>
        <w:tab/>
      </w:r>
      <w:r>
        <w:rPr>
          <w:rStyle w:val="lev"/>
          <w:rFonts w:ascii="Calibri" w:eastAsiaTheme="majorEastAsia" w:hAnsi="Calibri" w:cs="Calibri"/>
          <w:b w:val="0"/>
          <w:bCs w:val="0"/>
        </w:rPr>
        <w:tab/>
      </w:r>
      <w:r>
        <w:rPr>
          <w:rStyle w:val="lev"/>
          <w:rFonts w:ascii="Calibri" w:eastAsiaTheme="majorEastAsia" w:hAnsi="Calibri" w:cs="Calibri"/>
          <w:b w:val="0"/>
          <w:bCs w:val="0"/>
        </w:rPr>
        <w:tab/>
      </w:r>
      <w:r>
        <w:rPr>
          <w:rStyle w:val="lev"/>
          <w:rFonts w:ascii="Calibri" w:eastAsiaTheme="majorEastAsia" w:hAnsi="Calibri" w:cs="Calibri"/>
          <w:b w:val="0"/>
          <w:bCs w:val="0"/>
        </w:rPr>
        <w:tab/>
      </w:r>
      <w:r>
        <w:rPr>
          <w:rStyle w:val="lev"/>
          <w:rFonts w:ascii="Calibri" w:eastAsiaTheme="majorEastAsia" w:hAnsi="Calibri" w:cs="Calibri"/>
          <w:b w:val="0"/>
          <w:bCs w:val="0"/>
        </w:rPr>
        <w:tab/>
      </w:r>
      <w:r>
        <w:rPr>
          <w:rStyle w:val="lev"/>
          <w:rFonts w:ascii="Calibri" w:eastAsiaTheme="majorEastAsia" w:hAnsi="Calibri" w:cs="Calibri"/>
          <w:b w:val="0"/>
          <w:bCs w:val="0"/>
        </w:rPr>
        <w:tab/>
      </w:r>
      <w:r>
        <w:rPr>
          <w:rFonts w:ascii="Calibri" w:eastAsiaTheme="majorEastAsia" w:hAnsi="Calibri" w:cs="Calibri"/>
          <w:b/>
          <w:bCs/>
          <w:color w:val="156082" w:themeColor="accent1"/>
        </w:rPr>
        <w:t xml:space="preserve">Responsable : </w:t>
      </w:r>
      <w:proofErr w:type="spellStart"/>
      <w:proofErr w:type="gramStart"/>
      <w:r>
        <w:rPr>
          <w:rFonts w:ascii="Calibri" w:eastAsiaTheme="majorEastAsia" w:hAnsi="Calibri" w:cs="Calibri"/>
          <w:b/>
          <w:bCs/>
          <w:color w:val="156082" w:themeColor="accent1"/>
        </w:rPr>
        <w:t>Dr.Benoit</w:t>
      </w:r>
      <w:proofErr w:type="spellEnd"/>
      <w:proofErr w:type="gramEnd"/>
      <w:r>
        <w:rPr>
          <w:rFonts w:ascii="Calibri" w:eastAsiaTheme="majorEastAsia" w:hAnsi="Calibri" w:cs="Calibri"/>
          <w:b/>
          <w:bCs/>
          <w:color w:val="156082" w:themeColor="accent1"/>
        </w:rPr>
        <w:t xml:space="preserve"> </w:t>
      </w:r>
      <w:proofErr w:type="spellStart"/>
      <w:r>
        <w:rPr>
          <w:rFonts w:ascii="Calibri" w:eastAsiaTheme="majorEastAsia" w:hAnsi="Calibri" w:cs="Calibri"/>
          <w:b/>
          <w:bCs/>
          <w:color w:val="156082" w:themeColor="accent1"/>
        </w:rPr>
        <w:t>Mulkay</w:t>
      </w:r>
      <w:proofErr w:type="spellEnd"/>
    </w:p>
    <w:p w14:paraId="7C4D20EF" w14:textId="3EBD4D6B" w:rsidR="00490BF6" w:rsidRPr="00CD1D77" w:rsidRDefault="00490BF6" w:rsidP="004A223F">
      <w:pPr>
        <w:pStyle w:val="NormalWeb"/>
        <w:jc w:val="both"/>
        <w:rPr>
          <w:rStyle w:val="lev"/>
          <w:rFonts w:ascii="Calibri" w:eastAsiaTheme="majorEastAsia" w:hAnsi="Calibri" w:cs="Calibri"/>
        </w:rPr>
      </w:pPr>
      <w:r w:rsidRPr="00CD1D77">
        <w:rPr>
          <w:rStyle w:val="lev"/>
          <w:rFonts w:ascii="Calibri" w:eastAsiaTheme="majorEastAsia" w:hAnsi="Calibri" w:cs="Calibri"/>
        </w:rPr>
        <w:t>Référence</w:t>
      </w:r>
    </w:p>
    <w:p w14:paraId="2322A0AF" w14:textId="2FC95AB2" w:rsidR="00F004C7" w:rsidRPr="00F004C7" w:rsidRDefault="000C1147" w:rsidP="0071064C">
      <w:pPr>
        <w:pStyle w:val="NormalWeb"/>
        <w:jc w:val="both"/>
        <w:rPr>
          <w:rFonts w:ascii="Calibri" w:eastAsiaTheme="majorEastAsia" w:hAnsi="Calibri" w:cs="Calibri"/>
          <w:b/>
          <w:bCs/>
          <w:color w:val="156082" w:themeColor="accent1"/>
        </w:rPr>
      </w:pPr>
      <w:r w:rsidRPr="00CD1D77">
        <w:rPr>
          <w:rFonts w:ascii="Calibri" w:hAnsi="Calibri" w:cs="Calibri"/>
        </w:rPr>
        <w:t xml:space="preserve">Feldstein, Martin, and Charles </w:t>
      </w:r>
      <w:proofErr w:type="spellStart"/>
      <w:r w:rsidRPr="00CD1D77">
        <w:rPr>
          <w:rFonts w:ascii="Calibri" w:hAnsi="Calibri" w:cs="Calibri"/>
        </w:rPr>
        <w:t>Horioka</w:t>
      </w:r>
      <w:proofErr w:type="spellEnd"/>
      <w:r w:rsidRPr="00CD1D77">
        <w:rPr>
          <w:rFonts w:ascii="Calibri" w:hAnsi="Calibri" w:cs="Calibri"/>
        </w:rPr>
        <w:t xml:space="preserve">. </w:t>
      </w:r>
      <w:r w:rsidRPr="00AD7CEE">
        <w:rPr>
          <w:rFonts w:ascii="Calibri" w:hAnsi="Calibri" w:cs="Calibri"/>
          <w:lang w:val="en-US"/>
        </w:rPr>
        <w:t xml:space="preserve">1980. </w:t>
      </w:r>
      <w:r w:rsidRPr="00AD7CEE">
        <w:rPr>
          <w:rStyle w:val="Accentuation"/>
          <w:rFonts w:ascii="Calibri" w:eastAsiaTheme="majorEastAsia" w:hAnsi="Calibri" w:cs="Calibri"/>
          <w:lang w:val="en-US"/>
        </w:rPr>
        <w:t>“Domestic Saving and International Capital Flows.”</w:t>
      </w:r>
      <w:r w:rsidRPr="00AD7CEE">
        <w:rPr>
          <w:rFonts w:ascii="Calibri" w:hAnsi="Calibri" w:cs="Calibri"/>
          <w:lang w:val="en-US"/>
        </w:rPr>
        <w:t xml:space="preserve"> </w:t>
      </w:r>
      <w:r w:rsidRPr="00F004C7">
        <w:rPr>
          <w:rStyle w:val="Accentuation"/>
          <w:rFonts w:ascii="Calibri" w:eastAsiaTheme="majorEastAsia" w:hAnsi="Calibri" w:cs="Calibri"/>
          <w:lang w:val="en-US"/>
        </w:rPr>
        <w:t>The Economic Journal</w:t>
      </w:r>
      <w:r w:rsidRPr="00F004C7">
        <w:rPr>
          <w:rFonts w:ascii="Calibri" w:hAnsi="Calibri" w:cs="Calibri"/>
          <w:lang w:val="en-US"/>
        </w:rPr>
        <w:t>, 90(358), 314–329.</w:t>
      </w:r>
      <w:r w:rsidR="00F004C7">
        <w:rPr>
          <w:rFonts w:ascii="Calibri" w:eastAsiaTheme="majorEastAsia" w:hAnsi="Calibri" w:cs="Calibri"/>
          <w:b/>
          <w:bCs/>
          <w:color w:val="156082" w:themeColor="accent1"/>
        </w:rPr>
        <w:t xml:space="preserve"> </w:t>
      </w:r>
    </w:p>
    <w:sectPr w:rsidR="00F004C7" w:rsidRPr="00F00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96F9E"/>
    <w:multiLevelType w:val="multilevel"/>
    <w:tmpl w:val="7B7E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7219"/>
    <w:multiLevelType w:val="multilevel"/>
    <w:tmpl w:val="F97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514476">
    <w:abstractNumId w:val="0"/>
  </w:num>
  <w:num w:numId="2" w16cid:durableId="559748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4B"/>
    <w:rsid w:val="0004757A"/>
    <w:rsid w:val="00057AD5"/>
    <w:rsid w:val="000B5B21"/>
    <w:rsid w:val="000C1147"/>
    <w:rsid w:val="000C3017"/>
    <w:rsid w:val="00262017"/>
    <w:rsid w:val="002A0C33"/>
    <w:rsid w:val="003E4D54"/>
    <w:rsid w:val="004034BE"/>
    <w:rsid w:val="004222A3"/>
    <w:rsid w:val="00490BF6"/>
    <w:rsid w:val="004A223F"/>
    <w:rsid w:val="00583207"/>
    <w:rsid w:val="005B07F6"/>
    <w:rsid w:val="00644F74"/>
    <w:rsid w:val="006F6FC5"/>
    <w:rsid w:val="0071064C"/>
    <w:rsid w:val="007D534C"/>
    <w:rsid w:val="00805F71"/>
    <w:rsid w:val="008A520E"/>
    <w:rsid w:val="0092002F"/>
    <w:rsid w:val="0092764B"/>
    <w:rsid w:val="00A579E3"/>
    <w:rsid w:val="00AD7CEE"/>
    <w:rsid w:val="00B23B4B"/>
    <w:rsid w:val="00B34B25"/>
    <w:rsid w:val="00BD1B7F"/>
    <w:rsid w:val="00C00715"/>
    <w:rsid w:val="00C37B95"/>
    <w:rsid w:val="00C47223"/>
    <w:rsid w:val="00CD0D93"/>
    <w:rsid w:val="00CD1D77"/>
    <w:rsid w:val="00D3752D"/>
    <w:rsid w:val="00D42F27"/>
    <w:rsid w:val="00ED5E0C"/>
    <w:rsid w:val="00F004C7"/>
    <w:rsid w:val="00F25F9A"/>
    <w:rsid w:val="00F644C7"/>
    <w:rsid w:val="00FC4820"/>
    <w:rsid w:val="00FE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C1036"/>
  <w15:chartTrackingRefBased/>
  <w15:docId w15:val="{78D52031-213D-4C02-841E-B8334CFE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7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7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7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7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7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76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76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76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76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76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76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76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76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76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7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76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764B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0C1147"/>
    <w:rPr>
      <w:b/>
      <w:bCs/>
    </w:rPr>
  </w:style>
  <w:style w:type="paragraph" w:styleId="NormalWeb">
    <w:name w:val="Normal (Web)"/>
    <w:basedOn w:val="Normal"/>
    <w:uiPriority w:val="99"/>
    <w:unhideWhenUsed/>
    <w:rsid w:val="000C1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0C11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Eddine CHEBBI</dc:creator>
  <cp:keywords/>
  <dc:description/>
  <cp:lastModifiedBy>Alia Chebbi</cp:lastModifiedBy>
  <cp:revision>4</cp:revision>
  <cp:lastPrinted>2025-11-02T12:45:00Z</cp:lastPrinted>
  <dcterms:created xsi:type="dcterms:W3CDTF">2025-11-02T17:26:00Z</dcterms:created>
  <dcterms:modified xsi:type="dcterms:W3CDTF">2025-11-02T17:29:00Z</dcterms:modified>
</cp:coreProperties>
</file>