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3864"/>
          <w:sz w:val="48"/>
          <w:szCs w:val="48"/>
        </w:rPr>
        <w:t xml:space="preserve">NovaTrade Solutions</w:t>
      </w:r>
    </w:p>
    <w:p>
      <w:pPr>
        <w:spacing w:after="240" w:before="0"/>
        <w:jc w:val="center"/>
      </w:pPr>
      <w:r>
        <w:rPr>
          <w:rFonts w:ascii="Arial" w:cs="Arial" w:eastAsia="Arial" w:hAnsi="Arial"/>
          <w:b/>
          <w:bCs/>
          <w:color w:val="2E75B6"/>
          <w:sz w:val="32"/>
          <w:szCs w:val="32"/>
        </w:rPr>
        <w:t xml:space="preserve">Multi-Factor Authentication (MFA) Policy</w:t>
      </w:r>
    </w:p>
    <w:p>
      <w:pPr>
        <w:pBdr>
          <w:bottom w:val="single" w:color="2E75B6" w:sz="6" w:space="1"/>
        </w:pBdr>
        <w:spacing w:after="160" w:before="160"/>
      </w:pPr>
      <w:r>
        <w:t xml:space="preserve"/>
      </w:r>
    </w:p>
    <w:p>
      <w:pPr>
        <w:spacing w:after="80" w:before="160"/>
        <w:jc w:val="center"/>
      </w:pPr>
      <w:r>
        <w:rPr>
          <w:rFonts w:ascii="Arial" w:cs="Arial" w:eastAsia="Arial" w:hAnsi="Arial"/>
          <w:sz w:val="22"/>
          <w:szCs w:val="22"/>
        </w:rPr>
        <w:t xml:space="preserve">Policy Owner: IT Infrastructure Manager</w:t>
      </w:r>
    </w:p>
    <w:p>
      <w:pPr>
        <w:spacing w:after="80" w:before="80"/>
        <w:jc w:val="center"/>
      </w:pPr>
      <w:r>
        <w:rPr>
          <w:rFonts w:ascii="Arial" w:cs="Arial" w:eastAsia="Arial" w:hAnsi="Arial"/>
          <w:sz w:val="22"/>
          <w:szCs w:val="22"/>
        </w:rPr>
        <w:t xml:space="preserve">Prepared by: Alia Ahmad Aladwan — Cybersecurity Capstone Project</w:t>
      </w:r>
    </w:p>
    <w:p>
      <w:pPr>
        <w:spacing w:after="480" w:before="80"/>
        <w:jc w:val="center"/>
      </w:pPr>
      <w:r>
        <w:rPr>
          <w:rFonts w:ascii="Arial" w:cs="Arial" w:eastAsia="Arial" w:hAnsi="Arial"/>
          <w:i/>
          <w:iCs/>
          <w:sz w:val="22"/>
          <w:szCs w:val="22"/>
        </w:rPr>
        <w:t xml:space="preserve">Effective Date: June 2025  |  Review Cycle: Annual</w:t>
      </w:r>
    </w:p>
    <w:p>
      <w:r>
        <w:br w:type="page"/>
      </w:r>
    </w:p>
    <w:p>
      <w:pPr>
        <w:pStyle w:val="Heading1"/>
        <w:spacing w:after="160" w:before="360"/>
      </w:pPr>
      <w:r>
        <w:rPr>
          <w:rFonts w:ascii="Arial" w:cs="Arial" w:eastAsia="Arial" w:hAnsi="Arial"/>
          <w:b/>
          <w:bCs/>
          <w:color w:val="1F3864"/>
          <w:sz w:val="32"/>
          <w:szCs w:val="32"/>
        </w:rPr>
        <w:t xml:space="preserve">1. Purpose</w:t>
      </w:r>
    </w:p>
    <w:p>
      <w:pPr>
        <w:spacing w:after="80" w:before="80"/>
      </w:pPr>
      <w:r>
        <w:rPr>
          <w:rFonts w:ascii="Arial" w:cs="Arial" w:eastAsia="Arial" w:hAnsi="Arial"/>
          <w:sz w:val="20"/>
          <w:szCs w:val="20"/>
        </w:rPr>
        <w:t xml:space="preserve">This policy mandates Multi-Factor Authentication (MFA) for all remote access to NovaTrade Solutions' network in order to prevent unauthorized access resulting from compromised or weak passwords. This policy is issued directly in response to Incident INC-2025-001, in which a remote attacker gained unauthorized network access through the VPN gateway using only a username and password.</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2. Scope</w:t>
      </w:r>
    </w:p>
    <w:p>
      <w:pPr>
        <w:spacing w:after="80" w:before="80"/>
      </w:pPr>
      <w:r>
        <w:rPr>
          <w:rFonts w:ascii="Arial" w:cs="Arial" w:eastAsia="Arial" w:hAnsi="Arial"/>
          <w:sz w:val="20"/>
          <w:szCs w:val="20"/>
        </w:rPr>
        <w:t xml:space="preserve">This policy applies to:</w:t>
      </w:r>
    </w:p>
    <w:p>
      <w:pPr>
        <w:pStyle w:val="ListParagraph"/>
        <w:numPr>
          <w:ilvl w:val="0"/>
          <w:numId w:val="2"/>
        </w:numPr>
        <w:spacing w:after="60" w:before="60"/>
      </w:pPr>
      <w:r>
        <w:rPr>
          <w:rFonts w:ascii="Arial" w:cs="Arial" w:eastAsia="Arial" w:hAnsi="Arial"/>
          <w:sz w:val="20"/>
          <w:szCs w:val="20"/>
        </w:rPr>
        <w:t xml:space="preserve">All employees and contractors who connect to the corporate network via VPN (currently 40 remote employees).</w:t>
      </w:r>
    </w:p>
    <w:p>
      <w:pPr>
        <w:pStyle w:val="ListParagraph"/>
        <w:numPr>
          <w:ilvl w:val="0"/>
          <w:numId w:val="2"/>
        </w:numPr>
        <w:spacing w:after="60" w:before="60"/>
      </w:pPr>
      <w:r>
        <w:rPr>
          <w:rFonts w:ascii="Arial" w:cs="Arial" w:eastAsia="Arial" w:hAnsi="Arial"/>
          <w:sz w:val="20"/>
          <w:szCs w:val="20"/>
        </w:rPr>
        <w:t xml:space="preserve">All accounts with administrative privileges on internal systems, including the File Server and Customer Database.</w:t>
      </w:r>
    </w:p>
    <w:p>
      <w:pPr>
        <w:pStyle w:val="ListParagraph"/>
        <w:numPr>
          <w:ilvl w:val="0"/>
          <w:numId w:val="2"/>
        </w:numPr>
        <w:spacing w:after="60" w:before="60"/>
      </w:pPr>
      <w:r>
        <w:rPr>
          <w:rFonts w:ascii="Arial" w:cs="Arial" w:eastAsia="Arial" w:hAnsi="Arial"/>
          <w:sz w:val="20"/>
          <w:szCs w:val="20"/>
        </w:rPr>
        <w:t xml:space="preserve">All access to Microsoft 365 (email and collaboration services) for accounts with elevated privileges.</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3. Policy Statement</w:t>
      </w:r>
    </w:p>
    <w:p>
      <w:pPr>
        <w:pStyle w:val="ListParagraph"/>
        <w:numPr>
          <w:ilvl w:val="0"/>
          <w:numId w:val="2"/>
        </w:numPr>
        <w:spacing w:after="60" w:before="60"/>
      </w:pPr>
      <w:r>
        <w:rPr>
          <w:rFonts w:ascii="Arial" w:cs="Arial" w:eastAsia="Arial" w:hAnsi="Arial"/>
          <w:sz w:val="20"/>
          <w:szCs w:val="20"/>
        </w:rPr>
        <w:t xml:space="preserve">MFA is mandatory for all VPN connections. No VPN account may authenticate using a password alone.</w:t>
      </w:r>
    </w:p>
    <w:p>
      <w:pPr>
        <w:pStyle w:val="ListParagraph"/>
        <w:numPr>
          <w:ilvl w:val="0"/>
          <w:numId w:val="2"/>
        </w:numPr>
        <w:spacing w:after="60" w:before="60"/>
      </w:pPr>
      <w:r>
        <w:rPr>
          <w:rFonts w:ascii="Arial" w:cs="Arial" w:eastAsia="Arial" w:hAnsi="Arial"/>
          <w:sz w:val="20"/>
          <w:szCs w:val="20"/>
        </w:rPr>
        <w:t xml:space="preserve">MFA must be enforced before any VPN account is reactivated following this incident.</w:t>
      </w:r>
    </w:p>
    <w:p>
      <w:pPr>
        <w:pStyle w:val="ListParagraph"/>
        <w:numPr>
          <w:ilvl w:val="0"/>
          <w:numId w:val="2"/>
        </w:numPr>
        <w:spacing w:after="60" w:before="60"/>
      </w:pPr>
      <w:r>
        <w:rPr>
          <w:rFonts w:ascii="Arial" w:cs="Arial" w:eastAsia="Arial" w:hAnsi="Arial"/>
          <w:sz w:val="20"/>
          <w:szCs w:val="20"/>
        </w:rPr>
        <w:t xml:space="preserve">Administrative accounts on internal servers (File Server, Customer DB) must use MFA in addition to non-default, complex passwords.</w:t>
      </w:r>
    </w:p>
    <w:p>
      <w:pPr>
        <w:pStyle w:val="ListParagraph"/>
        <w:numPr>
          <w:ilvl w:val="0"/>
          <w:numId w:val="2"/>
        </w:numPr>
        <w:spacing w:after="60" w:before="60"/>
      </w:pPr>
      <w:r>
        <w:rPr>
          <w:rFonts w:ascii="Arial" w:cs="Arial" w:eastAsia="Arial" w:hAnsi="Arial"/>
          <w:sz w:val="20"/>
          <w:szCs w:val="20"/>
        </w:rPr>
        <w:t xml:space="preserve">Approved MFA methods include authenticator applications (e.g., TOTP-based apps) or hardware security keys. SMS-based MFA is discouraged as a primary method due to known interception risks, and may only be used as a fallback.</w:t>
      </w:r>
    </w:p>
    <w:p>
      <w:pPr>
        <w:pStyle w:val="ListParagraph"/>
        <w:numPr>
          <w:ilvl w:val="0"/>
          <w:numId w:val="2"/>
        </w:numPr>
        <w:spacing w:after="60" w:before="60"/>
      </w:pPr>
      <w:r>
        <w:rPr>
          <w:rFonts w:ascii="Arial" w:cs="Arial" w:eastAsia="Arial" w:hAnsi="Arial"/>
          <w:sz w:val="20"/>
          <w:szCs w:val="20"/>
        </w:rPr>
        <w:t xml:space="preserve">MFA enrollment is mandatory before VPN or administrative access is granted — no grace period or temporary bypass is permitted.</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4.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Role</w:t>
            </w:r>
          </w:p>
        </w:tc>
        <w:tc>
          <w:tcPr>
            <w:tcW w:type="dxa" w:w="624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Responsibility</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000000"/>
                <w:sz w:val="18"/>
                <w:szCs w:val="18"/>
              </w:rPr>
              <w:t xml:space="preserve">IT Infrastructure Manager</w:t>
            </w:r>
          </w:p>
        </w:tc>
        <w:tc>
          <w:tcPr>
            <w:tcW w:type="dxa" w:w="62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000000"/>
                <w:sz w:val="18"/>
                <w:szCs w:val="18"/>
              </w:rPr>
              <w:t xml:space="preserve">Implements MFA enforcement on the VPN gateway and internal admin accounts; manages exceptions process.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All Employees (Remote/VPN Users)</w:t>
            </w:r>
          </w:p>
        </w:tc>
        <w:tc>
          <w:tcPr>
            <w:tcW w:type="dxa" w:w="62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000000"/>
                <w:sz w:val="18"/>
                <w:szCs w:val="18"/>
              </w:rPr>
              <w:t xml:space="preserve">Enroll in MFA before requesting VPN access; report lost devices or MFA issues immediately to IT.</w:t>
            </w:r>
          </w:p>
        </w:tc>
      </w:tr>
      <w:tr>
        <w:tc>
          <w:tcPr>
            <w:tcW w:type="dxa" w:w="312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000000"/>
                <w:sz w:val="18"/>
                <w:szCs w:val="18"/>
              </w:rPr>
              <w:t xml:space="preserve">SOC / Security Team</w:t>
            </w:r>
          </w:p>
        </w:tc>
        <w:tc>
          <w:tcPr>
            <w:tcW w:type="dxa" w:w="624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b w:val="false"/>
                <w:bCs w:val="false"/>
                <w:color w:val="000000"/>
                <w:sz w:val="18"/>
                <w:szCs w:val="18"/>
              </w:rPr>
              <w:t xml:space="preserve">Monitors authentication logs for MFA bypass attempts or anomalies; reviews policy compliance quarterly.</w:t>
            </w:r>
          </w:p>
        </w:tc>
      </w:tr>
    </w:tbl>
    <w:p>
      <w:pPr>
        <w:spacing w:after="80" w:before="80"/>
      </w:pPr>
      <w:r>
        <w:t xml:space="preserve"/>
      </w:r>
    </w:p>
    <w:p>
      <w:pPr>
        <w:pStyle w:val="Heading1"/>
        <w:spacing w:after="160" w:before="360"/>
      </w:pPr>
      <w:r>
        <w:rPr>
          <w:rFonts w:ascii="Arial" w:cs="Arial" w:eastAsia="Arial" w:hAnsi="Arial"/>
          <w:b/>
          <w:bCs/>
          <w:color w:val="1F3864"/>
          <w:sz w:val="32"/>
          <w:szCs w:val="32"/>
        </w:rPr>
        <w:t xml:space="preserve">5. Enforcement</w:t>
      </w:r>
    </w:p>
    <w:p>
      <w:pPr>
        <w:spacing w:after="80" w:before="80"/>
      </w:pPr>
      <w:r>
        <w:rPr>
          <w:rFonts w:ascii="Arial" w:cs="Arial" w:eastAsia="Arial" w:hAnsi="Arial"/>
          <w:sz w:val="20"/>
          <w:szCs w:val="20"/>
        </w:rPr>
        <w:t xml:space="preserve">Any VPN or administrative account found without active MFA enrollment will be suspended until enrollment is completed. Non-compliance by employees after notification may result in access revocation, in line with NovaTrade's broader Acceptable Use Policy.</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6. Exceptions</w:t>
      </w:r>
    </w:p>
    <w:p>
      <w:pPr>
        <w:spacing w:after="80" w:before="80"/>
      </w:pPr>
      <w:r>
        <w:rPr>
          <w:rFonts w:ascii="Arial" w:cs="Arial" w:eastAsia="Arial" w:hAnsi="Arial"/>
          <w:sz w:val="20"/>
          <w:szCs w:val="20"/>
        </w:rPr>
        <w:t xml:space="preserve">Exceptions require written approval from the IT Infrastructure Manager and must include a documented compensating control (e.g., temporary IP allow-listing) and a maximum validity period of 14 days.</w:t>
      </w:r>
    </w:p>
    <w:p>
      <w:pPr>
        <w:spacing w:after="80" w:before="80"/>
      </w:pPr>
      <w:r>
        <w:t xml:space="preserve"/>
      </w:r>
    </w:p>
    <w:p>
      <w:pPr>
        <w:pStyle w:val="Heading1"/>
        <w:spacing w:after="160" w:before="360"/>
      </w:pPr>
      <w:r>
        <w:rPr>
          <w:rFonts w:ascii="Arial" w:cs="Arial" w:eastAsia="Arial" w:hAnsi="Arial"/>
          <w:b/>
          <w:bCs/>
          <w:color w:val="1F3864"/>
          <w:sz w:val="32"/>
          <w:szCs w:val="32"/>
        </w:rPr>
        <w:t xml:space="preserve">7. Policy Review</w:t>
      </w:r>
    </w:p>
    <w:p>
      <w:pPr>
        <w:spacing w:after="80" w:before="80"/>
      </w:pPr>
      <w:r>
        <w:rPr>
          <w:rFonts w:ascii="Arial" w:cs="Arial" w:eastAsia="Arial" w:hAnsi="Arial"/>
          <w:sz w:val="20"/>
          <w:szCs w:val="20"/>
        </w:rPr>
        <w:t xml:space="preserve">This policy will be reviewed annually, or immediately following any security incident involving authentication controls, whichever occurs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2026-06-20T10:51:53.446Z</dcterms:created>
  <dcterms:modified xsi:type="dcterms:W3CDTF">2026-06-20T10:51:53.446Z</dcterms:modified>
</cp:coreProperties>
</file>

<file path=docProps/custom.xml><?xml version="1.0" encoding="utf-8"?>
<Properties xmlns="http://schemas.openxmlformats.org/officeDocument/2006/custom-properties" xmlns:vt="http://schemas.openxmlformats.org/officeDocument/2006/docPropsVTypes"/>
</file>