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Microservices Assignment 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What is microservices?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Microservices is an architectural style that structures an application as a collection of services that 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Highly maintainable and testable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Loosely coupled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Independently deployable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Organized around business capabilities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Owned by a small team</w:t>
      </w:r>
    </w:p>
    <w:p w:rsidR="00000000" w:rsidDel="00000000" w:rsidP="00000000" w:rsidRDefault="00000000" w:rsidRPr="00000000" w14:paraId="0000000B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Challenges with monolithic oriented architecture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="276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All services in a monolithic application share data storage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 a single technology stack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Very slow deployment speeds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Tightly coupled with low cohesion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16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Requires recreating and redeploying the entire application</w:t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Any three advantage and disadvantage of microservices</w:t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Advantages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276" w:lineRule="auto"/>
        <w:ind w:left="2160" w:hanging="360"/>
        <w:jc w:val="both"/>
        <w:rPr/>
      </w:pPr>
      <w:r w:rsidDel="00000000" w:rsidR="00000000" w:rsidRPr="00000000">
        <w:rPr>
          <w:color w:val="231f20"/>
          <w:rtl w:val="0"/>
        </w:rPr>
        <w:t xml:space="preserve">Loosely coupled with high cohesion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276" w:lineRule="auto"/>
        <w:ind w:left="2160" w:hanging="360"/>
        <w:jc w:val="both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Each service can be built and deployed independently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60" w:line="276" w:lineRule="auto"/>
        <w:ind w:left="2160" w:hanging="360"/>
        <w:jc w:val="both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Can utilize a different technology stack per service</w:t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jc w:val="both"/>
        <w:rPr>
          <w:color w:val="231f20"/>
        </w:rPr>
      </w:pPr>
      <w:r w:rsidDel="00000000" w:rsidR="00000000" w:rsidRPr="00000000">
        <w:rPr>
          <w:color w:val="231f20"/>
          <w:rtl w:val="0"/>
        </w:rPr>
        <w:tab/>
        <w:t xml:space="preserve">Disadvantages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="276" w:lineRule="auto"/>
        <w:ind w:left="2160" w:hanging="360"/>
        <w:jc w:val="both"/>
        <w:rPr>
          <w:color w:val="231f20"/>
          <w:u w:val="none"/>
        </w:rPr>
      </w:pPr>
      <w:r w:rsidDel="00000000" w:rsidR="00000000" w:rsidRPr="00000000">
        <w:rPr>
          <w:color w:val="231f20"/>
          <w:rtl w:val="0"/>
        </w:rPr>
        <w:t xml:space="preserve">Difficult to manage a large number of services.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="276" w:lineRule="auto"/>
        <w:ind w:left="2160" w:hanging="360"/>
        <w:jc w:val="both"/>
        <w:rPr>
          <w:color w:val="231f20"/>
          <w:u w:val="none"/>
        </w:rPr>
      </w:pPr>
      <w:r w:rsidDel="00000000" w:rsidR="00000000" w:rsidRPr="00000000">
        <w:rPr>
          <w:color w:val="231f20"/>
          <w:rtl w:val="0"/>
        </w:rPr>
        <w:t xml:space="preserve">Complex testing over a distributed environment.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160" w:line="276" w:lineRule="auto"/>
        <w:ind w:left="2160" w:hanging="360"/>
        <w:jc w:val="both"/>
        <w:rPr>
          <w:color w:val="231f20"/>
          <w:u w:val="none"/>
        </w:rPr>
      </w:pPr>
      <w:r w:rsidDel="00000000" w:rsidR="00000000" w:rsidRPr="00000000">
        <w:rPr>
          <w:color w:val="231f20"/>
          <w:rtl w:val="0"/>
        </w:rPr>
        <w:t xml:space="preserve">There is a higher chance of failure during communication between different services.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