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The Drug Discovery Pipeline &amp; AI Revolution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Xeb607c7dae4217786030b9168eb76645db00121"/>
    <w:p>
      <w:pPr>
        <w:pStyle w:val="Heading1"/>
      </w:pPr>
      <w:r>
        <w:t xml:space="preserve">Chapter 1: The Drug Discovery Pipeline &amp; AI Revolution</w:t>
      </w:r>
    </w:p>
    <w:bookmarkStart w:id="11" w:name="the-traditional-drug-discovery-pipeline"/>
    <w:p>
      <w:pPr>
        <w:pStyle w:val="Heading2"/>
      </w:pPr>
      <w:r>
        <w:t xml:space="preserve">1.1 The Traditional Drug Discovery Pipeline</w:t>
      </w:r>
    </w:p>
    <w:p>
      <w:pPr>
        <w:pStyle w:val="FirstParagraph"/>
      </w:pPr>
      <w:r>
        <w:t xml:space="preserve">Bringing a new medicine to market is a multi-stage filtering process. Each</w:t>
      </w:r>
      <w:r>
        <w:t xml:space="preserve"> </w:t>
      </w:r>
      <w:r>
        <w:t xml:space="preserve">stage exists to kill bad candidates as cheaply as possible, before they</w:t>
      </w:r>
      <w:r>
        <w:t xml:space="preserve"> </w:t>
      </w:r>
      <w:r>
        <w:t xml:space="preserve">reach a stage where failure is expensive. The stages, in order, are</w:t>
      </w:r>
      <w:r>
        <w:t xml:space="preserve"> </w:t>
      </w:r>
      <w:r>
        <w:t xml:space="preserve">broadly: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identification &amp; validation</w:t>
      </w:r>
      <w:r>
        <w:t xml:space="preserve"> </w:t>
      </w:r>
      <w:r>
        <w:t xml:space="preserve">— establishing that modulating</w:t>
      </w:r>
      <w:r>
        <w:t xml:space="preserve"> </w:t>
      </w:r>
      <w:r>
        <w:t xml:space="preserve">a specific biomolecule (usually a protein) plausibly changes the course</w:t>
      </w:r>
      <w:r>
        <w:t xml:space="preserve"> </w:t>
      </w:r>
      <w:r>
        <w:t xml:space="preserve">of a disease, using genetic, biochemical, or clinical evidence.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Hit identification</w:t>
      </w:r>
      <w:r>
        <w:t xml:space="preserve"> </w:t>
      </w:r>
      <w:r>
        <w:t xml:space="preserve">— screening large compound libraries (physically,</w:t>
      </w:r>
      <w:r>
        <w:t xml:space="preserve"> </w:t>
      </w:r>
      <w:r>
        <w:t xml:space="preserve">via high-throughput screening, or virtually, via computational</w:t>
      </w:r>
      <w:r>
        <w:t xml:space="preserve"> </w:t>
      </w:r>
      <w:r>
        <w:t xml:space="preserve">docking/similarity search) to find molecules that bind the target.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Hit-to-lead &amp; lead optimization</w:t>
      </w:r>
      <w:r>
        <w:t xml:space="preserve"> </w:t>
      </w:r>
      <w:r>
        <w:t xml:space="preserve">— iteratively modifying hit</w:t>
      </w:r>
      <w:r>
        <w:t xml:space="preserve"> </w:t>
      </w:r>
      <w:r>
        <w:t xml:space="preserve">compounds to improve potency, selectivity, and drug-like properties</w:t>
      </w:r>
      <w:r>
        <w:t xml:space="preserve"> </w:t>
      </w:r>
      <w:r>
        <w:t xml:space="preserve">(solubility, metabolic stability, low toxicity) while tracking</w:t>
      </w:r>
      <w:r>
        <w:t xml:space="preserve"> </w:t>
      </w:r>
      <w:r>
        <w:t xml:space="preserve">structure–activity relationships (SAR).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Preclinical development</w:t>
      </w:r>
      <w:r>
        <w:t xml:space="preserve"> </w:t>
      </w:r>
      <w:r>
        <w:t xml:space="preserve">— in vitro and animal studies of efficacy,</w:t>
      </w:r>
      <w:r>
        <w:t xml:space="preserve"> </w:t>
      </w:r>
      <w:r>
        <w:t xml:space="preserve">pharmacokinetics (absorption, distribution, metabolism, excretion —</w:t>
      </w:r>
      <w:r>
        <w:t xml:space="preserve"> </w:t>
      </w:r>
      <w:r>
        <w:t xml:space="preserve">ADME), and toxicology, required before human dosing.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Clinical trials</w:t>
      </w:r>
      <w:r>
        <w:t xml:space="preserve"> </w:t>
      </w:r>
      <w:r>
        <w:t xml:space="preserve">— Phase I (safety, small healthy/patient cohorts),</w:t>
      </w:r>
      <w:r>
        <w:t xml:space="preserve"> </w:t>
      </w:r>
      <w:r>
        <w:t xml:space="preserve">Phase II (efficacy signal, dose-finding), and Phase III (large,</w:t>
      </w:r>
      <w:r>
        <w:t xml:space="preserve"> </w:t>
      </w:r>
      <w:r>
        <w:t xml:space="preserve">randomized, confirmatory efficacy and safety) trials in human subjects.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Regulatory review and approval</w:t>
      </w:r>
      <w:r>
        <w:t xml:space="preserve"> </w:t>
      </w:r>
      <w:r>
        <w:t xml:space="preserve">— submission of the accumulated</w:t>
      </w:r>
      <w:r>
        <w:t xml:space="preserve"> </w:t>
      </w:r>
      <w:r>
        <w:t xml:space="preserve">evidence (e.g., a New Drug Application to the US FDA) for marketing</w:t>
      </w:r>
      <w:r>
        <w:t xml:space="preserve"> </w:t>
      </w:r>
      <w:r>
        <w:t xml:space="preserve">authorization.</w:t>
      </w:r>
    </w:p>
    <w:p>
      <w:pPr>
        <w:pStyle w:val="FirstParagraph"/>
      </w:pPr>
      <w:r>
        <w:t xml:space="preserve">A candidate can fail at any stage, and the cost of failure grows by orders</w:t>
      </w:r>
      <w:r>
        <w:t xml:space="preserve"> </w:t>
      </w:r>
      <w:r>
        <w:t xml:space="preserve">of magnitude the later it happens — a compound that fails in early</w:t>
      </w:r>
      <w:r>
        <w:t xml:space="preserve"> </w:t>
      </w:r>
      <w:r>
        <w:t xml:space="preserve">screening costs a lab reagents and a few days; a compound that fails in</w:t>
      </w:r>
      <w:r>
        <w:t xml:space="preserve"> </w:t>
      </w:r>
      <w:r>
        <w:t xml:space="preserve">Phase III has consumed years and hundreds of millions of dollars enrolling</w:t>
      </w:r>
      <w:r>
        <w:t xml:space="preserve"> </w:t>
      </w:r>
      <w:r>
        <w:t xml:space="preserve">and monitoring patients. This asymmetry is the central economic argument</w:t>
      </w:r>
      <w:r>
        <w:t xml:space="preserve"> </w:t>
      </w:r>
      <w:r>
        <w:t xml:space="preserve">for pushing predictive power as early into the pipeline as possible, which</w:t>
      </w:r>
      <w:r>
        <w:t xml:space="preserve"> </w:t>
      </w:r>
      <w:r>
        <w:t xml:space="preserve">is exactly where the computational and AI methods covered in this book are</w:t>
      </w:r>
      <w:r>
        <w:t xml:space="preserve"> </w:t>
      </w:r>
      <w:r>
        <w:t xml:space="preserve">concentrated.</w:t>
      </w:r>
    </w:p>
    <w:bookmarkStart w:id="9" w:name="the-economics-of-attrition-erooms-law"/>
    <w:p>
      <w:pPr>
        <w:pStyle w:val="Heading3"/>
      </w:pPr>
      <w:r>
        <w:t xml:space="preserve">The economics of attrition: Eroom’s Law</w:t>
      </w:r>
    </w:p>
    <w:p>
      <w:pPr>
        <w:pStyle w:val="FirstParagraph"/>
      </w:pPr>
      <w:r>
        <w:t xml:space="preserve">Despite decades of technological improvement — combinatorial chemistry,</w:t>
      </w:r>
      <w:r>
        <w:t xml:space="preserve"> </w:t>
      </w:r>
      <w:r>
        <w:t xml:space="preserve">high-throughput screening, genomics, and now machine learning — the</w:t>
      </w:r>
      <w:r>
        <w:t xml:space="preserve"> </w:t>
      </w:r>
      <w:r>
        <w:rPr>
          <w:i/>
          <w:iCs/>
        </w:rPr>
        <w:t xml:space="preserve">inflation-adjusted</w:t>
      </w:r>
      <w:r>
        <w:t xml:space="preserve"> </w:t>
      </w:r>
      <w:r>
        <w:t xml:space="preserve">number of new drugs approved per billion US dollars</w:t>
      </w:r>
      <w:r>
        <w:t xml:space="preserve"> </w:t>
      </w:r>
      <w:r>
        <w:t xml:space="preserve">of R&amp;D spending has been in long-term decline. Scannell et al. (2012)</w:t>
      </w:r>
      <w:r>
        <w:t xml:space="preserve"> </w:t>
      </w:r>
      <w:r>
        <w:t xml:space="preserve">documented that this figure roughly halved every nine years from 1950 to</w:t>
      </w:r>
      <w:r>
        <w:t xml:space="preserve"> </w:t>
      </w:r>
      <w:r>
        <w:t xml:space="preserve">the early 2010s, an approximately 80-fold fall in R&amp;D efficiency over that</w:t>
      </w:r>
      <w:r>
        <w:t xml:space="preserve"> </w:t>
      </w:r>
      <w:r>
        <w:t xml:space="preserve">period, in direct contrast to the exponential improvement in computing</w:t>
      </w:r>
      <w:r>
        <w:t xml:space="preserve"> </w:t>
      </w:r>
      <w:r>
        <w:t xml:space="preserve">power described by Moore’s Law. They named this trend</w:t>
      </w:r>
      <w:r>
        <w:t xml:space="preserve"> </w:t>
      </w:r>
      <w:r>
        <w:rPr>
          <w:b/>
          <w:bCs/>
        </w:rPr>
        <w:t xml:space="preserve">Eroom’s Law</w:t>
      </w:r>
      <w:r>
        <w:t xml:space="preserve"> </w:t>
      </w:r>
      <w:r>
        <w:t xml:space="preserve">(</w:t>
      </w:r>
      <w:r>
        <w:t xml:space="preserve">“Moore’s Law”</w:t>
      </w:r>
      <w:r>
        <w:t xml:space="preserve"> </w:t>
      </w:r>
      <w:r>
        <w:t xml:space="preserve">spelled backwards) to emphasize the contrast. If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number of new drugs approved per billion inflation-adjusted dollars of</w:t>
      </w:r>
      <w:r>
        <w:t xml:space="preserve"> </w:t>
      </w:r>
      <w:r>
        <w:t xml:space="preserve">R&amp;D spend at year</w:t>
      </w:r>
      <w:r>
        <w:t xml:space="preserve"> </w:t>
      </w:r>
      <m:oMath>
        <m:r>
          <m:t>t</m:t>
        </m:r>
      </m:oMath>
      <w:r>
        <w:t xml:space="preserve">, the observed trend is approximately: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T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≈</m:t>
          </m:r>
          <m:r>
            <m:t>9</m:t>
          </m:r>
          <m:r>
            <m:rPr>
              <m:nor/>
              <m:sty m:val="p"/>
            </m:rPr>
            <m:t> years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empirical halving period. Scannell et al. attribute this</w:t>
      </w:r>
      <w:r>
        <w:t xml:space="preserve"> </w:t>
      </w:r>
      <w:r>
        <w:t xml:space="preserve">decline to four compounding factors rather than a single cause: the</w:t>
      </w:r>
      <w:r>
        <w:t xml:space="preserve"> </w:t>
      </w:r>
      <w:r>
        <w:t xml:space="preserve">“better than the Beatles”</w:t>
      </w:r>
      <w:r>
        <w:t xml:space="preserve"> </w:t>
      </w:r>
      <w:r>
        <w:t xml:space="preserve">problem (new drugs must beat an ever-improving</w:t>
      </w:r>
      <w:r>
        <w:t xml:space="preserve"> </w:t>
      </w:r>
      <w:r>
        <w:t xml:space="preserve">standard of care, not merely a placebo), increasingly risk-averse</w:t>
      </w:r>
      <w:r>
        <w:t xml:space="preserve"> </w:t>
      </w:r>
      <w:r>
        <w:t xml:space="preserve">regulatory and reimbursement environments, the tendency to increase R&amp;D</w:t>
      </w:r>
      <w:r>
        <w:t xml:space="preserve"> </w:t>
      </w:r>
      <w:r>
        <w:t xml:space="preserve">spending as a response to past failure rather than as a cause of future</w:t>
      </w:r>
      <w:r>
        <w:t xml:space="preserve"> </w:t>
      </w:r>
      <w:r>
        <w:t xml:space="preserve">success, and a</w:t>
      </w:r>
      <w:r>
        <w:t xml:space="preserve"> </w:t>
      </w:r>
      <w:r>
        <w:t xml:space="preserve">“basic research–brute force”</w:t>
      </w:r>
      <w:r>
        <w:t xml:space="preserve"> </w:t>
      </w:r>
      <w:r>
        <w:t xml:space="preserve">bias toward molecular-target</w:t>
      </w:r>
      <w:r>
        <w:t xml:space="preserve"> </w:t>
      </w:r>
      <w:r>
        <w:t xml:space="preserve">reductionism at the expense of systems-level understanding of disease.</w:t>
      </w:r>
    </w:p>
    <w:bookmarkEnd w:id="9"/>
    <w:bookmarkStart w:id="10" w:name="Xb695122dba784e0e281daf22be06bb21424d00d"/>
    <w:p>
      <w:pPr>
        <w:pStyle w:val="Heading3"/>
      </w:pPr>
      <w:r>
        <w:t xml:space="preserve">The cost and risk of a single approved drug</w:t>
      </w:r>
    </w:p>
    <w:p>
      <w:pPr>
        <w:pStyle w:val="FirstParagraph"/>
      </w:pPr>
      <w:r>
        <w:t xml:space="preserve">Two numbers define the economics of drug development: how much it costs,</w:t>
      </w:r>
      <w:r>
        <w:t xml:space="preserve"> </w:t>
      </w:r>
      <w:r>
        <w:t xml:space="preserve">and how likely a candidate is to survive the pipeline at all.</w:t>
      </w:r>
    </w:p>
    <w:p>
      <w:pPr>
        <w:pStyle w:val="BodyText"/>
      </w:pPr>
      <w:r>
        <w:t xml:space="preserve">Wouters, McKee, and Luyten (2020) estimated development costs using</w:t>
      </w:r>
      <w:r>
        <w:t xml:space="preserve"> </w:t>
      </w:r>
      <w:r>
        <w:t xml:space="preserve">publicly disclosed data (SEC filings, FDA approval records, and</w:t>
      </w:r>
      <w:r>
        <w:t xml:space="preserve"> </w:t>
      </w:r>
      <w:r>
        <w:t xml:space="preserve">ClinicalTrials.gov) for 63 of the 355 new therapeutic agents the FDA</w:t>
      </w:r>
      <w:r>
        <w:t xml:space="preserve"> </w:t>
      </w:r>
      <w:r>
        <w:t xml:space="preserve">approved between 2009 and 2018. After capitalizing costs at a real cost of</w:t>
      </w:r>
      <w:r>
        <w:t xml:space="preserve"> </w:t>
      </w:r>
      <w:r>
        <w:t xml:space="preserve">capital of 10.5% per year to account for the time value of money and the</w:t>
      </w:r>
      <w:r>
        <w:t xml:space="preserve"> </w:t>
      </w:r>
      <w:r>
        <w:t xml:space="preserve">cost of capital tied up in failed programs, they estimated a</w:t>
      </w:r>
      <w:r>
        <w:t xml:space="preserve"> </w:t>
      </w:r>
      <w:r>
        <w:rPr>
          <w:b/>
          <w:bCs/>
        </w:rPr>
        <w:t xml:space="preserve">median</w:t>
      </w:r>
      <w:r>
        <w:t xml:space="preserve"> </w:t>
      </w:r>
      <w:r>
        <w:t xml:space="preserve">R&amp;D investment of $985.3 million (95% CI: $683.6M–$1228.9M) and a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of $1,335.9 million (95% CI: $1,042.5M–$1,637.5M) per approved</w:t>
      </w:r>
      <w:r>
        <w:t xml:space="preserve"> </w:t>
      </w:r>
      <w:r>
        <w:t xml:space="preserve">drug, in 2018 US dollars — figures that varied enormously by therapeutic</w:t>
      </w:r>
      <w:r>
        <w:t xml:space="preserve"> </w:t>
      </w:r>
      <w:r>
        <w:t xml:space="preserve">area, from a median of $765.9M for nervous-system drugs to $2,771.6M for</w:t>
      </w:r>
      <w:r>
        <w:t xml:space="preserve"> </w:t>
      </w:r>
      <w:r>
        <w:t xml:space="preserve">oncology and immunomodulatory drugs. (A 2022 erratum to this paper</w:t>
      </w:r>
      <w:r>
        <w:t xml:space="preserve"> </w:t>
      </w:r>
      <w:r>
        <w:t xml:space="preserve">corrected errors found in the underlying source data; the corrected</w:t>
      </w:r>
      <w:r>
        <w:t xml:space="preserve"> </w:t>
      </w:r>
      <w:r>
        <w:t xml:space="preserve">figures above are the ones reported in that correction. See</w:t>
      </w:r>
      <w:r>
        <w:t xml:space="preserve"> </w:t>
      </w:r>
      <w:hyperlink w:anchor="references">
        <w:r>
          <w:rPr>
            <w:rStyle w:val="Hyperlink"/>
          </w:rPr>
          <w:t xml:space="preserve">References</w:t>
        </w:r>
      </w:hyperlink>
      <w:r>
        <w:t xml:space="preserve">.)</w:t>
      </w:r>
    </w:p>
    <w:p>
      <w:pPr>
        <w:pStyle w:val="BodyText"/>
      </w:pPr>
      <w:r>
        <w:t xml:space="preserve">The reason these figures are so large is that they are</w:t>
      </w:r>
      <w:r>
        <w:t xml:space="preserve"> </w:t>
      </w:r>
      <w:r>
        <w:rPr>
          <w:i/>
          <w:iCs/>
        </w:rPr>
        <w:t xml:space="preserve">risk-adjusted</w:t>
      </w:r>
      <w:r>
        <w:t xml:space="preserve">:</w:t>
      </w:r>
      <w:r>
        <w:t xml:space="preserve"> </w:t>
      </w:r>
      <w:r>
        <w:t xml:space="preserve">the direct, out-of-pocket cost of running one clinical trial is much</w:t>
      </w:r>
      <w:r>
        <w:t xml:space="preserve"> </w:t>
      </w:r>
      <w:r>
        <w:t xml:space="preserve">smaller than the effective cost of getting one drug approved, because most</w:t>
      </w:r>
      <w:r>
        <w:t xml:space="preserve"> </w:t>
      </w:r>
      <w:r>
        <w:t xml:space="preserve">candidates that enter clinical trials never make it out. A standard way to</w:t>
      </w:r>
      <w:r>
        <w:t xml:space="preserve"> </w:t>
      </w:r>
      <w:r>
        <w:t xml:space="preserve">express this is to capitalize the cost of each phase forward to the launch</w:t>
      </w:r>
      <w:r>
        <w:t xml:space="preserve"> </w:t>
      </w:r>
      <w:r>
        <w:t xml:space="preserve">date and divide by the cumulative probability of a candidate that has</w:t>
      </w:r>
      <w:r>
        <w:t xml:space="preserve"> </w:t>
      </w:r>
      <w:r>
        <w:t xml:space="preserve">reached the start of that phase eventually being approved: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Cost</m:t>
              </m:r>
            </m:e>
            <m:sub>
              <m:r>
                <m:rPr>
                  <m:nor/>
                  <m:sty m:val="p"/>
                </m:rPr>
                <m:t>launch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POS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r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launch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direct cost of phase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POS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probability that a candidate entering phase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ultimately approved,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real cost of capital, and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phase’s timing relative</w:t>
      </w:r>
      <w:r>
        <w:t xml:space="preserve"> </w:t>
      </w:r>
      <w:r>
        <w:t xml:space="preserve">to launch 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launch</m:t>
            </m:r>
          </m:sub>
        </m:sSub>
      </m:oMath>
      <w:r>
        <w:t xml:space="preserve">. This is the general shape of the</w:t>
      </w:r>
      <w:r>
        <w:t xml:space="preserve"> </w:t>
      </w:r>
      <w:r>
        <w:t xml:space="preserve">risk-adjustment framework used throughout the drug-development-cost</w:t>
      </w:r>
      <w:r>
        <w:t xml:space="preserve"> </w:t>
      </w:r>
      <w:r>
        <w:t xml:space="preserve">literature (it is a simplified pedagogical form, not a specific paper’s</w:t>
      </w:r>
      <w:r>
        <w:t xml:space="preserve"> </w:t>
      </w:r>
      <w:r>
        <w:t xml:space="preserve">exact computation); the key takeaway is that</w:t>
      </w:r>
      <w:r>
        <w:t xml:space="preserve"> </w:t>
      </w:r>
      <m:oMath>
        <m:sSub>
          <m:e>
            <m:r>
              <m:rPr>
                <m:nor/>
                <m:sty m:val="p"/>
              </m:rPr>
              <m:t>POS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the</w:t>
      </w:r>
      <w:r>
        <w:t xml:space="preserve"> </w:t>
      </w:r>
      <w:r>
        <w:t xml:space="preserve">attrition rate — dominates the equation, because it appears in the</w:t>
      </w:r>
      <w:r>
        <w:t xml:space="preserve"> </w:t>
      </w:r>
      <w:r>
        <w:t xml:space="preserve">denominator of every term.</w:t>
      </w:r>
    </w:p>
    <w:p>
      <w:pPr>
        <w:pStyle w:val="BodyText"/>
      </w:pPr>
      <w:r>
        <w:t xml:space="preserve">Attrition itself is substantial and disease-dependent. Using a sample of</w:t>
      </w:r>
      <w:r>
        <w:t xml:space="preserve"> </w:t>
      </w:r>
      <w:r>
        <w:t xml:space="preserve">over 406,000 clinical trial records for more than 21,000 compounds run</w:t>
      </w:r>
      <w:r>
        <w:t xml:space="preserve"> </w:t>
      </w:r>
      <w:r>
        <w:t xml:space="preserve">between 2000 and 2015, Wong, Siah, and Lo (2019) found that oncology drugs</w:t>
      </w:r>
      <w:r>
        <w:t xml:space="preserve"> </w:t>
      </w:r>
      <w:r>
        <w:t xml:space="preserve">had only a 3.4% end-to-end clinical success rate in their sample —</w:t>
      </w:r>
      <w:r>
        <w:t xml:space="preserve"> </w:t>
      </w:r>
      <w:r>
        <w:t xml:space="preserve">notably lower than the 5.1% figure widely cited from earlier, smaller</w:t>
      </w:r>
      <w:r>
        <w:t xml:space="preserve"> </w:t>
      </w:r>
      <w:r>
        <w:t xml:space="preserve">industry-curated datasets — though this rate has been highly variable</w:t>
      </w:r>
      <w:r>
        <w:t xml:space="preserve"> </w:t>
      </w:r>
      <w:r>
        <w:t xml:space="preserve">year to year (it fell to 1.7% in 2012 before rising to 8.3% in 2015). Hay</w:t>
      </w:r>
      <w:r>
        <w:t xml:space="preserve"> </w:t>
      </w:r>
      <w:r>
        <w:t xml:space="preserve">et al. (2014) independently surveyed clinical success rates across the</w:t>
      </w:r>
      <w:r>
        <w:t xml:space="preserve"> </w:t>
      </w:r>
      <w:r>
        <w:t xml:space="preserve">broader industry using one of the largest datasets assembled at the time.</w:t>
      </w:r>
      <w:r>
        <w:t xml:space="preserve"> </w:t>
      </w:r>
      <w:r>
        <w:t xml:space="preserve">Both studies agree on the qualitative picture even where the exact</w:t>
      </w:r>
      <w:r>
        <w:t xml:space="preserve"> </w:t>
      </w:r>
      <w:r>
        <w:t xml:space="preserve">percentages differ:</w:t>
      </w:r>
      <w:r>
        <w:t xml:space="preserve"> </w:t>
      </w:r>
      <w:r>
        <w:rPr>
          <w:b/>
          <w:bCs/>
        </w:rPr>
        <w:t xml:space="preserve">the overwhelming majority of clinical candidates</w:t>
      </w:r>
      <w:r>
        <w:rPr>
          <w:b/>
          <w:bCs/>
        </w:rPr>
        <w:t xml:space="preserve"> </w:t>
      </w:r>
      <w:r>
        <w:rPr>
          <w:b/>
          <w:bCs/>
        </w:rPr>
        <w:t xml:space="preserve">fail</w:t>
      </w:r>
      <w:r>
        <w:t xml:space="preserve">, and failure is concentrated in efficacy (the drug doesn’t work</w:t>
      </w:r>
      <w:r>
        <w:t xml:space="preserve"> </w:t>
      </w:r>
      <w:r>
        <w:t xml:space="preserve">well enough) far more than in safety.</w:t>
      </w:r>
    </w:p>
    <w:p>
      <w:pPr>
        <w:pStyle w:val="BodyText"/>
      </w:pPr>
      <w:r>
        <w:t xml:space="preserve">This is the economic backdrop against which every method in this book</w:t>
      </w:r>
      <w:r>
        <w:t xml:space="preserve"> </w:t>
      </w:r>
      <w:r>
        <w:t xml:space="preserve">should be judged. A computational technique earns its place in the</w:t>
      </w:r>
      <w:r>
        <w:t xml:space="preserve"> </w:t>
      </w:r>
      <w:r>
        <w:t xml:space="preserve">pipeline only if it plausibly increases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POS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at some stage, or</w:t>
      </w:r>
      <w:r>
        <w:t xml:space="preserve"> </w:t>
      </w:r>
      <w:r>
        <w:t xml:space="preserve">reduces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, or both — not because it is fashionable.</w:t>
      </w:r>
    </w:p>
    <w:bookmarkEnd w:id="10"/>
    <w:bookmarkEnd w:id="11"/>
    <w:bookmarkStart w:id="12" w:name="the-ai-paradigm-shift"/>
    <w:p>
      <w:pPr>
        <w:pStyle w:val="Heading2"/>
      </w:pPr>
      <w:r>
        <w:t xml:space="preserve">1.2 The AI Paradigm Shift</w:t>
      </w:r>
    </w:p>
    <w:p>
      <w:pPr>
        <w:pStyle w:val="FirstParagraph"/>
      </w:pPr>
      <w:r>
        <w:t xml:space="preserve">Classical computer-aided drug design relies on hand-engineered</w:t>
      </w:r>
      <w:r>
        <w:t xml:space="preserve"> </w:t>
      </w:r>
      <w:r>
        <w:t xml:space="preserve">descriptors and rule-based heuristics (Chapter 2 uses one of the oldest</w:t>
      </w:r>
      <w:r>
        <w:t xml:space="preserve"> </w:t>
      </w:r>
      <w:r>
        <w:t xml:space="preserve">and still most useful examples, Lipinski’s Rule of Five). Over the last</w:t>
      </w:r>
      <w:r>
        <w:t xml:space="preserve"> </w:t>
      </w:r>
      <w:r>
        <w:t xml:space="preserve">decade, machine learning has been layered on top of — and in some cases</w:t>
      </w:r>
      <w:r>
        <w:t xml:space="preserve"> </w:t>
      </w:r>
      <w:r>
        <w:t xml:space="preserve">has begun to replace — this classical toolkit. Vamathevan et al. (2019),</w:t>
      </w:r>
      <w:r>
        <w:t xml:space="preserve"> </w:t>
      </w:r>
      <w:r>
        <w:t xml:space="preserve">in a widely cited review, characterize opportunities for ML across every</w:t>
      </w:r>
      <w:r>
        <w:t xml:space="preserve"> </w:t>
      </w:r>
      <w:r>
        <w:t xml:space="preserve">stage of the pipeline described in §1.1: target identification and</w:t>
      </w:r>
      <w:r>
        <w:t xml:space="preserve"> </w:t>
      </w:r>
      <w:r>
        <w:t xml:space="preserve">validation, prognostic biomarker discovery, and the analysis of</w:t>
      </w:r>
      <w:r>
        <w:t xml:space="preserve"> </w:t>
      </w:r>
      <w:r>
        <w:t xml:space="preserve">high-dimensional data such as digital pathology images in clinical</w:t>
      </w:r>
      <w:r>
        <w:t xml:space="preserve"> </w:t>
      </w:r>
      <w:r>
        <w:t xml:space="preserve">trials. Their central caveat is as important as their central claim: ML</w:t>
      </w:r>
      <w:r>
        <w:t xml:space="preserve"> </w:t>
      </w:r>
      <w:r>
        <w:t xml:space="preserve">performs best on</w:t>
      </w:r>
      <w:r>
        <w:t xml:space="preserve"> </w:t>
      </w:r>
      <w:r>
        <w:t xml:space="preserve">“well-specified questions with abundant, high-quality</w:t>
      </w:r>
      <w:r>
        <w:t xml:space="preserve"> </w:t>
      </w:r>
      <w:r>
        <w:t xml:space="preserve">data,”</w:t>
      </w:r>
      <w:r>
        <w:t xml:space="preserve"> </w:t>
      </w:r>
      <w:r>
        <w:t xml:space="preserve">and its adoption is currently limited more by interpretability and</w:t>
      </w:r>
      <w:r>
        <w:t xml:space="preserve"> </w:t>
      </w:r>
      <w:r>
        <w:t xml:space="preserve">repeatability of results than by raw predictive accuracy.</w:t>
      </w:r>
    </w:p>
    <w:p>
      <w:pPr>
        <w:pStyle w:val="BodyText"/>
      </w:pPr>
      <w:r>
        <w:t xml:space="preserve">It is useful to organize the computational methods used throughout this</w:t>
      </w:r>
      <w:r>
        <w:t xml:space="preserve"> </w:t>
      </w:r>
      <w:r>
        <w:t xml:space="preserve">book into three broad, overlapping families: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Predictive models</w:t>
      </w:r>
      <w:r>
        <w:t xml:space="preserve"> </w:t>
      </w:r>
      <w:r>
        <w:t xml:space="preserve">answer a question about a specific molecule or</w:t>
      </w:r>
      <w:r>
        <w:t xml:space="preserve"> </w:t>
      </w:r>
      <w:r>
        <w:t xml:space="preserve">protein: will this compound bind this target (Chapters 5–6)? Is this</w:t>
      </w:r>
      <w:r>
        <w:t xml:space="preserve"> </w:t>
      </w:r>
      <w:r>
        <w:t xml:space="preserve">molecule likely to be toxic (Chapter 5)? What is this protein’s 3D</w:t>
      </w:r>
      <w:r>
        <w:t xml:space="preserve"> </w:t>
      </w:r>
      <w:r>
        <w:t xml:space="preserve">structure (Chapter 9)? These are typically supervised learning</w:t>
      </w:r>
      <w:r>
        <w:t xml:space="preserve"> </w:t>
      </w:r>
      <w:r>
        <w:t xml:space="preserve">problems — classification or regression on a labeled dataset — and</w:t>
      </w:r>
      <w:r>
        <w:t xml:space="preserve"> </w:t>
      </w:r>
      <w:r>
        <w:t xml:space="preserve">their scientific value is bounded by the quality and size of that</w:t>
      </w:r>
      <w:r>
        <w:t xml:space="preserve"> </w:t>
      </w:r>
      <w:r>
        <w:t xml:space="preserve">dataset, which is precisely why chemical and structural databases like</w:t>
      </w:r>
      <w:r>
        <w:t xml:space="preserve"> </w:t>
      </w:r>
      <w:r>
        <w:t xml:space="preserve">ChEMBL and the PDB (introduced in §1.4) are foundational infrastructure</w:t>
      </w:r>
      <w:r>
        <w:t xml:space="preserve"> </w:t>
      </w:r>
      <w:r>
        <w:t xml:space="preserve">for the entire field.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Generative models</w:t>
      </w:r>
      <w:r>
        <w:t xml:space="preserve"> </w:t>
      </w:r>
      <w:r>
        <w:t xml:space="preserve">propose new molecules or sequences rather than</w:t>
      </w:r>
      <w:r>
        <w:t xml:space="preserve"> </w:t>
      </w:r>
      <w:r>
        <w:t xml:space="preserve">scoring existing ones: variational autoencoders and diffusion models</w:t>
      </w:r>
      <w:r>
        <w:t xml:space="preserve"> </w:t>
      </w:r>
      <w:r>
        <w:t xml:space="preserve">over molecular graphs or 3D coordinates (Chapter 7), autoregressive</w:t>
      </w:r>
      <w:r>
        <w:t xml:space="preserve"> </w:t>
      </w:r>
      <w:r>
        <w:t xml:space="preserve">transformers over SMILES/SELFIES strings (Chapter 7), and diffusion</w:t>
      </w:r>
      <w:r>
        <w:t xml:space="preserve"> </w:t>
      </w:r>
      <w:r>
        <w:t xml:space="preserve">models over protein backbones (Chapter 10). These models shift the</w:t>
      </w:r>
      <w:r>
        <w:t xml:space="preserve"> </w:t>
      </w:r>
      <w:r>
        <w:t xml:space="preserve">bottleneck in early discovery from</w:t>
      </w:r>
      <w:r>
        <w:t xml:space="preserve"> </w:t>
      </w:r>
      <w:r>
        <w:rPr>
          <w:i/>
          <w:iCs/>
        </w:rPr>
        <w:t xml:space="preserve">screening</w:t>
      </w:r>
      <w:r>
        <w:t xml:space="preserve"> </w:t>
      </w:r>
      <w:r>
        <w:t xml:space="preserve">a fixed library to</w:t>
      </w:r>
      <w:r>
        <w:t xml:space="preserve"> </w:t>
      </w:r>
      <w:r>
        <w:rPr>
          <w:i/>
          <w:iCs/>
        </w:rPr>
        <w:t xml:space="preserve">designing</w:t>
      </w:r>
      <w:r>
        <w:t xml:space="preserve"> </w:t>
      </w:r>
      <w:r>
        <w:t xml:space="preserve">candidates directly in the region of chemical or sequence</w:t>
      </w:r>
      <w:r>
        <w:t xml:space="preserve"> </w:t>
      </w:r>
      <w:r>
        <w:t xml:space="preserve">space likely to satisfy a set of constraints.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Physics-informed models</w:t>
      </w:r>
      <w:r>
        <w:t xml:space="preserve"> </w:t>
      </w:r>
      <w:r>
        <w:t xml:space="preserve">incorporate known physical or chemical</w:t>
      </w:r>
      <w:r>
        <w:t xml:space="preserve"> </w:t>
      </w:r>
      <w:r>
        <w:t xml:space="preserve">constraints — conservation laws, symmetries, or explicit energy</w:t>
      </w:r>
      <w:r>
        <w:t xml:space="preserve"> </w:t>
      </w:r>
      <w:r>
        <w:t xml:space="preserve">functions — directly into the model architecture or training</w:t>
      </w:r>
      <w:r>
        <w:t xml:space="preserve"> </w:t>
      </w:r>
      <w:r>
        <w:t xml:space="preserve">objective, rather than relying on a purely data-driven fit. Equivariant</w:t>
      </w:r>
      <w:r>
        <w:t xml:space="preserve"> </w:t>
      </w:r>
      <w:r>
        <w:t xml:space="preserve">graph neural networks that respect 3D rotational and translational</w:t>
      </w:r>
      <w:r>
        <w:t xml:space="preserve"> </w:t>
      </w:r>
      <w:r>
        <w:t xml:space="preserve">symmetry (used in Chapter 6 and Chapter 9) and neural network</w:t>
      </w:r>
      <w:r>
        <w:t xml:space="preserve"> </w:t>
      </w:r>
      <w:r>
        <w:t xml:space="preserve">potentials that approximate quantum-mechanical energies at</w:t>
      </w:r>
      <w:r>
        <w:t xml:space="preserve"> </w:t>
      </w:r>
      <w:r>
        <w:t xml:space="preserve">classical-simulation speed (Chapter 12) are both examples: the model is</w:t>
      </w:r>
      <w:r>
        <w:t xml:space="preserve"> </w:t>
      </w:r>
      <w:r>
        <w:t xml:space="preserve">constrained to only ever produce physically consistent outputs, which</w:t>
      </w:r>
      <w:r>
        <w:t xml:space="preserve"> </w:t>
      </w:r>
      <w:r>
        <w:t xml:space="preserve">improves data efficiency and generalization compared with an</w:t>
      </w:r>
      <w:r>
        <w:t xml:space="preserve"> </w:t>
      </w:r>
      <w:r>
        <w:t xml:space="preserve">unconstrained model trained on the same data.</w:t>
      </w:r>
    </w:p>
    <w:p>
      <w:pPr>
        <w:pStyle w:val="FirstParagraph"/>
      </w:pPr>
      <w:r>
        <w:t xml:space="preserve">The clearest illustration of what this paradigm shift can achieve is</w:t>
      </w:r>
      <w:r>
        <w:t xml:space="preserve"> </w:t>
      </w:r>
      <w:r>
        <w:t xml:space="preserve">structure prediction. Determining a protein’s 3D structure experimentally</w:t>
      </w:r>
      <w:r>
        <w:t xml:space="preserve"> </w:t>
      </w:r>
      <w:r>
        <w:t xml:space="preserve">(by X-ray crystallography, NMR, or cryo-EM) can take months to years per</w:t>
      </w:r>
      <w:r>
        <w:t xml:space="preserve"> </w:t>
      </w:r>
      <w:r>
        <w:t xml:space="preserve">structure and does not always succeed. Jumper et al. (2021) showed that</w:t>
      </w:r>
      <w:r>
        <w:t xml:space="preserve"> </w:t>
      </w:r>
      <w:r>
        <w:t xml:space="preserve">AlphaFold, a deep learning system, could predict protein structures from</w:t>
      </w:r>
      <w:r>
        <w:t xml:space="preserve"> </w:t>
      </w:r>
      <w:r>
        <w:t xml:space="preserve">amino acid sequence alone at accuracy competitive with experimental</w:t>
      </w:r>
      <w:r>
        <w:t xml:space="preserve"> </w:t>
      </w:r>
      <w:r>
        <w:t xml:space="preserve">methods for a large fraction of targets in the CASP14 blind assessment —</w:t>
      </w:r>
      <w:r>
        <w:t xml:space="preserve"> </w:t>
      </w:r>
      <w:r>
        <w:t xml:space="preserve">work that has since made high-confidence structural models available for</w:t>
      </w:r>
      <w:r>
        <w:t xml:space="preserve"> </w:t>
      </w:r>
      <w:r>
        <w:t xml:space="preserve">essentially the entire sequenced proteome, at a computational cost</w:t>
      </w:r>
      <w:r>
        <w:t xml:space="preserve"> </w:t>
      </w:r>
      <w:r>
        <w:t xml:space="preserve">orders of magnitude below experimental determination. Chapter 9 covers</w:t>
      </w:r>
      <w:r>
        <w:t xml:space="preserve"> </w:t>
      </w:r>
      <w:r>
        <w:t xml:space="preserve">AlphaFold and related methods (ESMFold, RoseTTAFold) in depth; it is</w:t>
      </w:r>
      <w:r>
        <w:t xml:space="preserve"> </w:t>
      </w:r>
      <w:r>
        <w:t xml:space="preserve">introduced here because it is the single clearest data point for the</w:t>
      </w:r>
      <w:r>
        <w:t xml:space="preserve"> </w:t>
      </w:r>
      <w:r>
        <w:t xml:space="preserve">claim that this book is built on: that the AI paradigm shift is not</w:t>
      </w:r>
      <w:r>
        <w:t xml:space="preserve"> </w:t>
      </w:r>
      <w:r>
        <w:t xml:space="preserve">merely accelerating the classical pipeline, it is changing which</w:t>
      </w:r>
      <w:r>
        <w:t xml:space="preserve"> </w:t>
      </w:r>
      <w:r>
        <w:t xml:space="preserve">questions are computationally tractable at all.</w:t>
      </w:r>
    </w:p>
    <w:p>
      <w:pPr>
        <w:pStyle w:val="BodyText"/>
      </w:pPr>
      <w:r>
        <w:t xml:space="preserve">None of this makes the classical pipeline in §1.1 obsolete. Every</w:t>
      </w:r>
      <w:r>
        <w:t xml:space="preserve"> </w:t>
      </w:r>
      <w:r>
        <w:t xml:space="preserve">predictive, generative, and physics-informed model in this book is</w:t>
      </w:r>
      <w:r>
        <w:t xml:space="preserve"> </w:t>
      </w:r>
      <w:r>
        <w:t xml:space="preserve">trained on data that ultimately comes from wet-lab experiments — assays</w:t>
      </w:r>
      <w:r>
        <w:t xml:space="preserve"> </w:t>
      </w:r>
      <w:r>
        <w:t xml:space="preserve">run against real targets, structures solved by real crystallographers,</w:t>
      </w:r>
      <w:r>
        <w:t xml:space="preserve"> </w:t>
      </w:r>
      <w:r>
        <w:t xml:space="preserve">outcomes from real clinical trials. AI does not remove the pipeline; it</w:t>
      </w:r>
      <w:r>
        <w:t xml:space="preserve"> </w:t>
      </w:r>
      <w:r>
        <w:t xml:space="preserve">changes where effort within the pipeline is spent, ideally shifting</w:t>
      </w:r>
      <w:r>
        <w:t xml:space="preserve"> </w:t>
      </w:r>
      <w:r>
        <w:t xml:space="preserve">attrition as early and as cheaply as possible, per the economic argument</w:t>
      </w:r>
      <w:r>
        <w:t xml:space="preserve"> </w:t>
      </w:r>
      <w:r>
        <w:t xml:space="preserve">in §1.1.</w:t>
      </w:r>
    </w:p>
    <w:bookmarkEnd w:id="12"/>
    <w:bookmarkStart w:id="13" w:name="X3b6cddbc700053d982a72321dc676117c710be6"/>
    <w:p>
      <w:pPr>
        <w:pStyle w:val="Heading2"/>
      </w:pPr>
      <w:r>
        <w:t xml:space="preserve">1.3 Modalities Overview: Small Molecules vs. Macromolecules/Biologics</w:t>
      </w:r>
    </w:p>
    <w:p>
      <w:pPr>
        <w:pStyle w:val="FirstParagraph"/>
      </w:pPr>
      <w:r>
        <w:t xml:space="preserve">Everything described so far applies differently depending on what kind of</w:t>
      </w:r>
      <w:r>
        <w:t xml:space="preserve"> </w:t>
      </w:r>
      <w:r>
        <w:t xml:space="preserve">molecule is being designed. The book covers two broad modalities, which</w:t>
      </w:r>
      <w:r>
        <w:t xml:space="preserve"> </w:t>
      </w:r>
      <w:r>
        <w:t xml:space="preserve">differ enough in their representation, design constraints, and</w:t>
      </w:r>
      <w:r>
        <w:t xml:space="preserve"> </w:t>
      </w:r>
      <w:r>
        <w:t xml:space="preserve">manufacturing that they are treated with largely separate computational</w:t>
      </w:r>
      <w:r>
        <w:t xml:space="preserve"> </w:t>
      </w:r>
      <w:r>
        <w:t xml:space="preserve">toolkits in Parts I–II (small molecules) and Part III (macromolecules).</w:t>
      </w:r>
    </w:p>
    <w:p>
      <w:pPr>
        <w:pStyle w:val="BodyText"/>
      </w:pPr>
      <w:r>
        <w:rPr>
          <w:b/>
          <w:bCs/>
        </w:rPr>
        <w:t xml:space="preserve">Small molecules</w:t>
      </w:r>
      <w:r>
        <w:t xml:space="preserve"> </w:t>
      </w:r>
      <w:r>
        <w:t xml:space="preserve">are low-molecular-weight organic compounds,</w:t>
      </w:r>
      <w:r>
        <w:t xml:space="preserve"> </w:t>
      </w:r>
      <w:r>
        <w:t xml:space="preserve">synthesized chemically rather than produced biologically, and — for</w:t>
      </w:r>
      <w:r>
        <w:t xml:space="preserve"> </w:t>
      </w:r>
      <w:r>
        <w:t xml:space="preserve">orally dosed drugs — usually expected to satisfy heuristics like</w:t>
      </w:r>
      <w:r>
        <w:t xml:space="preserve"> </w:t>
      </w:r>
      <w:r>
        <w:t xml:space="preserve">Lipinski’s Rule of Five: no more than</w:t>
      </w:r>
      <w:r>
        <w:t xml:space="preserve"> </w:t>
      </w:r>
      <w:r>
        <w:t xml:space="preserve">5 hydrogen-bond donors, no more than 10 hydrogen-bond acceptors, a</w:t>
      </w:r>
      <w:r>
        <w:t xml:space="preserve"> </w:t>
      </w:r>
      <w:r>
        <w:t xml:space="preserve">molecular weight under 500 Da, and a calculated LogP under 5, on the</w:t>
      </w:r>
      <w:r>
        <w:t xml:space="preserve"> </w:t>
      </w:r>
      <w:r>
        <w:t xml:space="preserve">premise that violating more than one of these substantially reduces the</w:t>
      </w:r>
      <w:r>
        <w:t xml:space="preserve"> </w:t>
      </w:r>
      <w:r>
        <w:t xml:space="preserve">probability of good oral absorption and permeability (Lipinski et al.,</w:t>
      </w:r>
      <w:r>
        <w:t xml:space="preserve"> </w:t>
      </w:r>
      <w:r>
        <w:t xml:space="preserve">2001). Chapter 2’s hands-on project computes exactly these four</w:t>
      </w:r>
      <w:r>
        <w:t xml:space="preserve"> </w:t>
      </w:r>
      <w:r>
        <w:t xml:space="preserve">properties with RDKit. Small molecules are represented computationally as</w:t>
      </w:r>
      <w:r>
        <w:t xml:space="preserve"> </w:t>
      </w:r>
      <w:r>
        <w:t xml:space="preserve">2D graphs, 1D strings (SMILES, SELFIES, InChI — Chapter 2), fingerprints</w:t>
      </w:r>
      <w:r>
        <w:t xml:space="preserve"> </w:t>
      </w:r>
      <w:r>
        <w:t xml:space="preserve">(Chapter 2), or 3D conformers (Chapter 2), and their chemical space is</w:t>
      </w:r>
      <w:r>
        <w:t xml:space="preserve"> </w:t>
      </w:r>
      <w:r>
        <w:t xml:space="preserve">explored using the fingerprint similarity, generative, and docking</w:t>
      </w:r>
      <w:r>
        <w:t xml:space="preserve"> </w:t>
      </w:r>
      <w:r>
        <w:t xml:space="preserve">methods in Chapters 2, 7, and 11.</w:t>
      </w:r>
    </w:p>
    <w:p>
      <w:pPr>
        <w:pStyle w:val="BodyText"/>
      </w:pPr>
      <w:r>
        <w:rPr>
          <w:b/>
          <w:bCs/>
        </w:rPr>
        <w:t xml:space="preserve">Macromolecules / biologics</w:t>
      </w:r>
      <w:r>
        <w:t xml:space="preserve"> </w:t>
      </w:r>
      <w:r>
        <w:t xml:space="preserve">— therapeutic proteins, peptides, and</w:t>
      </w:r>
      <w:r>
        <w:t xml:space="preserve"> </w:t>
      </w:r>
      <w:r>
        <w:t xml:space="preserve">antibodies — are produced biologically (typically via recombinant</w:t>
      </w:r>
      <w:r>
        <w:t xml:space="preserve"> </w:t>
      </w:r>
      <w:r>
        <w:t xml:space="preserve">expression in engineered cells) rather than synthesized chemically, are</w:t>
      </w:r>
      <w:r>
        <w:t xml:space="preserve"> </w:t>
      </w:r>
      <w:r>
        <w:t xml:space="preserve">orders of magnitude larger (a typical IgG monoclonal antibody is roughly</w:t>
      </w:r>
      <w:r>
        <w:t xml:space="preserve"> </w:t>
      </w:r>
      <w:r>
        <w:t xml:space="preserve">150 kDa, versus a few hundred Da for a small molecule), and cannot</w:t>
      </w:r>
      <w:r>
        <w:t xml:space="preserve"> </w:t>
      </w:r>
      <w:r>
        <w:t xml:space="preserve">generally be dosed orally because they are degraded by the digestive</w:t>
      </w:r>
      <w:r>
        <w:t xml:space="preserve"> </w:t>
      </w:r>
      <w:r>
        <w:t xml:space="preserve">system, so they are usually delivered by injection or infusion. Their</w:t>
      </w:r>
      <w:r>
        <w:t xml:space="preserve"> </w:t>
      </w:r>
      <w:r>
        <w:t xml:space="preserve">size and complexity give them properties small molecules structurally</w:t>
      </w:r>
      <w:r>
        <w:t xml:space="preserve"> </w:t>
      </w:r>
      <w:r>
        <w:t xml:space="preserve">cannot match — very high target specificity and affinity, engineerable</w:t>
      </w:r>
      <w:r>
        <w:t xml:space="preserve"> </w:t>
      </w:r>
      <w:r>
        <w:t xml:space="preserve">multi-domain architectures (e.g., bispecific antibodies) — at the cost of</w:t>
      </w:r>
      <w:r>
        <w:t xml:space="preserve"> </w:t>
      </w:r>
      <w:r>
        <w:t xml:space="preserve">manufacturing complexity, immunogenicity risk, and a much larger,</w:t>
      </w:r>
      <w:r>
        <w:t xml:space="preserve"> </w:t>
      </w:r>
      <w:r>
        <w:t xml:space="preserve">higher-dimensional design space (a single antibody’s antigen-binding</w:t>
      </w:r>
      <w:r>
        <w:t xml:space="preserve"> </w:t>
      </w:r>
      <w:r>
        <w:t xml:space="preserve">region alone involves optimizing complementarity-determining region</w:t>
      </w:r>
      <w:r>
        <w:t xml:space="preserve"> </w:t>
      </w:r>
      <w:r>
        <w:t xml:space="preserve">loops built from 20 possible amino acids at each position). Part III of</w:t>
      </w:r>
      <w:r>
        <w:t xml:space="preserve"> </w:t>
      </w:r>
      <w:r>
        <w:t xml:space="preserve">this book (Chapters 8–10) covers the representations (sequences,</w:t>
      </w:r>
      <w:r>
        <w:t xml:space="preserve"> </w:t>
      </w:r>
      <w:r>
        <w:t xml:space="preserve">contact maps, 3D structural graphs) and generative methods (inverse</w:t>
      </w:r>
      <w:r>
        <w:t xml:space="preserve"> </w:t>
      </w:r>
      <w:r>
        <w:t xml:space="preserve">folding, backbone diffusion) specific to this modality.</w:t>
      </w:r>
    </w:p>
    <w:p>
      <w:pPr>
        <w:pStyle w:val="BodyText"/>
      </w:pPr>
      <w:r>
        <w:t xml:space="preserve">The choice of modality for a given disease target is itself a design</w:t>
      </w:r>
      <w:r>
        <w:t xml:space="preserve"> </w:t>
      </w:r>
      <w:r>
        <w:t xml:space="preserve">decision with no universally correct answer: small molecules are cheaper</w:t>
      </w:r>
      <w:r>
        <w:t xml:space="preserve"> </w:t>
      </w:r>
      <w:r>
        <w:t xml:space="preserve">to manufacture and can reach intracellular targets that biologics</w:t>
      </w:r>
      <w:r>
        <w:t xml:space="preserve"> </w:t>
      </w:r>
      <w:r>
        <w:t xml:space="preserve">generally cannot, while biologics can achieve selectivity against targets</w:t>
      </w:r>
      <w:r>
        <w:t xml:space="preserve"> </w:t>
      </w:r>
      <w:r>
        <w:t xml:space="preserve">(such as flat protein–protein interaction surfaces) that are notoriously</w:t>
      </w:r>
      <w:r>
        <w:t xml:space="preserve"> </w:t>
      </w:r>
      <w:r>
        <w:t xml:space="preserve">difficult to drug with small molecules. Recognizing which modality is</w:t>
      </w:r>
      <w:r>
        <w:t xml:space="preserve"> </w:t>
      </w:r>
      <w:r>
        <w:t xml:space="preserve">appropriate for a given target — and which computational toolchain in</w:t>
      </w:r>
      <w:r>
        <w:t xml:space="preserve"> </w:t>
      </w:r>
      <w:r>
        <w:t xml:space="preserve">this book therefore applies — is one of the first judgment calls in any</w:t>
      </w:r>
      <w:r>
        <w:t xml:space="preserve"> </w:t>
      </w:r>
      <w:r>
        <w:t xml:space="preserve">real drug discovery project, which is why this book treats it as the</w:t>
      </w:r>
      <w:r>
        <w:t xml:space="preserve"> </w:t>
      </w:r>
      <w:r>
        <w:t xml:space="preserve">subject of its very first hands-on exercise, below.</w:t>
      </w:r>
    </w:p>
    <w:bookmarkEnd w:id="13"/>
    <w:bookmarkStart w:id="17" w:name="X74078f5da8d69d913d45d1b112f5e0ab1e5cc13"/>
    <w:p>
      <w:pPr>
        <w:pStyle w:val="Heading2"/>
      </w:pPr>
      <w:r>
        <w:t xml:space="preserve">1.4 Hands-on Project: Retrieving Real Chemical &amp; Structural Data</w:t>
      </w:r>
    </w:p>
    <w:p>
      <w:pPr>
        <w:pStyle w:val="FirstParagraph"/>
      </w:pPr>
      <w:r>
        <w:t xml:space="preserve">The rest of this book works with data pulled from two public</w:t>
      </w:r>
      <w:r>
        <w:t xml:space="preserve"> </w:t>
      </w:r>
      <w:r>
        <w:t xml:space="preserve">infrastructure databases that anchor the whole field: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ChEMBL</w:t>
      </w:r>
      <w:r>
        <w:t xml:space="preserve"> </w:t>
      </w:r>
      <w:r>
        <w:t xml:space="preserve">(Mendez et al., 2019), maintained by EMBL-EBI, is a curated,</w:t>
      </w:r>
      <w:r>
        <w:t xml:space="preserve"> </w:t>
      </w:r>
      <w:r>
        <w:t xml:space="preserve">open-access database of bioactivity data — which compounds were tested</w:t>
      </w:r>
      <w:r>
        <w:t xml:space="preserve"> </w:t>
      </w:r>
      <w:r>
        <w:t xml:space="preserve">against which biological targets, and what activity (e.g., IC50, Ki)</w:t>
      </w:r>
      <w:r>
        <w:t xml:space="preserve"> </w:t>
      </w:r>
      <w:r>
        <w:t xml:space="preserve">was measured. As of release ChEMBL_37 (May 2026), it holds bioactivity</w:t>
      </w:r>
      <w:r>
        <w:t xml:space="preserve"> </w:t>
      </w:r>
      <w:r>
        <w:t xml:space="preserve">data for roughly 2.9 million distinct compounds against over 18,000</w:t>
      </w:r>
      <w:r>
        <w:t xml:space="preserve"> </w:t>
      </w:r>
      <w:r>
        <w:t xml:space="preserve">targets, drawn from more than 100,000 publications.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Protein Data Bank (PDB)</w:t>
      </w:r>
      <w:r>
        <w:t xml:space="preserve"> </w:t>
      </w:r>
      <w:r>
        <w:t xml:space="preserve">(wwPDB consortium, 2019) is the single</w:t>
      </w:r>
      <w:r>
        <w:t xml:space="preserve"> </w:t>
      </w:r>
      <w:r>
        <w:t xml:space="preserve">global archive of experimentally determined 3D structures of proteins,</w:t>
      </w:r>
      <w:r>
        <w:t xml:space="preserve"> </w:t>
      </w:r>
      <w:r>
        <w:t xml:space="preserve">nucleic acids, and their complexes. As of August 2026 it holds 258,403</w:t>
      </w:r>
      <w:r>
        <w:t xml:space="preserve"> </w:t>
      </w:r>
      <w:r>
        <w:t xml:space="preserve">released structures.</w:t>
      </w:r>
    </w:p>
    <w:p>
      <w:pPr>
        <w:pStyle w:val="FirstParagraph"/>
      </w:pPr>
      <w:r>
        <w:t xml:space="preserve">The hands-on project for this chapter does not analyze this data yet —</w:t>
      </w:r>
      <w:r>
        <w:t xml:space="preserve"> </w:t>
      </w:r>
      <w:r>
        <w:t xml:space="preserve">that begins in Chapter 2 (chemical similarity) and Chapter 9 (structure</w:t>
      </w:r>
      <w:r>
        <w:t xml:space="preserve"> </w:t>
      </w:r>
      <w:r>
        <w:t xml:space="preserve">prediction) — it establishes the environment and the</w:t>
      </w:r>
      <w:r>
        <w:t xml:space="preserve"> </w:t>
      </w:r>
      <w:r>
        <w:rPr>
          <w:i/>
          <w:iCs/>
        </w:rPr>
        <w:t xml:space="preserve">programmatic</w:t>
      </w:r>
      <w:r>
        <w:t xml:space="preserve"> </w:t>
      </w:r>
      <w:r>
        <w:t xml:space="preserve">retrieval pattern that the rest of the book builds on: querying both</w:t>
      </w:r>
      <w:r>
        <w:t xml:space="preserve"> </w:t>
      </w:r>
      <w:r>
        <w:t xml:space="preserve">databases’ public REST APIs directly from Python, rather than manually</w:t>
      </w:r>
      <w:r>
        <w:t xml:space="preserve"> </w:t>
      </w:r>
      <w:r>
        <w:t xml:space="preserve">downloading files through a web browser. This is a deliberate choice: a</w:t>
      </w:r>
      <w:r>
        <w:t xml:space="preserve"> </w:t>
      </w:r>
      <w:r>
        <w:t xml:space="preserve">reproducible computational pipeline should be able to re-fetch its own</w:t>
      </w:r>
      <w:r>
        <w:t xml:space="preserve"> </w:t>
      </w:r>
      <w:r>
        <w:t xml:space="preserve">inputs from source.</w:t>
      </w:r>
    </w:p>
    <w:p>
      <w:pPr>
        <w:pStyle w:val="BodyText"/>
      </w:pPr>
      <w:r>
        <w:t xml:space="preserve">The project code lives in this chapter’s folder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ch01_drug_discovery_pipeline/</w:t>
      </w:r>
      <w:r>
        <w:t xml:space="preserve">) and targets a single, concrete example</w:t>
      </w:r>
      <w:r>
        <w:t xml:space="preserve"> </w:t>
      </w:r>
      <w:r>
        <w:t xml:space="preserve">throughout:</w:t>
      </w:r>
      <w:r>
        <w:t xml:space="preserve"> </w:t>
      </w:r>
      <w:r>
        <w:rPr>
          <w:b/>
          <w:bCs/>
        </w:rPr>
        <w:t xml:space="preserve">EGFR</w:t>
      </w:r>
      <w:r>
        <w:t xml:space="preserve"> </w:t>
      </w:r>
      <w:r>
        <w:t xml:space="preserve">(epidermal growth factor receptor, ChEMBL target</w:t>
      </w:r>
      <w:r>
        <w:t xml:space="preserve"> </w:t>
      </w:r>
      <w:r>
        <w:rPr>
          <w:rStyle w:val="VerbatimChar"/>
        </w:rPr>
        <w:t xml:space="preserve">CHEMBL203</w:t>
      </w:r>
      <w:r>
        <w:t xml:space="preserve">), a receptor tyrosine kinase that is one of the most</w:t>
      </w:r>
      <w:r>
        <w:t xml:space="preserve"> </w:t>
      </w:r>
      <w:r>
        <w:t xml:space="preserve">extensively studied oncology drug targets and the target used in this</w:t>
      </w:r>
      <w:r>
        <w:t xml:space="preserve"> </w:t>
      </w:r>
      <w:r>
        <w:t xml:space="preserve">book’s Chapter 16 capstone project. It retrieves: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Target metadata and bioactivity data from ChEMBL</w:t>
      </w:r>
      <w:r>
        <w:t xml:space="preserve"> </w:t>
      </w:r>
      <w:r>
        <w:t xml:space="preserve">— confirming the</w:t>
      </w:r>
      <w:r>
        <w:t xml:space="preserve"> </w:t>
      </w:r>
      <w:r>
        <w:t xml:space="preserve">target identity (preferred name, organism, target type) and pulling a</w:t>
      </w:r>
      <w:r>
        <w:t xml:space="preserve"> </w:t>
      </w:r>
      <w:r>
        <w:t xml:space="preserve">page of measured bioactivities (assay type, measured value, units, and</w:t>
      </w:r>
      <w:r>
        <w:t xml:space="preserve"> </w:t>
      </w:r>
      <w:r>
        <w:t xml:space="preserve">the tested compound’s SMILES string) for EGFR.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Structural metadata and a 3D structure file from the PDB</w:t>
      </w:r>
      <w:r>
        <w:t xml:space="preserve"> </w:t>
      </w:r>
      <w:r>
        <w:t xml:space="preserve">— for PDB</w:t>
      </w:r>
      <w:r>
        <w:t xml:space="preserve"> </w:t>
      </w:r>
      <w:r>
        <w:t xml:space="preserve">entry</w:t>
      </w:r>
      <w:r>
        <w:t xml:space="preserve"> </w:t>
      </w:r>
      <w:r>
        <w:rPr>
          <w:rStyle w:val="VerbatimChar"/>
        </w:rPr>
        <w:t xml:space="preserve">1M17</w:t>
      </w:r>
      <w:r>
        <w:t xml:space="preserve">, the crystal structure of the EGFR tyrosine kinase domain</w:t>
      </w:r>
      <w:r>
        <w:t xml:space="preserve"> </w:t>
      </w:r>
      <w:r>
        <w:t xml:space="preserve">bound to the inhibitor erlotinib, retrieving both the entry’s metadata</w:t>
      </w:r>
      <w:r>
        <w:t xml:space="preserve"> </w:t>
      </w:r>
      <w:r>
        <w:t xml:space="preserve">(title, resolution, release date) and the structure file itself.</w:t>
      </w:r>
    </w:p>
    <w:p>
      <w:pPr>
        <w:pStyle w:val="FirstParagraph"/>
      </w:pPr>
      <w:r>
        <w:t xml:space="preserve">See</w:t>
      </w:r>
      <w:r>
        <w:t xml:space="preserve"> </w:t>
      </w:r>
      <w:hyperlink r:id="rId14">
        <w:r>
          <w:rPr>
            <w:rStyle w:val="VerbatimChar"/>
          </w:rPr>
          <w:t xml:space="preserve">README.md</w:t>
        </w:r>
      </w:hyperlink>
      <w:r>
        <w:t xml:space="preserve"> </w:t>
      </w:r>
      <w:r>
        <w:t xml:space="preserve">in this folder for setup and usage</w:t>
      </w:r>
      <w:r>
        <w:t xml:space="preserve"> </w:t>
      </w:r>
      <w:r>
        <w:t xml:space="preserve">instructions, and</w:t>
      </w:r>
      <w:r>
        <w:t xml:space="preserve"> </w:t>
      </w:r>
      <w:hyperlink r:id="rId15">
        <w:r>
          <w:rPr>
            <w:rStyle w:val="VerbatimChar"/>
          </w:rPr>
          <w:t xml:space="preserve">fetch_data.py</w:t>
        </w:r>
      </w:hyperlink>
      <w:r>
        <w:t xml:space="preserve"> </w:t>
      </w:r>
      <w:r>
        <w:t xml:space="preserve">for the implementation.</w:t>
      </w:r>
      <w:r>
        <w:t xml:space="preserve"> </w:t>
      </w:r>
      <w:r>
        <w:t xml:space="preserve">The accompanying test suite (</w:t>
      </w:r>
      <w:r>
        <w:rPr>
          <w:rStyle w:val="VerbatimChar"/>
        </w:rPr>
        <w:t xml:space="preserve">tests/test_fetch_data.py</w:t>
      </w:r>
      <w:r>
        <w:t xml:space="preserve">) exercises the</w:t>
      </w:r>
      <w:r>
        <w:t xml:space="preserve"> </w:t>
      </w:r>
      <w:r>
        <w:t xml:space="preserve">same functions against the live APIs, so running the tests is itself a</w:t>
      </w:r>
      <w:r>
        <w:t xml:space="preserve"> </w:t>
      </w:r>
      <w:r>
        <w:t xml:space="preserve">reproducibility check on the retrieval pipeline.</w:t>
      </w:r>
    </w:p>
    <w:bookmarkStart w:id="16" w:name="a-note-on-google-colab"/>
    <w:p>
      <w:pPr>
        <w:pStyle w:val="Heading3"/>
      </w:pPr>
      <w:r>
        <w:t xml:space="preserve">A note on Google Colab</w:t>
      </w:r>
    </w:p>
    <w:p>
      <w:pPr>
        <w:pStyle w:val="FirstParagraph"/>
      </w:pPr>
      <w:r>
        <w:t xml:space="preserve">Every dependency this project needs (</w:t>
      </w:r>
      <w:r>
        <w:rPr>
          <w:rStyle w:val="VerbatimChar"/>
        </w:rPr>
        <w:t xml:space="preserve">requests</w:t>
      </w:r>
      <w:r>
        <w:t xml:space="preserve">, part of a standard</w:t>
      </w:r>
      <w:r>
        <w:t xml:space="preserve"> </w:t>
      </w:r>
      <w:r>
        <w:t xml:space="preserve">Python installation’s ecosystem) is preinstalled on Google Colab’s</w:t>
      </w:r>
      <w:r>
        <w:t xml:space="preserve"> </w:t>
      </w:r>
      <w:r>
        <w:t xml:space="preserve">default runtime, so the entire project runs unmodified in a fresh Colab</w:t>
      </w:r>
      <w:r>
        <w:t xml:space="preserve"> </w:t>
      </w:r>
      <w:r>
        <w:t xml:space="preserve">notebook — install nothing, add a cell with</w:t>
      </w:r>
      <w:r>
        <w:t xml:space="preserve"> </w:t>
      </w:r>
      <w:r>
        <w:rPr>
          <w:rStyle w:val="VerbatimChar"/>
        </w:rPr>
        <w:t xml:space="preserve">!git clone</w:t>
      </w:r>
      <w:r>
        <w:t xml:space="preserve"> </w:t>
      </w:r>
      <w:r>
        <w:t xml:space="preserve">or paste</w:t>
      </w:r>
      <w:r>
        <w:t xml:space="preserve"> </w:t>
      </w:r>
      <w:r>
        <w:rPr>
          <w:rStyle w:val="VerbatimChar"/>
        </w:rPr>
        <w:t xml:space="preserve">fetch_data.py</w:t>
      </w:r>
      <w:r>
        <w:t xml:space="preserve">’s contents, and run. No GPU or special runtime is</w:t>
      </w:r>
      <w:r>
        <w:t xml:space="preserve"> </w:t>
      </w:r>
      <w:r>
        <w:t xml:space="preserve">required for this chapter’s project; later chapters that require a GPU</w:t>
      </w:r>
      <w:r>
        <w:t xml:space="preserve"> </w:t>
      </w:r>
      <w:r>
        <w:t xml:space="preserve">runtime will say so explicitly.</w:t>
      </w:r>
    </w:p>
    <w:bookmarkEnd w:id="16"/>
    <w:bookmarkEnd w:id="17"/>
    <w:bookmarkStart w:id="18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5"/>
        </w:numPr>
      </w:pPr>
      <w:r>
        <w:t xml:space="preserve">Scannell, J. W., Blanckley, A., Boldon, H., &amp; Warrington, B. (2012).</w:t>
      </w:r>
      <w:r>
        <w:t xml:space="preserve"> </w:t>
      </w:r>
      <w:r>
        <w:t xml:space="preserve">Diagnosing the decline in pharmaceutical R&amp;D efficiency.</w:t>
      </w:r>
      <w:r>
        <w:t xml:space="preserve"> </w:t>
      </w:r>
      <w:r>
        <w:rPr>
          <w:i/>
          <w:iCs/>
        </w:rPr>
        <w:t xml:space="preserve">Nature</w:t>
      </w:r>
      <w:r>
        <w:rPr>
          <w:i/>
          <w:iCs/>
        </w:rPr>
        <w:t xml:space="preserve"> </w:t>
      </w:r>
      <w:r>
        <w:rPr>
          <w:i/>
          <w:iCs/>
        </w:rPr>
        <w:t xml:space="preserve">Reviews Drug Discovery</w:t>
      </w:r>
      <w:r>
        <w:t xml:space="preserve">, 11(3), 191–200.</w:t>
      </w:r>
      <w:r>
        <w:t xml:space="preserve"> </w:t>
      </w:r>
      <w:r>
        <w:t xml:space="preserve">https://doi.org/10.1038/nrd3681</w:t>
      </w:r>
    </w:p>
    <w:p>
      <w:pPr>
        <w:pStyle w:val="Compact"/>
        <w:numPr>
          <w:ilvl w:val="0"/>
          <w:numId w:val="1005"/>
        </w:numPr>
      </w:pPr>
      <w:r>
        <w:t xml:space="preserve">Wouters, O. J., McKee, M., &amp; Luyten, J. (2020). Estimated Research and</w:t>
      </w:r>
      <w:r>
        <w:t xml:space="preserve"> </w:t>
      </w:r>
      <w:r>
        <w:t xml:space="preserve">Development Investment Needed to Bring a New Medicine to Market,</w:t>
      </w:r>
      <w:r>
        <w:t xml:space="preserve"> </w:t>
      </w:r>
      <w:r>
        <w:t xml:space="preserve">2009-2018.</w:t>
      </w:r>
      <w:r>
        <w:t xml:space="preserve"> </w:t>
      </w:r>
      <w:r>
        <w:rPr>
          <w:i/>
          <w:iCs/>
        </w:rPr>
        <w:t xml:space="preserve">JAMA</w:t>
      </w:r>
      <w:r>
        <w:t xml:space="preserve">, 323(9), 844–853.</w:t>
      </w:r>
      <w:r>
        <w:t xml:space="preserve"> </w:t>
      </w:r>
      <w:r>
        <w:t xml:space="preserve">https://doi.org/10.1001/jama.2020.1166 (Erratum: Wouters, O. J., McKee,</w:t>
      </w:r>
      <w:r>
        <w:t xml:space="preserve"> </w:t>
      </w:r>
      <w:r>
        <w:t xml:space="preserve">M., &amp; Luyten, J. (2022). Errors in Source Data for Study of Drug</w:t>
      </w:r>
      <w:r>
        <w:t xml:space="preserve"> </w:t>
      </w:r>
      <w:r>
        <w:t xml:space="preserve">Development Costs.</w:t>
      </w:r>
      <w:r>
        <w:t xml:space="preserve"> </w:t>
      </w:r>
      <w:r>
        <w:rPr>
          <w:i/>
          <w:iCs/>
        </w:rPr>
        <w:t xml:space="preserve">JAMA</w:t>
      </w:r>
      <w:r>
        <w:t xml:space="preserve">, 328(11), 1110.</w:t>
      </w:r>
      <w:r>
        <w:t xml:space="preserve"> </w:t>
      </w:r>
      <w:r>
        <w:t xml:space="preserve">https://doi.org/10.1001/jama.2022.14317)</w:t>
      </w:r>
    </w:p>
    <w:p>
      <w:pPr>
        <w:pStyle w:val="Compact"/>
        <w:numPr>
          <w:ilvl w:val="0"/>
          <w:numId w:val="1005"/>
        </w:numPr>
      </w:pPr>
      <w:r>
        <w:t xml:space="preserve">Wong, C. H., Siah, K. W., &amp; Lo, A. W. (2019). Estimation of clinical</w:t>
      </w:r>
      <w:r>
        <w:t xml:space="preserve"> </w:t>
      </w:r>
      <w:r>
        <w:t xml:space="preserve">trial success rates and related parameters.</w:t>
      </w:r>
      <w:r>
        <w:t xml:space="preserve"> </w:t>
      </w:r>
      <w:r>
        <w:rPr>
          <w:i/>
          <w:iCs/>
        </w:rPr>
        <w:t xml:space="preserve">Biostatistics</w:t>
      </w:r>
      <w:r>
        <w:t xml:space="preserve">, 20(2),</w:t>
      </w:r>
      <w:r>
        <w:t xml:space="preserve"> </w:t>
      </w:r>
      <w:r>
        <w:t xml:space="preserve">273–286. https://doi.org/10.1093/biostatistics/kxx069 (Corrigendum:</w:t>
      </w:r>
      <w:r>
        <w:t xml:space="preserve"> </w:t>
      </w:r>
      <w:r>
        <w:rPr>
          <w:i/>
          <w:iCs/>
        </w:rPr>
        <w:t xml:space="preserve">Biostatistics</w:t>
      </w:r>
      <w:r>
        <w:t xml:space="preserve">, 20(2), 366.</w:t>
      </w:r>
      <w:r>
        <w:t xml:space="preserve"> </w:t>
      </w:r>
      <w:r>
        <w:t xml:space="preserve">https://doi.org/10.1093/biostatistics/kxy072)</w:t>
      </w:r>
    </w:p>
    <w:p>
      <w:pPr>
        <w:pStyle w:val="Compact"/>
        <w:numPr>
          <w:ilvl w:val="0"/>
          <w:numId w:val="1005"/>
        </w:numPr>
      </w:pPr>
      <w:r>
        <w:t xml:space="preserve">Hay, M., Thomas, D. W., Craighead, J. L., Economides, C., &amp; Rosenthal,</w:t>
      </w:r>
      <w:r>
        <w:t xml:space="preserve"> </w:t>
      </w:r>
      <w:r>
        <w:t xml:space="preserve">J. (2014). Clinical development success rates for investigational</w:t>
      </w:r>
      <w:r>
        <w:t xml:space="preserve"> </w:t>
      </w:r>
      <w:r>
        <w:t xml:space="preserve">drugs.</w:t>
      </w:r>
      <w:r>
        <w:t xml:space="preserve"> </w:t>
      </w:r>
      <w:r>
        <w:rPr>
          <w:i/>
          <w:iCs/>
        </w:rPr>
        <w:t xml:space="preserve">Nature Biotechnology</w:t>
      </w:r>
      <w:r>
        <w:t xml:space="preserve">, 32(1), 40–51.</w:t>
      </w:r>
      <w:r>
        <w:t xml:space="preserve"> </w:t>
      </w:r>
      <w:r>
        <w:t xml:space="preserve">https://doi.org/10.1038/nbt.2786</w:t>
      </w:r>
    </w:p>
    <w:p>
      <w:pPr>
        <w:pStyle w:val="Compact"/>
        <w:numPr>
          <w:ilvl w:val="0"/>
          <w:numId w:val="1005"/>
        </w:numPr>
      </w:pPr>
      <w:r>
        <w:t xml:space="preserve">Vamathevan, J., Clark, D., Czodrowski, P., Dunham, I., Ferran, E., Lee,</w:t>
      </w:r>
      <w:r>
        <w:t xml:space="preserve"> </w:t>
      </w:r>
      <w:r>
        <w:t xml:space="preserve">G., Li, B., Madabhushi, A., Shah, P., Spitzer, M., &amp; Zhao, S. (2019).</w:t>
      </w:r>
      <w:r>
        <w:t xml:space="preserve"> </w:t>
      </w:r>
      <w:r>
        <w:t xml:space="preserve">Applications of machine learning in drug discovery and development.</w:t>
      </w:r>
      <w:r>
        <w:t xml:space="preserve"> </w:t>
      </w:r>
      <w:r>
        <w:rPr>
          <w:i/>
          <w:iCs/>
        </w:rPr>
        <w:t xml:space="preserve">Nature Reviews Drug Discovery</w:t>
      </w:r>
      <w:r>
        <w:t xml:space="preserve">, 18(6), 463–477.</w:t>
      </w:r>
      <w:r>
        <w:t xml:space="preserve"> </w:t>
      </w:r>
      <w:r>
        <w:t xml:space="preserve">https://doi.org/10.1038/s41573-019-0024-5</w:t>
      </w:r>
    </w:p>
    <w:p>
      <w:pPr>
        <w:pStyle w:val="Compact"/>
        <w:numPr>
          <w:ilvl w:val="0"/>
          <w:numId w:val="1005"/>
        </w:numPr>
      </w:pPr>
      <w:r>
        <w:t xml:space="preserve">Jumper, J., Evans, R., Pritzel, A., Green, T., Figurnov, M., Ronneberger,</w:t>
      </w:r>
      <w:r>
        <w:t xml:space="preserve"> </w:t>
      </w:r>
      <w:r>
        <w:t xml:space="preserve">O., et al. (2021). Highly accurate protein structure prediction with</w:t>
      </w:r>
      <w:r>
        <w:t xml:space="preserve"> </w:t>
      </w:r>
      <w:r>
        <w:t xml:space="preserve">AlphaFold.</w:t>
      </w:r>
      <w:r>
        <w:t xml:space="preserve"> </w:t>
      </w:r>
      <w:r>
        <w:rPr>
          <w:i/>
          <w:iCs/>
        </w:rPr>
        <w:t xml:space="preserve">Nature</w:t>
      </w:r>
      <w:r>
        <w:t xml:space="preserve">, 596(7873), 583–589.</w:t>
      </w:r>
      <w:r>
        <w:t xml:space="preserve"> </w:t>
      </w:r>
      <w:r>
        <w:t xml:space="preserve">https://doi.org/10.1038/s41586-021-03819-2</w:t>
      </w:r>
    </w:p>
    <w:p>
      <w:pPr>
        <w:pStyle w:val="Compact"/>
        <w:numPr>
          <w:ilvl w:val="0"/>
          <w:numId w:val="1005"/>
        </w:numPr>
      </w:pPr>
      <w:r>
        <w:t xml:space="preserve">Mendez, D., Gaulton, A., Bento, A. P., Chambers, J., De Veij, M., Félix,</w:t>
      </w:r>
      <w:r>
        <w:t xml:space="preserve"> </w:t>
      </w:r>
      <w:r>
        <w:t xml:space="preserve">E., et al. (2019). ChEMBL: towards direct deposition of bioassay data.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, 47(D1), D930–D940.</w:t>
      </w:r>
      <w:r>
        <w:t xml:space="preserve"> </w:t>
      </w:r>
      <w:r>
        <w:t xml:space="preserve">https://doi.org/10.1093/nar/gky1075</w:t>
      </w:r>
    </w:p>
    <w:p>
      <w:pPr>
        <w:pStyle w:val="Compact"/>
        <w:numPr>
          <w:ilvl w:val="0"/>
          <w:numId w:val="1005"/>
        </w:numPr>
      </w:pPr>
      <w:r>
        <w:t xml:space="preserve">wwPDB consortium. (2019). Protein Data Bank: the single global archive</w:t>
      </w:r>
      <w:r>
        <w:t xml:space="preserve"> </w:t>
      </w:r>
      <w:r>
        <w:t xml:space="preserve">for 3D macromolecular structure data.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, 47(D1),</w:t>
      </w:r>
      <w:r>
        <w:t xml:space="preserve"> </w:t>
      </w:r>
      <w:r>
        <w:t xml:space="preserve">D520–D528. https://doi.org/10.1093/nar/gky949</w:t>
      </w:r>
    </w:p>
    <w:p>
      <w:pPr>
        <w:pStyle w:val="Compact"/>
        <w:numPr>
          <w:ilvl w:val="0"/>
          <w:numId w:val="1005"/>
        </w:numPr>
      </w:pPr>
      <w:r>
        <w:t xml:space="preserve">Lipinski, C. A., Lombardo, F., Dominy, B. W., &amp; Feeney, P. J. (2001).</w:t>
      </w:r>
      <w:r>
        <w:t xml:space="preserve"> </w:t>
      </w:r>
      <w:r>
        <w:t xml:space="preserve">Experimental and computational approaches to estimate solubility and</w:t>
      </w:r>
      <w:r>
        <w:t xml:space="preserve"> </w:t>
      </w:r>
      <w:r>
        <w:t xml:space="preserve">permeability in drug discovery and development settings.</w:t>
      </w:r>
      <w:r>
        <w:t xml:space="preserve"> </w:t>
      </w:r>
      <w:r>
        <w:rPr>
          <w:i/>
          <w:iCs/>
        </w:rPr>
        <w:t xml:space="preserve">Advanced Drug</w:t>
      </w:r>
      <w:r>
        <w:rPr>
          <w:i/>
          <w:iCs/>
        </w:rPr>
        <w:t xml:space="preserve"> </w:t>
      </w:r>
      <w:r>
        <w:rPr>
          <w:i/>
          <w:iCs/>
        </w:rPr>
        <w:t xml:space="preserve">Delivery Reviews</w:t>
      </w:r>
      <w:r>
        <w:t xml:space="preserve">, 46(1-3), 3–26.</w:t>
      </w:r>
      <w:r>
        <w:t xml:space="preserve"> </w:t>
      </w:r>
      <w:r>
        <w:t xml:space="preserve">https://doi.org/10.1016/S0169-409X(00)00129-0</w:t>
      </w:r>
    </w:p>
    <w:p>
      <w:pPr>
        <w:pStyle w:val="FirstParagraph"/>
      </w:pPr>
      <w:r>
        <w:t xml:space="preserve">Live data cited in §1.4 (ChEMBL release version and count, PDB entry</w:t>
      </w:r>
      <w:r>
        <w:t xml:space="preserve"> </w:t>
      </w:r>
      <w:r>
        <w:t xml:space="preserve">count) were retrieved directly from the ChEMBL and RCSB PDB REST APIs on</w:t>
      </w:r>
      <w:r>
        <w:t xml:space="preserve"> </w:t>
      </w:r>
      <w:r>
        <w:t xml:space="preserve">2026-08-16; see</w:t>
      </w:r>
      <w:r>
        <w:t xml:space="preserve"> </w:t>
      </w:r>
      <w:r>
        <w:rPr>
          <w:rStyle w:val="VerbatimChar"/>
        </w:rPr>
        <w:t xml:space="preserve">fetch_data.py</w:t>
      </w:r>
      <w:r>
        <w:t xml:space="preserve"> </w:t>
      </w:r>
      <w:r>
        <w:t xml:space="preserve">to reproduce.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README.md" TargetMode="External" /><Relationship Type="http://schemas.openxmlformats.org/officeDocument/2006/relationships/hyperlink" Id="rId15" Target="fetch_data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README.md" TargetMode="External" /><Relationship Type="http://schemas.openxmlformats.org/officeDocument/2006/relationships/hyperlink" Id="rId15" Target="fetch_data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The Drug Discovery Pipeline &amp; AI Revolution</dc:title>
  <dc:creator/>
  <cp:keywords/>
  <dcterms:created xsi:type="dcterms:W3CDTF">2026-08-16T11:33:42Z</dcterms:created>
  <dcterms:modified xsi:type="dcterms:W3CDTF">2026-08-16T11:33:42Z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