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7a7310726d3c9729ad93ac7868822dbcacaed3"/>
    <w:p>
      <w:pPr>
        <w:pStyle w:val="Heading1"/>
      </w:pPr>
      <w:r>
        <w:t xml:space="preserve">Chapter 2: Representing Chemical Space (Small Molecules)</w:t>
      </w:r>
    </w:p>
    <w:p>
      <w:pPr>
        <w:pStyle w:val="FirstParagraph"/>
      </w:pPr>
      <w:r>
        <w:t xml:space="preserve">Chapter 1 introduced Lipinski’s Rule of Five and small-molecule</w:t>
      </w:r>
      <w:r>
        <w:t xml:space="preserve"> </w:t>
      </w:r>
      <w:r>
        <w:t xml:space="preserve">representations only in passing, while surveying the two modalities this</w:t>
      </w:r>
      <w:r>
        <w:t xml:space="preserve"> </w:t>
      </w:r>
      <w:r>
        <w:t xml:space="preserve">book covers. This chapter makes those representations precise. Much of</w:t>
      </w:r>
      <w:r>
        <w:t xml:space="preserve"> </w:t>
      </w:r>
      <w:r>
        <w:t xml:space="preserve">what follows for small molecules — QSAR/ADMET models (Chapter 5), graph</w:t>
      </w:r>
      <w:r>
        <w:t xml:space="preserve"> </w:t>
      </w:r>
      <w:r>
        <w:t xml:space="preserve">neural networks (Chapter 6), generative models over molecular strings and</w:t>
      </w:r>
      <w:r>
        <w:t xml:space="preserve"> </w:t>
      </w:r>
      <w:r>
        <w:t xml:space="preserve">graphs (Chapter 7), and later, molecular docking (Chapter 11) — starts</w:t>
      </w:r>
      <w:r>
        <w:t xml:space="preserve"> </w:t>
      </w:r>
      <w:r>
        <w:t xml:space="preserve">from one of the representations introduced here, so the central question</w:t>
      </w:r>
      <w:r>
        <w:t xml:space="preserve"> </w:t>
      </w:r>
      <w:r>
        <w:t xml:space="preserve">this chapter answers is not just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represent a molecule</w:t>
      </w:r>
      <w:r>
        <w:t xml:space="preserve"> </w:t>
      </w:r>
      <w:r>
        <w:t xml:space="preserve">computationally, but how that choice of representation determines what</w:t>
      </w:r>
      <w:r>
        <w:t xml:space="preserve"> </w:t>
      </w:r>
      <w:r>
        <w:t xml:space="preserve">“similar”</w:t>
      </w:r>
      <w:r>
        <w:t xml:space="preserve"> </w:t>
      </w:r>
      <w:r>
        <w:t xml:space="preserve">can even mean.</w:t>
      </w:r>
    </w:p>
    <w:bookmarkStart w:id="9" w:name="X6494cef8f2ef12adf6641df6614f15cf18c9e5a"/>
    <w:p>
      <w:pPr>
        <w:pStyle w:val="Heading2"/>
      </w:pPr>
      <w:r>
        <w:t xml:space="preserve">2.1 Textual Representations: SMILES, SELFIES, and InChI</w:t>
      </w:r>
    </w:p>
    <w:p>
      <w:pPr>
        <w:pStyle w:val="FirstParagraph"/>
      </w:pPr>
      <w:r>
        <w:t xml:space="preserve">The simplest computational representation of a small molecule is a linear</w:t>
      </w:r>
      <w:r>
        <w:t xml:space="preserve"> </w:t>
      </w:r>
      <w:r>
        <w:t xml:space="preserve">string.</w:t>
      </w:r>
      <w:r>
        <w:t xml:space="preserve"> </w:t>
      </w:r>
      <w:r>
        <w:rPr>
          <w:b/>
          <w:bCs/>
        </w:rPr>
        <w:t xml:space="preserve">SMILES</w:t>
      </w:r>
      <w:r>
        <w:t xml:space="preserve"> </w:t>
      </w:r>
      <w:r>
        <w:t xml:space="preserve">(Simplified Molecular Input Line Entry System;</w:t>
      </w:r>
      <w:r>
        <w:t xml:space="preserve"> </w:t>
      </w:r>
      <w:r>
        <w:t xml:space="preserve">Weininger, 1988) encodes a molecular graph as a depth-first traversal:</w:t>
      </w:r>
      <w:r>
        <w:t xml:space="preserve"> </w:t>
      </w:r>
      <w:r>
        <w:t xml:space="preserve">atoms are written as their element symbols (aromatic atoms in lowercase),</w:t>
      </w:r>
      <w:r>
        <w:t xml:space="preserve"> </w:t>
      </w:r>
      <w:r>
        <w:t xml:space="preserve">bonds are implicit (single/aromatic) or explicit (</w:t>
      </w:r>
      <w:r>
        <w:rPr>
          <w:rStyle w:val="VerbatimChar"/>
        </w:rPr>
        <w:t xml:space="preserve">=</w:t>
      </w:r>
      <w:r>
        <w:t xml:space="preserve"> </w:t>
      </w:r>
      <w:r>
        <w:t xml:space="preserve">double,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triple),</w:t>
      </w:r>
      <w:r>
        <w:t xml:space="preserve"> </w:t>
      </w:r>
      <w:r>
        <w:t xml:space="preserve">branches are parenthesized, and ring closures are marked with matching</w:t>
      </w:r>
      <w:r>
        <w:t xml:space="preserve"> </w:t>
      </w:r>
      <w:r>
        <w:t xml:space="preserve">digits at the two atoms that close the ring. Aspirin, for example, is:</w:t>
      </w:r>
    </w:p>
    <w:p>
      <w:pPr>
        <w:pStyle w:val="SourceCode"/>
      </w:pPr>
      <w:r>
        <w:rPr>
          <w:rStyle w:val="VerbatimChar"/>
        </w:rPr>
        <w:t xml:space="preserve">CC(=O)OC1=CC=CC=C1C(=O)O</w:t>
      </w:r>
    </w:p>
    <w:p>
      <w:pPr>
        <w:pStyle w:val="FirstParagraph"/>
      </w:pPr>
      <w:r>
        <w:t xml:space="preserve">reading as: a methyl carbon, a carbonyl carbon (</w:t>
      </w:r>
      <w:r>
        <w:rPr>
          <w:rStyle w:val="VerbatimChar"/>
        </w:rPr>
        <w:t xml:space="preserve">(=O)</w:t>
      </w:r>
      <w:r>
        <w:t xml:space="preserve">), an ester oxygen,</w:t>
      </w:r>
      <w:r>
        <w:t xml:space="preserve"> </w:t>
      </w:r>
      <w:r>
        <w:t xml:space="preserve">then a benzene ring opened and closed with the digit</w:t>
      </w:r>
      <w:r>
        <w:t xml:space="preserve"> </w:t>
      </w:r>
      <w:r>
        <w:rPr>
          <w:rStyle w:val="VerbatimChar"/>
        </w:rPr>
        <w:t xml:space="preserve">1</w:t>
      </w:r>
      <w:r>
        <w:t xml:space="preserve">, with a</w:t>
      </w:r>
      <w:r>
        <w:t xml:space="preserve"> </w:t>
      </w:r>
      <w:r>
        <w:t xml:space="preserve">carboxylic acid group closing the string. RDKit’s</w:t>
      </w:r>
      <w:r>
        <w:t xml:space="preserve"> </w:t>
      </w:r>
      <w:r>
        <w:rPr>
          <w:rStyle w:val="VerbatimChar"/>
        </w:rPr>
        <w:t xml:space="preserve">Chem.MolFromSmiles</w:t>
      </w:r>
      <w:r>
        <w:t xml:space="preserve"> </w:t>
      </w:r>
      <w:r>
        <w:t xml:space="preserve">parses exactly this grammar into a molecule object — the same object the</w:t>
      </w:r>
      <w:r>
        <w:t xml:space="preserve"> </w:t>
      </w:r>
      <w:r>
        <w:t xml:space="preserve">rest of this chapter’s code operates on.</w:t>
      </w:r>
    </w:p>
    <w:p>
      <w:pPr>
        <w:pStyle w:val="BodyText"/>
      </w:pPr>
      <w:r>
        <w:t xml:space="preserve">Two properties of SMILES matter for everything that follows. First, it is</w:t>
      </w:r>
      <w:r>
        <w:t xml:space="preserve"> </w:t>
      </w:r>
      <w:r>
        <w:rPr>
          <w:b/>
          <w:bCs/>
        </w:rPr>
        <w:t xml:space="preserve">not unique by default</w:t>
      </w:r>
      <w:r>
        <w:t xml:space="preserve">: a depth-first traversal can start at any atom</w:t>
      </w:r>
      <w:r>
        <w:t xml:space="preserve"> </w:t>
      </w:r>
      <w:r>
        <w:t xml:space="preserve">and branch in any order, so the same molecule has many valid SMILES</w:t>
      </w:r>
      <w:r>
        <w:t xml:space="preserve"> </w:t>
      </w:r>
      <w:r>
        <w:t xml:space="preserve">strings, all of which parse to the same graph. Toolkits like RDKit resolve</w:t>
      </w:r>
      <w:r>
        <w:t xml:space="preserve"> </w:t>
      </w:r>
      <w:r>
        <w:t xml:space="preserve">this by producing a single</w:t>
      </w:r>
      <w:r>
        <w:t xml:space="preserve"> </w:t>
      </w:r>
      <w:r>
        <w:rPr>
          <w:i/>
          <w:iCs/>
        </w:rPr>
        <w:t xml:space="preserve">canonical</w:t>
      </w:r>
      <w:r>
        <w:t xml:space="preserve"> </w:t>
      </w:r>
      <w:r>
        <w:t xml:space="preserve">SMILES per molecule, using a</w:t>
      </w:r>
      <w:r>
        <w:t xml:space="preserve"> </w:t>
      </w:r>
      <w:r>
        <w:t xml:space="preserve">deterministic atom-ranking algorithm, so that string equality can be used</w:t>
      </w:r>
      <w:r>
        <w:t xml:space="preserve"> </w:t>
      </w:r>
      <w:r>
        <w:t xml:space="preserve">as a fast (if fingerprint-agnostic) exact-match test. Second, and more</w:t>
      </w:r>
      <w:r>
        <w:t xml:space="preserve"> </w:t>
      </w:r>
      <w:r>
        <w:t xml:space="preserve">consequentially for this chapter, SMILES syntax does not track chemical</w:t>
      </w:r>
      <w:r>
        <w:t xml:space="preserve"> </w:t>
      </w:r>
      <w:r>
        <w:rPr>
          <w:i/>
          <w:iCs/>
        </w:rPr>
        <w:t xml:space="preserve">similarity</w:t>
      </w:r>
      <w:r>
        <w:t xml:space="preserve"> </w:t>
      </w:r>
      <w:r>
        <w:t xml:space="preserve">— a single-character edit near a ring-closure digit can</w:t>
      </w:r>
      <w:r>
        <w:t xml:space="preserve"> </w:t>
      </w:r>
      <w:r>
        <w:t xml:space="preserve">produce a wildly different molecule or an invalid string entirely, so</w:t>
      </w:r>
      <w:r>
        <w:t xml:space="preserve"> </w:t>
      </w:r>
      <w:r>
        <w:t xml:space="preserve">string-edit-distance between two SMILES is not a meaningful similarity</w:t>
      </w:r>
      <w:r>
        <w:t xml:space="preserve"> </w:t>
      </w:r>
      <w:r>
        <w:t xml:space="preserve">metric. This motivates §2.2’s fingerprint-based approach directly:</w:t>
      </w:r>
      <w:r>
        <w:t xml:space="preserve"> </w:t>
      </w:r>
      <w:r>
        <w:t xml:space="preserve">similarity has to be computed from</w:t>
      </w:r>
      <w:r>
        <w:t xml:space="preserve"> </w:t>
      </w:r>
      <w:r>
        <w:rPr>
          <w:i/>
          <w:iCs/>
        </w:rPr>
        <w:t xml:space="preserve">chemical structure</w:t>
      </w:r>
      <w:r>
        <w:t xml:space="preserve">, not from</w:t>
      </w:r>
      <w:r>
        <w:t xml:space="preserve"> </w:t>
      </w:r>
      <w:r>
        <w:t xml:space="preserve">surface-level string syntax.</w:t>
      </w:r>
    </w:p>
    <w:p>
      <w:pPr>
        <w:pStyle w:val="BodyText"/>
      </w:pPr>
      <w:r>
        <w:t xml:space="preserve">SMILES’ non-uniqueness and syntactic fragility are also a practical</w:t>
      </w:r>
      <w:r>
        <w:t xml:space="preserve"> </w:t>
      </w:r>
      <w:r>
        <w:t xml:space="preserve">liability for the generative models covered in Chapter 7: a</w:t>
      </w:r>
      <w:r>
        <w:t xml:space="preserve"> </w:t>
      </w:r>
      <w:r>
        <w:t xml:space="preserve">character-level model sampling SMILES strings can easily produce syntactically</w:t>
      </w:r>
      <w:r>
        <w:t xml:space="preserve"> </w:t>
      </w:r>
      <w:r>
        <w:t xml:space="preserve">invalid output (unbalanced rings, valence violations).</w:t>
      </w:r>
      <w:r>
        <w:t xml:space="preserve"> </w:t>
      </w:r>
      <w:r>
        <w:rPr>
          <w:b/>
          <w:bCs/>
        </w:rPr>
        <w:t xml:space="preserve">SELFIES</w:t>
      </w:r>
      <w:r>
        <w:t xml:space="preserve"> </w:t>
      </w:r>
      <w:r>
        <w:t xml:space="preserve">(Self-referencing Embedded Strings; Krenn et al., 2020) was designed</w:t>
      </w:r>
      <w:r>
        <w:t xml:space="preserve"> </w:t>
      </w:r>
      <w:r>
        <w:t xml:space="preserve">specifically to close this gap — its grammar guarantees that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string it can produce decodes to a chemically valid molecule, at the cost</w:t>
      </w:r>
      <w:r>
        <w:t xml:space="preserve"> </w:t>
      </w:r>
      <w:r>
        <w:t xml:space="preserve">of being less directly human-readable than SMILES. This book uses SMILES</w:t>
      </w:r>
      <w:r>
        <w:t xml:space="preserve"> </w:t>
      </w:r>
      <w:r>
        <w:t xml:space="preserve">throughout Parts I–II for its readability and RDKit-native tooling, but</w:t>
      </w:r>
      <w:r>
        <w:t xml:space="preserve"> </w:t>
      </w:r>
      <w:r>
        <w:t xml:space="preserve">Chapter 7 returns to SELFIES specifically where 100% validity matters for</w:t>
      </w:r>
      <w:r>
        <w:t xml:space="preserve"> </w:t>
      </w:r>
      <w:r>
        <w:t xml:space="preserve">generation.</w:t>
      </w:r>
    </w:p>
    <w:p>
      <w:pPr>
        <w:pStyle w:val="BodyText"/>
      </w:pPr>
      <w:r>
        <w:t xml:space="preserve">A third representation, the</w:t>
      </w:r>
      <w:r>
        <w:t xml:space="preserve"> </w:t>
      </w:r>
      <w:r>
        <w:rPr>
          <w:b/>
          <w:bCs/>
        </w:rPr>
        <w:t xml:space="preserve">InChI</w:t>
      </w:r>
      <w:r>
        <w:t xml:space="preserve"> </w:t>
      </w:r>
      <w:r>
        <w:t xml:space="preserve">(IUPAC International Chemical</w:t>
      </w:r>
      <w:r>
        <w:t xml:space="preserve"> </w:t>
      </w:r>
      <w:r>
        <w:t xml:space="preserve">Identifier; Heller et al., 2015), solves a different problem: it is a</w:t>
      </w:r>
      <w:r>
        <w:t xml:space="preserve"> </w:t>
      </w:r>
      <w:r>
        <w:t xml:space="preserve">non-proprietary, algorithmically-derived, canonical identifier layered</w:t>
      </w:r>
      <w:r>
        <w:t xml:space="preserve"> </w:t>
      </w:r>
      <w:r>
        <w:t xml:space="preserve">with explicit sub-layers for formula, connectivity, tautomeric state,</w:t>
      </w:r>
      <w:r>
        <w:t xml:space="preserve"> </w:t>
      </w:r>
      <w:r>
        <w:t xml:space="preserve">charge, and stereochemistry. Unlike a toolkit-specific canonical SMILES,</w:t>
      </w:r>
      <w:r>
        <w:t xml:space="preserve"> </w:t>
      </w:r>
      <w:r>
        <w:t xml:space="preserve">an InChI (and its hashed, fixed-length InChIKey) is reproducible across</w:t>
      </w:r>
      <w:r>
        <w:t xml:space="preserve"> </w:t>
      </w:r>
      <w:r>
        <w:t xml:space="preserve">independent implementations, which is exactly why databases such as</w:t>
      </w:r>
      <w:r>
        <w:t xml:space="preserve"> </w:t>
      </w:r>
      <w:r>
        <w:t xml:space="preserve">ChEMBL and PubChem (Chapter 4) use it to deduplicate and cross-reference</w:t>
      </w:r>
      <w:r>
        <w:t xml:space="preserve"> </w:t>
      </w:r>
      <w:r>
        <w:t xml:space="preserve">compounds submitted from different sources.</w:t>
      </w:r>
    </w:p>
    <w:p>
      <w:pPr>
        <w:pStyle w:val="BodyText"/>
      </w:pPr>
      <w:r>
        <w:t xml:space="preserve">None of these three representations is strictly</w:t>
      </w:r>
      <w:r>
        <w:t xml:space="preserve"> </w:t>
      </w:r>
      <w:r>
        <w:t xml:space="preserve">“better”</w:t>
      </w:r>
      <w:r>
        <w:t xml:space="preserve"> </w:t>
      </w:r>
      <w:r>
        <w:t xml:space="preserve">— they solve</w:t>
      </w:r>
      <w:r>
        <w:t xml:space="preserve"> </w:t>
      </w:r>
      <w:r>
        <w:t xml:space="preserve">different problems. SMILES is compact and directly parseable into a</w:t>
      </w:r>
      <w:r>
        <w:t xml:space="preserve"> </w:t>
      </w:r>
      <w:r>
        <w:t xml:space="preserve">molecular graph; SELFIES trades some readability for guaranteed validity</w:t>
      </w:r>
      <w:r>
        <w:t xml:space="preserve"> </w:t>
      </w:r>
      <w:r>
        <w:t xml:space="preserve">in generative settings; InChI trades human-writability for</w:t>
      </w:r>
      <w:r>
        <w:t xml:space="preserve"> </w:t>
      </w:r>
      <w:r>
        <w:t xml:space="preserve">cross-database, implementation-independent identity. What none of them</w:t>
      </w:r>
      <w:r>
        <w:t xml:space="preserve"> </w:t>
      </w:r>
      <w:r>
        <w:t xml:space="preserve">gives you directly is a numeric handle for comparing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molecules — that is the job of the fingerprints introduced next.</w:t>
      </w:r>
    </w:p>
    <w:bookmarkEnd w:id="9"/>
    <w:bookmarkStart w:id="14" w:name="X8f03b3538d49df97de671e52b34ac6225e9c9c2"/>
    <w:p>
      <w:pPr>
        <w:pStyle w:val="Heading2"/>
      </w:pPr>
      <w:r>
        <w:t xml:space="preserve">2.2 Molecular Fingerprints and Similarity Metrics</w:t>
      </w:r>
    </w:p>
    <w:bookmarkStart w:id="11" w:name="from-structure-to-bit-vector"/>
    <w:p>
      <w:pPr>
        <w:pStyle w:val="Heading3"/>
      </w:pPr>
      <w:r>
        <w:t xml:space="preserve">From structure to bit vector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molecular fingerprint</w:t>
      </w:r>
      <w:r>
        <w:t xml:space="preserve"> </w:t>
      </w:r>
      <w:r>
        <w:t xml:space="preserve">encodes structural information as a fixed-length</w:t>
      </w:r>
      <w:r>
        <w:t xml:space="preserve"> </w:t>
      </w:r>
      <w:r>
        <w:t xml:space="preserve">vector, so that two molecules can be compared with ordinary vector</w:t>
      </w:r>
      <w:r>
        <w:t xml:space="preserve"> </w:t>
      </w:r>
      <w:r>
        <w:t xml:space="preserve">arithmetic instead of graph isomorphism. Fingerprints fall into two broad</w:t>
      </w:r>
      <w:r>
        <w:t xml:space="preserve"> </w:t>
      </w:r>
      <w:r>
        <w:t xml:space="preserve">families.</w:t>
      </w:r>
    </w:p>
    <w:p>
      <w:pPr>
        <w:pStyle w:val="BodyText"/>
      </w:pPr>
      <w:r>
        <w:rPr>
          <w:b/>
          <w:bCs/>
        </w:rPr>
        <w:t xml:space="preserve">Structural-key fingerprints</w:t>
      </w:r>
      <w:r>
        <w:t xml:space="preserve"> </w:t>
      </w:r>
      <w:r>
        <w:t xml:space="preserve">fix a dictionary of specific substructures</w:t>
      </w:r>
      <w:r>
        <w:t xml:space="preserve"> </w:t>
      </w:r>
      <w:r>
        <w:t xml:space="preserve">in advance and set one bit per dictionary entry if that substructure is</w:t>
      </w:r>
      <w:r>
        <w:t xml:space="preserve"> </w:t>
      </w:r>
      <w:r>
        <w:t xml:space="preserve">present. The MACCS keys (Durant et al., 2002) are the canonical example: a</w:t>
      </w:r>
      <w:r>
        <w:t xml:space="preserve"> </w:t>
      </w:r>
      <w:r>
        <w:t xml:space="preserve">166-bit vector, each bit corresponding to a named, human-inspectable</w:t>
      </w:r>
      <w:r>
        <w:t xml:space="preserve"> </w:t>
      </w:r>
      <w:r>
        <w:t xml:space="preserve">substructural pattern (e.g.,</w:t>
      </w:r>
      <w:r>
        <w:t xml:space="preserve"> </w:t>
      </w:r>
      <w:r>
        <w:t xml:space="preserve">“has an aromatic ring,”</w:t>
      </w:r>
      <w:r>
        <w:t xml:space="preserve"> </w:t>
      </w:r>
      <w:r>
        <w:t xml:space="preserve">“has a carbonyl”</w:t>
      </w:r>
      <w:r>
        <w:t xml:space="preserve">).</w:t>
      </w:r>
      <w:r>
        <w:t xml:space="preserve"> </w:t>
      </w:r>
      <w:r>
        <w:t xml:space="preserve">Their strength is direct interpretability — a set bit has a fixed,</w:t>
      </w:r>
      <w:r>
        <w:t xml:space="preserve"> </w:t>
      </w:r>
      <w:r>
        <w:t xml:space="preserve">inspectable meaning; their limitation is that vocabulary is fixed, so</w:t>
      </w:r>
      <w:r>
        <w:t xml:space="preserve"> </w:t>
      </w:r>
      <w:r>
        <w:t xml:space="preserve">structural motifs outside the predefined dictionary are invisible to the</w:t>
      </w:r>
      <w:r>
        <w:t xml:space="preserve"> </w:t>
      </w:r>
      <w:r>
        <w:t xml:space="preserve">fingerprint no matter how chemically relevant they are.</w:t>
      </w:r>
    </w:p>
    <w:p>
      <w:pPr>
        <w:pStyle w:val="BodyText"/>
      </w:pPr>
      <w:r>
        <w:rPr>
          <w:b/>
          <w:bCs/>
        </w:rPr>
        <w:t xml:space="preserve">Circular (Morgan/ECFP) fingerprints</w:t>
      </w:r>
      <w:r>
        <w:t xml:space="preserve"> </w:t>
      </w:r>
      <w:r>
        <w:t xml:space="preserve">take the opposite approach: instead</w:t>
      </w:r>
      <w:r>
        <w:t xml:space="preserve"> </w:t>
      </w:r>
      <w:r>
        <w:t xml:space="preserve">of a fixed dictionary, they enumerate the actual substructural environments</w:t>
      </w:r>
      <w:r>
        <w:t xml:space="preserve"> </w:t>
      </w:r>
      <w:r>
        <w:t xml:space="preserve">present in the molecule, algorithmically. The underlying algorithm is</w:t>
      </w:r>
      <w:r>
        <w:t xml:space="preserve"> </w:t>
      </w:r>
      <w:r>
        <w:t xml:space="preserve">Morgan’s (1965) method for canonical atom relabeling, originally designed</w:t>
      </w:r>
      <w:r>
        <w:t xml:space="preserve"> </w:t>
      </w:r>
      <w:r>
        <w:t xml:space="preserve">to test structures for graph isomorphism at Chemical Abstracts Service:</w:t>
      </w:r>
      <w:r>
        <w:t xml:space="preserve"> </w:t>
      </w:r>
      <w:r>
        <w:t xml:space="preserve">each atom is assigned an initial integer invariant (derived from its</w:t>
      </w:r>
      <w:r>
        <w:t xml:space="preserve"> </w:t>
      </w:r>
      <w:r>
        <w:t xml:space="preserve">atomic number, degree, charge, attached hydrogen count, and ring</w:t>
      </w:r>
      <w:r>
        <w:t xml:space="preserve"> </w:t>
      </w:r>
      <w:r>
        <w:t xml:space="preserve">membership), and then, over successive iterations, each atom’s invariant</w:t>
      </w:r>
      <w:r>
        <w:t xml:space="preserve"> </w:t>
      </w:r>
      <w:r>
        <w:t xml:space="preserve">is recomputed as a hash of its own current invariant together with its</w:t>
      </w:r>
      <w:r>
        <w:t xml:space="preserve"> </w:t>
      </w:r>
      <w:r>
        <w:t xml:space="preserve">neighbors’ invariants. Rogers and Hahn (2010) adapted this iterative</w:t>
      </w:r>
      <w:r>
        <w:t xml:space="preserve"> </w:t>
      </w:r>
      <w:r>
        <w:t xml:space="preserve">relabeling procedure into a similarity fingerprint —</w:t>
      </w:r>
      <w:r>
        <w:t xml:space="preserve"> </w:t>
      </w:r>
      <w:r>
        <w:rPr>
          <w:b/>
          <w:bCs/>
        </w:rPr>
        <w:t xml:space="preserve">Extended-Connectivity</w:t>
      </w:r>
      <w:r>
        <w:rPr>
          <w:b/>
          <w:bCs/>
        </w:rPr>
        <w:t xml:space="preserve"> </w:t>
      </w:r>
      <w:r>
        <w:rPr>
          <w:b/>
          <w:bCs/>
        </w:rPr>
        <w:t xml:space="preserve">Fingerprints (ECFP)</w:t>
      </w:r>
      <w:r>
        <w:t xml:space="preserve"> </w:t>
      </w:r>
      <w:r>
        <w:t xml:space="preserve">— by recording every atom-environment identifier</w:t>
      </w:r>
      <w:r>
        <w:t xml:space="preserve"> </w:t>
      </w:r>
      <w:r>
        <w:t xml:space="preserve">produced at every iteration, rather than discarding intermediate values in</w:t>
      </w:r>
      <w:r>
        <w:t xml:space="preserve"> </w:t>
      </w:r>
      <w:r>
        <w:t xml:space="preserve">pursuit of a single canonical numbering.</w:t>
      </w:r>
    </w:p>
    <w:p>
      <w:pPr>
        <w:pStyle w:val="BodyText"/>
      </w:pPr>
      <w:r>
        <w:t xml:space="preserve">The number of iterations sets the fingerprint’s</w:t>
      </w:r>
      <w:r>
        <w:t xml:space="preserve"> </w:t>
      </w:r>
      <w:r>
        <w:rPr>
          <w:b/>
          <w:bCs/>
        </w:rPr>
        <w:t xml:space="preserve">radius</w:t>
      </w:r>
      <w:r>
        <w:t xml:space="preserve">: 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iterations, an atom’s identifier summarizes its bonded environment out to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bonds away.</w:t>
      </w:r>
      <w:r>
        <w:t xml:space="preserve"> </w:t>
      </w:r>
      <w:r>
        <w:rPr>
          <w:rStyle w:val="VerbatimChar"/>
        </w:rPr>
        <w:t xml:space="preserve">ECFP4</w:t>
      </w:r>
      <w:r>
        <w:t xml:space="preserve"> </w:t>
      </w:r>
      <w:r>
        <w:t xml:space="preserve">— the fingerprint this chapter’s hands-on project</w:t>
      </w:r>
      <w:r>
        <w:t xml:space="preserve"> </w:t>
      </w:r>
      <w:r>
        <w:t xml:space="preserve">uses — takes its name from a</w:t>
      </w:r>
      <w:r>
        <w:t xml:space="preserve"> </w:t>
      </w:r>
      <w:r>
        <w:rPr>
          <w:i/>
          <w:iCs/>
        </w:rPr>
        <w:t xml:space="preserve">diameter</w:t>
      </w:r>
      <w:r>
        <w:t xml:space="preserve"> </w:t>
      </w:r>
      <w:r>
        <w:t xml:space="preserve">of 4 (radius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), so it</w:t>
      </w:r>
      <w:r>
        <w:t xml:space="preserve"> </w:t>
      </w:r>
      <w:r>
        <w:t xml:space="preserve">captures each atom’s 2-bond neighborhood;</w:t>
      </w:r>
      <w:r>
        <w:t xml:space="preserve"> </w:t>
      </w:r>
      <w:r>
        <w:rPr>
          <w:rStyle w:val="VerbatimChar"/>
        </w:rPr>
        <w:t xml:space="preserve">ECFP6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) captures larger,</w:t>
      </w:r>
      <w:r>
        <w:t xml:space="preserve"> </w:t>
      </w:r>
      <w:r>
        <w:t xml:space="preserve">more global neighborhoods at the cost of specificity. Smaller radii favor</w:t>
      </w:r>
      <w:r>
        <w:t xml:space="preserve"> </w:t>
      </w:r>
      <w:r>
        <w:t xml:space="preserve">recognizing shared local motifs (e.g., a common functional group) even in</w:t>
      </w:r>
      <w:r>
        <w:t xml:space="preserve"> </w:t>
      </w:r>
      <w:r>
        <w:t xml:space="preserve">otherwise dissimilar molecules; larger radii demand more global structural</w:t>
      </w:r>
      <w:r>
        <w:t xml:space="preserve"> </w:t>
      </w:r>
      <w:r>
        <w:t xml:space="preserve">agreement.</w:t>
      </w:r>
    </w:p>
    <w:p>
      <w:pPr>
        <w:pStyle w:val="BodyText"/>
      </w:pPr>
      <w:r>
        <w:t xml:space="preserve">Because the set of distinct atom-environment identifiers a large,</w:t>
      </w:r>
      <w:r>
        <w:t xml:space="preserve"> </w:t>
      </w:r>
      <w:r>
        <w:t xml:space="preserve">diverse compound library can produce is unbounded, ECFP identifiers are</w:t>
      </w:r>
      <w:r>
        <w:t xml:space="preserve"> </w:t>
      </w:r>
      <w:r>
        <w:rPr>
          <w:b/>
          <w:bCs/>
        </w:rPr>
        <w:t xml:space="preserve">hashed</w:t>
      </w:r>
      <w:r>
        <w:t xml:space="preserve"> </w:t>
      </w:r>
      <w:r>
        <w:t xml:space="preserve">into a fixed-length bit vector — 2048 bits is a common default,</w:t>
      </w:r>
      <w:r>
        <w:t xml:space="preserve"> </w:t>
      </w:r>
      <w:r>
        <w:t xml:space="preserve">and the one this chapter’s code uses (</w:t>
      </w:r>
      <w:r>
        <w:rPr>
          <w:rStyle w:val="VerbatimChar"/>
        </w:rPr>
        <w:t xml:space="preserve">fpSize=2048</w:t>
      </w:r>
      <w:r>
        <w:t xml:space="preserve"> </w:t>
      </w:r>
      <w:r>
        <w:t xml:space="preserve">in</w:t>
      </w:r>
      <w:r>
        <w:t xml:space="preserve"> </w:t>
      </w:r>
      <w:hyperlink r:id="rId10">
        <w:r>
          <w:rPr>
            <w:rStyle w:val="VerbatimChar"/>
          </w:rPr>
          <w:t xml:space="preserve">similarity_search.py</w:t>
        </w:r>
      </w:hyperlink>
      <w:r>
        <w:t xml:space="preserve">). Hashing into a fixed</w:t>
      </w:r>
      <w:r>
        <w:t xml:space="preserve"> </w:t>
      </w:r>
      <w:r>
        <w:t xml:space="preserve">width necessarily introduces</w:t>
      </w:r>
      <w:r>
        <w:t xml:space="preserve"> </w:t>
      </w:r>
      <w:r>
        <w:rPr>
          <w:b/>
          <w:bCs/>
        </w:rPr>
        <w:t xml:space="preserve">collisions</w:t>
      </w:r>
      <w:r>
        <w:t xml:space="preserve">: two chemically distinct</w:t>
      </w:r>
      <w:r>
        <w:t xml:space="preserve"> </w:t>
      </w:r>
      <w:r>
        <w:t xml:space="preserve">environments can hash to the same bit, especially as more distinct</w:t>
      </w:r>
      <w:r>
        <w:t xml:space="preserve"> </w:t>
      </w:r>
      <w:r>
        <w:t xml:space="preserve">environments compete for a fixed number of bits. This is a direct</w:t>
      </w:r>
      <w:r>
        <w:t xml:space="preserve"> </w:t>
      </w:r>
      <w:r>
        <w:t xml:space="preserve">precision/memory trade-off — a wider bit vector reduces collision rate at</w:t>
      </w:r>
      <w:r>
        <w:t xml:space="preserve"> </w:t>
      </w:r>
      <w:r>
        <w:t xml:space="preserve">the cost of memory and comparison speed — and it is also why hashed</w:t>
      </w:r>
      <w:r>
        <w:t xml:space="preserve"> </w:t>
      </w:r>
      <w:r>
        <w:t xml:space="preserve">fingerprints are less directly interpretable than MACCS keys: a given set</w:t>
      </w:r>
      <w:r>
        <w:t xml:space="preserve"> </w:t>
      </w:r>
      <w:r>
        <w:t xml:space="preserve">bit does not, by itself, name a specific substructure, though RDKit can</w:t>
      </w:r>
      <w:r>
        <w:t xml:space="preserve"> </w:t>
      </w:r>
      <w:r>
        <w:t xml:space="preserve">recover the contributing environments for a specific molecule via its</w:t>
      </w:r>
      <w:r>
        <w:t xml:space="preserve"> </w:t>
      </w:r>
      <w:r>
        <w:t xml:space="preserve">bit-info API when that provenance is needed.</w:t>
      </w:r>
    </w:p>
    <w:bookmarkEnd w:id="11"/>
    <w:bookmarkStart w:id="12" w:name="Xdb87ee782dee1b7222aa022bd6cd2875ec20005"/>
    <w:p>
      <w:pPr>
        <w:pStyle w:val="Heading3"/>
      </w:pPr>
      <w:r>
        <w:t xml:space="preserve">The similarity–property principle, and its limits</w:t>
      </w:r>
    </w:p>
    <w:p>
      <w:pPr>
        <w:pStyle w:val="FirstParagraph"/>
      </w:pPr>
      <w:r>
        <w:t xml:space="preserve">It is essential to be precise about what fingerprint similarity does and</w:t>
      </w:r>
      <w:r>
        <w:t xml:space="preserve"> </w:t>
      </w:r>
      <w:r>
        <w:t xml:space="preserve">does not claim. Two molecules with a high fingerprint similarity share</w:t>
      </w:r>
      <w:r>
        <w:t xml:space="preserve"> </w:t>
      </w:r>
      <w:r>
        <w:t xml:space="preserve">many local atomic environments — nothing more. Similarity is not chemical</w:t>
      </w:r>
      <w:r>
        <w:t xml:space="preserve"> </w:t>
      </w:r>
      <w:r>
        <w:t xml:space="preserve">equivalence: a Tanimoto similarity of exactly 1.0 between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molecules is possible in principle (fingerprint hashing is lossy, so</w:t>
      </w:r>
      <w:r>
        <w:t xml:space="preserve"> </w:t>
      </w:r>
      <w:r>
        <w:t xml:space="preserve">distinct structures can, rarely, collide to identical bit vectors), and</w:t>
      </w:r>
      <w:r>
        <w:t xml:space="preserve"> </w:t>
      </w:r>
      <w:r>
        <w:t xml:space="preserve">conversely two molecules that are one atom apart can, if that atom sits at</w:t>
      </w:r>
      <w:r>
        <w:t xml:space="preserve"> </w:t>
      </w:r>
      <w:r>
        <w:t xml:space="preserve">a pharmacologically critical position, have wildly different biological</w:t>
      </w:r>
      <w:r>
        <w:t xml:space="preserve"> </w:t>
      </w:r>
      <w:r>
        <w:t xml:space="preserve">activity despite near-identical fingerprints — a phenomenon known in the</w:t>
      </w:r>
      <w:r>
        <w:t xml:space="preserve"> </w:t>
      </w:r>
      <w:r>
        <w:t xml:space="preserve">field as an</w:t>
      </w:r>
      <w:r>
        <w:t xml:space="preserve"> </w:t>
      </w:r>
      <w:r>
        <w:t xml:space="preserve">“activity cliff.”</w:t>
      </w:r>
      <w:r>
        <w:t xml:space="preserve"> </w:t>
      </w:r>
      <w:r>
        <w:t xml:space="preserve">The working assumption that justifies</w:t>
      </w:r>
      <w:r>
        <w:t xml:space="preserve"> </w:t>
      </w:r>
      <w:r>
        <w:t xml:space="preserve">similarity search at all — that structurally similar molecules tend to</w:t>
      </w:r>
      <w:r>
        <w:t xml:space="preserve"> </w:t>
      </w:r>
      <w:r>
        <w:t xml:space="preserve">share biological activity — is called the</w:t>
      </w:r>
      <w:r>
        <w:t xml:space="preserve"> </w:t>
      </w:r>
      <w:r>
        <w:rPr>
          <w:b/>
          <w:bCs/>
        </w:rPr>
        <w:t xml:space="preserve">similarity-property principle</w:t>
      </w:r>
      <w:r>
        <w:t xml:space="preserve"> </w:t>
      </w:r>
      <w:r>
        <w:t xml:space="preserve">(Johnson &amp; Maggiora, 1990). It is a real, useful statistical tendency, not</w:t>
      </w:r>
      <w:r>
        <w:t xml:space="preserve"> </w:t>
      </w:r>
      <w:r>
        <w:t xml:space="preserve">a guarantee: Martin, Kofron, and Traphagen (2002), analyzing IC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follow-up data from 115 high-throughput screening assays, found that a</w:t>
      </w:r>
      <w:r>
        <w:t xml:space="preserve"> </w:t>
      </w:r>
      <w:r>
        <w:t xml:space="preserve">compound with Daylight-fingerprint Tanimoto similarity</w:t>
      </w:r>
      <w:r>
        <w:t xml:space="preserve"> </w:t>
      </w:r>
      <m:oMath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to a</w:t>
      </w:r>
      <w:r>
        <w:t xml:space="preserve"> </w:t>
      </w:r>
      <w:r>
        <w:t xml:space="preserve">known active had only about a 30% chance of itself being active — better</w:t>
      </w:r>
      <w:r>
        <w:t xml:space="preserve"> </w:t>
      </w:r>
      <w:r>
        <w:t xml:space="preserve">than chance, and better than random library selection, but a long way</w:t>
      </w:r>
      <w:r>
        <w:t xml:space="preserve"> </w:t>
      </w:r>
      <w:r>
        <w:t xml:space="preserve">from certainty. Every use of similarity search in this chapter, and in</w:t>
      </w:r>
      <w:r>
        <w:t xml:space="preserve"> </w:t>
      </w:r>
      <w:r>
        <w:t xml:space="preserve">the drug-discovery applications discussed in §2.5, should be read with</w:t>
      </w:r>
      <w:r>
        <w:t xml:space="preserve"> </w:t>
      </w:r>
      <w:r>
        <w:t xml:space="preserve">that number in mind.</w:t>
      </w:r>
    </w:p>
    <w:bookmarkEnd w:id="12"/>
    <w:bookmarkStart w:id="13" w:name="tanimoto-similarity"/>
    <w:p>
      <w:pPr>
        <w:pStyle w:val="Heading3"/>
      </w:pPr>
      <w:r>
        <w:t xml:space="preserve">Tanimoto similarity</w:t>
      </w:r>
    </w:p>
    <w:p>
      <w:pPr>
        <w:pStyle w:val="FirstParagraph"/>
      </w:pPr>
      <w:r>
        <w:t xml:space="preserve">Given two binary fingerprints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equal length,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number of bits set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number of bits set in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number of bits set in</w:t>
      </w:r>
      <w:r>
        <w:t xml:space="preserve"> </w:t>
      </w:r>
      <w:r>
        <w:rPr>
          <w:i/>
          <w:iCs/>
        </w:rPr>
        <w:t xml:space="preserve">both</w:t>
      </w:r>
      <w:r>
        <w:t xml:space="preserve">. The</w:t>
      </w:r>
      <w:r>
        <w:t xml:space="preserve"> </w:t>
      </w:r>
      <w:r>
        <w:rPr>
          <w:b/>
          <w:bCs/>
        </w:rPr>
        <w:t xml:space="preserve">Tanimoto coefficient</w:t>
      </w:r>
      <w:r>
        <w:t xml:space="preserve"> </w:t>
      </w:r>
      <w:r>
        <w:t xml:space="preserve">(equivalent, for</w:t>
      </w:r>
      <w:r>
        <w:t xml:space="preserve"> </w:t>
      </w:r>
      <w:r>
        <w:t xml:space="preserve">binary vectors, to the Jaccard index) is defined as: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m:oMath>
        <m:r>
          <m:t>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the two fingerprints are identical (every</w:t>
      </w:r>
      <w:r>
        <w:t xml:space="preserve"> </w:t>
      </w:r>
      <w:r>
        <w:t xml:space="preserve">set bit shared),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 they share no set bits at all. This is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rdkit.DataStructs.TanimotoSimilarity</w:t>
      </w:r>
      <w:r>
        <w:t xml:space="preserve">, called in</w:t>
      </w:r>
      <w:r>
        <w:t xml:space="preserve"> </w:t>
      </w:r>
      <w:hyperlink r:id="rId10">
        <w:r>
          <w:rPr>
            <w:rStyle w:val="VerbatimChar"/>
          </w:rPr>
          <w:t xml:space="preserve">similarity_search.py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rank_by_similarity</w:t>
      </w:r>
      <w:r>
        <w:t xml:space="preserve"> </w:t>
      </w:r>
      <w:r>
        <w:t xml:space="preserve">function on every pair of</w:t>
      </w:r>
      <w:r>
        <w:t xml:space="preserve"> </w:t>
      </w:r>
      <w:r>
        <w:rPr>
          <w:rStyle w:val="VerbatimChar"/>
        </w:rPr>
        <w:t xml:space="preserve">GetMorganGenerator(radius=2, fpSize=2048)</w:t>
      </w:r>
      <w:r>
        <w:t xml:space="preserve"> </w:t>
      </w:r>
      <w:r>
        <w:t xml:space="preserve">fingerprints. Bajusz, Rácz, and Héberger (2015) survey why the Tanimoto</w:t>
      </w:r>
      <w:r>
        <w:t xml:space="preserve"> </w:t>
      </w:r>
      <w:r>
        <w:t xml:space="preserve">coefficient in particular — as opposed to alternatives like the Dice or</w:t>
      </w:r>
      <w:r>
        <w:t xml:space="preserve"> </w:t>
      </w:r>
      <w:r>
        <w:t xml:space="preserve">Cosine coefficients, which weight shared bits differently — has become the</w:t>
      </w:r>
      <w:r>
        <w:t xml:space="preserve"> </w:t>
      </w:r>
      <w:r>
        <w:t xml:space="preserve">de facto standard for binary fingerprint comparison in cheminformatics: it</w:t>
      </w:r>
      <w:r>
        <w:t xml:space="preserve"> </w:t>
      </w:r>
      <w:r>
        <w:t xml:space="preserve">is simple, satisfies the mathematical properties of a proper distance</w:t>
      </w:r>
      <w:r>
        <w:t xml:space="preserve"> </w:t>
      </w:r>
      <w:r>
        <w:t xml:space="preserve">metric (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 true metric), and its behavior with respect to</w:t>
      </w:r>
      <w:r>
        <w:t xml:space="preserve"> </w:t>
      </w:r>
      <w:r>
        <w:t xml:space="preserve">fingerprint density and molecule size is well characterized empirically.</w:t>
      </w:r>
    </w:p>
    <w:p>
      <w:pPr>
        <w:pStyle w:val="BodyText"/>
      </w:pPr>
      <w:r>
        <w:t xml:space="preserve">In practice, similarity search requires choosing a</w:t>
      </w:r>
      <w: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above</w:t>
      </w:r>
      <w:r>
        <w:t xml:space="preserve"> </w:t>
      </w:r>
      <w:r>
        <w:t xml:space="preserve">which two molecules are treated as</w:t>
      </w:r>
      <w:r>
        <w:t xml:space="preserve"> </w:t>
      </w:r>
      <w:r>
        <w:t xml:space="preserve">“similar enough”</w:t>
      </w:r>
      <w:r>
        <w:t xml:space="preserve"> </w:t>
      </w:r>
      <w:r>
        <w:t xml:space="preserve">to act on — Martin et</w:t>
      </w:r>
      <w:r>
        <w:t xml:space="preserve"> </w:t>
      </w:r>
      <w:r>
        <w:t xml:space="preserve">al.’s</w:t>
      </w:r>
      <w:r>
        <w:t xml:space="preserve"> </w:t>
      </w:r>
      <m:oMath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figure above is one commonly cited reference point for</w:t>
      </w:r>
      <w:r>
        <w:t xml:space="preserve"> </w:t>
      </w:r>
      <w:r>
        <w:t xml:space="preserve">ECFP-family fingerprints, but the appropriate threshold is</w:t>
      </w:r>
      <w:r>
        <w:t xml:space="preserve"> </w:t>
      </w:r>
      <w:r>
        <w:t xml:space="preserve">target-, library-, and fingerprint-dependent, not a universal constant;</w:t>
      </w:r>
      <w:r>
        <w:t xml:space="preserve"> </w:t>
      </w:r>
      <w:r>
        <w:t xml:space="preserve">Willett, Barnard, and Downs (1998), in their foundational review of</w:t>
      </w:r>
      <w:r>
        <w:t xml:space="preserve"> </w:t>
      </w:r>
      <w:r>
        <w:t xml:space="preserve">similarity searching, make the same point about threshold sensitivity more</w:t>
      </w:r>
      <w:r>
        <w:t xml:space="preserve"> </w:t>
      </w:r>
      <w:r>
        <w:t xml:space="preserve">generally.</w:t>
      </w:r>
    </w:p>
    <w:p>
      <w:pPr>
        <w:pStyle w:val="BodyText"/>
      </w:pPr>
      <w:r>
        <w:t xml:space="preserve">Computing Tanimoto similarity for one query against a library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compounds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bitwise-AND/popcount operations — trivial for this</w:t>
      </w:r>
      <w:r>
        <w:t xml:space="preserve"> </w:t>
      </w:r>
      <w:r>
        <w:t xml:space="preserve">chapter’s 17-molecule demo library, and still fast (fixed-width bitwise</w:t>
      </w:r>
      <w:r>
        <w:t xml:space="preserve"> </w:t>
      </w:r>
      <w:r>
        <w:t xml:space="preserve">operations are cheap) against ChEMBL’s roughly 2.9 million compounds</w:t>
      </w:r>
      <w:r>
        <w:t xml:space="preserve"> </w:t>
      </w:r>
      <w:r>
        <w:t xml:space="preserve">(Chapter 1, §1.4) for a single query. Where similarity search becomes</w:t>
      </w:r>
      <w:r>
        <w:t xml:space="preserve"> </w:t>
      </w:r>
      <w:r>
        <w:t xml:space="preserve">computationally interesting is</w:t>
      </w:r>
      <w:r>
        <w:t xml:space="preserve"> </w:t>
      </w:r>
      <w:r>
        <w:rPr>
          <w:i/>
          <w:iCs/>
        </w:rPr>
        <w:t xml:space="preserve">many-query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all-pairs</w:t>
      </w:r>
      <w:r>
        <w:t xml:space="preserve"> </w:t>
      </w:r>
      <w:r>
        <w:t xml:space="preserve">search against</w:t>
      </w:r>
      <w:r>
        <w:t xml:space="preserve"> </w:t>
      </w:r>
      <w:r>
        <w:t xml:space="preserve">million-compound libraries, which is where production systems move from</w:t>
      </w:r>
      <w:r>
        <w:t xml:space="preserve"> </w:t>
      </w:r>
      <w:r>
        <w:t xml:space="preserve">brute-force scanning to indexing structures (e.g., inverted indices over</w:t>
      </w:r>
      <w:r>
        <w:t xml:space="preserve"> </w:t>
      </w:r>
      <w:r>
        <w:t xml:space="preserve">set fingerprint bits, or approximate nearest-neighbor structures) that</w:t>
      </w:r>
      <w:r>
        <w:t xml:space="preserve"> </w:t>
      </w:r>
      <w:r>
        <w:t xml:space="preserve">prune the candidate set before computing exact Tanimoto scores. This</w:t>
      </w:r>
      <w:r>
        <w:t xml:space="preserve"> </w:t>
      </w:r>
      <w:r>
        <w:t xml:space="preserve">chapter’s hands-on project uses brute-force search deliberately — at</w:t>
      </w:r>
      <w:r>
        <w:t xml:space="preserve"> </w:t>
      </w:r>
      <w:r>
        <w:t xml:space="preserve">demo scale, the indexing overhead is not worth paying, and the</w:t>
      </w:r>
      <w:r>
        <w:t xml:space="preserve"> </w:t>
      </w:r>
      <w:r>
        <w:t xml:space="preserve">brute-force version keeps the code’s connection to §2.2’s mathematics</w:t>
      </w:r>
      <w:r>
        <w:t xml:space="preserve"> </w:t>
      </w:r>
      <w:r>
        <w:t xml:space="preserve">direct and auditable.</w:t>
      </w:r>
    </w:p>
    <w:bookmarkEnd w:id="13"/>
    <w:bookmarkEnd w:id="14"/>
    <w:bookmarkStart w:id="15" w:name="graph-representations"/>
    <w:p>
      <w:pPr>
        <w:pStyle w:val="Heading2"/>
      </w:pPr>
      <w:r>
        <w:t xml:space="preserve">2.3 Graph Representations</w:t>
      </w:r>
    </w:p>
    <w:p>
      <w:pPr>
        <w:pStyle w:val="FirstParagraph"/>
      </w:pPr>
      <w:r>
        <w:t xml:space="preserve">Underneath both the SMILES parser in §2.1 and the fingerprint generator in</w:t>
      </w:r>
      <w:r>
        <w:t xml:space="preserve"> </w:t>
      </w:r>
      <w:r>
        <w:t xml:space="preserve">§2.2, RDKit represents every molecule the same way: as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with atoms as nodes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bonds as edges</w:t>
      </w:r>
      <w:r>
        <w:t xml:space="preserve"> </w:t>
      </w:r>
      <m:oMath>
        <m:r>
          <m:t>E</m:t>
        </m:r>
      </m:oMath>
      <w:r>
        <w:t xml:space="preserve">. Each node</w:t>
      </w:r>
      <w:r>
        <w:t xml:space="preserve"> </w:t>
      </w:r>
      <w:r>
        <w:t xml:space="preserve">carries features — atomic number, formal charge, hybridization, aromaticity,</w:t>
      </w:r>
      <w:r>
        <w:t xml:space="preserve"> </w:t>
      </w:r>
      <w:r>
        <w:t xml:space="preserve">attached hydrogen count — and each edge carries a bond order and ring</w:t>
      </w:r>
      <w:r>
        <w:t xml:space="preserve"> </w:t>
      </w:r>
      <w:r>
        <w:t xml:space="preserve">membership flag. This graph is exactly what Morgan’s algorithm (§2.2)</w:t>
      </w:r>
      <w:r>
        <w:t xml:space="preserve"> </w:t>
      </w:r>
      <w:r>
        <w:t xml:space="preserve">traverses to build atom-environment identifiers, and exactly what a</w:t>
      </w:r>
      <w:r>
        <w:t xml:space="preserve"> </w:t>
      </w:r>
      <w:r>
        <w:t xml:space="preserve">conformer embedding algorithm (§2.4) uses as the connectivity constraints</w:t>
      </w:r>
      <w:r>
        <w:t xml:space="preserve"> </w:t>
      </w:r>
      <w:r>
        <w:t xml:space="preserve">for 3D placement.</w:t>
      </w:r>
    </w:p>
    <w:p>
      <w:pPr>
        <w:pStyle w:val="BodyText"/>
      </w:pPr>
      <w:r>
        <w:t xml:space="preserve">Formally, a molecular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atoms can be described by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nonzero if atoms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bonded (and can encode bond order rather</w:t>
      </w:r>
      <w:r>
        <w:t xml:space="preserve"> </w:t>
      </w:r>
      <w:r>
        <w:t xml:space="preserve">than a simple 0/1), together with a node feature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holding each atom’s</w:t>
      </w:r>
      <w:r>
        <w:t xml:space="preserve"> </w:t>
      </w:r>
      <m:oMath>
        <m:r>
          <m:t>d</m:t>
        </m:r>
      </m:oMath>
      <w:r>
        <w:t xml:space="preserve">-dimensional</w:t>
      </w:r>
      <w:r>
        <w:t xml:space="preserve"> </w:t>
      </w:r>
      <w:r>
        <w:t xml:space="preserve">feature vector. This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pair is a strictly more</w:t>
      </w:r>
      <w:r>
        <w:t xml:space="preserve"> </w:t>
      </w:r>
      <w:r>
        <w:t xml:space="preserve">complete representation than a fingerprint: a hashed fingerprint compresses</w:t>
      </w:r>
      <w:r>
        <w:t xml:space="preserve"> </w:t>
      </w:r>
      <w:r>
        <w:t xml:space="preserve">the graph into a fixed-size, lossy summary optimized for cheap comparison,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preserves the full topology, at the cost</w:t>
      </w:r>
      <w:r>
        <w:t xml:space="preserve"> </w:t>
      </w:r>
      <w:r>
        <w:t xml:space="preserve">of a variable-size representation that cannot be compared with simple</w:t>
      </w:r>
      <w:r>
        <w:t xml:space="preserve"> </w:t>
      </w:r>
      <w:r>
        <w:t xml:space="preserve">vector arithmetic. That trade-off — a fast, lossy fixed-size summary</w:t>
      </w:r>
      <w:r>
        <w:t xml:space="preserve"> </w:t>
      </w:r>
      <w:r>
        <w:t xml:space="preserve">versus a complete, variable-size structure — is precisely what motivates</w:t>
      </w:r>
      <w:r>
        <w:t xml:space="preserve"> </w:t>
      </w:r>
      <w:r>
        <w:t xml:space="preserve">learning similarity directly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graph</w:t>
      </w:r>
      <w:r>
        <w:t xml:space="preserve"> </w:t>
      </w:r>
      <w:r>
        <w:t xml:space="preserve">neural networks, which Chapter 6 covers in full; this section introduces</w:t>
      </w:r>
      <w:r>
        <w:t xml:space="preserve"> </w:t>
      </w:r>
      <w:r>
        <w:t xml:space="preserve">only the representation itself; the message-passing machinery that</w:t>
      </w:r>
      <w:r>
        <w:t xml:space="preserve"> </w:t>
      </w:r>
      <w:r>
        <w:t xml:space="preserve">operates on it belongs there.</w:t>
      </w:r>
    </w:p>
    <w:bookmarkEnd w:id="15"/>
    <w:bookmarkStart w:id="16" w:name="d-conformations"/>
    <w:p>
      <w:pPr>
        <w:pStyle w:val="Heading2"/>
      </w:pPr>
      <w:r>
        <w:t xml:space="preserve">2.4 3D Conformations</w:t>
      </w:r>
    </w:p>
    <w:p>
      <w:pPr>
        <w:pStyle w:val="FirstParagraph"/>
      </w:pPr>
      <w:r>
        <w:t xml:space="preserve">Every representation covered so far — SMILES, InChI, fingerprints,</w:t>
      </w:r>
      <w:r>
        <w:t xml:space="preserve"> </w:t>
      </w:r>
      <w:r>
        <w:t xml:space="preserve">molecular graphs — describes molecular</w:t>
      </w:r>
      <w:r>
        <w:t xml:space="preserve"> </w:t>
      </w:r>
      <w:r>
        <w:rPr>
          <w:b/>
          <w:bCs/>
        </w:rPr>
        <w:t xml:space="preserve">constitution</w:t>
      </w:r>
      <w:r>
        <w:t xml:space="preserve">: which atoms are</w:t>
      </w:r>
      <w:r>
        <w:t xml:space="preserve"> </w:t>
      </w:r>
      <w:r>
        <w:t xml:space="preserve">present and how they are bonded. None of them fixes a 3D shape. A single</w:t>
      </w:r>
      <w:r>
        <w:t xml:space="preserve"> </w:t>
      </w:r>
      <w:r>
        <w:t xml:space="preserve">SMILES string can correspond to many distinct low-energy 3D arrangements</w:t>
      </w:r>
      <w:r>
        <w:t xml:space="preserve"> </w:t>
      </w:r>
      <w:r>
        <w:t xml:space="preserve">of the same atoms (</w:t>
      </w:r>
      <w:r>
        <w:rPr>
          <w:b/>
          <w:bCs/>
        </w:rPr>
        <w:t xml:space="preserve">conformers</w:t>
      </w:r>
      <w:r>
        <w:t xml:space="preserve">), related by rotation around single</w:t>
      </w:r>
      <w:r>
        <w:t xml:space="preserve"> </w:t>
      </w:r>
      <w:r>
        <w:t xml:space="preserve">bonds, and for a sufficiently flexible molecule the number of accessible</w:t>
      </w:r>
      <w:r>
        <w:t xml:space="preserve"> </w:t>
      </w:r>
      <w:r>
        <w:t xml:space="preserve">conformers grows combinatorially with the number of rotatable bonds.</w:t>
      </w:r>
    </w:p>
    <w:p>
      <w:pPr>
        <w:pStyle w:val="BodyText"/>
      </w:pPr>
      <w:r>
        <w:t xml:space="preserve">RDKit generates 3D conformers with</w:t>
      </w:r>
      <w:r>
        <w:t xml:space="preserve"> </w:t>
      </w:r>
      <w:r>
        <w:rPr>
          <w:b/>
          <w:bCs/>
        </w:rPr>
        <w:t xml:space="preserve">ETKDG</w:t>
      </w:r>
      <w:r>
        <w:t xml:space="preserve"> </w:t>
      </w:r>
      <w:r>
        <w:t xml:space="preserve">(Experimental-Torsion basic</w:t>
      </w:r>
      <w:r>
        <w:t xml:space="preserve"> </w:t>
      </w:r>
      <w:r>
        <w:t xml:space="preserve">Knowledge Distance Geometry; Riniker &amp; Landrum, 2015), which improves on</w:t>
      </w:r>
      <w:r>
        <w:t xml:space="preserve"> </w:t>
      </w:r>
      <w:r>
        <w:t xml:space="preserve">classical distance-geometry embedding by biasing the initially-random</w:t>
      </w:r>
      <w:r>
        <w:t xml:space="preserve"> </w:t>
      </w:r>
      <w:r>
        <w:t xml:space="preserve">atomic coordinates with experimentally observed torsion-angle preferences</w:t>
      </w:r>
      <w:r>
        <w:t xml:space="preserve"> </w:t>
      </w:r>
      <w:r>
        <w:t xml:space="preserve">before refining them, substantially reducing the fraction of generated</w:t>
      </w:r>
      <w:r>
        <w:t xml:space="preserve"> </w:t>
      </w:r>
      <w:r>
        <w:t xml:space="preserve">conformers that require heavy post-hoc correction. The embedded structure</w:t>
      </w:r>
      <w:r>
        <w:t xml:space="preserve"> </w:t>
      </w:r>
      <w:r>
        <w:t xml:space="preserve">is typically then relaxed with a molecular-mechanics force field (RDKit</w:t>
      </w:r>
      <w:r>
        <w:t xml:space="preserve"> </w:t>
      </w:r>
      <w:r>
        <w:t xml:space="preserve">supports both MMFF94 and UFF) to a local energy minimum. This chapter’s</w:t>
      </w:r>
      <w:r>
        <w:t xml:space="preserve"> </w:t>
      </w:r>
      <w:r>
        <w:t xml:space="preserve">hands-on project works entirely in 2D (fingerprints and Lipinski</w:t>
      </w:r>
      <w:r>
        <w:t xml:space="preserve"> </w:t>
      </w:r>
      <w:r>
        <w:t xml:space="preserve">descriptors do not require 3D coordinates), so it does not call RDKit’s</w:t>
      </w:r>
      <w:r>
        <w:t xml:space="preserve"> </w:t>
      </w:r>
      <w:r>
        <w:t xml:space="preserve">conformer-generation API — but 3D conformers are the direct input to</w:t>
      </w:r>
      <w:r>
        <w:t xml:space="preserve"> </w:t>
      </w:r>
      <w:r>
        <w:t xml:space="preserve">Chapter 11’s docking methods and a routine intermediate step for</w:t>
      </w:r>
      <w:r>
        <w:t xml:space="preserve"> </w:t>
      </w:r>
      <w:r>
        <w:t xml:space="preserve">3D-descriptor calculation, so it is worth knowing this is where they come</w:t>
      </w:r>
      <w:r>
        <w:t xml:space="preserve"> </w:t>
      </w:r>
      <w:r>
        <w:t xml:space="preserve">from and why one SMILES is not one shape.</w:t>
      </w:r>
    </w:p>
    <w:bookmarkEnd w:id="16"/>
    <w:bookmarkStart w:id="27" w:name="X16f06613c0a43b0c5df4491f6651e79643dd2ca"/>
    <w:p>
      <w:pPr>
        <w:pStyle w:val="Heading2"/>
      </w:pPr>
      <w:r>
        <w:t xml:space="preserve">2.5 Hands-on Project: Molecular Similarity Search &amp; Lipinski Filtering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ch02_molecular_similarity/</w:t>
      </w:r>
      <w:r>
        <w:t xml:space="preserve">) and implements exactly the two ideas built</w:t>
      </w:r>
      <w:r>
        <w:t xml:space="preserve"> </w:t>
      </w:r>
      <w:r>
        <w:t xml:space="preserve">up above: rank a small compound library by ECFP4/Tanimoto similarity to a</w:t>
      </w:r>
      <w:r>
        <w:t xml:space="preserve"> </w:t>
      </w:r>
      <w:r>
        <w:t xml:space="preserve">query molecule (§2.2), then flag which of those candidates satisfy</w:t>
      </w:r>
      <w:r>
        <w:t xml:space="preserve"> </w:t>
      </w:r>
      <w:r>
        <w:t xml:space="preserve">Lipinski’s Rule of Five.</w:t>
      </w:r>
    </w:p>
    <w:bookmarkStart w:id="18" w:name="fingerprint-generation-and-ranking"/>
    <w:p>
      <w:pPr>
        <w:pStyle w:val="Heading3"/>
      </w:pPr>
      <w:r>
        <w:t xml:space="preserve">Fingerprint generation and ranking</w:t>
      </w:r>
    </w:p>
    <w:p>
      <w:pPr>
        <w:pStyle w:val="FirstParagraph"/>
      </w:pPr>
      <w:hyperlink r:id="rId10">
        <w:r>
          <w:rPr>
            <w:rStyle w:val="VerbatimChar"/>
          </w:rPr>
          <w:t xml:space="preserve">similarity_search.py</w:t>
        </w:r>
      </w:hyperlink>
      <w:r>
        <w:t xml:space="preserve"> </w:t>
      </w:r>
      <w:r>
        <w:t xml:space="preserve">builds one shared Morgan</w:t>
      </w:r>
      <w:r>
        <w:t xml:space="preserve"> </w:t>
      </w:r>
      <w:r>
        <w:t xml:space="preserve">fingerprint generator,</w:t>
      </w:r>
    </w:p>
    <w:p>
      <w:pPr>
        <w:pStyle w:val="SourceCode"/>
      </w:pPr>
      <w:r>
        <w:rPr>
          <w:rStyle w:val="NormalTok"/>
        </w:rPr>
        <w:t xml:space="preserve">FP_GENERATOR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rdFingerprintGenerator.GetMorganGenerator(radius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radius 2 (i.e., ECFP4, per §2.2’s radius/diameter convention) and a</w:t>
      </w:r>
      <w:r>
        <w:t xml:space="preserve"> </w:t>
      </w:r>
      <w:r>
        <w:t xml:space="preserve">2048-bit vector — and reuses it for both the query molecule and every</w:t>
      </w:r>
      <w:r>
        <w:t xml:space="preserve"> </w:t>
      </w:r>
      <w:r>
        <w:t xml:space="preserve">molecule in</w:t>
      </w:r>
      <w:r>
        <w:t xml:space="preserve"> </w:t>
      </w:r>
      <w:hyperlink r:id="rId17">
        <w:r>
          <w:rPr>
            <w:rStyle w:val="VerbatimChar"/>
          </w:rPr>
          <w:t xml:space="preserve">molecules.csv</w:t>
        </w:r>
      </w:hyperlink>
      <w:r>
        <w:t xml:space="preserve"> </w:t>
      </w:r>
      <w:r>
        <w:t xml:space="preserve">(17 well-known drugs and</w:t>
      </w:r>
      <w:r>
        <w:t xml:space="preserve"> </w:t>
      </w:r>
      <w:r>
        <w:t xml:space="preserve">biomolecules: aspirin, ibuprofen, caffeine, nicotine, dopamine, warfarin,</w:t>
      </w:r>
      <w:r>
        <w:t xml:space="preserve"> </w:t>
      </w:r>
      <w:r>
        <w:t xml:space="preserve">and others).</w:t>
      </w:r>
      <w:r>
        <w:t xml:space="preserve"> </w:t>
      </w:r>
      <w:r>
        <w:rPr>
          <w:rStyle w:val="VerbatimChar"/>
        </w:rPr>
        <w:t xml:space="preserve">rank_by_similarity</w:t>
      </w:r>
      <w:r>
        <w:t xml:space="preserve"> </w:t>
      </w:r>
      <w:r>
        <w:t xml:space="preserve">parses each SMILES with</w:t>
      </w:r>
      <w:r>
        <w:t xml:space="preserve"> </w:t>
      </w:r>
      <w:r>
        <w:rPr>
          <w:rStyle w:val="VerbatimChar"/>
        </w:rPr>
        <w:t xml:space="preserve">Chem.MolFromSmiles</w:t>
      </w:r>
      <w:r>
        <w:t xml:space="preserve">, generates its fingerprint, scores it against the</w:t>
      </w:r>
      <w:r>
        <w:t xml:space="preserve"> </w:t>
      </w:r>
      <w:r>
        <w:t xml:space="preserve">query with</w:t>
      </w:r>
      <w:r>
        <w:t xml:space="preserve"> </w:t>
      </w:r>
      <w:r>
        <w:rPr>
          <w:rStyle w:val="VerbatimChar"/>
        </w:rPr>
        <w:t xml:space="preserve">TanimotoSimilarity</w:t>
      </w:r>
      <w:r>
        <w:t xml:space="preserve"> </w:t>
      </w:r>
      <w:r>
        <w:t xml:space="preserve">exactly as defined in §2.2, and sorts the</w:t>
      </w:r>
      <w:r>
        <w:t xml:space="preserve"> </w:t>
      </w:r>
      <w:r>
        <w:t xml:space="preserve">library in descending order of similarity. Unparsable library entries are</w:t>
      </w:r>
      <w:r>
        <w:t xml:space="preserve"> </w:t>
      </w:r>
      <w:r>
        <w:t xml:space="preserve">skipped with a warning rather than crashing the run — a small but</w:t>
      </w:r>
      <w:r>
        <w:t xml:space="preserve"> </w:t>
      </w:r>
      <w:r>
        <w:t xml:space="preserve">deliberate reproducibility choice, since a single malformed row in a</w:t>
      </w:r>
      <w:r>
        <w:t xml:space="preserve"> </w:t>
      </w:r>
      <w:r>
        <w:t xml:space="preserve">larger, real-world compound library (say, a ChEMBL export) should not take</w:t>
      </w:r>
      <w:r>
        <w:t xml:space="preserve"> </w:t>
      </w:r>
      <w:r>
        <w:t xml:space="preserve">down an entire screening job.</w:t>
      </w:r>
    </w:p>
    <w:bookmarkEnd w:id="18"/>
    <w:bookmarkStart w:id="19" w:name="lipinski-filtering"/>
    <w:p>
      <w:pPr>
        <w:pStyle w:val="Heading3"/>
      </w:pPr>
      <w:r>
        <w:t xml:space="preserve">Lipinski filtering</w:t>
      </w:r>
    </w:p>
    <w:p>
      <w:pPr>
        <w:pStyle w:val="FirstParagraph"/>
      </w:pPr>
      <w:r>
        <w:rPr>
          <w:rStyle w:val="VerbatimChar"/>
        </w:rPr>
        <w:t xml:space="preserve">lipinski_pass</w:t>
      </w:r>
      <w:r>
        <w:t xml:space="preserve"> </w:t>
      </w:r>
      <w:r>
        <w:t xml:space="preserve">computes the four descriptors behind Lipinski’s Rule of</w:t>
      </w:r>
      <w:r>
        <w:t xml:space="preserve"> </w:t>
      </w:r>
      <w:r>
        <w:t xml:space="preserve">Five (Lipinski et al., 2001), introduced in Chapter 1, §1.3, and applies it</w:t>
      </w:r>
      <w:r>
        <w:t xml:space="preserve"> </w:t>
      </w:r>
      <w:r>
        <w:t xml:space="preserve">here in full: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violations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MW</m:t>
          </m:r>
          <m:r>
            <m:rPr>
              <m:sty m:val="p"/>
            </m:rPr>
            <m:t>&gt;</m:t>
          </m:r>
          <m:r>
            <m:t>500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HBD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HBA</m:t>
          </m:r>
          <m:r>
            <m:rPr>
              <m:sty m:val="p"/>
            </m:rPr>
            <m:t>&gt;</m:t>
          </m:r>
          <m:r>
            <m:t>10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 a molecule flagged as passing when</w:t>
      </w:r>
      <w:r>
        <w:t xml:space="preserve"> </w:t>
      </w:r>
      <m:oMath>
        <m:r>
          <m:rPr>
            <m:nor/>
            <m:sty m:val="p"/>
          </m:rPr>
          <m:t>violations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rule’s own stated tolerance for one violation, not a stricter</w:t>
      </w:r>
      <w:r>
        <w:t xml:space="preserve"> </w:t>
      </w:r>
      <w:r>
        <w:t xml:space="preserve">pass/fail-on-any-violation reading. Each threshold is a multiple of five</w:t>
      </w:r>
      <w:r>
        <w:t xml:space="preserve"> </w:t>
      </w:r>
      <w:r>
        <w:t xml:space="preserve">(hence the rule’s name): molecular weight under 500 Da, a calculated</w:t>
      </w:r>
      <w:r>
        <w:t xml:space="preserve"> </w:t>
      </w:r>
      <w:r>
        <w:t xml:space="preserve">octanol-water partition coefficient (</w:t>
      </w:r>
      <m:oMath>
        <m:r>
          <m:rPr>
            <m:sty m:val="p"/>
          </m:rPr>
          <m:t>log</m:t>
        </m:r>
        <m:r>
          <m:t>P</m:t>
        </m:r>
      </m:oMath>
      <w:r>
        <w:t xml:space="preserve">) under 5, no more than 5</w:t>
      </w:r>
      <w:r>
        <w:t xml:space="preserve"> </w:t>
      </w:r>
      <w:r>
        <w:t xml:space="preserve">hydrogen-bond donors, and no more than 10 hydrogen-bond acceptors — an</w:t>
      </w:r>
      <w:r>
        <w:t xml:space="preserve"> </w:t>
      </w:r>
      <w:r>
        <w:t xml:space="preserve">empirical description, from an analysis of compounds that reached Phase II</w:t>
      </w:r>
      <w:r>
        <w:t xml:space="preserve"> </w:t>
      </w:r>
      <w:r>
        <w:t xml:space="preserve">clinical trials, of the property ranges associated with acceptable oral</w:t>
      </w:r>
      <w:r>
        <w:t xml:space="preserve"> </w:t>
      </w:r>
      <w:r>
        <w:t xml:space="preserve">absorption and permeability.</w:t>
      </w:r>
    </w:p>
    <w:p>
      <w:pPr>
        <w:pStyle w:val="BodyText"/>
      </w:pPr>
      <w:r>
        <w:t xml:space="preserve">The four descriptors are computed with RDKit as follows, and it is worth</w:t>
      </w:r>
      <w:r>
        <w:t xml:space="preserve"> </w:t>
      </w:r>
      <w:r>
        <w:t xml:space="preserve">being precise about which specific method each one calls, since</w:t>
      </w:r>
      <w:r>
        <w:t xml:space="preserve"> </w:t>
      </w:r>
      <w:r>
        <w:t xml:space="preserve">“log P”</w:t>
      </w:r>
      <w:r>
        <w:t xml:space="preserve"> </w:t>
      </w:r>
      <w:r>
        <w:t xml:space="preserve">or</w:t>
      </w:r>
      <w:r>
        <w:t xml:space="preserve"> </w:t>
      </w:r>
      <w:r>
        <w:t xml:space="preserve">“H-bond donor”</w:t>
      </w:r>
      <w:r>
        <w:t xml:space="preserve"> </w:t>
      </w:r>
      <w:r>
        <w:t xml:space="preserve">is not a single universally agreed definition: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Molecular weight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Descriptors.MolWt</w:t>
      </w:r>
      <w:r>
        <w:t xml:space="preserve">, the standard average</w:t>
      </w:r>
      <w:r>
        <w:t xml:space="preserve"> </w:t>
      </w:r>
      <w:r>
        <w:t xml:space="preserve">molecular weight computed directly from the parsed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Crippen.MolLogP</w:t>
      </w:r>
      <w:r>
        <w:t xml:space="preserve">, an atom-contribution method (Wildman &amp;</w:t>
      </w:r>
      <w:r>
        <w:t xml:space="preserve"> </w:t>
      </w:r>
      <w:r>
        <w:t xml:space="preserve">Crippen, 1999) that estimates</w:t>
      </w:r>
      <w:r>
        <w:t xml:space="preserve"> </w:t>
      </w:r>
      <m:oMath>
        <m:r>
          <m:rPr>
            <m:sty m:val="p"/>
          </m:rPr>
          <m:t>log</m:t>
        </m:r>
        <m:r>
          <m:t>P</m:t>
        </m:r>
      </m:oMath>
      <w:r>
        <w:t xml:space="preserve"> </w:t>
      </w:r>
      <w:r>
        <w:t xml:space="preserve">by summing per-atom contributions</w:t>
      </w:r>
      <w:r>
        <w:t xml:space="preserve"> </w:t>
      </w:r>
      <w:r>
        <w:t xml:space="preserve">parameterized by each atom’s element and local environment, rather than</w:t>
      </w:r>
      <w:r>
        <w:t xml:space="preserve"> </w:t>
      </w:r>
      <w:r>
        <w:t xml:space="preserve">measuring it experimentally.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H-bond donors and acceptors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Lipinski.NumHDonors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Lipinski.NumHAcceptors</w:t>
      </w:r>
      <w:r>
        <w:t xml:space="preserve">, which implement RDKit’s own pattern-based</w:t>
      </w:r>
      <w:r>
        <w:t xml:space="preserve"> </w:t>
      </w:r>
      <w:r>
        <w:t xml:space="preserve">definitions matched to Lipinski’s original paper, not a strict IUPAC</w:t>
      </w:r>
      <w:r>
        <w:t xml:space="preserve"> </w:t>
      </w:r>
      <w:r>
        <w:t xml:space="preserve">donor/acceptor count. This distinction matters for reproducibility: a</w:t>
      </w:r>
      <w:r>
        <w:t xml:space="preserve"> </w:t>
      </w:r>
      <w:r>
        <w:t xml:space="preserve">different toolkit’s H-bond counting rules can legitimately disagree with</w:t>
      </w:r>
      <w:r>
        <w:t xml:space="preserve"> </w:t>
      </w:r>
      <w:r>
        <w:t xml:space="preserve">RDKit’s on edge cases (e.g., certain heteroaromatic acceptors), even</w:t>
      </w:r>
      <w:r>
        <w:t xml:space="preserve"> </w:t>
      </w:r>
      <w:r>
        <w:t xml:space="preserve">though both claim to implement</w:t>
      </w:r>
      <w:r>
        <w:t xml:space="preserve"> </w:t>
      </w:r>
      <w:r>
        <w:t xml:space="preserve">“Lipinski’s Rule of Five.”</w:t>
      </w:r>
    </w:p>
    <w:bookmarkEnd w:id="19"/>
    <w:bookmarkStart w:id="20" w:name="running-it-and-reading-the-output"/>
    <w:p>
      <w:pPr>
        <w:pStyle w:val="Heading3"/>
      </w:pPr>
      <w:r>
        <w:t xml:space="preserve">Running it and reading the output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ch02_molecular_similarity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similarity_search.py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"CC(=O)OC1=CC=CC=C1C(=O)O"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</w:t>
      </w:r>
      <w:r>
        <w:rPr>
          <w:rStyle w:val="NormalTok"/>
        </w:rPr>
        <w:t xml:space="preserve"> 5</w:t>
      </w:r>
    </w:p>
    <w:p>
      <w:pPr>
        <w:pStyle w:val="FirstParagraph"/>
      </w:pPr>
      <w:r>
        <w:t xml:space="preserve">The default query is aspirin;</w:t>
      </w:r>
      <w:r>
        <w:t xml:space="preserve"> </w:t>
      </w:r>
      <w:r>
        <w:rPr>
          <w:rStyle w:val="VerbatimChar"/>
        </w:rPr>
        <w:t xml:space="preserve">print_table</w:t>
      </w:r>
      <w:r>
        <w:t xml:space="preserve"> </w:t>
      </w:r>
      <w:r>
        <w:t xml:space="preserve">reports each candidate’s name,</w:t>
      </w:r>
      <w:r>
        <w:t xml:space="preserve"> </w:t>
      </w:r>
      <w:r>
        <w:t xml:space="preserve">Tanimoto similarity, molecular weight, LogP, H-bond donor/acceptor counts,</w:t>
      </w:r>
      <w:r>
        <w:t xml:space="preserve"> </w:t>
      </w:r>
      <w:r>
        <w:t xml:space="preserve">and a PASS/FAIL Lipinski flag, sorted by similarity. Running the default</w:t>
      </w:r>
      <w:r>
        <w:t xml:space="preserve"> </w:t>
      </w:r>
      <w:r>
        <w:t xml:space="preserve">query, the top result is aspirin itself, at Tanimoto similarity 1.000 (a</w:t>
      </w:r>
      <w:r>
        <w:t xml:space="preserve"> </w:t>
      </w:r>
      <w:r>
        <w:t xml:space="preserve">molecule is, trivially, maximally similar to itself under §2.2’s</w:t>
      </w:r>
      <w:r>
        <w:t xml:space="preserve"> </w:t>
      </w:r>
      <w:r>
        <w:t xml:space="preserve">definition) — a basic but genuine self-consistency check that the pipeline</w:t>
      </w:r>
      <w:r>
        <w:t xml:space="preserve"> </w:t>
      </w:r>
      <w:r>
        <w:t xml:space="preserve">is doing what §2.2 says it should. Salicylic acid, aspirin’s close</w:t>
      </w:r>
      <w:r>
        <w:t xml:space="preserve"> </w:t>
      </w:r>
      <w:r>
        <w:t xml:space="preserve">structural relative (aspirin is salicylic acid’s acetate ester), reliably</w:t>
      </w:r>
      <w:r>
        <w:t xml:space="preserve"> </w:t>
      </w:r>
      <w:r>
        <w:t xml:space="preserve">ranks near the top as well, which is the qualitative behavior the</w:t>
      </w:r>
      <w:r>
        <w:t xml:space="preserve"> </w:t>
      </w:r>
      <w:r>
        <w:t xml:space="preserve">similarity-property principle predicts for a close structural analogue.</w:t>
      </w:r>
    </w:p>
    <w:bookmarkEnd w:id="20"/>
    <w:bookmarkStart w:id="23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rather than exact-pinned</w:t>
      </w:r>
      <w:r>
        <w:t xml:space="preserve"> </w:t>
      </w:r>
      <w:r>
        <w:t xml:space="preserve">(</w:t>
      </w:r>
      <w:r>
        <w:rPr>
          <w:rStyle w:val="VerbatimChar"/>
        </w:rPr>
        <w:t xml:space="preserve">rdkit&gt;=2023.9.1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VerbatimChar"/>
          </w:rPr>
          <w:t xml:space="preserve">requirements.txt</w:t>
        </w:r>
      </w:hyperlink>
      <w:r>
        <w:t xml:space="preserve">, validated</w:t>
      </w:r>
      <w:r>
        <w:t xml:space="preserve"> </w:t>
      </w:r>
      <w:r>
        <w:t xml:space="preserve">against 2026.3.5), since this project only touches stable, long-standing</w:t>
      </w:r>
      <w:r>
        <w:t xml:space="preserve"> </w:t>
      </w:r>
      <w:r>
        <w:t xml:space="preserve">RDKit APIs (</w:t>
      </w:r>
      <w:r>
        <w:rPr>
          <w:rStyle w:val="VerbatimChar"/>
        </w:rPr>
        <w:t xml:space="preserve">rdFingerprintGenerator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Crippen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Lipinski</w:t>
      </w:r>
      <w:r>
        <w:t xml:space="preserve">). The 12-test suite in</w:t>
      </w:r>
      <w:r>
        <w:t xml:space="preserve"> </w:t>
      </w:r>
      <w:hyperlink r:id="rId22">
        <w:r>
          <w:rPr>
            <w:rStyle w:val="VerbatimChar"/>
          </w:rPr>
          <w:t xml:space="preserve">tests/test_similarity_search.py</w:t>
        </w:r>
      </w:hyperlink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load_library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rank_by_similarity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lipinski_pass</w:t>
      </w:r>
      <w:r>
        <w:t xml:space="preserve"> </w:t>
      </w:r>
      <w:r>
        <w:t xml:space="preserve">against</w:t>
      </w:r>
      <w:r>
        <w:t xml:space="preserve"> </w:t>
      </w:r>
      <w:r>
        <w:t xml:space="preserve">real RDKit output rather than hardcoded expectations — including an</w:t>
      </w:r>
      <w:r>
        <w:t xml:space="preserve"> </w:t>
      </w:r>
      <w:r>
        <w:t xml:space="preserve">end-to-end check that the self-match case returns Tanimoto 1.000, and a</w:t>
      </w:r>
      <w:r>
        <w:t xml:space="preserve"> </w:t>
      </w:r>
      <w:r>
        <w:t xml:space="preserve">deliberately constructed long-PEG-chain SMILES that genuinely fails</w:t>
      </w:r>
      <w:r>
        <w:t xml:space="preserve"> </w:t>
      </w:r>
      <w:r>
        <w:t xml:space="preserve">Lipinski on two independent axes (molecular weight and H-bond acceptor</w:t>
      </w:r>
      <w:r>
        <w:t xml:space="preserve"> </w:t>
      </w:r>
      <w:r>
        <w:t xml:space="preserve">count), so the</w:t>
      </w:r>
      <w:r>
        <w:t xml:space="preserve"> </w:t>
      </w:r>
      <w:r>
        <w:t xml:space="preserve">“fail”</w:t>
      </w:r>
      <w:r>
        <w:t xml:space="preserve"> </w:t>
      </w:r>
      <w:r>
        <w:t xml:space="preserve">branch is exercised by an actual RDKit computation</w:t>
      </w:r>
      <w:r>
        <w:t xml:space="preserve"> </w:t>
      </w:r>
      <w:r>
        <w:t xml:space="preserve">rather than an invented one.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from this chapter’s folder reproduces all 12 results.</w:t>
      </w:r>
    </w:p>
    <w:bookmarkEnd w:id="23"/>
    <w:bookmarkStart w:id="24" w:name="from-a-17-compound-demo-to-a-real-screen"/>
    <w:p>
      <w:pPr>
        <w:pStyle w:val="Heading3"/>
      </w:pPr>
      <w:r>
        <w:t xml:space="preserve">From a 17-compound demo to a real screen</w:t>
      </w:r>
    </w:p>
    <w:p>
      <w:pPr>
        <w:pStyle w:val="FirstParagraph"/>
      </w:pPr>
      <w:r>
        <w:t xml:space="preserve">At 17 compounds, this project is a toy — its value is in making the</w:t>
      </w:r>
      <w:r>
        <w:t xml:space="preserve"> </w:t>
      </w:r>
      <w:r>
        <w:t xml:space="preserve">mechanics of §2.2’s Tanimoto computation and §2.5’s Lipinski filter fully</w:t>
      </w:r>
      <w:r>
        <w:t xml:space="preserve"> </w:t>
      </w:r>
      <w:r>
        <w:t xml:space="preserve">auditable end to end. The same two functions, unmodified, are the core</w:t>
      </w:r>
      <w:r>
        <w:t xml:space="preserve"> </w:t>
      </w:r>
      <w:r>
        <w:t xml:space="preserve">operation behind real similarity-based</w:t>
      </w:r>
      <w:r>
        <w:t xml:space="preserve"> </w:t>
      </w:r>
      <w:r>
        <w:rPr>
          <w:b/>
          <w:bCs/>
        </w:rPr>
        <w:t xml:space="preserve">virtual screening</w:t>
      </w:r>
      <w:r>
        <w:t xml:space="preserve">: given a</w:t>
      </w:r>
      <w:r>
        <w:t xml:space="preserve"> </w:t>
      </w:r>
      <w:r>
        <w:t xml:space="preserve">known active (a</w:t>
      </w:r>
      <w:r>
        <w:t xml:space="preserve"> </w:t>
      </w:r>
      <w:r>
        <w:t xml:space="preserve">“hit”</w:t>
      </w:r>
      <w:r>
        <w:t xml:space="preserve">), rank a real compound library — ChEMBL’s ~2.9</w:t>
      </w:r>
      <w:r>
        <w:t xml:space="preserve"> </w:t>
      </w:r>
      <w:r>
        <w:t xml:space="preserve">million compounds (Chapter 1, §1.4), or a proprietary corporate</w:t>
      </w:r>
      <w:r>
        <w:t xml:space="preserve"> </w:t>
      </w:r>
      <w:r>
        <w:t xml:space="preserve">collection — by fingerprint similarity to surface candidates worth testing</w:t>
      </w:r>
      <w:r>
        <w:t xml:space="preserve"> </w:t>
      </w:r>
      <w:r>
        <w:t xml:space="preserve">next. The same operation, run against molecules built on different</w:t>
      </w:r>
      <w:r>
        <w:t xml:space="preserve"> </w:t>
      </w:r>
      <w:r>
        <w:t xml:space="preserve">ring systems or scaffolds than the query but landing at similarly high</w:t>
      </w:r>
      <w:r>
        <w:t xml:space="preserve"> </w:t>
      </w:r>
      <w:r>
        <w:t xml:space="preserve">Tanimoto scores through shared substituent patterns, is the starting point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scaffold hopping</w:t>
      </w:r>
      <w:r>
        <w:t xml:space="preserve"> </w:t>
      </w:r>
      <w:r>
        <w:t xml:space="preserve">— deliberately searching for structurally novel</w:t>
      </w:r>
      <w:r>
        <w:t xml:space="preserve"> </w:t>
      </w:r>
      <w:r>
        <w:t xml:space="preserve">analogues of a hit, often to design around a patent or improve a liability</w:t>
      </w:r>
      <w:r>
        <w:t xml:space="preserve"> </w:t>
      </w:r>
      <w:r>
        <w:t xml:space="preserve">like poor solubility while preserving the activity-relevant substructure.</w:t>
      </w:r>
      <w:r>
        <w:t xml:space="preserve"> </w:t>
      </w:r>
      <w:r>
        <w:t xml:space="preserve">Both uses inherit the same caveat from §2.2: a high-ranked candidate is</w:t>
      </w:r>
      <w:r>
        <w:t xml:space="preserve"> </w:t>
      </w:r>
      <w:r>
        <w:t xml:space="preserve">worth testing, not something already known to work — recall Martin et</w:t>
      </w:r>
      <w:r>
        <w:t xml:space="preserve"> </w:t>
      </w:r>
      <w:r>
        <w:t xml:space="preserve">al.’s ~30% figure. Lipinski filtering plays a complementary, orthogonal</w:t>
      </w:r>
      <w:r>
        <w:t xml:space="preserve"> </w:t>
      </w:r>
      <w:r>
        <w:t xml:space="preserve">role in this pipeline: it says nothing about whether a candidate will bind</w:t>
      </w:r>
      <w:r>
        <w:t xml:space="preserve"> </w:t>
      </w:r>
      <w:r>
        <w:t xml:space="preserve">the target, only whether it is</w:t>
      </w:r>
      <w:r>
        <w:t xml:space="preserve"> </w:t>
      </w:r>
      <w:r>
        <w:rPr>
          <w:i/>
          <w:iCs/>
        </w:rPr>
        <w:t xml:space="preserve">shaped like</w:t>
      </w:r>
      <w:r>
        <w:t xml:space="preserve"> </w:t>
      </w:r>
      <w:r>
        <w:t xml:space="preserve">the historical population of</w:t>
      </w:r>
      <w:r>
        <w:t xml:space="preserve"> </w:t>
      </w:r>
      <w:r>
        <w:t xml:space="preserve">orally bioavailable drugs — a cheap early filter to deprioritize candidates</w:t>
      </w:r>
      <w:r>
        <w:t xml:space="preserve"> </w:t>
      </w:r>
      <w:r>
        <w:t xml:space="preserve">before spending assay budget on them, not a substitute for testing binding</w:t>
      </w:r>
      <w:r>
        <w:t xml:space="preserve"> </w:t>
      </w:r>
      <w:r>
        <w:t xml:space="preserve">or activity directly.</w:t>
      </w:r>
    </w:p>
    <w:bookmarkEnd w:id="24"/>
    <w:bookmarkStart w:id="25" w:name="X95b91e67f0a1128c66a62d4c35af41064cf41d9"/>
    <w:p>
      <w:pPr>
        <w:pStyle w:val="Heading3"/>
      </w:pPr>
      <w:r>
        <w:t xml:space="preserve">Limitations of 2D similarity, and what comes next</w:t>
      </w:r>
    </w:p>
    <w:p>
      <w:pPr>
        <w:pStyle w:val="FirstParagraph"/>
      </w:pPr>
      <w:r>
        <w:t xml:space="preserve">Both of this chapter’s core tools — Tanimoto similarity over 2D</w:t>
      </w:r>
      <w:r>
        <w:t xml:space="preserve"> </w:t>
      </w:r>
      <w:r>
        <w:t xml:space="preserve">fingerprints, and Lipinski’s Rule of Five — operate entirely on molecular</w:t>
      </w:r>
      <w:r>
        <w:t xml:space="preserve"> </w:t>
      </w:r>
      <w:r>
        <w:rPr>
          <w:b/>
          <w:bCs/>
        </w:rPr>
        <w:t xml:space="preserve">constitution</w:t>
      </w:r>
      <w:r>
        <w:t xml:space="preserve">: which atoms are bonded to which, with no reference to</w:t>
      </w:r>
      <w:r>
        <w:t xml:space="preserve"> </w:t>
      </w:r>
      <w:r>
        <w:t xml:space="preserve">three-dimensional shape, a specific target’s binding-pocket geometry, or</w:t>
      </w:r>
      <w:r>
        <w:t xml:space="preserve"> </w:t>
      </w:r>
      <w:r>
        <w:t xml:space="preserve">measured biological activity. That is a deliberate scope, not an</w:t>
      </w:r>
      <w:r>
        <w:t xml:space="preserve"> </w:t>
      </w:r>
      <w:r>
        <w:t xml:space="preserve">oversight, but it has three concrete consequences for how these tools</w:t>
      </w:r>
      <w:r>
        <w:t xml:space="preserve"> </w:t>
      </w:r>
      <w:r>
        <w:t xml:space="preserve">should — and should not — be used going forward in this book: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2D similarity does not see 3D shape.</w:t>
      </w:r>
      <w:r>
        <w:t xml:space="preserve"> </w:t>
      </w:r>
      <w:r>
        <w:t xml:space="preserve">Two molecules can score a</w:t>
      </w:r>
      <w:r>
        <w:t xml:space="preserve"> </w:t>
      </w:r>
      <w:r>
        <w:t xml:space="preserve">high Tanimoto similarity while adopting substantially different 3D</w:t>
      </w:r>
      <w:r>
        <w:t xml:space="preserve"> </w:t>
      </w:r>
      <w:r>
        <w:t xml:space="preserve">conformations (§2.4), and, in the other direction, two molecules built</w:t>
      </w:r>
      <w:r>
        <w:t xml:space="preserve"> </w:t>
      </w:r>
      <w:r>
        <w:t xml:space="preserve">on entirely different 2D scaffolds — and therefore scoring a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Tanimoto similarity — can present near-identical 3D pharmacophores to a</w:t>
      </w:r>
      <w:r>
        <w:t xml:space="preserve"> </w:t>
      </w:r>
      <w:r>
        <w:t xml:space="preserve">binding pocket. The first is a false positive for</w:t>
      </w:r>
      <w:r>
        <w:t xml:space="preserve"> </w:t>
      </w:r>
      <w:r>
        <w:t xml:space="preserve">“these will behave</w:t>
      </w:r>
      <w:r>
        <w:t xml:space="preserve"> </w:t>
      </w:r>
      <w:r>
        <w:t xml:space="preserve">alike”</w:t>
      </w:r>
      <w:r>
        <w:t xml:space="preserve">; the second is a false negative that a pure 2D similarity search</w:t>
      </w:r>
      <w:r>
        <w:t xml:space="preserve"> </w:t>
      </w:r>
      <w:r>
        <w:t xml:space="preserve">will simply never surface. Reasoning about actual binding requires the</w:t>
      </w:r>
      <w:r>
        <w:t xml:space="preserve"> </w:t>
      </w:r>
      <w:r>
        <w:t xml:space="preserve">protein-side structural representations Chapter 3 introduces, and</w:t>
      </w:r>
      <w:r>
        <w:t xml:space="preserve"> </w:t>
      </w:r>
      <w:r>
        <w:t xml:space="preserve">culminates in the explicit 3D docking methods of Chapter 11.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Lipinski’s Rule of Five predicts drug-</w:t>
      </w:r>
      <w:r>
        <w:rPr>
          <w:b/>
          <w:bCs/>
          <w:i/>
          <w:iCs/>
        </w:rPr>
        <w:t xml:space="preserve">likeness</w:t>
      </w:r>
      <w:r>
        <w:rPr>
          <w:b/>
          <w:bCs/>
        </w:rPr>
        <w:t xml:space="preserve">, not activity or</w:t>
      </w:r>
      <w:r>
        <w:rPr>
          <w:b/>
          <w:bCs/>
        </w:rPr>
        <w:t xml:space="preserve"> </w:t>
      </w:r>
      <w:r>
        <w:rPr>
          <w:b/>
          <w:bCs/>
        </w:rPr>
        <w:t xml:space="preserve">safety.</w:t>
      </w:r>
      <w:r>
        <w:t xml:space="preserve"> </w:t>
      </w:r>
      <w:r>
        <w:t xml:space="preserve">Passing it says a molecule’s bulk physicochemical properties</w:t>
      </w:r>
      <w:r>
        <w:t xml:space="preserve"> </w:t>
      </w:r>
      <w:r>
        <w:t xml:space="preserve">resemble those of historically orally-bioavailable drugs; it says</w:t>
      </w:r>
      <w:r>
        <w:t xml:space="preserve"> </w:t>
      </w:r>
      <w:r>
        <w:t xml:space="preserve">nothing about whether the molecule binds any particular target, is</w:t>
      </w:r>
      <w:r>
        <w:t xml:space="preserve"> </w:t>
      </w:r>
      <w:r>
        <w:t xml:space="preserve">potent, or is toxic. Predicting those properties from structure is the</w:t>
      </w:r>
      <w:r>
        <w:t xml:space="preserve"> </w:t>
      </w:r>
      <w:r>
        <w:t xml:space="preserve">job of the supervised QSAR and ADMET models in Chapter 5, trained on</w:t>
      </w:r>
      <w:r>
        <w:t xml:space="preserve"> </w:t>
      </w:r>
      <w:r>
        <w:t xml:space="preserve">labeled bioactivity and toxicity data rather than on a four-descriptor</w:t>
      </w:r>
      <w:r>
        <w:t xml:space="preserve"> </w:t>
      </w:r>
      <w:r>
        <w:t xml:space="preserve">heuristic.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Both tools are static.</w:t>
      </w:r>
      <w:r>
        <w:t xml:space="preserve"> </w:t>
      </w:r>
      <w:r>
        <w:t xml:space="preserve">A fingerprint and a Lipinski pass/fail are</w:t>
      </w:r>
      <w:r>
        <w:t xml:space="preserve"> </w:t>
      </w:r>
      <w:r>
        <w:t xml:space="preserve">computed once, from one fixed structure (or, for Lipinski, one</w:t>
      </w:r>
      <w:r>
        <w:t xml:space="preserve"> </w:t>
      </w:r>
      <w:r>
        <w:t xml:space="preserve">conformer-independent set of descriptors); neither says anything about</w:t>
      </w:r>
      <w:r>
        <w:t xml:space="preserve"> </w:t>
      </w:r>
      <w:r>
        <w:t xml:space="preserve">how a molecule and a target move and interact over time. That dynamic</w:t>
      </w:r>
      <w:r>
        <w:t xml:space="preserve"> </w:t>
      </w:r>
      <w:r>
        <w:t xml:space="preserve">picture — binding kinetics, conformational flexibility, stability of a</w:t>
      </w:r>
      <w:r>
        <w:t xml:space="preserve"> </w:t>
      </w:r>
      <w:r>
        <w:t xml:space="preserve">docked pose — is the subject of the molecular dynamics methods in</w:t>
      </w:r>
      <w:r>
        <w:t xml:space="preserve"> </w:t>
      </w:r>
      <w:r>
        <w:t xml:space="preserve">Chapter 12.</w:t>
      </w:r>
    </w:p>
    <w:p>
      <w:pPr>
        <w:pStyle w:val="FirstParagraph"/>
      </w:pPr>
      <w:r>
        <w:t xml:space="preserve">None of this makes 2D similarity search or Lipinski filtering wrong tools</w:t>
      </w:r>
      <w:r>
        <w:t xml:space="preserve"> </w:t>
      </w:r>
      <w:r>
        <w:t xml:space="preserve">— used as what they are, a cheap first-pass filter over enormous chemical</w:t>
      </w:r>
      <w:r>
        <w:t xml:space="preserve"> </w:t>
      </w:r>
      <w:r>
        <w:t xml:space="preserve">spaces, they remain standard practice throughout the industry precisely</w:t>
      </w:r>
      <w:r>
        <w:t xml:space="preserve"> </w:t>
      </w:r>
      <w:r>
        <w:t xml:space="preserve">because of their speed. The point is narrower: treat a high similarity</w:t>
      </w:r>
      <w:r>
        <w:t xml:space="preserve"> </w:t>
      </w:r>
      <w:r>
        <w:t xml:space="preserve">score or a Lipinski pass as a reason to</w:t>
      </w:r>
      <w:r>
        <w:t xml:space="preserve"> </w:t>
      </w:r>
      <w:r>
        <w:rPr>
          <w:i/>
          <w:iCs/>
        </w:rPr>
        <w:t xml:space="preserve">look closer</w:t>
      </w:r>
      <w:r>
        <w:t xml:space="preserve"> </w:t>
      </w:r>
      <w:r>
        <w:t xml:space="preserve">with the</w:t>
      </w:r>
      <w:r>
        <w:t xml:space="preserve"> </w:t>
      </w:r>
      <w:r>
        <w:t xml:space="preserve">structure-, activity-, and dynamics-aware methods later in this book, not</w:t>
      </w:r>
      <w:r>
        <w:t xml:space="preserve"> </w:t>
      </w:r>
      <w:r>
        <w:t xml:space="preserve">as a conclusion in itself.</w:t>
      </w:r>
    </w:p>
    <w:bookmarkEnd w:id="25"/>
    <w:bookmarkStart w:id="26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rdkit</w:t>
      </w:r>
      <w:r>
        <w:t xml:space="preserve"> </w:t>
      </w:r>
      <w:r>
        <w:t xml:space="preserve">installs on Google Colab’s default runtime with a single</w:t>
      </w:r>
      <w:r>
        <w:t xml:space="preserve"> </w:t>
      </w:r>
      <w:r>
        <w:rPr>
          <w:rStyle w:val="VerbatimChar"/>
        </w:rPr>
        <w:t xml:space="preserve">pip install rdkit</w:t>
      </w:r>
      <w:r>
        <w:t xml:space="preserve">; the rest of this project’s dependencies are standard</w:t>
      </w:r>
      <w:r>
        <w:t xml:space="preserve"> </w:t>
      </w:r>
      <w:r>
        <w:t xml:space="preserve">library. No GPU is required — every part of this chapter’s project runs</w:t>
      </w:r>
      <w:r>
        <w:t xml:space="preserve"> </w:t>
      </w:r>
      <w:r>
        <w:t xml:space="preserve">on Colab’s free-tier CPU runtime unmodified.</w:t>
      </w:r>
    </w:p>
    <w:bookmarkEnd w:id="26"/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Weininger, D. (1988). SMILES, a chemical language and information</w:t>
      </w:r>
      <w:r>
        <w:t xml:space="preserve"> </w:t>
      </w:r>
      <w:r>
        <w:t xml:space="preserve">system. 1. Introduction to methodology and encoding rules.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Chemical Information and Computer Sciences</w:t>
      </w:r>
      <w:r>
        <w:t xml:space="preserve">, 28(1), 31–36.</w:t>
      </w:r>
      <w:r>
        <w:t xml:space="preserve"> </w:t>
      </w:r>
      <w:r>
        <w:t xml:space="preserve">https://doi.org/10.1021/ci00057a005</w:t>
      </w:r>
    </w:p>
    <w:p>
      <w:pPr>
        <w:pStyle w:val="Compact"/>
        <w:numPr>
          <w:ilvl w:val="0"/>
          <w:numId w:val="1003"/>
        </w:numPr>
      </w:pPr>
      <w:r>
        <w:t xml:space="preserve">Krenn, M., Häse, F., Nigam, A., Friederich, P., &amp; Aspuru-Guzik, A.</w:t>
      </w:r>
      <w:r>
        <w:t xml:space="preserve"> </w:t>
      </w:r>
      <w:r>
        <w:t xml:space="preserve">(2020). Self-referencing embedded strings (SELFIES): A 100% robust</w:t>
      </w:r>
      <w:r>
        <w:t xml:space="preserve"> </w:t>
      </w:r>
      <w:r>
        <w:t xml:space="preserve">molecular string representation.</w:t>
      </w:r>
      <w:r>
        <w:t xml:space="preserve"> </w:t>
      </w:r>
      <w:r>
        <w:rPr>
          <w:i/>
          <w:iCs/>
        </w:rPr>
        <w:t xml:space="preserve">Machine Learning: Science and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</w:t>
      </w:r>
      <w:r>
        <w:t xml:space="preserve">, 1(4), 045024. https://doi.org/10.1088/2632-2153/aba947</w:t>
      </w:r>
    </w:p>
    <w:p>
      <w:pPr>
        <w:pStyle w:val="Compact"/>
        <w:numPr>
          <w:ilvl w:val="0"/>
          <w:numId w:val="1003"/>
        </w:numPr>
      </w:pPr>
      <w:r>
        <w:t xml:space="preserve">Heller, S. R., McNaught, A., Pletnev, I., Stein, S., &amp; Tchekhovskoi, D.</w:t>
      </w:r>
      <w:r>
        <w:t xml:space="preserve"> </w:t>
      </w:r>
      <w:r>
        <w:t xml:space="preserve">(2015). InChI, the IUPAC International Chemical Identifier.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Cheminformatics</w:t>
      </w:r>
      <w:r>
        <w:t xml:space="preserve">, 7, 23. https://doi.org/10.1186/s13321-015-0068-4</w:t>
      </w:r>
    </w:p>
    <w:p>
      <w:pPr>
        <w:pStyle w:val="Compact"/>
        <w:numPr>
          <w:ilvl w:val="0"/>
          <w:numId w:val="1003"/>
        </w:numPr>
      </w:pPr>
      <w:r>
        <w:t xml:space="preserve">Morgan, H. L. (1965). The generation of a unique machine description for</w:t>
      </w:r>
      <w:r>
        <w:t xml:space="preserve"> </w:t>
      </w:r>
      <w:r>
        <w:t xml:space="preserve">chemical structures - a technique developed at Chemical Abstracts</w:t>
      </w:r>
      <w:r>
        <w:t xml:space="preserve"> </w:t>
      </w:r>
      <w:r>
        <w:t xml:space="preserve">Service.</w:t>
      </w:r>
      <w:r>
        <w:t xml:space="preserve"> </w:t>
      </w:r>
      <w:r>
        <w:rPr>
          <w:i/>
          <w:iCs/>
        </w:rPr>
        <w:t xml:space="preserve">Journal of Chemical Documentation</w:t>
      </w:r>
      <w:r>
        <w:t xml:space="preserve">, 5(2), 107–113.</w:t>
      </w:r>
      <w:r>
        <w:t xml:space="preserve"> </w:t>
      </w:r>
      <w:r>
        <w:t xml:space="preserve">https://doi.org/10.1021/c160017a018</w:t>
      </w:r>
    </w:p>
    <w:p>
      <w:pPr>
        <w:pStyle w:val="Compact"/>
        <w:numPr>
          <w:ilvl w:val="0"/>
          <w:numId w:val="1003"/>
        </w:numPr>
      </w:pPr>
      <w:r>
        <w:t xml:space="preserve">Rogers, D., &amp; Hahn, M. (2010). Extended-connectivity fingerprints.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, 50(5), 742–754.</w:t>
      </w:r>
      <w:r>
        <w:t xml:space="preserve"> </w:t>
      </w:r>
      <w:r>
        <w:t xml:space="preserve">https://doi.org/10.1021/ci100050t</w:t>
      </w:r>
    </w:p>
    <w:p>
      <w:pPr>
        <w:pStyle w:val="Compact"/>
        <w:numPr>
          <w:ilvl w:val="0"/>
          <w:numId w:val="1003"/>
        </w:numPr>
      </w:pPr>
      <w:r>
        <w:t xml:space="preserve">Durant, J. L., Leland, B. A., Henry, D. R., &amp; Nourse, J. G. (2002).</w:t>
      </w:r>
      <w:r>
        <w:t xml:space="preserve"> </w:t>
      </w:r>
      <w:r>
        <w:t xml:space="preserve">Reoptimization of MDL keys for use in drug discovery.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Chemical Information and Computer Sciences</w:t>
      </w:r>
      <w:r>
        <w:t xml:space="preserve">, 42(6), 1273–1280.</w:t>
      </w:r>
      <w:r>
        <w:t xml:space="preserve"> </w:t>
      </w:r>
      <w:r>
        <w:t xml:space="preserve">https://doi.org/10.1021/ci010132r</w:t>
      </w:r>
    </w:p>
    <w:p>
      <w:pPr>
        <w:pStyle w:val="Compact"/>
        <w:numPr>
          <w:ilvl w:val="0"/>
          <w:numId w:val="1003"/>
        </w:numPr>
      </w:pPr>
      <w:r>
        <w:t xml:space="preserve">Bajusz, D., Rácz, A., &amp; Héberger, K. (2015). Why is Tanimoto index an</w:t>
      </w:r>
      <w:r>
        <w:t xml:space="preserve"> </w:t>
      </w:r>
      <w:r>
        <w:t xml:space="preserve">appropriate choice for fingerprint-based similarity calculations?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, 7, 20.</w:t>
      </w:r>
      <w:r>
        <w:t xml:space="preserve"> </w:t>
      </w:r>
      <w:r>
        <w:t xml:space="preserve">https://doi.org/10.1186/s13321-015-0069-3</w:t>
      </w:r>
    </w:p>
    <w:p>
      <w:pPr>
        <w:pStyle w:val="Compact"/>
        <w:numPr>
          <w:ilvl w:val="0"/>
          <w:numId w:val="1003"/>
        </w:numPr>
      </w:pPr>
      <w:r>
        <w:t xml:space="preserve">Willett, P., Barnard, J. M., &amp; Downs, G. M. (1998). Chemical similarity</w:t>
      </w:r>
      <w:r>
        <w:t xml:space="preserve"> </w:t>
      </w:r>
      <w:r>
        <w:t xml:space="preserve">searching.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,</w:t>
      </w:r>
      <w:r>
        <w:t xml:space="preserve"> </w:t>
      </w:r>
      <w:r>
        <w:t xml:space="preserve">38(6), 983–996. https://doi.org/10.1021/ci9800211</w:t>
      </w:r>
    </w:p>
    <w:p>
      <w:pPr>
        <w:pStyle w:val="Compact"/>
        <w:numPr>
          <w:ilvl w:val="0"/>
          <w:numId w:val="1003"/>
        </w:numPr>
      </w:pPr>
      <w:r>
        <w:t xml:space="preserve">Martin, Y. C., Kofron, J. L., &amp; Traphagen, L. M. (2002). Do structurally</w:t>
      </w:r>
      <w:r>
        <w:t xml:space="preserve"> </w:t>
      </w:r>
      <w:r>
        <w:t xml:space="preserve">similar molecules have similar biological activity?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Medicinal Chemistry</w:t>
      </w:r>
      <w:r>
        <w:t xml:space="preserve">, 45(19), 4350–4358.</w:t>
      </w:r>
      <w:r>
        <w:t xml:space="preserve"> </w:t>
      </w:r>
      <w:r>
        <w:t xml:space="preserve">https://doi.org/10.1021/jm020155c</w:t>
      </w:r>
    </w:p>
    <w:p>
      <w:pPr>
        <w:pStyle w:val="Compact"/>
        <w:numPr>
          <w:ilvl w:val="0"/>
          <w:numId w:val="1003"/>
        </w:numPr>
      </w:pPr>
      <w:r>
        <w:t xml:space="preserve">Wildman, S. A., &amp; Crippen, G. M. (1999). Prediction of physicochemical</w:t>
      </w:r>
      <w:r>
        <w:t xml:space="preserve"> </w:t>
      </w:r>
      <w:r>
        <w:t xml:space="preserve">parameters by atomic contributions.</w:t>
      </w:r>
      <w:r>
        <w:t xml:space="preserve"> </w:t>
      </w:r>
      <w:r>
        <w:rPr>
          <w:i/>
          <w:iCs/>
        </w:rPr>
        <w:t xml:space="preserve">Journal of Chemical Information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Sciences</w:t>
      </w:r>
      <w:r>
        <w:t xml:space="preserve">, 39(5), 868–873. https://doi.org/10.1021/ci990307l</w:t>
      </w:r>
    </w:p>
    <w:p>
      <w:pPr>
        <w:pStyle w:val="Compact"/>
        <w:numPr>
          <w:ilvl w:val="0"/>
          <w:numId w:val="1003"/>
        </w:numPr>
      </w:pPr>
      <w:r>
        <w:t xml:space="preserve">Riniker, S., &amp; Landrum, G. A. (2015). Better informed distance geometry:</w:t>
      </w:r>
      <w:r>
        <w:t xml:space="preserve"> </w:t>
      </w:r>
      <w:r>
        <w:t xml:space="preserve">using what we know to improve conformation generation.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Chemical Information and Modeling</w:t>
      </w:r>
      <w:r>
        <w:t xml:space="preserve">, 55(12), 2562–2574.</w:t>
      </w:r>
      <w:r>
        <w:t xml:space="preserve"> </w:t>
      </w:r>
      <w:r>
        <w:t xml:space="preserve">https://doi.org/10.1021/acs.jcim.5b00654</w:t>
      </w:r>
    </w:p>
    <w:p>
      <w:pPr>
        <w:pStyle w:val="FirstParagraph"/>
      </w:pPr>
      <w:r>
        <w:t xml:space="preserve">See Chapter 1’s references for Lipinski, C. A., Lombardo, F., Dominy, B.</w:t>
      </w:r>
      <w:r>
        <w:t xml:space="preserve"> </w:t>
      </w:r>
      <w:r>
        <w:t xml:space="preserve">W., &amp; Feeney, P. J. (2001), Experimental and computational approaches to</w:t>
      </w:r>
      <w:r>
        <w:t xml:space="preserve"> </w:t>
      </w:r>
      <w:r>
        <w:t xml:space="preserve">estimate solubility and permeability in drug discovery and development</w:t>
      </w:r>
      <w:r>
        <w:t xml:space="preserve"> </w:t>
      </w:r>
      <w:r>
        <w:t xml:space="preserve">settings — reused here rather than re-listed. RDKit itself has no official</w:t>
      </w:r>
      <w:r>
        <w:t xml:space="preserve"> </w:t>
      </w:r>
      <w:r>
        <w:t xml:space="preserve">journal publication; its maintainers’ recommended citation is</w:t>
      </w:r>
      <w:r>
        <w:t xml:space="preserve"> </w:t>
      </w:r>
      <w:r>
        <w:t xml:space="preserve">“RDKit:</w:t>
      </w:r>
      <w:r>
        <w:t xml:space="preserve"> </w:t>
      </w:r>
      <w:r>
        <w:t xml:space="preserve">Open-source cheminformatics. https://www.rdkit.org”</w:t>
      </w:r>
      <w:r>
        <w:t xml:space="preserve"> </w:t>
      </w:r>
      <w:r>
        <w:t xml:space="preserve">(confirmed directly</w:t>
      </w:r>
      <w:r>
        <w:t xml:space="preserve"> </w:t>
      </w:r>
      <w:r>
        <w:t xml:space="preserve">from the project’s own documentation before use here), matching the</w:t>
      </w:r>
      <w:r>
        <w:t xml:space="preserve"> </w:t>
      </w:r>
      <w:r>
        <w:t xml:space="preserve">convention already established in Chapter 4’s references.</w:t>
      </w:r>
    </w:p>
    <w:p>
      <w:pPr>
        <w:pStyle w:val="BodyText"/>
      </w:pPr>
      <w:r>
        <w:t xml:space="preserve">Johnson, M. A., &amp; Maggiora, G. M. (Eds.). (1990).</w:t>
      </w:r>
      <w:r>
        <w:t xml:space="preserve"> </w:t>
      </w:r>
      <w:r>
        <w:rPr>
          <w:i/>
          <w:iCs/>
        </w:rPr>
        <w:t xml:space="preserve">Concepts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of Molecular Similarity</w:t>
      </w:r>
      <w:r>
        <w:t xml:space="preserve">. Wiley — cited above for the</w:t>
      </w:r>
      <w:r>
        <w:t xml:space="preserve"> </w:t>
      </w:r>
      <w:r>
        <w:t xml:space="preserve">similarity-property principle terminology; a book, not a journal article,</w:t>
      </w:r>
      <w:r>
        <w:t xml:space="preserve"> </w:t>
      </w:r>
      <w:r>
        <w:t xml:space="preserve">so listed separately from the verified journal citations above.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molecules.csv" TargetMode="External" /><Relationship Type="http://schemas.openxmlformats.org/officeDocument/2006/relationships/hyperlink" Id="rId21" Target="requirements.txt" TargetMode="External" /><Relationship Type="http://schemas.openxmlformats.org/officeDocument/2006/relationships/hyperlink" Id="rId10" Target="similarity_search.py" TargetMode="External" /><Relationship Type="http://schemas.openxmlformats.org/officeDocument/2006/relationships/hyperlink" Id="rId22" Target="tests/test_similarity_search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olecules.csv" TargetMode="External" /><Relationship Type="http://schemas.openxmlformats.org/officeDocument/2006/relationships/hyperlink" Id="rId21" Target="requirements.txt" TargetMode="External" /><Relationship Type="http://schemas.openxmlformats.org/officeDocument/2006/relationships/hyperlink" Id="rId10" Target="similarity_search.py" TargetMode="External" /><Relationship Type="http://schemas.openxmlformats.org/officeDocument/2006/relationships/hyperlink" Id="rId22" Target="tests/test_similarity_search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2026-08-16T18:05:01Z</dcterms:created>
  <dcterms:modified xsi:type="dcterms:W3CDTF">2026-08-16T18:05:01Z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