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Protein Representations &amp; Structure Engineering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cc9e2e1477de8602648b50a713b2ef006f413a9"/>
    <w:p>
      <w:pPr>
        <w:pStyle w:val="Heading1"/>
      </w:pPr>
      <w:r>
        <w:t xml:space="preserve">Chapter 3: Protein Representations &amp; Structure Engineering</w:t>
      </w:r>
    </w:p>
    <w:p>
      <w:pPr>
        <w:pStyle w:val="FirstParagraph"/>
      </w:pPr>
      <w:r>
        <w:t xml:space="preserve">Chapter 1 introduced the two modalities this book covers; Chapter 2</w:t>
      </w:r>
      <w:r>
        <w:t xml:space="preserve"> </w:t>
      </w:r>
      <w:r>
        <w:t xml:space="preserve">built the computational toolkit for one of them, small molecules. This</w:t>
      </w:r>
      <w:r>
        <w:t xml:space="preserve"> </w:t>
      </w:r>
      <w:r>
        <w:t xml:space="preserve">chapter builds the analogous toolkit for the other: proteins. Everything</w:t>
      </w:r>
      <w:r>
        <w:t xml:space="preserve"> </w:t>
      </w:r>
      <w:r>
        <w:t xml:space="preserve">here — sequence representations, 3D structural anatomy, and the</w:t>
      </w:r>
      <w:r>
        <w:t xml:space="preserve"> </w:t>
      </w:r>
      <w:r>
        <w:t xml:space="preserve">machine-learning-ready representations built from both — is</w:t>
      </w:r>
      <w:r>
        <w:t xml:space="preserve"> </w:t>
      </w:r>
      <w:r>
        <w:t xml:space="preserve">infrastructure the rest of Part III (protein language models, structure</w:t>
      </w:r>
      <w:r>
        <w:t xml:space="preserve"> </w:t>
      </w:r>
      <w:r>
        <w:t xml:space="preserve">prediction, de novo design) and the docking chapters in Part IV depend</w:t>
      </w:r>
      <w:r>
        <w:t xml:space="preserve"> </w:t>
      </w:r>
      <w:r>
        <w:t xml:space="preserve">on directly.</w:t>
      </w:r>
    </w:p>
    <w:bookmarkStart w:id="13" w:name="sequences-amino-acid-properties"/>
    <w:p>
      <w:pPr>
        <w:pStyle w:val="Heading2"/>
      </w:pPr>
      <w:r>
        <w:t xml:space="preserve">3.1 Sequences &amp; Amino Acid Properties</w:t>
      </w:r>
    </w:p>
    <w:bookmarkStart w:id="9" w:name="fasta-format"/>
    <w:p>
      <w:pPr>
        <w:pStyle w:val="Heading3"/>
      </w:pPr>
      <w:r>
        <w:t xml:space="preserve">FASTA format</w:t>
      </w:r>
    </w:p>
    <w:p>
      <w:pPr>
        <w:pStyle w:val="FirstParagraph"/>
      </w:pPr>
      <w:r>
        <w:t xml:space="preserve">A protein sequence is, at its simplest, a string over a 20-letter</w:t>
      </w:r>
      <w:r>
        <w:t xml:space="preserve"> </w:t>
      </w:r>
      <w:r>
        <w:t xml:space="preserve">alphabet (the standard amino acids, plus a handful of extended-alphabet</w:t>
      </w:r>
      <w:r>
        <w:t xml:space="preserve"> </w:t>
      </w:r>
      <w:r>
        <w:t xml:space="preserve">codes for ambiguity and non-standard residues). The near-universal</w:t>
      </w:r>
      <w:r>
        <w:t xml:space="preserve"> </w:t>
      </w:r>
      <w:r>
        <w:t xml:space="preserve">plain-text format for storing one or more such sequences is</w:t>
      </w:r>
      <w:r>
        <w:t xml:space="preserve"> </w:t>
      </w:r>
      <w:r>
        <w:rPr>
          <w:b/>
          <w:bCs/>
        </w:rPr>
        <w:t xml:space="preserve">FASTA</w:t>
      </w:r>
      <w:r>
        <w:t xml:space="preserve">,</w:t>
      </w:r>
      <w:r>
        <w:t xml:space="preserve"> </w:t>
      </w:r>
      <w:r>
        <w:t xml:space="preserve">named after the FASTA sequence-alignment tool it originated with</w:t>
      </w:r>
      <w:r>
        <w:t xml:space="preserve"> </w:t>
      </w:r>
      <w:r>
        <w:t xml:space="preserve">(Pearson &amp; Lipman, 1988). A FASTA record is a single header line</w:t>
      </w:r>
      <w:r>
        <w:t xml:space="preserve"> </w:t>
      </w:r>
      <w:r>
        <w:t xml:space="preserve">beginning with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followed by the sequence itself, wrapped at an</w:t>
      </w:r>
      <w:r>
        <w:t xml:space="preserve"> </w:t>
      </w:r>
      <w:r>
        <w:t xml:space="preserve">arbitrary line width:</w:t>
      </w:r>
    </w:p>
    <w:p>
      <w:pPr>
        <w:pStyle w:val="SourceCode"/>
      </w:pPr>
      <w:r>
        <w:rPr>
          <w:rStyle w:val="VerbatimChar"/>
        </w:rPr>
        <w:t xml:space="preserve">&gt;sp|P00533|EGFR_HUMAN Epidermal growth factor receptor</w:t>
      </w:r>
      <w:r>
        <w:br/>
      </w:r>
      <w:r>
        <w:rPr>
          <w:rStyle w:val="VerbatimChar"/>
        </w:rPr>
        <w:t xml:space="preserve">MRPSGTAGAALLALLAALCPASRALEEKKVCQGTSNKLTQLGTFEDHFLSLQRMFNNCE</w:t>
      </w:r>
      <w:r>
        <w:br/>
      </w:r>
      <w:r>
        <w:rPr>
          <w:rStyle w:val="VerbatimChar"/>
        </w:rPr>
        <w:t xml:space="preserve">VVLGNLEITYVQRNYDLSFLKTIQEVAGYVLIALNTVERIPLENLQIIRGNMYYENSYA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Every major sequence database (UniProt, NCBI, Ensembl) and every tool</w:t>
      </w:r>
      <w:r>
        <w:t xml:space="preserve"> </w:t>
      </w:r>
      <w:r>
        <w:t xml:space="preserve">this book uses that consumes a raw sequence (BioPython, ESM, AlphaFold)</w:t>
      </w:r>
      <w:r>
        <w:t xml:space="preserve"> </w:t>
      </w:r>
      <w:r>
        <w:t xml:space="preserve">either accepts or emits FASTA. It has no formal specification body — it</w:t>
      </w:r>
      <w:r>
        <w:t xml:space="preserve"> </w:t>
      </w:r>
      <w:r>
        <w:t xml:space="preserve">is a de facto standard defined by decades of tool compatibility — which</w:t>
      </w:r>
      <w:r>
        <w:t xml:space="preserve"> </w:t>
      </w:r>
      <w:r>
        <w:t xml:space="preserve">is precisely why its simplicity matters: a format with essentially zero</w:t>
      </w:r>
      <w:r>
        <w:t xml:space="preserve"> </w:t>
      </w:r>
      <w:r>
        <w:t xml:space="preserve">parsing ambiguity is what let it become universal infrastructure.</w:t>
      </w:r>
    </w:p>
    <w:bookmarkEnd w:id="9"/>
    <w:bookmarkStart w:id="10" w:name="amino-acid-properties"/>
    <w:p>
      <w:pPr>
        <w:pStyle w:val="Heading3"/>
      </w:pPr>
      <w:r>
        <w:t xml:space="preserve">Amino acid properties</w:t>
      </w:r>
    </w:p>
    <w:p>
      <w:pPr>
        <w:pStyle w:val="FirstParagraph"/>
      </w:pPr>
      <w:r>
        <w:t xml:space="preserve">The 20 standard amino acids share a backbone (an amino group, a</w:t>
      </w:r>
      <w:r>
        <w:t xml:space="preserve"> </w:t>
      </w:r>
      <w:r>
        <w:t xml:space="preserve">carboxyl group, and a central α-carbon) and differ only in their side</w:t>
      </w:r>
      <w:r>
        <w:t xml:space="preserve"> </w:t>
      </w:r>
      <w:r>
        <w:t xml:space="preserve">chain (R group), and it is the physicochemical character of that side</w:t>
      </w:r>
      <w:r>
        <w:t xml:space="preserve"> </w:t>
      </w:r>
      <w:r>
        <w:t xml:space="preserve">chain — charge, polarity, hydrophobicity, size, and the presence of</w:t>
      </w:r>
      <w:r>
        <w:t xml:space="preserve"> </w:t>
      </w:r>
      <w:r>
        <w:t xml:space="preserve">distinguishing groups like proline’s ring-closed backbone or cysteine’s</w:t>
      </w:r>
      <w:r>
        <w:t xml:space="preserve"> </w:t>
      </w:r>
      <w:r>
        <w:t xml:space="preserve">thiol — that determines nearly everything downstream: which secondary</w:t>
      </w:r>
      <w:r>
        <w:t xml:space="preserve"> </w:t>
      </w:r>
      <w:r>
        <w:t xml:space="preserve">structures a residue favors (§3.2), which residues cluster in a folded</w:t>
      </w:r>
      <w:r>
        <w:t xml:space="preserve"> </w:t>
      </w:r>
      <w:r>
        <w:t xml:space="preserve">protein’s hydrophobic core versus its solvent-exposed surface, and which</w:t>
      </w:r>
      <w:r>
        <w:t xml:space="preserve"> </w:t>
      </w:r>
      <w:r>
        <w:t xml:space="preserve">positions in a binding pocket (§3.4) a small molecule can hydrogen-bond</w:t>
      </w:r>
      <w:r>
        <w:t xml:space="preserve"> </w:t>
      </w:r>
      <w:r>
        <w:t xml:space="preserve">to versus merely pack against. Substitution matrices (below) are, in</w:t>
      </w:r>
      <w:r>
        <w:t xml:space="preserve"> </w:t>
      </w:r>
      <w:r>
        <w:t xml:space="preserve">effect, a quantitative encoding of exactly this: how interchangeable two</w:t>
      </w:r>
      <w:r>
        <w:t xml:space="preserve"> </w:t>
      </w:r>
      <w:r>
        <w:t xml:space="preserve">amino acids are without disrupting a protein’s structure or function.</w:t>
      </w:r>
    </w:p>
    <w:bookmarkEnd w:id="10"/>
    <w:bookmarkStart w:id="11" w:name="substitution-matrices"/>
    <w:p>
      <w:pPr>
        <w:pStyle w:val="Heading3"/>
      </w:pPr>
      <w:r>
        <w:t xml:space="preserve">Substitution matrices</w:t>
      </w:r>
    </w:p>
    <w:p>
      <w:pPr>
        <w:pStyle w:val="FirstParagraph"/>
      </w:pPr>
      <w:r>
        <w:t xml:space="preserve">Aligning two sequences requires a way to score whether substituting one</w:t>
      </w:r>
      <w:r>
        <w:t xml:space="preserve"> </w:t>
      </w:r>
      <w:r>
        <w:t xml:space="preserve">amino acid for another at a given position is</w:t>
      </w:r>
      <w:r>
        <w:t xml:space="preserve"> </w:t>
      </w:r>
      <w:r>
        <w:t xml:space="preserve">“cheap”</w:t>
      </w:r>
      <w:r>
        <w:t xml:space="preserve"> </w:t>
      </w:r>
      <w:r>
        <w:t xml:space="preserve">(conservative,</w:t>
      </w:r>
      <w:r>
        <w:t xml:space="preserve"> </w:t>
      </w:r>
      <w:r>
        <w:t xml:space="preserve">likely to preserve function) or</w:t>
      </w:r>
      <w:r>
        <w:t xml:space="preserve"> </w:t>
      </w:r>
      <w:r>
        <w:t xml:space="preserve">“expensive”</w:t>
      </w:r>
      <w:r>
        <w:t xml:space="preserve"> </w:t>
      </w:r>
      <w:r>
        <w:t xml:space="preserve">(radical, likely disruptive)</w:t>
      </w:r>
      <w:r>
        <w:t xml:space="preserve"> </w:t>
      </w:r>
      <w:r>
        <w:t xml:space="preserve">— identity alone is too crude, since a leucine-to-isoleucine substitution</w:t>
      </w:r>
      <w:r>
        <w:t xml:space="preserve"> </w:t>
      </w:r>
      <w:r>
        <w:t xml:space="preserve">is usually far more tolerable than a leucine-to-aspartate one. A</w:t>
      </w:r>
      <w:r>
        <w:t xml:space="preserve"> </w:t>
      </w:r>
      <w:r>
        <w:rPr>
          <w:b/>
          <w:bCs/>
        </w:rPr>
        <w:t xml:space="preserve">substitution matrix</w:t>
      </w:r>
      <w:r>
        <w:t xml:space="preserve"> </w:t>
      </w:r>
      <w:r>
        <w:t xml:space="preserve">gives every one of the 20×20 amino acid pairs a</w:t>
      </w:r>
      <w:r>
        <w:t xml:space="preserve"> </w:t>
      </w:r>
      <w:r>
        <w:t xml:space="preserve">log-odds score: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 the observed frequency with which residues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aligned with each other in a trusted reference set of alignments,</w:t>
      </w:r>
      <w:r>
        <w:t xml:space="preserve"> </w:t>
      </w:r>
      <m:oMath>
        <m:sSub>
          <m:e>
            <m:r>
              <m:t>q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 their independent background frequencies,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 scaling constant. Intuitively: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co-occur in</w:t>
      </w:r>
      <w:r>
        <w:t xml:space="preserve"> </w:t>
      </w:r>
      <w:r>
        <w:t xml:space="preserve">real alignments more often than their individual frequencies would</w:t>
      </w:r>
      <w:r>
        <w:t xml:space="preserve"> </w:t>
      </w:r>
      <w:r>
        <w:t xml:space="preserve">predict by chance,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(a favorable substitution); if less</w:t>
      </w:r>
      <w:r>
        <w:t xml:space="preserve"> </w:t>
      </w:r>
      <w:r>
        <w:t xml:space="preserve">often,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 The two matrix families in near-universal use differ</w:t>
      </w:r>
      <w:r>
        <w:t xml:space="preserve"> </w:t>
      </w:r>
      <w:r>
        <w:t xml:space="preserve">in how the reference alignments were built: the older PAM matrices</w:t>
      </w:r>
      <w:r>
        <w:t xml:space="preserve"> </w:t>
      </w:r>
      <w:r>
        <w:t xml:space="preserve">extrapolate substitution rates from very closely related sequences using</w:t>
      </w:r>
      <w:r>
        <w:t xml:space="preserve"> </w:t>
      </w:r>
      <w:r>
        <w:t xml:space="preserve">an explicit evolutionary model, while the BLOSUM matrices (Henikoff &amp;</w:t>
      </w:r>
      <w:r>
        <w:t xml:space="preserve"> </w:t>
      </w:r>
      <w:r>
        <w:t xml:space="preserve">Henikoff, 1992) are derived directly from observed substitution</w:t>
      </w:r>
      <w:r>
        <w:t xml:space="preserve"> </w:t>
      </w:r>
      <w:r>
        <w:t xml:space="preserve">frequencies in blocks of already-aligned, more divergent sequence</w:t>
      </w:r>
      <w:r>
        <w:t xml:space="preserve"> </w:t>
      </w:r>
      <w:r>
        <w:t xml:space="preserve">families — BLOSUM62 (built from blocks with ≤62% pairwise identity) is</w:t>
      </w:r>
      <w:r>
        <w:t xml:space="preserve"> </w:t>
      </w:r>
      <w:r>
        <w:t xml:space="preserve">the default in most modern alignment tools, including the pairwise</w:t>
      </w:r>
      <w:r>
        <w:t xml:space="preserve"> </w:t>
      </w:r>
      <w:r>
        <w:t xml:space="preserve">aligner used below.</w:t>
      </w:r>
    </w:p>
    <w:bookmarkEnd w:id="11"/>
    <w:bookmarkStart w:id="12" w:name="pairwise-and-multiple-sequence-alignment"/>
    <w:p>
      <w:pPr>
        <w:pStyle w:val="Heading3"/>
      </w:pPr>
      <w:r>
        <w:t xml:space="preserve">Pairwise and multiple sequence alignment</w:t>
      </w:r>
    </w:p>
    <w:p>
      <w:pPr>
        <w:pStyle w:val="FirstParagraph"/>
      </w:pPr>
      <w:r>
        <w:t xml:space="preserve">Given a substitution matrix and a gap penalty, computing the</w:t>
      </w:r>
      <w:r>
        <w:t xml:space="preserve"> </w:t>
      </w:r>
      <w:r>
        <w:t xml:space="preserve">highest-scoring alignment between two sequences is a dynamic programming</w:t>
      </w:r>
      <w:r>
        <w:t xml:space="preserve"> </w:t>
      </w:r>
      <w:r>
        <w:t xml:space="preserve">problem. Needleman &amp; Wunsch (1970) gave the algorithm for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alignment (align the sequences end-to-end); Smith &amp; Waterman (1981) gave</w:t>
      </w:r>
      <w:r>
        <w:t xml:space="preserve"> </w:t>
      </w:r>
      <w:r>
        <w:t xml:space="preserve">the variant for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alignment (find the highest-scoring aligned</w:t>
      </w:r>
      <w:r>
        <w:t xml:space="preserve"> </w:t>
      </w:r>
      <w:r>
        <w:t xml:space="preserve">subsequence, ignoring unrelated flanking regions) by allowing the</w:t>
      </w:r>
      <w:r>
        <w:t xml:space="preserve"> </w:t>
      </w:r>
      <w:r>
        <w:t xml:space="preserve">recurrence to reset to zero rather than go negative. Both remain exactly</w:t>
      </w:r>
      <w:r>
        <w:t xml:space="preserve"> </w:t>
      </w:r>
      <w:r>
        <w:t xml:space="preserve">correct and exactly this: dynamic programming over 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score matrix,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time. A minimal, exact global alignment</w:t>
      </w:r>
      <w:r>
        <w:t xml:space="preserve"> </w:t>
      </w:r>
      <w:r>
        <w:t xml:space="preserve">using BLOSUM62 (BioPython, no external tools required):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Bio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Align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Bio.Align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substitution_matrices</w:t>
      </w:r>
      <w:r>
        <w:br/>
      </w:r>
      <w:r>
        <w:br/>
      </w:r>
      <w:r>
        <w:rPr>
          <w:rStyle w:val="NormalTok"/>
        </w:rPr>
        <w:t xml:space="preserve">aligner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Align.PairwiseAligner()</w:t>
      </w:r>
      <w:r>
        <w:br/>
      </w:r>
      <w:r>
        <w:rPr>
          <w:rStyle w:val="NormalTok"/>
        </w:rPr>
        <w:t xml:space="preserve">aligner.substitution_matrix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substitution_matrices.load(</w:t>
      </w:r>
      <w:r>
        <w:rPr>
          <w:rStyle w:val="StringTok"/>
        </w:rPr>
        <w:t xml:space="preserve">"BLOSUM62"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aligner.open_gap_score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aligner.extend_gap_score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aligner.align(</w:t>
      </w:r>
      <w:r>
        <w:rPr>
          <w:rStyle w:val="StringTok"/>
        </w:rPr>
        <w:t xml:space="preserve">"MKTAYIAKQR"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"MKTAYIAKER"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(alignment)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"score:"</w:t>
      </w:r>
      <w:r>
        <w:rPr>
          <w:rStyle w:val="NormalTok"/>
        </w:rPr>
        <w:t xml:space="preserve">, alignment.score)</w:t>
      </w:r>
    </w:p>
    <w:p>
      <w:pPr>
        <w:pStyle w:val="FirstParagraph"/>
      </w:pPr>
      <w:r>
        <w:rPr>
          <w:b/>
          <w:bCs/>
        </w:rPr>
        <w:t xml:space="preserve">Multiple sequence alignment (MSA)</w:t>
      </w:r>
      <w:r>
        <w:t xml:space="preserve"> </w:t>
      </w:r>
      <w:r>
        <w:t xml:space="preserve">— aligning three or more sequences</w:t>
      </w:r>
      <w:r>
        <w:t xml:space="preserve"> </w:t>
      </w:r>
      <w:r>
        <w:t xml:space="preserve">simultaneously — is what makes cross-species conservation analysis,</w:t>
      </w:r>
      <w:r>
        <w:t xml:space="preserve"> </w:t>
      </w:r>
      <w:r>
        <w:t xml:space="preserve">phylogenetics, and (critically, for Chapter 8) protein language model</w:t>
      </w:r>
      <w:r>
        <w:t xml:space="preserve"> </w:t>
      </w:r>
      <w:r>
        <w:t xml:space="preserve">training data possible, but it is not simply pairwise alignment run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times: exact multi-sequence dynamic programming is</w:t>
      </w:r>
      <w:r>
        <w:t xml:space="preserve"> </w:t>
      </w:r>
      <w:r>
        <w:t xml:space="preserve">exponential in the number of sequences, so practical tools use a</w:t>
      </w:r>
      <w:r>
        <w:t xml:space="preserve"> </w:t>
      </w:r>
      <w:r>
        <w:rPr>
          <w:b/>
          <w:bCs/>
        </w:rPr>
        <w:t xml:space="preserve">progressive alignment</w:t>
      </w:r>
      <w:r>
        <w:t xml:space="preserve"> </w:t>
      </w:r>
      <w:r>
        <w:t xml:space="preserve">heuristic — build a guide tree from pairwise</w:t>
      </w:r>
      <w:r>
        <w:t xml:space="preserve"> </w:t>
      </w:r>
      <w:r>
        <w:t xml:space="preserve">similarities, then align sequences and sub-alignments along that tree</w:t>
      </w:r>
      <w:r>
        <w:t xml:space="preserve"> </w:t>
      </w:r>
      <w:r>
        <w:t xml:space="preserve">from the leaves inward. Clustal Omega (Sievers et al., 2011) is the</w:t>
      </w:r>
      <w:r>
        <w:t xml:space="preserve"> </w:t>
      </w:r>
      <w:r>
        <w:t xml:space="preserve">present-day standard implementation of this approach, capable of scaling</w:t>
      </w:r>
      <w:r>
        <w:t xml:space="preserve"> </w:t>
      </w:r>
      <w:r>
        <w:t xml:space="preserve">to datasets of hundreds of thousands of sequences. This book does not</w:t>
      </w:r>
      <w:r>
        <w:t xml:space="preserve"> </w:t>
      </w:r>
      <w:r>
        <w:t xml:space="preserve">implement an MSA tool from scratch — that would mean re-deriving</w:t>
      </w:r>
      <w:r>
        <w:t xml:space="preserve"> </w:t>
      </w:r>
      <w:r>
        <w:t xml:space="preserve">production bioinformatics software with no pedagogical benefit over</w:t>
      </w:r>
      <w:r>
        <w:t xml:space="preserve"> </w:t>
      </w:r>
      <w:r>
        <w:t xml:space="preserve">using Clustal Omega or MAFFT directly — but §3.4 does implement the</w:t>
      </w:r>
      <w:r>
        <w:t xml:space="preserve"> </w:t>
      </w:r>
      <w:r>
        <w:t xml:space="preserve">pairwise dynamic-programming primitive that progressive alignment is</w:t>
      </w:r>
      <w:r>
        <w:t xml:space="preserve"> </w:t>
      </w:r>
      <w:r>
        <w:t xml:space="preserve">built from, and Chapter 8 revisits MSA directly as an input to protein</w:t>
      </w:r>
      <w:r>
        <w:t xml:space="preserve"> </w:t>
      </w:r>
      <w:r>
        <w:t xml:space="preserve">language models.</w:t>
      </w:r>
    </w:p>
    <w:bookmarkEnd w:id="12"/>
    <w:bookmarkEnd w:id="13"/>
    <w:bookmarkStart w:id="17" w:name="d-structural-anatomy"/>
    <w:p>
      <w:pPr>
        <w:pStyle w:val="Heading2"/>
      </w:pPr>
      <w:r>
        <w:t xml:space="preserve">3.2 3D Structural Anatomy</w:t>
      </w:r>
    </w:p>
    <w:bookmarkStart w:id="14" w:name="file-formats-pdb-and-pdbxmmcif"/>
    <w:p>
      <w:pPr>
        <w:pStyle w:val="Heading3"/>
      </w:pPr>
      <w:r>
        <w:t xml:space="preserve">File formats: PDB and PDBx/mmCIF</w:t>
      </w:r>
    </w:p>
    <w:p>
      <w:pPr>
        <w:pStyle w:val="FirstParagraph"/>
      </w:pPr>
      <w:r>
        <w:t xml:space="preserve">A protein’s 3D structure — the (x, y, z) coordinate of every resolved</w:t>
      </w:r>
      <w:r>
        <w:t xml:space="preserve"> </w:t>
      </w:r>
      <w:r>
        <w:t xml:space="preserve">atom, plus experimental metadata (resolution, method, the identity of</w:t>
      </w:r>
      <w:r>
        <w:t xml:space="preserve"> </w:t>
      </w:r>
      <w:r>
        <w:t xml:space="preserve">any bound ligands) — is distributed by the Protein Data Bank in two</w:t>
      </w:r>
      <w:r>
        <w:t xml:space="preserve"> </w:t>
      </w:r>
      <w:r>
        <w:t xml:space="preserve">formats: the original fixed-column-width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t xml:space="preserve">format, and its</w:t>
      </w:r>
      <w:r>
        <w:t xml:space="preserve"> </w:t>
      </w:r>
      <w:r>
        <w:t xml:space="preserve">successor PDBx/mmCIF, the wwPDB’s extensible standard format since 2014</w:t>
      </w:r>
      <w:r>
        <w:t xml:space="preserve"> </w:t>
      </w:r>
      <w:r>
        <w:t xml:space="preserve">(wwPDB consortium, 2019; see also Chapter 1 §1.4). This book’s hands-on</w:t>
      </w:r>
      <w:r>
        <w:t xml:space="preserve"> </w:t>
      </w:r>
      <w:r>
        <w:t xml:space="preserve">projects use the legacy</w:t>
      </w:r>
      <w:r>
        <w:t xml:space="preserve"> </w:t>
      </w:r>
      <w:r>
        <w:rPr>
          <w:rStyle w:val="VerbatimChar"/>
        </w:rPr>
        <w:t xml:space="preserve">.pdb</w:t>
      </w:r>
      <w:r>
        <w:t xml:space="preserve"> </w:t>
      </w:r>
      <w:r>
        <w:t xml:space="preserve">format where possible for readability —</w:t>
      </w:r>
      <w:r>
        <w:t xml:space="preserve"> </w:t>
      </w:r>
      <w:r>
        <w:t xml:space="preserve">it is plain text, and a</w:t>
      </w:r>
      <w:r>
        <w:t xml:space="preserve"> </w:t>
      </w:r>
      <w:r>
        <w:rPr>
          <w:rStyle w:val="VerbatimChar"/>
        </w:rPr>
        <w:t xml:space="preserve">HETATM</w:t>
      </w:r>
      <w:r>
        <w:t xml:space="preserve"> </w:t>
      </w:r>
      <w:r>
        <w:t xml:space="preserve">line for a bound ligand or an</w:t>
      </w:r>
      <w:r>
        <w:t xml:space="preserve"> </w:t>
      </w:r>
      <w:r>
        <w:rPr>
          <w:rStyle w:val="VerbatimChar"/>
        </w:rPr>
        <w:t xml:space="preserve">ATOM</w:t>
      </w:r>
      <w:r>
        <w:t xml:space="preserve"> </w:t>
      </w:r>
      <w:r>
        <w:t xml:space="preserve">line for a protein atom is human-inspectable without a parser — but</w:t>
      </w:r>
      <w:r>
        <w:t xml:space="preserve"> </w:t>
      </w:r>
      <w:r>
        <w:rPr>
          <w:rStyle w:val="VerbatimChar"/>
        </w:rPr>
        <w:t xml:space="preserve">.pdb</w:t>
      </w:r>
      <w:r>
        <w:t xml:space="preserve">’s fixed-width columns cannot represent structures with more than</w:t>
      </w:r>
      <w:r>
        <w:t xml:space="preserve"> </w:t>
      </w:r>
      <w:r>
        <w:t xml:space="preserve">62 chains or 99,999 atoms, which is why mmCIF is now the archive’s</w:t>
      </w:r>
      <w:r>
        <w:t xml:space="preserve"> </w:t>
      </w:r>
      <w:r>
        <w:t xml:space="preserve">primary format for large assemblies. Both are parsed identically by</w:t>
      </w:r>
      <w:r>
        <w:t xml:space="preserve"> </w:t>
      </w:r>
      <w:r>
        <w:t xml:space="preserve">BioPython’s</w:t>
      </w:r>
      <w:r>
        <w:t xml:space="preserve"> </w:t>
      </w:r>
      <w:r>
        <w:rPr>
          <w:rStyle w:val="VerbatimChar"/>
        </w:rPr>
        <w:t xml:space="preserve">Bio.PDB</w:t>
      </w:r>
      <w:r>
        <w:t xml:space="preserve"> </w:t>
      </w:r>
      <w:r>
        <w:t xml:space="preserve">module, which is what this chapter’s hands-on</w:t>
      </w:r>
      <w:r>
        <w:t xml:space="preserve"> </w:t>
      </w:r>
      <w:r>
        <w:t xml:space="preserve">project (§3.4) uses.</w:t>
      </w:r>
    </w:p>
    <w:bookmarkEnd w:id="14"/>
    <w:bookmarkStart w:id="15" w:name="backbone-dihedral-angles-phi-and-psi"/>
    <w:p>
      <w:pPr>
        <w:pStyle w:val="Heading3"/>
      </w:pPr>
      <w:r>
        <w:t xml:space="preserve">Backbone dihedral angles: phi and psi</w:t>
      </w:r>
    </w:p>
    <w:p>
      <w:pPr>
        <w:pStyle w:val="FirstParagraph"/>
      </w:pPr>
      <w:r>
        <w:t xml:space="preserve">A polypeptide backbone’s local geometry is almost entirely described by</w:t>
      </w:r>
      <w:r>
        <w:t xml:space="preserve"> </w:t>
      </w:r>
      <w:r>
        <w:t xml:space="preserve">two torsion (dihedral) angles per residue:</w:t>
      </w:r>
      <w:r>
        <w:t xml:space="preserve"> </w:t>
      </w:r>
      <w:r>
        <w:rPr>
          <w:b/>
          <w:bCs/>
        </w:rPr>
        <w:t xml:space="preserve">phi</w:t>
      </w:r>
      <w:r>
        <w:t xml:space="preserve"> </w:t>
      </w:r>
      <w:r>
        <w:t xml:space="preserve">(</w:t>
      </w:r>
      <m:oMath>
        <m:r>
          <m:t>ϕ</m:t>
        </m:r>
      </m:oMath>
      <w:r>
        <w:t xml:space="preserve">), the</w:t>
      </w:r>
      <w:r>
        <w:t xml:space="preserve"> </w:t>
      </w:r>
      <w:r>
        <w:t xml:space="preserve">rotation around the N–Cα bond, and</w:t>
      </w:r>
      <w:r>
        <w:t xml:space="preserve"> </w:t>
      </w:r>
      <w:r>
        <w:rPr>
          <w:b/>
          <w:bCs/>
        </w:rPr>
        <w:t xml:space="preserve">psi</w:t>
      </w:r>
      <w:r>
        <w:t xml:space="preserve"> </w:t>
      </w:r>
      <w:r>
        <w:t xml:space="preserve">(</w:t>
      </w:r>
      <m:oMath>
        <m:r>
          <m:t>ψ</m:t>
        </m:r>
      </m:oMath>
      <w:r>
        <w:t xml:space="preserve">), the rotation around</w:t>
      </w:r>
      <w:r>
        <w:t xml:space="preserve"> </w:t>
      </w:r>
      <w:r>
        <w:t xml:space="preserve">the Cα–C bond. (A third backbone dihedral, omega, rotates around the</w:t>
      </w:r>
      <w:r>
        <w:t xml:space="preserve"> </w:t>
      </w:r>
      <w:r>
        <w:t xml:space="preserve">peptide C–N bond itself, but that bond’s partial double-bond character</w:t>
      </w:r>
      <w:r>
        <w:t xml:space="preserve"> </w:t>
      </w:r>
      <w:r>
        <w:t xml:space="preserve">from amide resonance locks it planar — almost always at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, trans —</w:t>
      </w:r>
      <w:r>
        <w:t xml:space="preserve"> </w:t>
      </w:r>
      <w:r>
        <w:t xml:space="preserve">so it is rarely treated as a free variable.) Not all</w:t>
      </w:r>
      <w:r>
        <w:t xml:space="preserve"> </w:t>
      </w:r>
      <m:oMath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are physically possible: many would force atoms into steric</w:t>
      </w:r>
      <w:r>
        <w:t xml:space="preserve"> </w:t>
      </w:r>
      <w:r>
        <w:t xml:space="preserve">clashes. Ramachandran, Ramakrishnan, and Sasisekharan (1963) computed</w:t>
      </w:r>
      <w:r>
        <w:t xml:space="preserve"> </w:t>
      </w:r>
      <w:r>
        <w:t xml:space="preserve">which combinations are sterically allowed from hard-sphere atomic radii</w:t>
      </w:r>
      <w:r>
        <w:t xml:space="preserve"> </w:t>
      </w:r>
      <w:r>
        <w:t xml:space="preserve">alone, producing the</w:t>
      </w:r>
      <w:r>
        <w:t xml:space="preserve"> </w:t>
      </w:r>
      <w:r>
        <w:rPr>
          <w:b/>
          <w:bCs/>
        </w:rPr>
        <w:t xml:space="preserve">Ramachandran plot</w:t>
      </w:r>
      <w:r>
        <w:t xml:space="preserve"> </w:t>
      </w:r>
      <w:r>
        <w:t xml:space="preserve">— a</w:t>
      </w:r>
      <w:r>
        <w:t xml:space="preserve"> </w:t>
      </w:r>
      <m:oMath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scatter</w:t>
      </w:r>
      <w:r>
        <w:t xml:space="preserve"> </w:t>
      </w:r>
      <w:r>
        <w:t xml:space="preserve">plot whose allowed regions correspond almost exactly to the dihedral</w:t>
      </w:r>
      <w:r>
        <w:t xml:space="preserve"> </w:t>
      </w:r>
      <w:r>
        <w:t xml:space="preserve">angles observed in real, experimentally solved structures decades later.</w:t>
      </w:r>
      <w:r>
        <w:t xml:space="preserve"> </w:t>
      </w:r>
      <w:r>
        <w:t xml:space="preserve">Two regions dominate: right-handed</w:t>
      </w:r>
      <w:r>
        <w:t xml:space="preserve"> </w:t>
      </w:r>
      <w:r>
        <w:rPr>
          <w:b/>
          <w:bCs/>
        </w:rPr>
        <w:t xml:space="preserve">α-helix</w:t>
      </w:r>
      <w:r>
        <w:t xml:space="preserve"> </w:t>
      </w:r>
      <w:r>
        <w:t xml:space="preserve">(Pauling, Corey, &amp; Branson</w:t>
      </w:r>
      <w:r>
        <w:t xml:space="preserve"> </w:t>
      </w:r>
      <w:r>
        <w:t xml:space="preserve">1951 first proposed this hydrogen-bonded helical backbone conformation</w:t>
      </w:r>
      <w:r>
        <w:t xml:space="preserve"> </w:t>
      </w:r>
      <w:r>
        <w:t xml:space="preserve">on stereochemical grounds, before any protein structure had been solved</w:t>
      </w:r>
      <w:r>
        <w:t xml:space="preserve"> </w:t>
      </w:r>
      <w:r>
        <w:t xml:space="preserve">by crystallography), centered near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57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47</m:t>
        </m:r>
        <m:r>
          <m:rPr>
            <m:sty m:val="p"/>
          </m:rPr>
          <m:t>°</m:t>
        </m:r>
      </m:oMath>
      <w:r>
        <w:t xml:space="preserve">, and extended</w:t>
      </w:r>
      <w:r>
        <w:t xml:space="preserve"> </w:t>
      </w:r>
      <w:r>
        <w:rPr>
          <w:b/>
          <w:bCs/>
        </w:rPr>
        <w:t xml:space="preserve">β-strand</w:t>
      </w:r>
      <w:r>
        <w:t xml:space="preserve">, centered near</w:t>
      </w:r>
      <w:r>
        <w:t xml:space="preserve"> </w:t>
      </w:r>
      <m:oMath>
        <m:r>
          <m:t>ϕ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≈</m:t>
        </m:r>
        <m:r>
          <m:rPr>
            <m:sty m:val="p"/>
          </m:rPr>
          <m:t>+</m:t>
        </m:r>
        <m:r>
          <m:t>120</m:t>
        </m:r>
        <m:r>
          <m:rPr>
            <m:sty m:val="p"/>
          </m:rPr>
          <m:t>°</m:t>
        </m:r>
      </m:oMath>
      <w:r>
        <w:t xml:space="preserve">. §3.4’s hands-on project computes real</w:t>
      </w:r>
      <w:r>
        <w:t xml:space="preserve"> </w:t>
      </w:r>
      <m:oMath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values from a solved structure and uses simplified versions of</w:t>
      </w:r>
      <w:r>
        <w:t xml:space="preserve"> </w:t>
      </w:r>
      <w:r>
        <w:t xml:space="preserve">these two regions as a coarse, geometry-only secondary-structure</w:t>
      </w:r>
      <w:r>
        <w:t xml:space="preserve"> </w:t>
      </w:r>
      <w:r>
        <w:t xml:space="preserve">classifier.</w:t>
      </w:r>
    </w:p>
    <w:bookmarkEnd w:id="15"/>
    <w:bookmarkStart w:id="16" w:name="secondary-and-tertiary-structure"/>
    <w:p>
      <w:pPr>
        <w:pStyle w:val="Heading3"/>
      </w:pPr>
      <w:r>
        <w:t xml:space="preserve">Secondary and tertiary structure</w:t>
      </w:r>
    </w:p>
    <w:p>
      <w:pPr>
        <w:pStyle w:val="FirstParagraph"/>
      </w:pPr>
      <w:r>
        <w:rPr>
          <w:b/>
          <w:bCs/>
        </w:rPr>
        <w:t xml:space="preserve">Secondary structure</w:t>
      </w:r>
      <w:r>
        <w:t xml:space="preserve"> </w:t>
      </w:r>
      <w:r>
        <w:t xml:space="preserve">— the local, repeating backbone conformations</w:t>
      </w:r>
      <w:r>
        <w:t xml:space="preserve"> </w:t>
      </w:r>
      <w:r>
        <w:t xml:space="preserve">(α-helix, β-sheet/strand, and everything else lumped as</w:t>
      </w:r>
      <w:r>
        <w:t xml:space="preserve"> </w:t>
      </w:r>
      <w:r>
        <w:t xml:space="preserve">“coil”</w:t>
      </w:r>
      <w:r>
        <w:t xml:space="preserve"> </w:t>
      </w:r>
      <w:r>
        <w:t xml:space="preserve">or</w:t>
      </w:r>
      <w:r>
        <w:t xml:space="preserve"> </w:t>
      </w:r>
      <w:r>
        <w:t xml:space="preserve">“loop”</w:t>
      </w:r>
      <w:r>
        <w:t xml:space="preserve">) — is what phi/psi angles proxy for geometrically, but the</w:t>
      </w:r>
      <w:r>
        <w:t xml:space="preserve"> </w:t>
      </w:r>
      <w:r>
        <w:t xml:space="preserve">field’s actual standard for assigning it is DSSP (Kabsch &amp; Sander,</w:t>
      </w:r>
      <w:r>
        <w:t xml:space="preserve"> </w:t>
      </w:r>
      <w:r>
        <w:t xml:space="preserve">1983), which uses backbone hydrogen-bonding patterns (an α-helix’s</w:t>
      </w:r>
      <w:r>
        <w:t xml:space="preserve"> </w:t>
      </w:r>
      <w:r>
        <w:t xml:space="preserve">characteristic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backbone N–H···O=C hydrogen bond; a β-sheet’s</w:t>
      </w:r>
      <w:r>
        <w:t xml:space="preserve"> </w:t>
      </w:r>
      <w:r>
        <w:t xml:space="preserve">inter-strand hydrogen bonding) rather than dihedral geometry alone. This</w:t>
      </w:r>
      <w:r>
        <w:t xml:space="preserve"> </w:t>
      </w:r>
      <w:r>
        <w:t xml:space="preserve">matters pedagogically: the phi/psi-only classifier built in §3.4 is a</w:t>
      </w:r>
      <w:r>
        <w:t xml:space="preserve"> </w:t>
      </w:r>
      <w:r>
        <w:t xml:space="preserve">legitimate, useful approximation — computable with zero extra</w:t>
      </w:r>
      <w:r>
        <w:t xml:space="preserve"> </w:t>
      </w:r>
      <w:r>
        <w:t xml:space="preserve">dependencies directly from atomic coordinates — but it is not DSSP, and</w:t>
      </w:r>
      <w:r>
        <w:t xml:space="preserve"> </w:t>
      </w:r>
      <w:r>
        <w:t xml:space="preserve">should not be reported as equivalent to it in any context where the</w:t>
      </w:r>
      <w:r>
        <w:t xml:space="preserve"> </w:t>
      </w:r>
      <w:r>
        <w:t xml:space="preserve">distinction matters (this caveat is stated in the code itself, not just</w:t>
      </w:r>
      <w:r>
        <w:t xml:space="preserve"> </w:t>
      </w:r>
      <w:r>
        <w:t xml:space="preserve">here).</w:t>
      </w:r>
      <w:r>
        <w:t xml:space="preserve"> </w:t>
      </w:r>
      <w:r>
        <w:rPr>
          <w:b/>
          <w:bCs/>
        </w:rPr>
        <w:t xml:space="preserve">Tertiary structure</w:t>
      </w:r>
      <w:r>
        <w:t xml:space="preserve"> </w:t>
      </w:r>
      <w:r>
        <w:t xml:space="preserve">is the full 3D fold: how secondary</w:t>
      </w:r>
      <w:r>
        <w:t xml:space="preserve"> </w:t>
      </w:r>
      <w:r>
        <w:t xml:space="preserve">structure elements pack together in space, stabilized by the same</w:t>
      </w:r>
      <w:r>
        <w:t xml:space="preserve"> </w:t>
      </w:r>
      <w:r>
        <w:t xml:space="preserve">hydrophobic-core-versus-solvent-exposed-surface logic introduced in</w:t>
      </w:r>
      <w:r>
        <w:t xml:space="preserve"> </w:t>
      </w:r>
      <w:r>
        <w:t xml:space="preserve">§3.1’s discussion of amino acid properties.</w:t>
      </w:r>
      <w:r>
        <w:t xml:space="preserve"> </w:t>
      </w:r>
      <w:r>
        <w:rPr>
          <w:b/>
          <w:bCs/>
        </w:rPr>
        <w:t xml:space="preserve">Quaternary structure</w:t>
      </w:r>
      <w:r>
        <w:t xml:space="preserve">,</w:t>
      </w:r>
      <w:r>
        <w:t xml:space="preserve"> </w:t>
      </w:r>
      <w:r>
        <w:t xml:space="preserve">one level up, is how multiple folded chains (subunits) assemble into a</w:t>
      </w:r>
      <w:r>
        <w:t xml:space="preserve"> </w:t>
      </w:r>
      <w:r>
        <w:t xml:space="preserve">functional complex — not covered further here, but relevant wherever</w:t>
      </w:r>
      <w:r>
        <w:t xml:space="preserve"> </w:t>
      </w:r>
      <w:r>
        <w:t xml:space="preserve">this book discusses antibody structures (Part III) or protein-protein</w:t>
      </w:r>
      <w:r>
        <w:t xml:space="preserve"> </w:t>
      </w:r>
      <w:r>
        <w:t xml:space="preserve">docking.</w:t>
      </w:r>
    </w:p>
    <w:bookmarkEnd w:id="16"/>
    <w:bookmarkEnd w:id="17"/>
    <w:bookmarkStart w:id="18" w:name="machine-learning-representations"/>
    <w:p>
      <w:pPr>
        <w:pStyle w:val="Heading2"/>
      </w:pPr>
      <w:r>
        <w:t xml:space="preserve">3.3 Machine Learning Representations</w:t>
      </w:r>
    </w:p>
    <w:p>
      <w:pPr>
        <w:pStyle w:val="FirstParagraph"/>
      </w:pPr>
      <w:r>
        <w:t xml:space="preserve">Raw atomic coordinates are not, by themselves, a convenient input to</w:t>
      </w:r>
      <w:r>
        <w:t xml:space="preserve"> </w:t>
      </w:r>
      <w:r>
        <w:t xml:space="preserve">most machine learning models: they are unordered across chains,</w:t>
      </w:r>
      <w:r>
        <w:t xml:space="preserve"> </w:t>
      </w:r>
      <w:r>
        <w:t xml:space="preserve">arbitrary in their global rotation and translation (the same protein</w:t>
      </w:r>
      <w:r>
        <w:t xml:space="preserve"> </w:t>
      </w:r>
      <w:r>
        <w:t xml:space="preserve">measured or modeled twice will not have identical coordinates unless one</w:t>
      </w:r>
      <w:r>
        <w:t xml:space="preserve"> </w:t>
      </w:r>
      <w:r>
        <w:t xml:space="preserve">is deliberately superposed onto the other), and far higher-dimensional</w:t>
      </w:r>
      <w:r>
        <w:t xml:space="preserve"> </w:t>
      </w:r>
      <w:r>
        <w:t xml:space="preserve">than the information content of the fold actually requires. Three</w:t>
      </w:r>
      <w:r>
        <w:t xml:space="preserve"> </w:t>
      </w:r>
      <w:r>
        <w:t xml:space="preserve">representations, in increasing order of the amount of 3D detail they</w:t>
      </w:r>
      <w:r>
        <w:t xml:space="preserve"> </w:t>
      </w:r>
      <w:r>
        <w:t xml:space="preserve">discard, recur throughout the rest of this book: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Residue contact maps.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binary (or continuous,</w:t>
      </w:r>
      <w:r>
        <w:t xml:space="preserve"> </w:t>
      </w:r>
      <w:r>
        <w:t xml:space="preserve">distance-valued) matrix recording whether each pair of residues is</w:t>
      </w:r>
      <w:r>
        <w:t xml:space="preserve"> </w:t>
      </w:r>
      <w:r>
        <w:t xml:space="preserve">within some cutoff distance of each other — computed in §3.4 as</w:t>
      </w:r>
      <w:r>
        <w:t xml:space="preserve"> </w:t>
      </w:r>
      <w:r>
        <w:t xml:space="preserve">Cα–Cα distance thresholded at 8 Å, a standard convention, though</w:t>
      </w:r>
      <w:r>
        <w:t xml:space="preserve"> </w:t>
      </w:r>
      <w:r>
        <w:t xml:space="preserve">finer-grained variants use the closest side-chain heavy atom instead.</w:t>
      </w:r>
      <w:r>
        <w:t xml:space="preserve"> </w:t>
      </w:r>
      <w:r>
        <w:t xml:space="preserve">A contact map is invariant to global rotation/translation by</w:t>
      </w:r>
      <w:r>
        <w:t xml:space="preserve"> </w:t>
      </w:r>
      <w:r>
        <w:t xml:space="preserve">construction (it depends only on pairwise distances) and was, for</w:t>
      </w:r>
      <w:r>
        <w:t xml:space="preserve"> </w:t>
      </w:r>
      <w:r>
        <w:t xml:space="preserve">decades, the target representation for structure-prediction models</w:t>
      </w:r>
      <w:r>
        <w:t xml:space="preserve"> </w:t>
      </w:r>
      <w:r>
        <w:t xml:space="preserve">before end-to-end 3D generation became tractable: Senior et al. (2020)</w:t>
      </w:r>
      <w:r>
        <w:t xml:space="preserve"> </w:t>
      </w:r>
      <w:r>
        <w:t xml:space="preserve">— AlphaFold’s first iteration — worked by predicting a distribution</w:t>
      </w:r>
      <w:r>
        <w:t xml:space="preserve"> </w:t>
      </w:r>
      <w:r>
        <w:t xml:space="preserve">over inter-residue distances directly from sequence and co-evolution</w:t>
      </w:r>
      <w:r>
        <w:t xml:space="preserve"> </w:t>
      </w:r>
      <w:r>
        <w:t xml:space="preserve">features, then using that predicted contact/distance map as a</w:t>
      </w:r>
      <w:r>
        <w:t xml:space="preserve"> </w:t>
      </w:r>
      <w:r>
        <w:t xml:space="preserve">constraint for a downstream folding optimization. AlphaFold2 (Jumper</w:t>
      </w:r>
      <w:r>
        <w:t xml:space="preserve"> </w:t>
      </w:r>
      <w:r>
        <w:t xml:space="preserve">et al., 2021; Chapter 1 §1.2, Chapter 9) replaced this two-stage</w:t>
      </w:r>
      <w:r>
        <w:t xml:space="preserve"> </w:t>
      </w:r>
      <w:r>
        <w:t xml:space="preserve">contact-map-then-fold pipeline with direct end-to-end 3D coordinate</w:t>
      </w:r>
      <w:r>
        <w:t xml:space="preserve"> </w:t>
      </w:r>
      <w:r>
        <w:t xml:space="preserve">prediction, but contact and distance maps remain a standard</w:t>
      </w:r>
      <w:r>
        <w:t xml:space="preserve"> </w:t>
      </w:r>
      <w:r>
        <w:t xml:space="preserve">evaluation representation and a lightweight input feature throughout</w:t>
      </w:r>
      <w:r>
        <w:t xml:space="preserve"> </w:t>
      </w:r>
      <w:r>
        <w:t xml:space="preserve">the field.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Molecular surface meshes.</w:t>
      </w:r>
      <w:r>
        <w:t xml:space="preserve"> </w:t>
      </w:r>
      <w:r>
        <w:t xml:space="preserve">A triangulated approximation of a</w:t>
      </w:r>
      <w:r>
        <w:t xml:space="preserve"> </w:t>
      </w:r>
      <w:r>
        <w:t xml:space="preserve">protein’s solvent-accessible or solvent-excluded surface — the</w:t>
      </w:r>
      <w:r>
        <w:t xml:space="preserve"> </w:t>
      </w:r>
      <w:r>
        <w:t xml:space="preserve">boundary that actually determines which small molecules or other</w:t>
      </w:r>
      <w:r>
        <w:t xml:space="preserve"> </w:t>
      </w:r>
      <w:r>
        <w:t xml:space="preserve">proteins can approach a given region, as opposed to which atoms are</w:t>
      </w:r>
      <w:r>
        <w:t xml:space="preserve"> </w:t>
      </w:r>
      <w:r>
        <w:t xml:space="preserve">merely nearby in 3D. The reduced-surface algorithm of Sanner, Olson,</w:t>
      </w:r>
      <w:r>
        <w:t xml:space="preserve"> </w:t>
      </w:r>
      <w:r>
        <w:t xml:space="preserve">and Spehner (1996) is the standard efficient method for computing</w:t>
      </w:r>
      <w:r>
        <w:t xml:space="preserve"> </w:t>
      </w:r>
      <w:r>
        <w:t xml:space="preserve">this analytically rather than by brute-force sampling, and surface</w:t>
      </w:r>
      <w:r>
        <w:t xml:space="preserve"> </w:t>
      </w:r>
      <w:r>
        <w:t xml:space="preserve">meshes are the natural representation wherever shape complementarity</w:t>
      </w:r>
      <w:r>
        <w:t xml:space="preserve"> </w:t>
      </w:r>
      <w:r>
        <w:t xml:space="preserve">matters directly, most notably molecular docking (Chapter 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graphs.</w:t>
      </w:r>
      <w:r>
        <w:t xml:space="preserve"> </w:t>
      </w:r>
      <w:r>
        <w:t xml:space="preserve">A protein represented as a graph — residues (or</w:t>
      </w:r>
      <w:r>
        <w:t xml:space="preserve"> </w:t>
      </w:r>
      <w:r>
        <w:t xml:space="preserve">atoms) as nodes, spatial proximity or covalent bonds as edges, with</w:t>
      </w:r>
      <w:r>
        <w:t xml:space="preserve"> </w:t>
      </w:r>
      <w:r>
        <w:t xml:space="preserve">node/edge features carrying amino acid identity, dihedral angles, or</w:t>
      </w:r>
      <w:r>
        <w:t xml:space="preserve"> </w:t>
      </w:r>
      <w:r>
        <w:t xml:space="preserve">distances — is the input representation for the graph neural networks</w:t>
      </w:r>
      <w:r>
        <w:t xml:space="preserve"> </w:t>
      </w:r>
      <w:r>
        <w:t xml:space="preserve">used throughout Part III, particularly the equivariant architectures</w:t>
      </w:r>
      <w:r>
        <w:t xml:space="preserve"> </w:t>
      </w:r>
      <w:r>
        <w:t xml:space="preserve">in Chapters 6 and 9 that must respect the same rotation/translation</w:t>
      </w:r>
      <w:r>
        <w:t xml:space="preserve"> </w:t>
      </w:r>
      <w:r>
        <w:t xml:space="preserve">invariance a contact map gets for free. A contact map is, in this</w:t>
      </w:r>
      <w:r>
        <w:t xml:space="preserve"> </w:t>
      </w:r>
      <w:r>
        <w:t xml:space="preserve">light, simply the adjacency matrix of one particular (unweighted,</w:t>
      </w:r>
      <w:r>
        <w:t xml:space="preserve"> </w:t>
      </w:r>
      <w:r>
        <w:t xml:space="preserve">cutoff-thresholded) structural graph — the three representations in</w:t>
      </w:r>
      <w:r>
        <w:t xml:space="preserve"> </w:t>
      </w:r>
      <w:r>
        <w:t xml:space="preserve">this list are not competitors so much as points on a continuum from</w:t>
      </w:r>
      <w:r>
        <w:t xml:space="preserve"> </w:t>
      </w:r>
      <w:r>
        <w:t xml:space="preserve">“discard everything except pairwise topology”</w:t>
      </w:r>
      <w:r>
        <w:t xml:space="preserve"> </w:t>
      </w:r>
      <w:r>
        <w:t xml:space="preserve">(contact maps) to</w:t>
      </w:r>
      <w:r>
        <w:t xml:space="preserve"> </w:t>
      </w:r>
      <w:r>
        <w:t xml:space="preserve">“retain full continuous 3D geometry as graph edge features”</w:t>
      </w:r>
      <w:r>
        <w:t xml:space="preserve"> </w:t>
      </w:r>
      <w:r>
        <w:t xml:space="preserve">(structural graphs).</w:t>
      </w:r>
    </w:p>
    <w:bookmarkEnd w:id="18"/>
    <w:bookmarkStart w:id="22" w:name="Xa2f2f958cb017149fae21e12a03e4150aeb30a3"/>
    <w:p>
      <w:pPr>
        <w:pStyle w:val="Heading2"/>
      </w:pPr>
      <w:r>
        <w:t xml:space="preserve">3.4 Hands-on Project: Structural Feature Extraction &amp; Binding Pocket Geometry</w:t>
      </w:r>
    </w:p>
    <w:p>
      <w:pPr>
        <w:pStyle w:val="FirstParagraph"/>
      </w:pPr>
      <w:r>
        <w:t xml:space="preserve">This project computes real spatial features — backbone dihedral angles,</w:t>
      </w:r>
      <w:r>
        <w:t xml:space="preserve"> </w:t>
      </w:r>
      <w:r>
        <w:t xml:space="preserve">a contact map, and binding-pocket residues — directly from a solved PDB</w:t>
      </w:r>
      <w:r>
        <w:t xml:space="preserve"> </w:t>
      </w:r>
      <w:r>
        <w:t xml:space="preserve">structure, using</w:t>
      </w:r>
      <w:r>
        <w:t xml:space="preserve"> </w:t>
      </w:r>
      <w:r>
        <w:rPr>
          <w:b/>
          <w:bCs/>
        </w:rPr>
        <w:t xml:space="preserve">the same structure Chapter 1 retrieved</w:t>
      </w:r>
      <w:r>
        <w:t xml:space="preserve">: PDB entry</w:t>
      </w:r>
      <w:r>
        <w:t xml:space="preserve"> </w:t>
      </w:r>
      <w:r>
        <w:rPr>
          <w:rStyle w:val="VerbatimChar"/>
        </w:rPr>
        <w:t xml:space="preserve">1M17</w:t>
      </w:r>
      <w:r>
        <w:t xml:space="preserve">, the EGFR tyrosine kinase domain in complex with the inhibitor</w:t>
      </w:r>
      <w:r>
        <w:t xml:space="preserve"> </w:t>
      </w:r>
      <w:r>
        <w:t xml:space="preserve">erlotinib (ligand code</w:t>
      </w:r>
      <w:r>
        <w:t xml:space="preserve"> </w:t>
      </w:r>
      <w:r>
        <w:rPr>
          <w:rStyle w:val="VerbatimChar"/>
        </w:rPr>
        <w:t xml:space="preserve">AQ4</w:t>
      </w:r>
      <w:r>
        <w:t xml:space="preserve">). Reusing this structure is deliberate — it</w:t>
      </w:r>
      <w:r>
        <w:t xml:space="preserve"> </w:t>
      </w:r>
      <w:r>
        <w:t xml:space="preserve">lets this chapter build directly on the data Chapter 1 already validated,</w:t>
      </w:r>
      <w:r>
        <w:t xml:space="preserve"> </w:t>
      </w:r>
      <w:r>
        <w:t xml:space="preserve">and keeps a single running example (EGFR) coherent across Chapters 1, 3,</w:t>
      </w:r>
      <w:r>
        <w:t xml:space="preserve"> </w:t>
      </w:r>
      <w:r>
        <w:t xml:space="preserve">and the Chapter 16 capstone.</w:t>
      </w:r>
    </w:p>
    <w:p>
      <w:pPr>
        <w:pStyle w:val="BodyText"/>
      </w:pPr>
      <w:r>
        <w:t xml:space="preserve">The project computes: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Backbone dihedral angles</w:t>
      </w:r>
      <w:r>
        <w:t xml:space="preserve"> </w:t>
      </w:r>
      <w:r>
        <w:t xml:space="preserve">(</w:t>
      </w:r>
      <m:oMath>
        <m:r>
          <m:t>ϕ</m:t>
        </m:r>
        <m:r>
          <m:rPr>
            <m:sty m:val="p"/>
          </m:rPr>
          <m:t>,</m:t>
        </m:r>
        <m:r>
          <m:t>ψ</m:t>
        </m:r>
      </m:oMath>
      <w:r>
        <w:t xml:space="preserve">) for every residue in</w:t>
      </w:r>
      <w:r>
        <w:t xml:space="preserve"> </w:t>
      </w:r>
      <w:r>
        <w:t xml:space="preserve">chain A, plus a coarse geometry-only secondary-structure call (helix</w:t>
      </w:r>
      <w:r>
        <w:t xml:space="preserve"> </w:t>
      </w:r>
      <w:r>
        <w:t xml:space="preserve">/ sheet / coil) from simplified Ramachandran regions — explicitly</w:t>
      </w:r>
      <w:r>
        <w:t xml:space="preserve"> </w:t>
      </w:r>
      <w:r>
        <w:t xml:space="preserve">documented in the code as an approximation, not a DSSP replacement</w:t>
      </w:r>
      <w:r>
        <w:t xml:space="preserve"> </w:t>
      </w:r>
      <w:r>
        <w:t xml:space="preserve">(§3.2). On this structure it gives roughly 40% helix, 38% sheet, 22%</w:t>
      </w:r>
      <w:r>
        <w:t xml:space="preserve"> </w:t>
      </w:r>
      <w:r>
        <w:t xml:space="preserve">coil — a genuinely mixed α/β result, consistent with a kinase</w:t>
      </w:r>
      <w:r>
        <w:t xml:space="preserve"> </w:t>
      </w:r>
      <w:r>
        <w:t xml:space="preserve">domain’s fold (a β-sheet-rich N-lobe and α-helix-rich C-lobe), not an</w:t>
      </w:r>
      <w:r>
        <w:t xml:space="preserve"> </w:t>
      </w:r>
      <w:r>
        <w:t xml:space="preserve">artifact of the classifier defaulting to one class.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Cα–Cα contact map</w:t>
      </w:r>
      <w:r>
        <w:t xml:space="preserve"> </w:t>
      </w:r>
      <w:r>
        <w:t xml:space="preserve">at an 8 Å cutoff (§3.3), computed as a</w:t>
      </w:r>
      <w:r>
        <w:t xml:space="preserve"> </w:t>
      </w:r>
      <w:r>
        <w:t xml:space="preserve">vectorized pairwise-distance matrix.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Binding pocket residues</w:t>
      </w:r>
      <w:r>
        <w:t xml:space="preserve"> </w:t>
      </w:r>
      <w:r>
        <w:t xml:space="preserve">— every standard residue with any atom</w:t>
      </w:r>
      <w:r>
        <w:t xml:space="preserve"> </w:t>
      </w:r>
      <w:r>
        <w:t xml:space="preserve">within 5 Å of any atom of the bound ligand (</w:t>
      </w:r>
      <w:r>
        <w:rPr>
          <w:rStyle w:val="VerbatimChar"/>
        </w:rPr>
        <w:t xml:space="preserve">AQ4</w:t>
      </w:r>
      <w:r>
        <w:t xml:space="preserve"> </w:t>
      </w:r>
      <w:r>
        <w:t xml:space="preserve">/ erlotinib),</w:t>
      </w:r>
      <w:r>
        <w:t xml:space="preserve"> </w:t>
      </w:r>
      <w:r>
        <w:t xml:space="preserve">ranked by distance. On this structure, the closest residue is</w:t>
      </w:r>
      <w:r>
        <w:t xml:space="preserve"> </w:t>
      </w:r>
      <w:r>
        <w:t xml:space="preserve">MET769 at approximately 2.7 Å — a distance in the range of a</w:t>
      </w:r>
      <w:r>
        <w:t xml:space="preserve"> </w:t>
      </w:r>
      <w:r>
        <w:t xml:space="preserve">hydrogen bond, consistent with this inhibitor class’s known</w:t>
      </w:r>
      <w:r>
        <w:t xml:space="preserve"> </w:t>
      </w:r>
      <w:r>
        <w:t xml:space="preserve">hinge-region binding mode (this specific distance is a direct</w:t>
      </w:r>
      <w:r>
        <w:t xml:space="preserve"> </w:t>
      </w:r>
      <w:r>
        <w:t xml:space="preserve">geometric computation from the structure, not a claim taken from a</w:t>
      </w:r>
      <w:r>
        <w:t xml:space="preserve"> </w:t>
      </w:r>
      <w:r>
        <w:t xml:space="preserve">secondary source).</w:t>
      </w:r>
    </w:p>
    <w:p>
      <w:pPr>
        <w:pStyle w:val="FirstParagraph"/>
      </w:pPr>
      <w:r>
        <w:t xml:space="preserve">See</w:t>
      </w:r>
      <w:r>
        <w:t xml:space="preserve"> </w:t>
      </w:r>
      <w:hyperlink r:id="rId19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for setup and usage, and</w:t>
      </w:r>
      <w:r>
        <w:t xml:space="preserve"> </w:t>
      </w:r>
      <w:hyperlink r:id="rId20">
        <w:r>
          <w:rPr>
            <w:rStyle w:val="VerbatimChar"/>
          </w:rPr>
          <w:t xml:space="preserve">structural_features.py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implementation.</w:t>
      </w:r>
      <w:r>
        <w:t xml:space="preserve"> </w:t>
      </w:r>
      <w:r>
        <w:rPr>
          <w:rStyle w:val="VerbatimChar"/>
        </w:rPr>
        <w:t xml:space="preserve">data/1M17.pdb</w:t>
      </w:r>
      <w:r>
        <w:t xml:space="preserve"> </w:t>
      </w:r>
      <w:r>
        <w:t xml:space="preserve">is bundled directly in this repository —</w:t>
      </w:r>
      <w:r>
        <w:t xml:space="preserve"> </w:t>
      </w:r>
      <w:r>
        <w:t xml:space="preserve">the same real structure file Chapter 1’s project downloads — so the test</w:t>
      </w:r>
      <w:r>
        <w:t xml:space="preserve"> </w:t>
      </w:r>
      <w:r>
        <w:t xml:space="preserve">suite (</w:t>
      </w:r>
      <w:r>
        <w:rPr>
          <w:rStyle w:val="VerbatimChar"/>
        </w:rPr>
        <w:t xml:space="preserve">tests/test_structural_features.py</w:t>
      </w:r>
      <w:r>
        <w:t xml:space="preserve">) runs fully offline and</w:t>
      </w:r>
      <w:r>
        <w:t xml:space="preserve"> </w:t>
      </w:r>
      <w:r>
        <w:t xml:space="preserve">deterministically; one additional test exercises the live RCSB PDB</w:t>
      </w:r>
      <w:r>
        <w:t xml:space="preserve"> </w:t>
      </w:r>
      <w:r>
        <w:t xml:space="preserve">download path directly, as a reproducibility check on that path</w:t>
      </w:r>
      <w:r>
        <w:t xml:space="preserve"> </w:t>
      </w:r>
      <w:r>
        <w:t xml:space="preserve">specifically.</w:t>
      </w:r>
    </w:p>
    <w:bookmarkStart w:id="21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t xml:space="preserve">This project’s only non-preinstalled Colab dependency is</w:t>
      </w:r>
      <w:r>
        <w:t xml:space="preserve"> </w:t>
      </w:r>
      <w:r>
        <w:rPr>
          <w:rStyle w:val="VerbatimChar"/>
        </w:rPr>
        <w:t xml:space="preserve">biopython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both ship on the default runtime); install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!pip install biopython</w:t>
      </w:r>
      <w:r>
        <w:t xml:space="preserve"> </w:t>
      </w:r>
      <w:r>
        <w:t xml:space="preserve">in the first cell. No GPU is required.</w:t>
      </w:r>
    </w:p>
    <w:bookmarkEnd w:id="21"/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Pearson, W. R., &amp; Lipman, D. J. (1988). Improved tools for biological</w:t>
      </w:r>
      <w:r>
        <w:t xml:space="preserve"> </w:t>
      </w:r>
      <w:r>
        <w:t xml:space="preserve">sequence comparison.</w:t>
      </w:r>
      <w:r>
        <w:t xml:space="preserve"> </w:t>
      </w:r>
      <w:r>
        <w:rPr>
          <w:i/>
          <w:iCs/>
        </w:rPr>
        <w:t xml:space="preserve">Proceedings of the National Academy of</w:t>
      </w:r>
      <w:r>
        <w:rPr>
          <w:i/>
          <w:iCs/>
        </w:rPr>
        <w:t xml:space="preserve"> </w:t>
      </w:r>
      <w:r>
        <w:rPr>
          <w:i/>
          <w:iCs/>
        </w:rPr>
        <w:t xml:space="preserve">Sciences</w:t>
      </w:r>
      <w:r>
        <w:t xml:space="preserve">, 85(8), 2444–2448. https://doi.org/10.1073/pnas.85.8.2444</w:t>
      </w:r>
    </w:p>
    <w:p>
      <w:pPr>
        <w:pStyle w:val="Compact"/>
        <w:numPr>
          <w:ilvl w:val="0"/>
          <w:numId w:val="1003"/>
        </w:numPr>
      </w:pPr>
      <w:r>
        <w:t xml:space="preserve">Needleman, S. B., &amp; Wunsch, C. D. (1970). A general method applicable</w:t>
      </w:r>
      <w:r>
        <w:t xml:space="preserve"> </w:t>
      </w:r>
      <w:r>
        <w:t xml:space="preserve">to the search for similarities in the amino acid sequence of two</w:t>
      </w:r>
      <w:r>
        <w:t xml:space="preserve"> </w:t>
      </w:r>
      <w:r>
        <w:t xml:space="preserve">proteins.</w:t>
      </w:r>
      <w:r>
        <w:t xml:space="preserve"> </w:t>
      </w:r>
      <w:r>
        <w:rPr>
          <w:i/>
          <w:iCs/>
        </w:rPr>
        <w:t xml:space="preserve">Journal of Molecular Biology</w:t>
      </w:r>
      <w:r>
        <w:t xml:space="preserve">, 48(3), 443–453.</w:t>
      </w:r>
      <w:r>
        <w:t xml:space="preserve"> </w:t>
      </w:r>
      <w:r>
        <w:t xml:space="preserve">https://doi.org/10.1016/0022-2836(70)90057-4</w:t>
      </w:r>
    </w:p>
    <w:p>
      <w:pPr>
        <w:pStyle w:val="Compact"/>
        <w:numPr>
          <w:ilvl w:val="0"/>
          <w:numId w:val="1003"/>
        </w:numPr>
      </w:pPr>
      <w:r>
        <w:t xml:space="preserve">Smith, T. F., &amp; Waterman, M. S. (1981). Identification of common</w:t>
      </w:r>
      <w:r>
        <w:t xml:space="preserve"> </w:t>
      </w:r>
      <w:r>
        <w:t xml:space="preserve">molecular subsequences.</w:t>
      </w:r>
      <w:r>
        <w:t xml:space="preserve"> </w:t>
      </w:r>
      <w:r>
        <w:rPr>
          <w:i/>
          <w:iCs/>
        </w:rPr>
        <w:t xml:space="preserve">Journal of Molecular Biology</w:t>
      </w:r>
      <w:r>
        <w:t xml:space="preserve">, 147(1),</w:t>
      </w:r>
      <w:r>
        <w:t xml:space="preserve"> </w:t>
      </w:r>
      <w:r>
        <w:t xml:space="preserve">195–197. https://doi.org/10.1016/0022-2836(81)90087-5</w:t>
      </w:r>
    </w:p>
    <w:p>
      <w:pPr>
        <w:pStyle w:val="Compact"/>
        <w:numPr>
          <w:ilvl w:val="0"/>
          <w:numId w:val="1003"/>
        </w:numPr>
      </w:pPr>
      <w:r>
        <w:t xml:space="preserve">Henikoff, S., &amp; Henikoff, J. G. (1992). Amino acid substitution</w:t>
      </w:r>
      <w:r>
        <w:t xml:space="preserve"> </w:t>
      </w:r>
      <w:r>
        <w:t xml:space="preserve">matrices from protein blocks.</w:t>
      </w:r>
      <w:r>
        <w:t xml:space="preserve"> </w:t>
      </w:r>
      <w:r>
        <w:rPr>
          <w:i/>
          <w:iCs/>
        </w:rPr>
        <w:t xml:space="preserve">Proceedings of the National Academy of</w:t>
      </w:r>
      <w:r>
        <w:rPr>
          <w:i/>
          <w:iCs/>
        </w:rPr>
        <w:t xml:space="preserve"> </w:t>
      </w:r>
      <w:r>
        <w:rPr>
          <w:i/>
          <w:iCs/>
        </w:rPr>
        <w:t xml:space="preserve">Sciences</w:t>
      </w:r>
      <w:r>
        <w:t xml:space="preserve">, 89(22), 10915–10919.</w:t>
      </w:r>
      <w:r>
        <w:t xml:space="preserve"> </w:t>
      </w:r>
      <w:r>
        <w:t xml:space="preserve">https://doi.org/10.1073/pnas.89.22.10915</w:t>
      </w:r>
    </w:p>
    <w:p>
      <w:pPr>
        <w:pStyle w:val="Compact"/>
        <w:numPr>
          <w:ilvl w:val="0"/>
          <w:numId w:val="1003"/>
        </w:numPr>
      </w:pPr>
      <w:r>
        <w:t xml:space="preserve">Sievers, F., Wilm, A., Dineen, D., Gibson, T. J., Karplus, K., Li, W.,</w:t>
      </w:r>
      <w:r>
        <w:t xml:space="preserve"> </w:t>
      </w:r>
      <w:r>
        <w:t xml:space="preserve">Lopez, R., McWilliam, H., Remmert, M., Söding, J., Thompson, J. D., &amp;</w:t>
      </w:r>
      <w:r>
        <w:t xml:space="preserve"> </w:t>
      </w:r>
      <w:r>
        <w:t xml:space="preserve">Higgins, D. G. (2011). Fast, scalable generation of high-quality</w:t>
      </w:r>
      <w:r>
        <w:t xml:space="preserve"> </w:t>
      </w:r>
      <w:r>
        <w:t xml:space="preserve">protein multiple sequence alignments using Clustal Omega.</w:t>
      </w:r>
      <w:r>
        <w:t xml:space="preserve"> </w:t>
      </w:r>
      <w:r>
        <w:rPr>
          <w:i/>
          <w:iCs/>
        </w:rPr>
        <w:t xml:space="preserve">Molecular</w:t>
      </w:r>
      <w:r>
        <w:rPr>
          <w:i/>
          <w:iCs/>
        </w:rPr>
        <w:t xml:space="preserve"> </w:t>
      </w:r>
      <w:r>
        <w:rPr>
          <w:i/>
          <w:iCs/>
        </w:rPr>
        <w:t xml:space="preserve">Systems Biology</w:t>
      </w:r>
      <w:r>
        <w:t xml:space="preserve">, 7, 539. https://doi.org/10.1038/msb.2011.75</w:t>
      </w:r>
    </w:p>
    <w:p>
      <w:pPr>
        <w:pStyle w:val="Compact"/>
        <w:numPr>
          <w:ilvl w:val="0"/>
          <w:numId w:val="1003"/>
        </w:numPr>
      </w:pPr>
      <w:r>
        <w:t xml:space="preserve">Ramachandran, G. N., Ramakrishnan, C., &amp; Sasisekharan, V. (1963).</w:t>
      </w:r>
      <w:r>
        <w:t xml:space="preserve"> </w:t>
      </w:r>
      <w:r>
        <w:t xml:space="preserve">Stereochemistry of polypeptide chain configurations.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Molecular Biology</w:t>
      </w:r>
      <w:r>
        <w:t xml:space="preserve">, 7, 95–99.</w:t>
      </w:r>
      <w:r>
        <w:t xml:space="preserve"> </w:t>
      </w:r>
      <w:r>
        <w:t xml:space="preserve">https://doi.org/10.1016/S0022-2836(63)80023-6</w:t>
      </w:r>
    </w:p>
    <w:p>
      <w:pPr>
        <w:pStyle w:val="Compact"/>
        <w:numPr>
          <w:ilvl w:val="0"/>
          <w:numId w:val="1003"/>
        </w:numPr>
      </w:pPr>
      <w:r>
        <w:t xml:space="preserve">Pauling, L., Corey, R. B., &amp; Branson, H. R. (1951). The structure of</w:t>
      </w:r>
      <w:r>
        <w:t xml:space="preserve"> </w:t>
      </w:r>
      <w:r>
        <w:t xml:space="preserve">proteins: two hydrogen-bonded helical configurations of the</w:t>
      </w:r>
      <w:r>
        <w:t xml:space="preserve"> </w:t>
      </w:r>
      <w:r>
        <w:t xml:space="preserve">polypeptide chain.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,</w:t>
      </w:r>
      <w:r>
        <w:t xml:space="preserve"> </w:t>
      </w:r>
      <w:r>
        <w:t xml:space="preserve">37(4), 205–211. https://doi.org/10.1073/pnas.37.4.205</w:t>
      </w:r>
    </w:p>
    <w:p>
      <w:pPr>
        <w:pStyle w:val="Compact"/>
        <w:numPr>
          <w:ilvl w:val="0"/>
          <w:numId w:val="1003"/>
        </w:numPr>
      </w:pPr>
      <w:r>
        <w:t xml:space="preserve">Kabsch, W., &amp; Sander, C. (1983). Dictionary of protein secondary</w:t>
      </w:r>
      <w:r>
        <w:t xml:space="preserve"> </w:t>
      </w:r>
      <w:r>
        <w:t xml:space="preserve">structure: pattern recognition of hydrogen-bonded and geometrical</w:t>
      </w:r>
      <w:r>
        <w:t xml:space="preserve"> </w:t>
      </w:r>
      <w:r>
        <w:t xml:space="preserve">features.</w:t>
      </w:r>
      <w:r>
        <w:t xml:space="preserve"> </w:t>
      </w:r>
      <w:r>
        <w:rPr>
          <w:i/>
          <w:iCs/>
        </w:rPr>
        <w:t xml:space="preserve">Biopolymers</w:t>
      </w:r>
      <w:r>
        <w:t xml:space="preserve">, 22(12), 2577–2637.</w:t>
      </w:r>
      <w:r>
        <w:t xml:space="preserve"> </w:t>
      </w:r>
      <w:r>
        <w:t xml:space="preserve">https://doi.org/10.1002/bip.360221211</w:t>
      </w:r>
    </w:p>
    <w:p>
      <w:pPr>
        <w:pStyle w:val="Compact"/>
        <w:numPr>
          <w:ilvl w:val="0"/>
          <w:numId w:val="1003"/>
        </w:numPr>
      </w:pPr>
      <w:r>
        <w:t xml:space="preserve">Senior, A. W., Evans, R., Jumper, J., Kirkpatrick, J., Sifre, L.,</w:t>
      </w:r>
      <w:r>
        <w:t xml:space="preserve"> </w:t>
      </w:r>
      <w:r>
        <w:t xml:space="preserve">Green, T., Qin, C., Žídek, A., Nelson, A. W. R., Bridgland, A.,</w:t>
      </w:r>
      <w:r>
        <w:t xml:space="preserve"> </w:t>
      </w:r>
      <w:r>
        <w:t xml:space="preserve">Penedones, H., Petersen, S., Simonyan, K., Crossan, S., Kohli, P.,</w:t>
      </w:r>
      <w:r>
        <w:t xml:space="preserve"> </w:t>
      </w:r>
      <w:r>
        <w:t xml:space="preserve">Jones, D. T., Silver, D., Kavukcuoglu, K., &amp; Hassabis, D. (2020).</w:t>
      </w:r>
      <w:r>
        <w:t xml:space="preserve"> </w:t>
      </w:r>
      <w:r>
        <w:t xml:space="preserve">Improved protein structure prediction using potentials from deep</w:t>
      </w:r>
      <w:r>
        <w:t xml:space="preserve"> </w:t>
      </w:r>
      <w:r>
        <w:t xml:space="preserve">learning.</w:t>
      </w:r>
      <w:r>
        <w:t xml:space="preserve"> </w:t>
      </w:r>
      <w:r>
        <w:rPr>
          <w:i/>
          <w:iCs/>
        </w:rPr>
        <w:t xml:space="preserve">Nature</w:t>
      </w:r>
      <w:r>
        <w:t xml:space="preserve">, 577(7792), 706–710.</w:t>
      </w:r>
      <w:r>
        <w:t xml:space="preserve"> </w:t>
      </w:r>
      <w:r>
        <w:t xml:space="preserve">https://doi.org/10.1038/s41586-019-1923-7</w:t>
      </w:r>
    </w:p>
    <w:p>
      <w:pPr>
        <w:pStyle w:val="Compact"/>
        <w:numPr>
          <w:ilvl w:val="0"/>
          <w:numId w:val="1003"/>
        </w:numPr>
      </w:pPr>
      <w:r>
        <w:t xml:space="preserve">Sanner, M. F., Olson, A. J., &amp; Spehner, J. C. (1996). Reduced surface:</w:t>
      </w:r>
      <w:r>
        <w:t xml:space="preserve"> </w:t>
      </w:r>
      <w:r>
        <w:t xml:space="preserve">an efficient way to compute molecular surfaces.</w:t>
      </w:r>
      <w:r>
        <w:t xml:space="preserve"> </w:t>
      </w:r>
      <w:r>
        <w:rPr>
          <w:i/>
          <w:iCs/>
        </w:rPr>
        <w:t xml:space="preserve">Biopolymers</w:t>
      </w:r>
      <w:r>
        <w:t xml:space="preserve">, 38(3),</w:t>
      </w:r>
      <w:r>
        <w:t xml:space="preserve"> </w:t>
      </w:r>
      <w:r>
        <w:t xml:space="preserve">305–320.</w:t>
      </w:r>
      <w:r>
        <w:t xml:space="preserve"> </w:t>
      </w:r>
      <w:r>
        <w:t xml:space="preserve">https://doi.org/10.1002/(SICI)1097-0282(199603)38:3%3C305::AID-BIP4%3E3.0.CO;2-Y</w:t>
      </w:r>
    </w:p>
    <w:p>
      <w:pPr>
        <w:pStyle w:val="FirstParagraph"/>
      </w:pPr>
      <w:r>
        <w:t xml:space="preserve">See also Chapter 1’s references for the wwPDB consortium (2019) PDB/</w:t>
      </w:r>
      <w:r>
        <w:t xml:space="preserve"> </w:t>
      </w:r>
      <w:r>
        <w:t xml:space="preserve">mmCIF citation and Jumper et al. (2021) AlphaFold2 citation, both reused</w:t>
      </w:r>
      <w:r>
        <w:t xml:space="preserve"> </w:t>
      </w:r>
      <w:r>
        <w:t xml:space="preserve">here rather than re-listed.</w:t>
      </w:r>
    </w:p>
    <w:p>
      <w:pPr>
        <w:pStyle w:val="BodyText"/>
      </w:pPr>
      <w:r>
        <w:t xml:space="preserve">All citations above were verified against PubMed records before use (see</w:t>
      </w:r>
      <w:r>
        <w:t xml:space="preserve"> </w:t>
      </w:r>
      <w:r>
        <w:t xml:space="preserve">this repository’s editorial process); the structural data cited in §3.4</w:t>
      </w:r>
      <w:r>
        <w:t xml:space="preserve"> </w:t>
      </w:r>
      <w:r>
        <w:t xml:space="preserve">(residue count, secondary-structure fractions, pocket residues and</w:t>
      </w:r>
      <w:r>
        <w:t xml:space="preserve"> </w:t>
      </w:r>
      <w:r>
        <w:t xml:space="preserve">distances) was computed directly from the bundled</w:t>
      </w:r>
      <w:r>
        <w:t xml:space="preserve"> </w:t>
      </w:r>
      <w:r>
        <w:rPr>
          <w:rStyle w:val="VerbatimChar"/>
        </w:rPr>
        <w:t xml:space="preserve">data/1M17.pdb</w:t>
      </w:r>
      <w:r>
        <w:t xml:space="preserve"> </w:t>
      </w:r>
      <w:r>
        <w:t xml:space="preserve">file,</w:t>
      </w:r>
      <w:r>
        <w:t xml:space="preserve"> </w:t>
      </w:r>
      <w:r>
        <w:t xml:space="preserve">not taken from a secondary source — see</w:t>
      </w:r>
      <w:r>
        <w:t xml:space="preserve"> </w:t>
      </w:r>
      <w:r>
        <w:rPr>
          <w:rStyle w:val="VerbatimChar"/>
        </w:rPr>
        <w:t xml:space="preserve">structural_features.py</w:t>
      </w:r>
      <w:r>
        <w:t xml:space="preserve"> </w:t>
      </w:r>
      <w:r>
        <w:t xml:space="preserve">to</w:t>
      </w:r>
      <w:r>
        <w:t xml:space="preserve"> </w:t>
      </w:r>
      <w:r>
        <w:t xml:space="preserve">reproduce.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README.md" TargetMode="External" /><Relationship Type="http://schemas.openxmlformats.org/officeDocument/2006/relationships/hyperlink" Id="rId20" Target="structural_feature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README.md" TargetMode="External" /><Relationship Type="http://schemas.openxmlformats.org/officeDocument/2006/relationships/hyperlink" Id="rId20" Target="structural_feature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Protein Representations &amp; Structure Engineering</dc:title>
  <dc:creator/>
  <cp:keywords/>
  <dcterms:created xsi:type="dcterms:W3CDTF">2026-08-16T11:33:42Z</dcterms:created>
  <dcterms:modified xsi:type="dcterms:W3CDTF">2026-08-16T11:33:42Z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