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4: Core Toolkit &amp; Biological Data Engineering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Xad69c539d4353d26ac0665496a3f6115e2cedf9"/>
    <w:p>
      <w:pPr>
        <w:pStyle w:val="Heading1"/>
      </w:pPr>
      <w:r>
        <w:t xml:space="preserve">Chapter 4: Core Toolkit &amp; Biological Data Engineering</w:t>
      </w:r>
    </w:p>
    <w:p>
      <w:pPr>
        <w:pStyle w:val="FirstParagraph"/>
      </w:pPr>
      <w:r>
        <w:t xml:space="preserve">Chapters 2 and 3 introduced RDKit and BioPython through single, focused</w:t>
      </w:r>
      <w:r>
        <w:t xml:space="preserve"> </w:t>
      </w:r>
      <w:r>
        <w:t xml:space="preserve">tasks — similarity search and Lipinski filtering; structural feature</w:t>
      </w:r>
      <w:r>
        <w:t xml:space="preserve"> </w:t>
      </w:r>
      <w:r>
        <w:t xml:space="preserve">extraction. This chapter goes one level deeper into both libraries, adds</w:t>
      </w:r>
      <w:r>
        <w:t xml:space="preserve"> </w:t>
      </w:r>
      <w:r>
        <w:t xml:space="preserve">DeepChem as the framework layer built on top of them, surveys the</w:t>
      </w:r>
      <w:r>
        <w:t xml:space="preserve"> </w:t>
      </w:r>
      <w:r>
        <w:t xml:space="preserve">biological database landscape those chapters’ data came from, and then</w:t>
      </w:r>
      <w:r>
        <w:t xml:space="preserve"> </w:t>
      </w:r>
      <w:r>
        <w:t xml:space="preserve">builds the piece of infrastructure every chapter from here on actually</w:t>
      </w:r>
      <w:r>
        <w:t xml:space="preserve"> </w:t>
      </w:r>
      <w:r>
        <w:t xml:space="preserve">depends on: a pipeline that turns raw, messy, real bioactivity data into</w:t>
      </w:r>
      <w:r>
        <w:t xml:space="preserve"> </w:t>
      </w:r>
      <w:r>
        <w:t xml:space="preserve">something a model can train on.</w:t>
      </w:r>
    </w:p>
    <w:bookmarkStart w:id="13" w:name="advanced-rdkit"/>
    <w:p>
      <w:pPr>
        <w:pStyle w:val="Heading2"/>
      </w:pPr>
      <w:r>
        <w:t xml:space="preserve">4.1 Advanced RDKit</w:t>
      </w:r>
    </w:p>
    <w:p>
      <w:pPr>
        <w:pStyle w:val="FirstParagraph"/>
      </w:pPr>
      <w:r>
        <w:t xml:space="preserve">Chapter 2 used RDKit to compute descriptors from already-clean SMILES</w:t>
      </w:r>
      <w:r>
        <w:t xml:space="preserve"> </w:t>
      </w:r>
      <w:r>
        <w:t xml:space="preserve">strings. Real data is never that clean. Before a molecule from any</w:t>
      </w:r>
      <w:r>
        <w:t xml:space="preserve"> </w:t>
      </w:r>
      <w:r>
        <w:t xml:space="preserve">external source can be trusted, it typically needs to pass through three</w:t>
      </w:r>
      <w:r>
        <w:t xml:space="preserve"> </w:t>
      </w:r>
      <w:r>
        <w:t xml:space="preserve">distinct operations.</w:t>
      </w:r>
    </w:p>
    <w:bookmarkStart w:id="9" w:name="sanitization"/>
    <w:p>
      <w:pPr>
        <w:pStyle w:val="Heading3"/>
      </w:pPr>
      <w:r>
        <w:t xml:space="preserve">Sanitization</w:t>
      </w:r>
    </w:p>
    <w:p>
      <w:pPr>
        <w:pStyle w:val="FirstParagraph"/>
      </w:pPr>
      <w:r>
        <w:t xml:space="preserve">Parsing a SMILES string and</w:t>
      </w:r>
      <w:r>
        <w:t xml:space="preserve"> </w:t>
      </w:r>
      <w:r>
        <w:rPr>
          <w:i/>
          <w:iCs/>
        </w:rPr>
        <w:t xml:space="preserve">sanitizing</w:t>
      </w:r>
      <w:r>
        <w:t xml:space="preserve"> </w:t>
      </w:r>
      <w:r>
        <w:t xml:space="preserve">it are different steps.</w:t>
      </w:r>
      <w:r>
        <w:t xml:space="preserve"> </w:t>
      </w:r>
      <w:r>
        <w:t xml:space="preserve">Sanitization performs a battery of chemical validity checks — correct</w:t>
      </w:r>
      <w:r>
        <w:t xml:space="preserve"> </w:t>
      </w:r>
      <w:r>
        <w:t xml:space="preserve">valence, consistent aromaticity, sensible ring perception — and raises</w:t>
      </w:r>
      <w:r>
        <w:t xml:space="preserve"> </w:t>
      </w:r>
      <w:r>
        <w:t xml:space="preserve">an explicit, catchable error the moment a structure fails one: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rdkit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Chem</w:t>
      </w:r>
      <w:r>
        <w:br/>
      </w:r>
      <w:r>
        <w:br/>
      </w:r>
      <w:r>
        <w:rPr>
          <w:rStyle w:val="NormalTok"/>
        </w:rPr>
        <w:t xml:space="preserve">mol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Chem.MolFromSmiles(</w:t>
      </w:r>
      <w:r>
        <w:rPr>
          <w:rStyle w:val="StringTok"/>
        </w:rPr>
        <w:t xml:space="preserve">"C(C)(C)(C)(C)C"</w:t>
      </w:r>
      <w:r>
        <w:rPr>
          <w:rStyle w:val="NormalTok"/>
        </w:rPr>
        <w:t xml:space="preserve">, sanitize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5-valent carbon</w:t>
      </w:r>
      <w:r>
        <w:br/>
      </w:r>
      <w:r>
        <w:rPr>
          <w:rStyle w:val="NormalTok"/>
        </w:rPr>
        <w:t xml:space="preserve">Chem.SanitizeMol(mol)</w:t>
      </w:r>
      <w:r>
        <w:br/>
      </w:r>
      <w:r>
        <w:rPr>
          <w:rStyle w:val="CommentTok"/>
        </w:rPr>
        <w:t xml:space="preserve"># rdkit.Chem.rdchem.AtomValenceException:</w:t>
      </w:r>
      <w:r>
        <w:br/>
      </w:r>
      <w:r>
        <w:rPr>
          <w:rStyle w:val="CommentTok"/>
        </w:rPr>
        <w:t xml:space="preserve">#   Explicit valence for atom # 0 C, 5, is greater than permitted</w:t>
      </w:r>
    </w:p>
    <w:p>
      <w:pPr>
        <w:pStyle w:val="FirstParagraph"/>
      </w:pPr>
      <w:r>
        <w:rPr>
          <w:rStyle w:val="VerbatimChar"/>
        </w:rPr>
        <w:t xml:space="preserve">Chem.MolFromSmiles</w:t>
      </w:r>
      <w:r>
        <w:t xml:space="preserve"> </w:t>
      </w:r>
      <w:r>
        <w:t xml:space="preserve">sanitizes by default and simply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on</w:t>
      </w:r>
      <w:r>
        <w:t xml:space="preserve"> </w:t>
      </w:r>
      <w:r>
        <w:t xml:space="preserve">failure, which is why every function in this book that parses a SMILES</w:t>
      </w:r>
      <w:r>
        <w:t xml:space="preserve"> </w:t>
      </w:r>
      <w:r>
        <w:t xml:space="preserve">string checks for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before proceeding — that check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sanitization gate.</w:t>
      </w:r>
    </w:p>
    <w:bookmarkEnd w:id="9"/>
    <w:bookmarkStart w:id="10" w:name="standardization"/>
    <w:p>
      <w:pPr>
        <w:pStyle w:val="Heading3"/>
      </w:pPr>
      <w:r>
        <w:t xml:space="preserve">Standardization</w:t>
      </w:r>
    </w:p>
    <w:p>
      <w:pPr>
        <w:pStyle w:val="FirstParagraph"/>
      </w:pPr>
      <w:r>
        <w:t xml:space="preserve">Two records for</w:t>
      </w:r>
      <w:r>
        <w:t xml:space="preserve"> </w:t>
      </w:r>
      <w:r>
        <w:t xml:space="preserve">“the same”</w:t>
      </w:r>
      <w:r>
        <w:t xml:space="preserve"> </w:t>
      </w:r>
      <w:r>
        <w:t xml:space="preserve">compound rarely arrive identical. One</w:t>
      </w:r>
      <w:r>
        <w:t xml:space="preserve"> </w:t>
      </w:r>
      <w:r>
        <w:t xml:space="preserve">database might store a molecule as its sodium salt, another as the free</w:t>
      </w:r>
      <w:r>
        <w:t xml:space="preserve"> </w:t>
      </w:r>
      <w:r>
        <w:t xml:space="preserve">acid; one might include an explicit counterion, another might not.</w:t>
      </w:r>
      <w:r>
        <w:t xml:space="preserve"> </w:t>
      </w:r>
      <w:r>
        <w:t xml:space="preserve">Comparing or deduplicating across sources requires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 </w:t>
      </w:r>
      <w:r>
        <w:t xml:space="preserve">—</w:t>
      </w:r>
      <w:r>
        <w:t xml:space="preserve"> </w:t>
      </w:r>
      <w:r>
        <w:t xml:space="preserve">a defined, reproducible sequence of transformations, not ad hoc cleanup —</w:t>
      </w:r>
      <w:r>
        <w:t xml:space="preserve"> </w:t>
      </w:r>
      <w:r>
        <w:t xml:space="preserve">typically: (1) keep only the largest covalently-bonded fragment,</w:t>
      </w:r>
      <w:r>
        <w:t xml:space="preserve"> </w:t>
      </w:r>
      <w:r>
        <w:t xml:space="preserve">discarding salts and counterions, then (2) neutralize any remaining</w:t>
      </w:r>
      <w:r>
        <w:t xml:space="preserve"> </w:t>
      </w:r>
      <w:r>
        <w:t xml:space="preserve">formal charges: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rdkit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rdkit.Chem.MolStandardize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rdMolStandardize</w:t>
      </w:r>
      <w:r>
        <w:br/>
      </w:r>
      <w:r>
        <w:br/>
      </w:r>
      <w:r>
        <w:rPr>
          <w:rStyle w:val="NormalTok"/>
        </w:rPr>
        <w:t xml:space="preserve">mol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Chem.MolFromSmiles(</w:t>
      </w:r>
      <w:r>
        <w:rPr>
          <w:rStyle w:val="StringTok"/>
        </w:rPr>
        <w:t xml:space="preserve">"CC(=O)Nc1ccc(O)cc1.[Na+].[Cl-]"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paracetamol NaCl salt</w:t>
      </w:r>
      <w:r>
        <w:br/>
      </w:r>
      <w:r>
        <w:rPr>
          <w:rStyle w:val="NormalTok"/>
        </w:rPr>
        <w:t xml:space="preserve">mol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rdMolStandardize.LargestFragmentChooser().choose(mol)</w:t>
      </w:r>
      <w:r>
        <w:br/>
      </w:r>
      <w:r>
        <w:rPr>
          <w:rStyle w:val="NormalTok"/>
        </w:rPr>
        <w:t xml:space="preserve">mol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rdMolStandardize.Uncharger().uncharge(mol)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(Chem.MolToSmiles(mol))  </w:t>
      </w:r>
      <w:r>
        <w:rPr>
          <w:rStyle w:val="CommentTok"/>
        </w:rPr>
        <w:t xml:space="preserve"># CC(=O)Nc1ccc(O)cc1</w:t>
      </w:r>
    </w:p>
    <w:bookmarkEnd w:id="10"/>
    <w:bookmarkStart w:id="11" w:name="tautomer-canonicalization"/>
    <w:p>
      <w:pPr>
        <w:pStyle w:val="Heading3"/>
      </w:pPr>
      <w:r>
        <w:t xml:space="preserve">Tautomer canonicalization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tautomer</w:t>
      </w:r>
      <w:r>
        <w:t xml:space="preserve"> </w:t>
      </w:r>
      <w:r>
        <w:t xml:space="preserve">is one of two or more structures that interconvert by</w:t>
      </w:r>
      <w:r>
        <w:t xml:space="preserve"> </w:t>
      </w:r>
      <w:r>
        <w:t xml:space="preserve">moving a proton and a double bond simultaneously (classically,</w:t>
      </w:r>
      <w:r>
        <w:t xml:space="preserve"> </w:t>
      </w:r>
      <w:r>
        <w:t xml:space="preserve">keto ↔ enol). Different data sources — or different depositors of the</w:t>
      </w:r>
      <w:r>
        <w:t xml:space="preserve"> </w:t>
      </w:r>
      <w:r>
        <w:t xml:space="preserve">same assay to the same database — can register the same compound as</w:t>
      </w:r>
      <w:r>
        <w:t xml:space="preserve"> </w:t>
      </w:r>
      <w:r>
        <w:t xml:space="preserve">different tautomers, which silently fragments what should be one</w:t>
      </w:r>
      <w:r>
        <w:t xml:space="preserve"> </w:t>
      </w:r>
      <w:r>
        <w:t xml:space="preserve">compound’s data into two. RDKit’s tautomer enumerator can both list all</w:t>
      </w:r>
      <w:r>
        <w:t xml:space="preserve"> </w:t>
      </w:r>
      <w:r>
        <w:t xml:space="preserve">reasonable tautomers of a structure and pick one canonical</w:t>
      </w:r>
      <w:r>
        <w:t xml:space="preserve"> </w:t>
      </w:r>
      <w:r>
        <w:t xml:space="preserve">representative, deterministically, so that two records of the same</w:t>
      </w:r>
      <w:r>
        <w:t xml:space="preserve"> </w:t>
      </w:r>
      <w:r>
        <w:t xml:space="preserve">compound in different tautomeric forms standardize to identical output:</w:t>
      </w:r>
    </w:p>
    <w:p>
      <w:pPr>
        <w:pStyle w:val="SourceCode"/>
      </w:pPr>
      <w:r>
        <w:rPr>
          <w:rStyle w:val="NormalTok"/>
        </w:rPr>
        <w:t xml:space="preserve">enumerator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rdMolStandardize.TautomerEnumerator()</w:t>
      </w:r>
      <w:r>
        <w:br/>
      </w:r>
      <w:r>
        <w:rPr>
          <w:rStyle w:val="NormalTok"/>
        </w:rPr>
        <w:t xml:space="preserve">mol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Chem.MolFromSmiles(</w:t>
      </w:r>
      <w:r>
        <w:rPr>
          <w:rStyle w:val="StringTok"/>
        </w:rPr>
        <w:t xml:space="preserve">"O=C1CCCCC1"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cyclohexanone (keto form)</w:t>
      </w:r>
      <w:r>
        <w:br/>
      </w:r>
      <w:r>
        <w:rPr>
          <w:rStyle w:val="NormalTok"/>
        </w:rPr>
        <w:t xml:space="preserve">tautomers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enumerator.Enumerate(mol)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(tautomers))  </w:t>
      </w:r>
      <w:r>
        <w:rPr>
          <w:rStyle w:val="CommentTok"/>
        </w:rPr>
        <w:t xml:space="preserve"># 2: keto (O=C1CCCCC1) and enol (OC1=CCCCC1)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(Chem.MolToSmiles(enumerator.Canonicalize(mol)))</w:t>
      </w:r>
    </w:p>
    <w:p>
      <w:pPr>
        <w:pStyle w:val="FirstParagraph"/>
      </w:pPr>
      <w:r>
        <w:t xml:space="preserve">Section 4.5’s ETL pipeline chains exactly these three operations —</w:t>
      </w:r>
      <w:r>
        <w:t xml:space="preserve"> </w:t>
      </w:r>
      <w:r>
        <w:t xml:space="preserve">sanitize (implicitly, via</w:t>
      </w:r>
      <w:r>
        <w:t xml:space="preserve"> </w:t>
      </w:r>
      <w:r>
        <w:rPr>
          <w:rStyle w:val="VerbatimChar"/>
        </w:rPr>
        <w:t xml:space="preserve">MolFromSmiles</w:t>
      </w:r>
      <w:r>
        <w:t xml:space="preserve">), standardize, canonicalize</w:t>
      </w:r>
      <w:r>
        <w:t xml:space="preserve"> </w:t>
      </w:r>
      <w:r>
        <w:t xml:space="preserve">tautomers — before a single descriptor is computed, precisely because</w:t>
      </w:r>
      <w:r>
        <w:t xml:space="preserve"> </w:t>
      </w:r>
      <w:r>
        <w:t xml:space="preserve">skipping any one of them means silently double-counting or mismatching</w:t>
      </w:r>
      <w:r>
        <w:t xml:space="preserve"> </w:t>
      </w:r>
      <w:r>
        <w:t xml:space="preserve">compounds later.</w:t>
      </w:r>
    </w:p>
    <w:bookmarkEnd w:id="11"/>
    <w:bookmarkStart w:id="12" w:name="physicochemical-properties-revisited"/>
    <w:p>
      <w:pPr>
        <w:pStyle w:val="Heading3"/>
      </w:pPr>
      <w:r>
        <w:t xml:space="preserve">Physicochemical properties, revisited</w:t>
      </w:r>
    </w:p>
    <w:p>
      <w:pPr>
        <w:pStyle w:val="FirstParagraph"/>
      </w:pPr>
      <w:r>
        <w:t xml:space="preserve">Chapter 2 computed four Lipinski descriptors (molecular weight, LogP,</w:t>
      </w:r>
      <w:r>
        <w:t xml:space="preserve"> </w:t>
      </w:r>
      <w:r>
        <w:t xml:space="preserve">H-bond donor/acceptor counts) directly. That is the same computation</w:t>
      </w:r>
      <w:r>
        <w:t xml:space="preserve"> </w:t>
      </w:r>
      <w:r>
        <w:t xml:space="preserve">this chapter’s pipeline runs — now on standardized structures — and the</w:t>
      </w:r>
      <w:r>
        <w:t xml:space="preserve"> </w:t>
      </w:r>
      <w:r>
        <w:t xml:space="preserve">same one DeepChem’s featurizers (§4.2) wrap into a reusable, batchable</w:t>
      </w:r>
      <w:r>
        <w:t xml:space="preserve"> </w:t>
      </w:r>
      <w:r>
        <w:t xml:space="preserve">interface for hundreds of descriptors at once rather than four.</w:t>
      </w:r>
    </w:p>
    <w:bookmarkEnd w:id="12"/>
    <w:bookmarkEnd w:id="13"/>
    <w:bookmarkStart w:id="14" w:name="the-deepchem-framework"/>
    <w:p>
      <w:pPr>
        <w:pStyle w:val="Heading2"/>
      </w:pPr>
      <w:r>
        <w:t xml:space="preserve">4.2 The DeepChem Framework</w:t>
      </w:r>
    </w:p>
    <w:p>
      <w:pPr>
        <w:pStyle w:val="FirstParagraph"/>
      </w:pPr>
      <w:r>
        <w:t xml:space="preserve">RDKit and BioPython are libraries — they give you molecules and</w:t>
      </w:r>
      <w:r>
        <w:t xml:space="preserve"> </w:t>
      </w:r>
      <w:r>
        <w:t xml:space="preserve">sequences as first-class objects and let you compute things about them.</w:t>
      </w:r>
      <w:r>
        <w:t xml:space="preserve"> </w:t>
      </w:r>
      <w:r>
        <w:rPr>
          <w:b/>
          <w:bCs/>
        </w:rPr>
        <w:t xml:space="preserve">DeepChem</w:t>
      </w:r>
      <w:r>
        <w:t xml:space="preserve"> </w:t>
      </w:r>
      <w:r>
        <w:t xml:space="preserve">is a framework built on top of libraries like these: it</w:t>
      </w:r>
      <w:r>
        <w:t xml:space="preserve"> </w:t>
      </w:r>
      <w:r>
        <w:t xml:space="preserve">standardizes the remaining steps between</w:t>
      </w:r>
      <w:r>
        <w:t xml:space="preserve"> </w:t>
      </w:r>
      <w:r>
        <w:t xml:space="preserve">“I have a molecule”</w:t>
      </w:r>
      <w:r>
        <w:t xml:space="preserve"> </w:t>
      </w:r>
      <w:r>
        <w:t xml:space="preserve">and</w:t>
      </w:r>
      <w:r>
        <w:t xml:space="preserve"> </w:t>
      </w:r>
      <w:r>
        <w:t xml:space="preserve">“I have</w:t>
      </w:r>
      <w:r>
        <w:t xml:space="preserve"> </w:t>
      </w:r>
      <w:r>
        <w:t xml:space="preserve">a trained, evaluated model,”</w:t>
      </w:r>
      <w:r>
        <w:t xml:space="preserve"> </w:t>
      </w:r>
      <w:r>
        <w:t xml:space="preserve">specifically for chemistry and the life</w:t>
      </w:r>
      <w:r>
        <w:t xml:space="preserve"> </w:t>
      </w:r>
      <w:r>
        <w:t xml:space="preserve">sciences (Ramsundar et al., 2019 — DeepChem’s own documented citation is</w:t>
      </w:r>
      <w:r>
        <w:t xml:space="preserve"> </w:t>
      </w:r>
      <w:r>
        <w:t xml:space="preserve">this book,</w:t>
      </w:r>
      <w:r>
        <w:t xml:space="preserve"> </w:t>
      </w:r>
      <w:r>
        <w:rPr>
          <w:i/>
          <w:iCs/>
        </w:rPr>
        <w:t xml:space="preserve">Deep Learning for the Life Sciences</w:t>
      </w:r>
      <w:r>
        <w:t xml:space="preserve">, rather than a single</w:t>
      </w:r>
      <w:r>
        <w:t xml:space="preserve"> </w:t>
      </w:r>
      <w:r>
        <w:t xml:space="preserve">journal paper). Three abstractions matter most for the rest of this</w:t>
      </w:r>
      <w:r>
        <w:t xml:space="preserve"> </w:t>
      </w:r>
      <w:r>
        <w:t xml:space="preserve">book: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Featurizers.</w:t>
      </w:r>
      <w:r>
        <w:t xml:space="preserve"> </w:t>
      </w:r>
      <w:r>
        <w:t xml:space="preserve">A featurizer is a function from a raw molecule (or</w:t>
      </w:r>
      <w:r>
        <w:t xml:space="preserve"> </w:t>
      </w:r>
      <w:r>
        <w:t xml:space="preserve">protein, or crystal) to a fixed numeric representation a model can</w:t>
      </w:r>
      <w:r>
        <w:t xml:space="preserve"> </w:t>
      </w:r>
      <w:r>
        <w:t xml:space="preserve">consume — a Morgan fingerprint (Chapter 2), a molecular graph (Chapter</w:t>
      </w:r>
      <w:r>
        <w:t xml:space="preserve"> </w:t>
      </w:r>
      <w:r>
        <w:t xml:space="preserve">6), or a 3D-coordinate-based representation (Chapters 9–10). DeepChem</w:t>
      </w:r>
      <w:r>
        <w:t xml:space="preserve"> </w:t>
      </w:r>
      <w:r>
        <w:t xml:space="preserve">ships dozens of these behind one consistent interface, which is what</w:t>
      </w:r>
      <w:r>
        <w:t xml:space="preserve"> </w:t>
      </w:r>
      <w:r>
        <w:t xml:space="preserve">makes swapping representations in a QSAR pipeline (Chapter 5) a</w:t>
      </w:r>
      <w:r>
        <w:t xml:space="preserve"> </w:t>
      </w:r>
      <w:r>
        <w:t xml:space="preserve">one-line change rather than a rewrite.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Datasets.</w:t>
      </w:r>
      <w:r>
        <w:t xml:space="preserve"> </w:t>
      </w:r>
      <w:r>
        <w:t xml:space="preserve">A thin, consistent wrapper around (features, labels,</w:t>
      </w:r>
      <w:r>
        <w:t xml:space="preserve"> </w:t>
      </w:r>
      <w:r>
        <w:t xml:space="preserve">weights, identifiers) that decouples</w:t>
      </w:r>
      <w:r>
        <w:t xml:space="preserve"> </w:t>
      </w:r>
      <w:r>
        <w:rPr>
          <w:i/>
          <w:iCs/>
        </w:rPr>
        <w:t xml:space="preserve">how data is split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how a</w:t>
      </w:r>
      <w:r>
        <w:rPr>
          <w:i/>
          <w:iCs/>
        </w:rPr>
        <w:t xml:space="preserve"> </w:t>
      </w:r>
      <w:r>
        <w:rPr>
          <w:i/>
          <w:iCs/>
        </w:rPr>
        <w:t xml:space="preserve">model is trained on it</w:t>
      </w:r>
      <w:r>
        <w:t xml:space="preserve">. This matters more than it sounds: Chapter 5</w:t>
      </w:r>
      <w:r>
        <w:t xml:space="preserve"> </w:t>
      </w:r>
      <w:r>
        <w:t xml:space="preserve">will show that a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train/test split systematically</w:t>
      </w:r>
      <w:r>
        <w:t xml:space="preserve"> </w:t>
      </w:r>
      <w:r>
        <w:t xml:space="preserve">overestimates a QSAR model’s real-world performance compared with a</w:t>
      </w:r>
      <w:r>
        <w:t xml:space="preserve"> </w:t>
      </w:r>
      <w:r>
        <w:rPr>
          <w:b/>
          <w:bCs/>
        </w:rPr>
        <w:t xml:space="preserve">scaffold split</w:t>
      </w:r>
      <w:r>
        <w:t xml:space="preserve"> </w:t>
      </w:r>
      <w:r>
        <w:t xml:space="preserve">(grouping by core molecular scaffold so structurally</w:t>
      </w:r>
      <w:r>
        <w:t xml:space="preserve"> </w:t>
      </w:r>
      <w:r>
        <w:t xml:space="preserve">related compounds can’t leak between train and test) — DeepChem’s</w:t>
      </w:r>
      <w:r>
        <w:t xml:space="preserve"> </w:t>
      </w:r>
      <w:r>
        <w:rPr>
          <w:rStyle w:val="VerbatimChar"/>
        </w:rPr>
        <w:t xml:space="preserve">Dataset</w:t>
      </w:r>
      <w:r>
        <w:t xml:space="preserve">/splitter abstractions are what make running both splits on</w:t>
      </w:r>
      <w:r>
        <w:t xml:space="preserve"> </w:t>
      </w:r>
      <w:r>
        <w:t xml:space="preserve">the same data a controlled comparison rather than two different</w:t>
      </w:r>
      <w:r>
        <w:t xml:space="preserve"> </w:t>
      </w:r>
      <w:r>
        <w:t xml:space="preserve">pipelines.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Reproducible pipelines.</w:t>
      </w:r>
      <w:r>
        <w:t xml:space="preserve"> </w:t>
      </w:r>
      <w:r>
        <w:t xml:space="preserve">By fixing featurizer, split, and model</w:t>
      </w:r>
      <w:r>
        <w:t xml:space="preserve"> </w:t>
      </w:r>
      <w:r>
        <w:t xml:space="preserve">behind one interface, a DeepChem pipeline is specified declaratively</w:t>
      </w:r>
      <w:r>
        <w:t xml:space="preserve"> </w:t>
      </w:r>
      <w:r>
        <w:t xml:space="preserve">enough that another researcher (or another chapter of this book) can</w:t>
      </w:r>
      <w:r>
        <w:t xml:space="preserve"> </w:t>
      </w:r>
      <w:r>
        <w:t xml:space="preserve">rerun it and get the same partition of data and the same input</w:t>
      </w:r>
      <w:r>
        <w:t xml:space="preserve"> </w:t>
      </w:r>
      <w:r>
        <w:t xml:space="preserve">representation, even if the underlying model architecture changes.</w:t>
      </w:r>
      <w:r>
        <w:t xml:space="preserve"> </w:t>
      </w:r>
      <w:r>
        <w:t xml:space="preserve">MoleculeNet (Wu et al., 2018) — a suite of curated molecular property</w:t>
      </w:r>
      <w:r>
        <w:t xml:space="preserve"> </w:t>
      </w:r>
      <w:r>
        <w:t xml:space="preserve">benchmarks distributed through DeepChem — exists specifically to make</w:t>
      </w:r>
      <w:r>
        <w:t xml:space="preserve"> </w:t>
      </w:r>
      <w:r>
        <w:t xml:space="preserve">this kind of apples-to-apples comparison possible across published</w:t>
      </w:r>
      <w:r>
        <w:t xml:space="preserve"> </w:t>
      </w:r>
      <w:r>
        <w:t xml:space="preserve">models, for exactly this reason.</w:t>
      </w:r>
    </w:p>
    <w:p>
      <w:pPr>
        <w:pStyle w:val="FirstParagraph"/>
      </w:pPr>
      <w:r>
        <w:t xml:space="preserve">This book does not route every hands-on project through DeepChem’s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classes — several chapters, including this one, use RDKit and</w:t>
      </w:r>
      <w:r>
        <w:t xml:space="preserve"> </w:t>
      </w:r>
      <w:r>
        <w:t xml:space="preserve">plain Python directly where that is more pedagogically transparent about</w:t>
      </w:r>
      <w:r>
        <w:t xml:space="preserve"> </w:t>
      </w:r>
      <w:r>
        <w:t xml:space="preserve">what is actually happening to the data. DeepChem becomes the more</w:t>
      </w:r>
      <w:r>
        <w:t xml:space="preserve"> </w:t>
      </w:r>
      <w:r>
        <w:t xml:space="preserve">direct, load-bearing tool starting in Chapter 5.</w:t>
      </w:r>
    </w:p>
    <w:bookmarkEnd w:id="14"/>
    <w:bookmarkStart w:id="15" w:name="biopython-integration"/>
    <w:p>
      <w:pPr>
        <w:pStyle w:val="Heading2"/>
      </w:pPr>
      <w:r>
        <w:t xml:space="preserve">4.3 BioPython Integration</w:t>
      </w:r>
    </w:p>
    <w:p>
      <w:pPr>
        <w:pStyle w:val="FirstParagraph"/>
      </w:pPr>
      <w:r>
        <w:t xml:space="preserve">Chapter 3 used one corner of BioPython —</w:t>
      </w:r>
      <w:r>
        <w:t xml:space="preserve"> </w:t>
      </w:r>
      <w:r>
        <w:rPr>
          <w:rStyle w:val="VerbatimChar"/>
        </w:rPr>
        <w:t xml:space="preserve">Bio.PDB</w:t>
      </w:r>
      <w:r>
        <w:t xml:space="preserve"> </w:t>
      </w:r>
      <w:r>
        <w:t xml:space="preserve">— for structure</w:t>
      </w:r>
      <w:r>
        <w:t xml:space="preserve"> </w:t>
      </w:r>
      <w:r>
        <w:t xml:space="preserve">parsing. BioPython (Cock et al., 2009) is considerably broader: it is a</w:t>
      </w:r>
      <w:r>
        <w:t xml:space="preserve"> </w:t>
      </w:r>
      <w:r>
        <w:t xml:space="preserve">single, consistent library spanning sequence I/O (</w:t>
      </w:r>
      <w:r>
        <w:rPr>
          <w:rStyle w:val="VerbatimChar"/>
        </w:rPr>
        <w:t xml:space="preserve">Bio.SeqIO</w:t>
      </w:r>
      <w:r>
        <w:t xml:space="preserve">, reading</w:t>
      </w:r>
      <w:r>
        <w:t xml:space="preserve"> </w:t>
      </w:r>
      <w:r>
        <w:t xml:space="preserve">and writing FASTA, GenBank, and dozens of other formats), sequence</w:t>
      </w:r>
      <w:r>
        <w:t xml:space="preserve"> </w:t>
      </w:r>
      <w:r>
        <w:t xml:space="preserve">manipulation (</w:t>
      </w:r>
      <w:r>
        <w:rPr>
          <w:rStyle w:val="VerbatimChar"/>
        </w:rPr>
        <w:t xml:space="preserve">Bio.Seq</w:t>
      </w:r>
      <w:r>
        <w:t xml:space="preserve">, including transcription and translation), and</w:t>
      </w:r>
      <w:r>
        <w:t xml:space="preserve"> </w:t>
      </w:r>
      <w:r>
        <w:t xml:space="preserve">structural biology (</w:t>
      </w:r>
      <w:r>
        <w:rPr>
          <w:rStyle w:val="VerbatimChar"/>
        </w:rPr>
        <w:t xml:space="preserve">Bio.PDB</w:t>
      </w:r>
      <w:r>
        <w:t xml:space="preserve">,</w:t>
      </w:r>
      <w:r>
        <w:t xml:space="preserve"> </w:t>
      </w:r>
      <w:r>
        <w:rPr>
          <w:rStyle w:val="VerbatimChar"/>
        </w:rPr>
        <w:t xml:space="preserve">Bio.Align</w:t>
      </w:r>
      <w:r>
        <w:t xml:space="preserve">, used in Chapter 3). That</w:t>
      </w:r>
      <w:r>
        <w:t xml:space="preserve"> </w:t>
      </w:r>
      <w:r>
        <w:t xml:space="preserve">breadth is the point: a nucleic acid sequence pulled from a FASTA file,</w:t>
      </w:r>
      <w:r>
        <w:t xml:space="preserve"> </w:t>
      </w:r>
      <w:r>
        <w:t xml:space="preserve">transcribed to mRNA, translated to a protein sequence, and eventually</w:t>
      </w:r>
      <w:r>
        <w:t xml:space="preserve"> </w:t>
      </w:r>
      <w:r>
        <w:t xml:space="preserve">mapped onto a solved 3D structure can stay inside one library’s object</w:t>
      </w:r>
      <w:r>
        <w:t xml:space="preserve"> </w:t>
      </w:r>
      <w:r>
        <w:t xml:space="preserve">model the entire way: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Bio.Seq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Seq</w:t>
      </w:r>
      <w:r>
        <w:br/>
      </w:r>
      <w:r>
        <w:br/>
      </w:r>
      <w:r>
        <w:rPr>
          <w:rStyle w:val="NormalTok"/>
        </w:rPr>
        <w:t xml:space="preserve">coding_dna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Seq(</w:t>
      </w:r>
      <w:r>
        <w:rPr>
          <w:rStyle w:val="StringTok"/>
        </w:rPr>
        <w:t xml:space="preserve">"ATGGCCATTGTAATGGGCCGCTGAAAGGGTGCCCGATAG"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(coding_dna.transcribe())        </w:t>
      </w:r>
      <w:r>
        <w:rPr>
          <w:rStyle w:val="CommentTok"/>
        </w:rPr>
        <w:t xml:space="preserve"># AUGGCCAUUGUAAUGGGCCGCUGAAAGGGUGCCCGAUAG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(coding_dna.translate(to_stop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MAIVMGR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(coding_dna.reverse_complement())     </w:t>
      </w:r>
      <w:r>
        <w:rPr>
          <w:rStyle w:val="CommentTok"/>
        </w:rPr>
        <w:t xml:space="preserve"># CTATCGGGCACCCTTTCAGCGGCCCATTACAATGGCCAT</w:t>
      </w:r>
    </w:p>
    <w:p>
      <w:pPr>
        <w:pStyle w:val="FirstParagraph"/>
      </w:pPr>
      <w:r>
        <w:t xml:space="preserve">This chapter does not add a second BioPython hands-on project — Chapter</w:t>
      </w:r>
      <w:r>
        <w:t xml:space="preserve"> </w:t>
      </w:r>
      <w:r>
        <w:t xml:space="preserve">3 already validated the</w:t>
      </w:r>
      <w:r>
        <w:t xml:space="preserve"> </w:t>
      </w:r>
      <w:r>
        <w:rPr>
          <w:rStyle w:val="VerbatimChar"/>
        </w:rPr>
        <w:t xml:space="preserve">Bio.PDB</w:t>
      </w:r>
      <w:r>
        <w:t xml:space="preserve"> </w:t>
      </w:r>
      <w:r>
        <w:t xml:space="preserve">path this book relies on most, and</w:t>
      </w:r>
      <w:r>
        <w:t xml:space="preserve"> </w:t>
      </w:r>
      <w:r>
        <w:t xml:space="preserve">Chapter 8 (protein language models) is where</w:t>
      </w:r>
      <w:r>
        <w:t xml:space="preserve"> </w:t>
      </w:r>
      <w:r>
        <w:rPr>
          <w:rStyle w:val="VerbatimChar"/>
        </w:rPr>
        <w:t xml:space="preserve">Bio.Seq</w:t>
      </w:r>
      <w:r>
        <w:t xml:space="preserve">/</w:t>
      </w:r>
      <w:r>
        <w:rPr>
          <w:rStyle w:val="VerbatimChar"/>
        </w:rPr>
        <w:t xml:space="preserve">Bio.SeqIO</w:t>
      </w:r>
      <w:r>
        <w:t xml:space="preserve"> </w:t>
      </w:r>
      <w:r>
        <w:t xml:space="preserve">become load-bearing for sequence data engineering. The point made here</w:t>
      </w:r>
      <w:r>
        <w:t xml:space="preserve"> </w:t>
      </w:r>
      <w:r>
        <w:t xml:space="preserve">is architectural: BioPython is the connective tissue between the</w:t>
      </w:r>
      <w:r>
        <w:t xml:space="preserve"> </w:t>
      </w:r>
      <w:r>
        <w:t xml:space="preserve">sequence-level and structure-level tools this book uses, not a</w:t>
      </w:r>
      <w:r>
        <w:t xml:space="preserve"> </w:t>
      </w:r>
      <w:r>
        <w:t xml:space="preserve">structure-only library that happened to be useful in one chapter.</w:t>
      </w:r>
    </w:p>
    <w:bookmarkEnd w:id="15"/>
    <w:bookmarkStart w:id="16" w:name="biological-databases"/>
    <w:p>
      <w:pPr>
        <w:pStyle w:val="Heading2"/>
      </w:pPr>
      <w:r>
        <w:t xml:space="preserve">4.4 Biological Databases</w:t>
      </w:r>
    </w:p>
    <w:p>
      <w:pPr>
        <w:pStyle w:val="FirstParagraph"/>
      </w:pPr>
      <w:r>
        <w:t xml:space="preserve">Chapters 1–3 already used two of these directly (ChEMBL, the PDB); this</w:t>
      </w:r>
      <w:r>
        <w:t xml:space="preserve"> </w:t>
      </w:r>
      <w:r>
        <w:t xml:space="preserve">section places them in the context of the broader landscape, because</w:t>
      </w:r>
      <w:r>
        <w:t xml:space="preserve"> </w:t>
      </w:r>
      <w:r>
        <w:t xml:space="preserve">Section 4.5’s ETL pipeline exists precisely because real projects need</w:t>
      </w:r>
      <w:r>
        <w:t xml:space="preserve"> </w:t>
      </w:r>
      <w:r>
        <w:t xml:space="preserve">data from more than one of them.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Cited 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ChEMBL</w:t>
            </w:r>
          </w:p>
        </w:tc>
        <w:tc>
          <w:tcPr/>
          <w:p>
            <w:pPr>
              <w:pStyle w:val="Compact"/>
            </w:pPr>
            <w:r>
              <w:t xml:space="preserve">Curated bioactivity data: which compounds were tested against which targets, and what was measured. Used throughout Chapters 1–2 and 4–5.</w:t>
            </w:r>
          </w:p>
        </w:tc>
        <w:tc>
          <w:tcPr/>
          <w:p>
            <w:pPr>
              <w:pStyle w:val="Compact"/>
            </w:pPr>
            <w:r>
              <w:t xml:space="preserve">Mendez et al., 2019 (Chapter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PubChem</w:t>
            </w:r>
          </w:p>
        </w:tc>
        <w:tc>
          <w:tcPr/>
          <w:p>
            <w:pPr>
              <w:pStyle w:val="Compact"/>
            </w:pPr>
            <w:r>
              <w:t xml:space="preserve">The largest open aggregator of chemical information — substances, compounds, and bioactivity data pulled in from hundreds of contributing sources, including ChEMBL itself.</w:t>
            </w:r>
          </w:p>
        </w:tc>
        <w:tc>
          <w:tcPr/>
          <w:p>
            <w:pPr>
              <w:pStyle w:val="Compact"/>
            </w:pPr>
            <w:r>
              <w:t xml:space="preserve">Kim et al., 2023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BindingDB</w:t>
            </w:r>
          </w:p>
        </w:tc>
        <w:tc>
          <w:tcPr/>
          <w:p>
            <w:pPr>
              <w:pStyle w:val="Compact"/>
            </w:pPr>
            <w:r>
              <w:t xml:space="preserve">A curated database specifically of measured protein–small-molecule binding affinities, with a particular focus on data useful for structure-based and computational drug design.</w:t>
            </w:r>
          </w:p>
        </w:tc>
        <w:tc>
          <w:tcPr/>
          <w:p>
            <w:pPr>
              <w:pStyle w:val="Compact"/>
            </w:pPr>
            <w:r>
              <w:t xml:space="preserve">Gilson et al., 2016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UniProt</w:t>
            </w:r>
          </w:p>
        </w:tc>
        <w:tc>
          <w:tcPr/>
          <w:p>
            <w:pPr>
              <w:pStyle w:val="Compact"/>
            </w:pPr>
            <w:r>
              <w:t xml:space="preserve">The reference resource for protein sequence and function: canonical amino acid sequences, domain annotations, and cross-references to essentially every other major database, including the PDB and ChEMBL.</w:t>
            </w:r>
          </w:p>
        </w:tc>
        <w:tc>
          <w:tcPr/>
          <w:p>
            <w:pPr>
              <w:pStyle w:val="Compact"/>
            </w:pPr>
            <w:r>
              <w:t xml:space="preserve">UniProt Consortium, 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PDB</w:t>
            </w:r>
          </w:p>
        </w:tc>
        <w:tc>
          <w:tcPr/>
          <w:p>
            <w:pPr>
              <w:pStyle w:val="Compact"/>
            </w:pPr>
            <w:r>
              <w:t xml:space="preserve">The archive of experimentally solved 3D structures. Used directly in Chapters 1 and 3.</w:t>
            </w:r>
          </w:p>
        </w:tc>
        <w:tc>
          <w:tcPr/>
          <w:p>
            <w:pPr>
              <w:pStyle w:val="Compact"/>
            </w:pPr>
            <w:r>
              <w:t xml:space="preserve">wwPDB consortium, 2019 (Chapter 1)</w:t>
            </w:r>
          </w:p>
        </w:tc>
      </w:tr>
    </w:tbl>
    <w:p>
      <w:pPr>
        <w:pStyle w:val="BodyText"/>
      </w:pPr>
      <w:r>
        <w:t xml:space="preserve">These are not independent silos. A ChEMBL target record carries a</w:t>
      </w:r>
      <w:r>
        <w:t xml:space="preserve"> </w:t>
      </w:r>
      <w:r>
        <w:t xml:space="preserve">UniProt accession; a PDB structure entry usually carries the same</w:t>
      </w:r>
      <w:r>
        <w:t xml:space="preserve"> </w:t>
      </w:r>
      <w:r>
        <w:t xml:space="preserve">UniProt accession and often an explicit ChEMBL or PubChem ligand</w:t>
      </w:r>
      <w:r>
        <w:t xml:space="preserve"> </w:t>
      </w:r>
      <w:r>
        <w:t xml:space="preserve">identifier for any bound small molecule; PubChem aggregates bioactivity</w:t>
      </w:r>
      <w:r>
        <w:t xml:space="preserve"> </w:t>
      </w:r>
      <w:r>
        <w:t xml:space="preserve">data that originated in ChEMBL and BindingDB in the first place. This</w:t>
      </w:r>
      <w:r>
        <w:t xml:space="preserve"> </w:t>
      </w:r>
      <w:r>
        <w:t xml:space="preserve">interconnection is precisely what makes cross-database identifier</w:t>
      </w:r>
      <w:r>
        <w:t xml:space="preserve"> </w:t>
      </w:r>
      <w:r>
        <w:t xml:space="preserve">reconciliation — matching</w:t>
      </w:r>
      <w:r>
        <w:t xml:space="preserve"> </w:t>
      </w:r>
      <w:r>
        <w:t xml:space="preserve">“this compound”</w:t>
      </w:r>
      <w:r>
        <w:t xml:space="preserve"> </w:t>
      </w:r>
      <w:r>
        <w:t xml:space="preserve">or</w:t>
      </w:r>
      <w:r>
        <w:t xml:space="preserve"> </w:t>
      </w:r>
      <w:r>
        <w:t xml:space="preserve">“this protein”</w:t>
      </w:r>
      <w:r>
        <w:t xml:space="preserve"> </w:t>
      </w:r>
      <w:r>
        <w:t xml:space="preserve">across</w:t>
      </w:r>
      <w:r>
        <w:t xml:space="preserve"> </w:t>
      </w:r>
      <w:r>
        <w:t xml:space="preserve">sources that name it differently — one of the more tedious but</w:t>
      </w:r>
      <w:r>
        <w:t xml:space="preserve"> </w:t>
      </w:r>
      <w:r>
        <w:t xml:space="preserve">unavoidable parts of building a real training dataset, and exactly why</w:t>
      </w:r>
      <w:r>
        <w:t xml:space="preserve"> </w:t>
      </w:r>
      <w:r>
        <w:t xml:space="preserve">the standardization techniques in §4.1 (getting every compound to one</w:t>
      </w:r>
      <w:r>
        <w:t xml:space="preserve"> </w:t>
      </w:r>
      <w:r>
        <w:t xml:space="preserve">canonical representation before comparing across sources) are a data</w:t>
      </w:r>
      <w:r>
        <w:t xml:space="preserve"> </w:t>
      </w:r>
      <w:r>
        <w:t xml:space="preserve">engineering necessity, not a nicety.</w:t>
      </w:r>
    </w:p>
    <w:bookmarkEnd w:id="16"/>
    <w:bookmarkStart w:id="21" w:name="Xde81a19012e0ade73634a349347890ba4eb4c6c"/>
    <w:p>
      <w:pPr>
        <w:pStyle w:val="Heading2"/>
      </w:pPr>
      <w:r>
        <w:t xml:space="preserve">4.5 Hands-on Project: An Automated ChEMBL ETL Pipeline</w:t>
      </w:r>
    </w:p>
    <w:p>
      <w:pPr>
        <w:pStyle w:val="FirstParagraph"/>
      </w:pPr>
      <w:r>
        <w:t xml:space="preserve">This project builds the pipeline every prior chapter’s ad hoc data</w:t>
      </w:r>
      <w:r>
        <w:t xml:space="preserve"> </w:t>
      </w:r>
      <w:r>
        <w:t xml:space="preserve">handling was implicitly a special case of:</w:t>
      </w:r>
      <w:r>
        <w:t xml:space="preserve"> </w:t>
      </w:r>
      <w:r>
        <w:rPr>
          <w:b/>
          <w:bCs/>
        </w:rPr>
        <w:t xml:space="preserve">extract</w:t>
      </w:r>
      <w:r>
        <w:t xml:space="preserve"> </w:t>
      </w:r>
      <w:r>
        <w:t xml:space="preserve">raw bioactivity</w:t>
      </w:r>
      <w:r>
        <w:t xml:space="preserve"> </w:t>
      </w:r>
      <w:r>
        <w:t xml:space="preserve">records from ChEMBL,</w:t>
      </w:r>
      <w:r>
        <w:t xml:space="preserve"> </w:t>
      </w:r>
      <w:r>
        <w:rPr>
          <w:b/>
          <w:bCs/>
        </w:rPr>
        <w:t xml:space="preserve">transform</w:t>
      </w:r>
      <w:r>
        <w:t xml:space="preserve"> </w:t>
      </w:r>
      <w:r>
        <w:t xml:space="preserve">them into a clean, deduplicated,</w:t>
      </w:r>
      <w:r>
        <w:t xml:space="preserve"> </w:t>
      </w:r>
      <w:r>
        <w:t xml:space="preserve">one-row-per-compound table using the standardization techniques from</w:t>
      </w:r>
      <w:r>
        <w:t xml:space="preserve"> </w:t>
      </w:r>
      <w:r>
        <w:t xml:space="preserve">§4.1, and</w:t>
      </w:r>
      <w:r>
        <w:t xml:space="preserve"> </w:t>
      </w:r>
      <w:r>
        <w:rPr>
          <w:b/>
          <w:bCs/>
        </w:rPr>
        <w:t xml:space="preserve">load</w:t>
      </w:r>
      <w:r>
        <w:t xml:space="preserve"> </w:t>
      </w:r>
      <w:r>
        <w:t xml:space="preserve">the result as a tidy CSV — the exact shape of dataset</w:t>
      </w:r>
      <w:r>
        <w:t xml:space="preserve"> </w:t>
      </w:r>
      <w:r>
        <w:t xml:space="preserve">Chapter 5’s QSAR models will train on.</w:t>
      </w:r>
    </w:p>
    <w:p>
      <w:pPr>
        <w:pStyle w:val="BodyText"/>
      </w:pPr>
      <w:r>
        <w:t xml:space="preserve">Running it against the live ChEMBL API for EGFR (</w:t>
      </w:r>
      <w:r>
        <w:rPr>
          <w:rStyle w:val="VerbatimChar"/>
        </w:rPr>
        <w:t xml:space="preserve">CHEMBL203</w:t>
      </w:r>
      <w:r>
        <w:t xml:space="preserve">, continuing</w:t>
      </w:r>
      <w:r>
        <w:t xml:space="preserve"> </w:t>
      </w:r>
      <w:r>
        <w:t xml:space="preserve">the running example from Chapters 1 and 3) and inspecting the result</w:t>
      </w:r>
      <w:r>
        <w:t xml:space="preserve"> </w:t>
      </w:r>
      <w:r>
        <w:t xml:space="preserve">directly shows why each transform step is necessary, not decorative:</w:t>
      </w:r>
    </w:p>
    <w:p>
      <w:pPr>
        <w:pStyle w:val="Compact"/>
        <w:numPr>
          <w:ilvl w:val="0"/>
          <w:numId w:val="1002"/>
        </w:numPr>
      </w:pPr>
      <w:r>
        <w:t xml:space="preserve">Of 200 raw bioactivity records extracted, 20 had no measured value at</w:t>
      </w:r>
      <w:r>
        <w:t xml:space="preserve"> </w:t>
      </w:r>
      <w:r>
        <w:t xml:space="preserve">all (dropped), and a further meaningful fraction were</w:t>
      </w:r>
      <w:r>
        <w:t xml:space="preserve"> </w:t>
      </w:r>
      <w:r>
        <w:rPr>
          <w:b/>
          <w:bCs/>
        </w:rPr>
        <w:t xml:space="preserve">censored</w:t>
      </w:r>
      <w:r>
        <w:t xml:space="preserve"> </w:t>
      </w:r>
      <w:r>
        <w:t xml:space="preserve">measurements — e.g. </w:t>
      </w:r>
      <w:r>
        <w:rPr>
          <w:rStyle w:val="VerbatimChar"/>
        </w:rPr>
        <w:t xml:space="preserve">IC50 &gt; 1,250,000 nM</w:t>
      </w:r>
      <w:r>
        <w:t xml:space="preserve">, meaning</w:t>
      </w:r>
      <w:r>
        <w:t xml:space="preserve"> </w:t>
      </w:r>
      <w:r>
        <w:t xml:space="preserve">“no activity</w:t>
      </w:r>
      <w:r>
        <w:t xml:space="preserve"> </w:t>
      </w:r>
      <w:r>
        <w:t xml:space="preserve">detected up to this concentration,”</w:t>
      </w:r>
      <w:r>
        <w:t xml:space="preserve"> </w:t>
      </w:r>
      <w:r>
        <w:t xml:space="preserve">not a point estimate — which are</w:t>
      </w:r>
      <w:r>
        <w:t xml:space="preserve"> </w:t>
      </w:r>
      <w:r>
        <w:t xml:space="preserve">excluded by default rather than treated as if they were exact values.</w:t>
      </w:r>
    </w:p>
    <w:p>
      <w:pPr>
        <w:pStyle w:val="Compact"/>
        <w:numPr>
          <w:ilvl w:val="0"/>
          <w:numId w:val="1002"/>
        </w:numPr>
      </w:pPr>
      <w:r>
        <w:t xml:space="preserve">The 200 raw records covered only 120 distinct compounds; several</w:t>
      </w:r>
      <w:r>
        <w:t xml:space="preserve"> </w:t>
      </w:r>
      <w:r>
        <w:t xml:space="preserve">compounds had been measured two or three times (against variant</w:t>
      </w:r>
      <w:r>
        <w:t xml:space="preserve"> </w:t>
      </w:r>
      <w:r>
        <w:t xml:space="preserve">assays, or independently), which the pipeline aggregates via the</w:t>
      </w:r>
      <w:r>
        <w:t xml:space="preserve"> </w:t>
      </w:r>
      <w:r>
        <w:t xml:space="preserve">median into one value per (compound, assay type) pair rather than</w:t>
      </w:r>
      <w:r>
        <w:t xml:space="preserve"> </w:t>
      </w:r>
      <w:r>
        <w:t xml:space="preserve">leaving duplicates that would silently overweight those compounds in</w:t>
      </w:r>
      <w:r>
        <w:t xml:space="preserve"> </w:t>
      </w:r>
      <w:r>
        <w:t xml:space="preserve">any downstream model.</w:t>
      </w:r>
    </w:p>
    <w:p>
      <w:pPr>
        <w:pStyle w:val="Compact"/>
        <w:numPr>
          <w:ilvl w:val="0"/>
          <w:numId w:val="1002"/>
        </w:numPr>
      </w:pPr>
      <w:r>
        <w:t xml:space="preserve">After standardization (§4.1) and cleaning, 200 raw records reduced to</w:t>
      </w:r>
      <w:r>
        <w:t xml:space="preserve"> </w:t>
      </w:r>
      <w:r>
        <w:t xml:space="preserve">142 unique, clean (compound, assay type) rows, of which 141 pass</w:t>
      </w:r>
      <w:r>
        <w:t xml:space="preserve"> </w:t>
      </w:r>
      <w:r>
        <w:t xml:space="preserve">Lipinski’s Rule of Five — consistent with the fact that this dataset</w:t>
      </w:r>
      <w:r>
        <w:t xml:space="preserve"> </w:t>
      </w:r>
      <w:r>
        <w:t xml:space="preserve">is almost entirely small-molecule kinase inhibitors, the expected</w:t>
      </w:r>
      <w:r>
        <w:t xml:space="preserve"> </w:t>
      </w:r>
      <w:r>
        <w:t xml:space="preserve">chemotype for an oncology target like EGFR.</w:t>
      </w:r>
    </w:p>
    <w:bookmarkStart w:id="19" w:name="a-note-on-resilience"/>
    <w:p>
      <w:pPr>
        <w:pStyle w:val="Heading3"/>
      </w:pPr>
      <w:r>
        <w:t xml:space="preserve">A note on resilience</w:t>
      </w:r>
    </w:p>
    <w:p>
      <w:pPr>
        <w:pStyle w:val="FirstParagraph"/>
      </w:pPr>
      <w:r>
        <w:t xml:space="preserve">While building this chapter, the live ChEMBL API returned intermittent</w:t>
      </w:r>
      <w:r>
        <w:t xml:space="preserve"> </w:t>
      </w:r>
      <w:r>
        <w:t xml:space="preserve">HTTP 500 errors and timeouts for a period (unrelated to this project —</w:t>
      </w:r>
      <w:r>
        <w:t xml:space="preserve"> </w:t>
      </w:r>
      <w:r>
        <w:t xml:space="preserve">confirmed by testing the RCSB PDB API as a control at the same time,</w:t>
      </w:r>
      <w:r>
        <w:t xml:space="preserve"> </w:t>
      </w:r>
      <w:r>
        <w:t xml:space="preserve">which responded normally throughout). Rather than treat that as</w:t>
      </w:r>
      <w:r>
        <w:t xml:space="preserve"> </w:t>
      </w:r>
      <w:r>
        <w:t xml:space="preserve">something to wait out, the pipeline is built to survive it: raw extracts</w:t>
      </w:r>
      <w:r>
        <w:t xml:space="preserve"> </w:t>
      </w:r>
      <w:r>
        <w:t xml:space="preserve">are cached to disk (</w:t>
      </w:r>
      <w:r>
        <w:rPr>
          <w:rStyle w:val="VerbatimChar"/>
        </w:rPr>
        <w:t xml:space="preserve">save_raw_json</w:t>
      </w:r>
      <w:r>
        <w:t xml:space="preserve">/</w:t>
      </w:r>
      <w:r>
        <w:rPr>
          <w:rStyle w:val="VerbatimChar"/>
        </w:rPr>
        <w:t xml:space="preserve">load_raw_json</w:t>
      </w:r>
      <w:r>
        <w:t xml:space="preserve">), a real 200-record</w:t>
      </w:r>
      <w:r>
        <w:t xml:space="preserve"> </w:t>
      </w:r>
      <w:r>
        <w:t xml:space="preserve">extract is bundled in this repository as</w:t>
      </w:r>
      <w:r>
        <w:t xml:space="preserve"> </w:t>
      </w:r>
      <w:r>
        <w:rPr>
          <w:rStyle w:val="VerbatimChar"/>
        </w:rPr>
        <w:t xml:space="preserve">data/raw_egfr_bioactivities_sample.json</w:t>
      </w:r>
      <w:r>
        <w:t xml:space="preserve"> </w:t>
      </w:r>
      <w:r>
        <w:t xml:space="preserve">(fetched 2026-08-16, while the API was healthy) so the transform/load</w:t>
      </w:r>
      <w:r>
        <w:t xml:space="preserve"> </w:t>
      </w:r>
      <w:r>
        <w:t xml:space="preserve">logic and test suite run fully offline and deterministically, and the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--use-cached-raw</w:t>
      </w:r>
      <w:r>
        <w:t xml:space="preserve">) falls back to that fixture automatically if a</w:t>
      </w:r>
      <w:r>
        <w:t xml:space="preserve"> </w:t>
      </w:r>
      <w:r>
        <w:t xml:space="preserve">live request fails. This is not a hypothetical design choice — it is a</w:t>
      </w:r>
      <w:r>
        <w:t xml:space="preserve"> </w:t>
      </w:r>
      <w:r>
        <w:t xml:space="preserve">direct, documented response to a real external outage encountered during</w:t>
      </w:r>
      <w:r>
        <w:t xml:space="preserve"> </w:t>
      </w:r>
      <w:r>
        <w:t xml:space="preserve">this chapter’s own development, and it is the same lesson the economics</w:t>
      </w:r>
      <w:r>
        <w:t xml:space="preserve"> </w:t>
      </w:r>
      <w:r>
        <w:t xml:space="preserve">in Chapter 1 §1.1 make about attrition: build pipelines that degrade</w:t>
      </w:r>
      <w:r>
        <w:t xml:space="preserve"> </w:t>
      </w:r>
      <w:r>
        <w:t xml:space="preserve">gracefully rather than ones that assume every dependency stays up.</w:t>
      </w:r>
    </w:p>
    <w:p>
      <w:pPr>
        <w:pStyle w:val="BodyText"/>
      </w:pPr>
      <w:r>
        <w:t xml:space="preserve">See</w:t>
      </w:r>
      <w:r>
        <w:t xml:space="preserve"> </w:t>
      </w:r>
      <w:hyperlink r:id="rId17">
        <w:r>
          <w:rPr>
            <w:rStyle w:val="VerbatimChar"/>
          </w:rPr>
          <w:t xml:space="preserve">README.md</w:t>
        </w:r>
      </w:hyperlink>
      <w:r>
        <w:t xml:space="preserve"> </w:t>
      </w:r>
      <w:r>
        <w:t xml:space="preserve">for setup and usage, and</w:t>
      </w:r>
      <w:r>
        <w:t xml:space="preserve"> </w:t>
      </w:r>
      <w:hyperlink r:id="rId18">
        <w:r>
          <w:rPr>
            <w:rStyle w:val="VerbatimChar"/>
          </w:rPr>
          <w:t xml:space="preserve">etl_pipeline.py</w:t>
        </w:r>
      </w:hyperlink>
      <w:r>
        <w:t xml:space="preserve"> </w:t>
      </w:r>
      <w:r>
        <w:t xml:space="preserve">for the implementation.</w:t>
      </w:r>
    </w:p>
    <w:bookmarkEnd w:id="19"/>
    <w:bookmarkStart w:id="20" w:name="a-note-on-google-colab"/>
    <w:p>
      <w:pPr>
        <w:pStyle w:val="Heading3"/>
      </w:pPr>
      <w:r>
        <w:t xml:space="preserve">A note on Google Colab</w:t>
      </w:r>
    </w:p>
    <w:p>
      <w:pPr>
        <w:pStyle w:val="FirstParagraph"/>
      </w:pPr>
      <w:r>
        <w:t xml:space="preserve">This project’s dependencies (</w:t>
      </w:r>
      <w:r>
        <w:rPr>
          <w:rStyle w:val="VerbatimChar"/>
        </w:rPr>
        <w:t xml:space="preserve">rdkit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) match Chapters 2 and</w:t>
      </w:r>
      <w:r>
        <w:t xml:space="preserve"> </w:t>
      </w:r>
      <w:r>
        <w:t xml:space="preserve">1 respectively; install with</w:t>
      </w:r>
      <w:r>
        <w:t xml:space="preserve"> </w:t>
      </w:r>
      <w:r>
        <w:rPr>
          <w:rStyle w:val="VerbatimChar"/>
        </w:rPr>
        <w:t xml:space="preserve">!pip install rdkit</w:t>
      </w:r>
      <w:r>
        <w:t xml:space="preserve"> </w:t>
      </w:r>
      <w:r>
        <w:t xml:space="preserve">if it is not already</w:t>
      </w:r>
      <w:r>
        <w:t xml:space="preserve"> </w:t>
      </w:r>
      <w:r>
        <w:t xml:space="preserve">present in the runtime. No GPU is required.</w:t>
      </w:r>
    </w:p>
    <w:bookmarkEnd w:id="20"/>
    <w:bookmarkEnd w:id="21"/>
    <w:bookmarkStart w:id="22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Ramsundar, B., Eastman, P., Walters, P., Pande, V., Leswing, K., &amp; Wu,</w:t>
      </w:r>
      <w:r>
        <w:t xml:space="preserve"> </w:t>
      </w:r>
      <w:r>
        <w:t xml:space="preserve">Z. (2019).</w:t>
      </w:r>
      <w:r>
        <w:t xml:space="preserve"> </w:t>
      </w:r>
      <w:r>
        <w:rPr>
          <w:i/>
          <w:iCs/>
        </w:rPr>
        <w:t xml:space="preserve">Deep Learning for the Life Sciences</w:t>
      </w:r>
      <w:r>
        <w:t xml:space="preserve">. O’Reilly Media.</w:t>
      </w:r>
      <w:r>
        <w:t xml:space="preserve"> </w:t>
      </w:r>
      <w:r>
        <w:t xml:space="preserve">(DeepChem’s own documented citation; there is no separate DeepChem</w:t>
      </w:r>
      <w:r>
        <w:t xml:space="preserve"> </w:t>
      </w:r>
      <w:r>
        <w:t xml:space="preserve">journal paper.)</w:t>
      </w:r>
    </w:p>
    <w:p>
      <w:pPr>
        <w:pStyle w:val="Compact"/>
        <w:numPr>
          <w:ilvl w:val="0"/>
          <w:numId w:val="1003"/>
        </w:numPr>
      </w:pPr>
      <w:r>
        <w:t xml:space="preserve">Wu, Z., Ramsundar, B., Feinberg, E. N., Gomes, J., Geniesse, C., Pappu,</w:t>
      </w:r>
      <w:r>
        <w:t xml:space="preserve"> </w:t>
      </w:r>
      <w:r>
        <w:t xml:space="preserve">A. S., Leswing, K., &amp; Pande, V. (2018). MoleculeNet: a benchmark for</w:t>
      </w:r>
      <w:r>
        <w:t xml:space="preserve"> </w:t>
      </w:r>
      <w:r>
        <w:t xml:space="preserve">molecular machine learning.</w:t>
      </w:r>
      <w:r>
        <w:t xml:space="preserve"> </w:t>
      </w:r>
      <w:r>
        <w:rPr>
          <w:i/>
          <w:iCs/>
        </w:rPr>
        <w:t xml:space="preserve">Chemical Science</w:t>
      </w:r>
      <w:r>
        <w:t xml:space="preserve">, 9(2), 513–530.</w:t>
      </w:r>
      <w:r>
        <w:t xml:space="preserve"> </w:t>
      </w:r>
      <w:r>
        <w:t xml:space="preserve">https://doi.org/10.1039/C7SC02664A</w:t>
      </w:r>
    </w:p>
    <w:p>
      <w:pPr>
        <w:pStyle w:val="Compact"/>
        <w:numPr>
          <w:ilvl w:val="0"/>
          <w:numId w:val="1003"/>
        </w:numPr>
      </w:pPr>
      <w:r>
        <w:t xml:space="preserve">Cock, P. J. A., Antao, T., Chang, J. T., Chapman, B. A., Cox, C. J.,</w:t>
      </w:r>
      <w:r>
        <w:t xml:space="preserve"> </w:t>
      </w:r>
      <w:r>
        <w:t xml:space="preserve">Dalke, A., Friedberg, I., Hamelryck, T., Kauff, F., Wilczynski, B., &amp;</w:t>
      </w:r>
      <w:r>
        <w:t xml:space="preserve"> </w:t>
      </w:r>
      <w:r>
        <w:t xml:space="preserve">de Hoon, M. J. L. (2009). Biopython: freely available Python tools for</w:t>
      </w:r>
      <w:r>
        <w:t xml:space="preserve"> </w:t>
      </w:r>
      <w:r>
        <w:t xml:space="preserve">computational molecular biology and bioinformatics.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,</w:t>
      </w:r>
      <w:r>
        <w:t xml:space="preserve"> </w:t>
      </w:r>
      <w:r>
        <w:t xml:space="preserve">25(11), 1422–1423. https://doi.org/10.1093/bioinformatics/btp163</w:t>
      </w:r>
    </w:p>
    <w:p>
      <w:pPr>
        <w:pStyle w:val="Compact"/>
        <w:numPr>
          <w:ilvl w:val="0"/>
          <w:numId w:val="1003"/>
        </w:numPr>
      </w:pPr>
      <w:r>
        <w:t xml:space="preserve">Kim, S., Chen, J., Cheng, T., Gindulyte, A., He, J., He, S., Li, Q.,</w:t>
      </w:r>
      <w:r>
        <w:t xml:space="preserve"> </w:t>
      </w:r>
      <w:r>
        <w:t xml:space="preserve">Shoemaker, B. A., Thiessen, P. A., Yu, B., Zaslavsky, L., Zhang, J., &amp;</w:t>
      </w:r>
      <w:r>
        <w:t xml:space="preserve"> </w:t>
      </w:r>
      <w:r>
        <w:t xml:space="preserve">Bolton, E. E. (2023). PubChem 2023 update.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,</w:t>
      </w:r>
      <w:r>
        <w:t xml:space="preserve"> </w:t>
      </w:r>
      <w:r>
        <w:t xml:space="preserve">51(D1), D1373–D1380. https://doi.org/10.1093/nar/gkac956</w:t>
      </w:r>
    </w:p>
    <w:p>
      <w:pPr>
        <w:pStyle w:val="Compact"/>
        <w:numPr>
          <w:ilvl w:val="0"/>
          <w:numId w:val="1003"/>
        </w:numPr>
      </w:pPr>
      <w:r>
        <w:t xml:space="preserve">Gilson, M. K., Liu, T., Baitaluk, M., Nicola, G., Hwang, L., &amp; Chong,</w:t>
      </w:r>
      <w:r>
        <w:t xml:space="preserve"> </w:t>
      </w:r>
      <w:r>
        <w:t xml:space="preserve">J. (2016). BindingDB in 2015: A public database for medicinal</w:t>
      </w:r>
      <w:r>
        <w:t xml:space="preserve"> </w:t>
      </w:r>
      <w:r>
        <w:t xml:space="preserve">chemistry, computational chemistry and systems pharmacology.</w:t>
      </w:r>
      <w:r>
        <w:t xml:space="preserve"> </w:t>
      </w:r>
      <w:r>
        <w:rPr>
          <w:i/>
          <w:iCs/>
        </w:rPr>
        <w:t xml:space="preserve">Nucleic</w:t>
      </w:r>
      <w:r>
        <w:rPr>
          <w:i/>
          <w:iCs/>
        </w:rPr>
        <w:t xml:space="preserve"> </w:t>
      </w:r>
      <w:r>
        <w:rPr>
          <w:i/>
          <w:iCs/>
        </w:rPr>
        <w:t xml:space="preserve">Acids Research</w:t>
      </w:r>
      <w:r>
        <w:t xml:space="preserve">, 44(D1), D1045–D1053.</w:t>
      </w:r>
      <w:r>
        <w:t xml:space="preserve"> </w:t>
      </w:r>
      <w:r>
        <w:t xml:space="preserve">https://doi.org/10.1093/nar/gkv1072</w:t>
      </w:r>
    </w:p>
    <w:p>
      <w:pPr>
        <w:pStyle w:val="Compact"/>
        <w:numPr>
          <w:ilvl w:val="0"/>
          <w:numId w:val="1003"/>
        </w:numPr>
      </w:pPr>
      <w:r>
        <w:t xml:space="preserve">UniProt Consortium. (2025). UniProt: the Universal Protein</w:t>
      </w:r>
      <w:r>
        <w:t xml:space="preserve"> </w:t>
      </w:r>
      <w:r>
        <w:t xml:space="preserve">Knowledgebase in 2025.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, 53(D1), D609–D617.</w:t>
      </w:r>
      <w:r>
        <w:t xml:space="preserve"> </w:t>
      </w:r>
      <w:r>
        <w:t xml:space="preserve">https://doi.org/10.1093/nar/gkae1010</w:t>
      </w:r>
    </w:p>
    <w:p>
      <w:pPr>
        <w:pStyle w:val="FirstParagraph"/>
      </w:pPr>
      <w:r>
        <w:t xml:space="preserve">RDKit itself has no official journal publication; its maintainers’</w:t>
      </w:r>
      <w:r>
        <w:t xml:space="preserve"> </w:t>
      </w:r>
      <w:r>
        <w:t xml:space="preserve">recommended citation is</w:t>
      </w:r>
      <w:r>
        <w:t xml:space="preserve"> </w:t>
      </w:r>
      <w:r>
        <w:t xml:space="preserve">“RDKit: Open-source cheminformatics.</w:t>
      </w:r>
      <w:r>
        <w:t xml:space="preserve"> </w:t>
      </w:r>
      <w:r>
        <w:t xml:space="preserve">https://www.rdkit.org”</w:t>
      </w:r>
      <w:r>
        <w:t xml:space="preserve"> </w:t>
      </w:r>
      <w:r>
        <w:t xml:space="preserve">(confirmed directly from the project’s own</w:t>
      </w:r>
      <w:r>
        <w:t xml:space="preserve"> </w:t>
      </w:r>
      <w:r>
        <w:t xml:space="preserve">documentation before use here). See also Chapter 1’s references for</w:t>
      </w:r>
      <w:r>
        <w:t xml:space="preserve"> </w:t>
      </w:r>
      <w:r>
        <w:t xml:space="preserve">Mendez et al. (2019, ChEMBL), the wwPDB consortium (2019, PDB/mmCIF),</w:t>
      </w:r>
      <w:r>
        <w:t xml:space="preserve"> </w:t>
      </w:r>
      <w:r>
        <w:t xml:space="preserve">and Lipinski et al. (2001, Rule of Five) — all reused here rather than</w:t>
      </w:r>
      <w:r>
        <w:t xml:space="preserve"> </w:t>
      </w:r>
      <w:r>
        <w:t xml:space="preserve">re-listed.</w:t>
      </w:r>
    </w:p>
    <w:p>
      <w:pPr>
        <w:pStyle w:val="BodyText"/>
      </w:pPr>
      <w:r>
        <w:t xml:space="preserve">The raw bioactivity counts, filtering results, and Lipinski pass-rate</w:t>
      </w:r>
      <w:r>
        <w:t xml:space="preserve"> </w:t>
      </w:r>
      <w:r>
        <w:t xml:space="preserve">cited in §4.5 were computed directly by running</w:t>
      </w:r>
      <w:r>
        <w:t xml:space="preserve"> </w:t>
      </w:r>
      <w:r>
        <w:rPr>
          <w:rStyle w:val="VerbatimChar"/>
        </w:rPr>
        <w:t xml:space="preserve">etl_pipeline.py</w:t>
      </w:r>
      <w:r>
        <w:t xml:space="preserve"> </w:t>
      </w:r>
      <w:r>
        <w:t xml:space="preserve">against the live ChEMBL API on 2026-08-16, not taken from a secondary</w:t>
      </w:r>
      <w:r>
        <w:t xml:space="preserve"> </w:t>
      </w:r>
      <w:r>
        <w:t xml:space="preserve">source — see</w:t>
      </w:r>
      <w:r>
        <w:t xml:space="preserve"> </w:t>
      </w:r>
      <w:r>
        <w:rPr>
          <w:rStyle w:val="VerbatimChar"/>
        </w:rPr>
        <w:t xml:space="preserve">data/raw_egfr_bioactivities_sample.json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etl_pipeline.py</w:t>
      </w:r>
      <w:r>
        <w:t xml:space="preserve"> </w:t>
      </w:r>
      <w:r>
        <w:t xml:space="preserve">to reproduce.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README.md" TargetMode="External" /><Relationship Type="http://schemas.openxmlformats.org/officeDocument/2006/relationships/hyperlink" Id="rId18" Target="etl_pipeline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README.md" TargetMode="External" /><Relationship Type="http://schemas.openxmlformats.org/officeDocument/2006/relationships/hyperlink" Id="rId18" Target="etl_pipeline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4: Core Toolkit &amp; Biological Data Engineering</dc:title>
  <dc:creator/>
  <cp:keywords/>
  <dcterms:created xsi:type="dcterms:W3CDTF">2026-08-16T11:33:44Z</dcterms:created>
  <dcterms:modified xsi:type="dcterms:W3CDTF">2026-08-16T11:33:44Z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