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apter-5-qsar-admet-property-modeling"/>
    <w:p>
      <w:pPr>
        <w:pStyle w:val="Heading1"/>
      </w:pPr>
      <w:r>
        <w:t xml:space="preserve">Chapter 5: QSAR &amp; ADMET Property Modeling</w:t>
      </w:r>
    </w:p>
    <w:p>
      <w:pPr>
        <w:pStyle w:val="FirstParagraph"/>
      </w:pPr>
      <w:r>
        <w:t xml:space="preserve">Chapter 4 closed by promising that DeepChem, introduced there as a</w:t>
      </w:r>
      <w:r>
        <w:t xml:space="preserve"> </w:t>
      </w:r>
      <w:r>
        <w:t xml:space="preserve">framework layer over RDKit,</w:t>
      </w:r>
      <w:r>
        <w:t xml:space="preserve"> </w:t>
      </w:r>
      <w:r>
        <w:t xml:space="preserve">“becomes the more direct, load-bearing tool</w:t>
      </w:r>
      <w:r>
        <w:t xml:space="preserve"> </w:t>
      </w:r>
      <w:r>
        <w:t xml:space="preserve">starting in Chapter 5.”</w:t>
      </w:r>
      <w:r>
        <w:t xml:space="preserve"> </w:t>
      </w:r>
      <w:r>
        <w:t xml:space="preserve">Building this chapter’s hands-on project</w:t>
      </w:r>
      <w:r>
        <w:t xml:space="preserve"> </w:t>
      </w:r>
      <w:r>
        <w:t xml:space="preserve">surfaced a concrete reason to revisit that plan rather than follow it</w:t>
      </w:r>
      <w:r>
        <w:t xml:space="preserve"> </w:t>
      </w:r>
      <w:r>
        <w:t xml:space="preserve">literally — documented honestly in Section 5.5, in the same spirit as</w:t>
      </w:r>
      <w:r>
        <w:t xml:space="preserve"> </w:t>
      </w:r>
      <w:r>
        <w:t xml:space="preserve">Chapter 4’s own note on the live ChEMBL API outage it encountered. What</w:t>
      </w:r>
      <w:r>
        <w:t xml:space="preserve"> </w:t>
      </w:r>
      <w:r>
        <w:t xml:space="preserve">this chapter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build directly on Chapter 4: the ETL pipeline’s</w:t>
      </w:r>
      <w:r>
        <w:t xml:space="preserve"> </w:t>
      </w:r>
      <w:r>
        <w:t xml:space="preserve">output — a clean, one-row-per-compound table of standardized structures</w:t>
      </w:r>
      <w:r>
        <w:t xml:space="preserve"> </w:t>
      </w:r>
      <w:r>
        <w:t xml:space="preserve">and measured bioactivities — is exactly the shape of dataset a QSAR</w:t>
      </w:r>
      <w:r>
        <w:t xml:space="preserve"> </w:t>
      </w:r>
      <w:r>
        <w:t xml:space="preserve">model trains on. This chapter turns that table into predictions.</w:t>
      </w:r>
    </w:p>
    <w:bookmarkStart w:id="9" w:name="qsar-principles"/>
    <w:p>
      <w:pPr>
        <w:pStyle w:val="Heading2"/>
      </w:pPr>
      <w:r>
        <w:t xml:space="preserve">5.1 QSAR Principles</w:t>
      </w:r>
    </w:p>
    <w:p>
      <w:pPr>
        <w:pStyle w:val="FirstParagraph"/>
      </w:pPr>
      <w:r>
        <w:rPr>
          <w:b/>
          <w:bCs/>
        </w:rPr>
        <w:t xml:space="preserve">QSAR</w:t>
      </w:r>
      <w:r>
        <w:t xml:space="preserve"> </w:t>
      </w:r>
      <w:r>
        <w:t xml:space="preserve">(Quantitative Structure-Activity Relationship) modeling is the</w:t>
      </w:r>
      <w:r>
        <w:t xml:space="preserve"> </w:t>
      </w:r>
      <w:r>
        <w:t xml:space="preserve">premise that a molecule’s structure determines its biological or</w:t>
      </w:r>
      <w:r>
        <w:t xml:space="preserve"> </w:t>
      </w:r>
      <w:r>
        <w:t xml:space="preserve">physicochemical behavior closely enough that a model fit on</w:t>
      </w:r>
      <w:r>
        <w:t xml:space="preserve"> </w:t>
      </w:r>
      <w:r>
        <w:t xml:space="preserve">(structure, measured property) pairs can predict that property for a</w:t>
      </w:r>
      <w:r>
        <w:t xml:space="preserve"> </w:t>
      </w:r>
      <w:r>
        <w:t xml:space="preserve">new, untested structure. Structure enters the model exactly as Chapter 2</w:t>
      </w:r>
      <w:r>
        <w:t xml:space="preserve"> </w:t>
      </w:r>
      <w:r>
        <w:t xml:space="preserve">represented it — most commonly as a fingerprint, since a fixed-length</w:t>
      </w:r>
      <w:r>
        <w:t xml:space="preserve"> </w:t>
      </w:r>
      <w:r>
        <w:t xml:space="preserve">bit vector is what a standard supervised learning algorithm expects as</w:t>
      </w:r>
      <w:r>
        <w:t xml:space="preserve"> </w:t>
      </w:r>
      <w:r>
        <w:t xml:space="preserve">input — and the model outputs either a continuous value (</w:t>
      </w:r>
      <w:r>
        <w:rPr>
          <w:b/>
          <w:bCs/>
        </w:rPr>
        <w:t xml:space="preserve">regression</w:t>
      </w:r>
      <w:r>
        <w:t xml:space="preserve">:</w:t>
      </w:r>
      <w:r>
        <w:t xml:space="preserve"> </w:t>
      </w:r>
      <w:r>
        <w:t xml:space="preserve">predict an IC50, a solubility, a clearance rate) or a discrete label</w:t>
      </w:r>
      <w:r>
        <w:t xml:space="preserve"> </w:t>
      </w:r>
      <w:r>
        <w:t xml:space="preserve">(</w:t>
      </w:r>
      <w:r>
        <w:rPr>
          <w:b/>
          <w:bCs/>
        </w:rPr>
        <w:t xml:space="preserve">classification</w:t>
      </w:r>
      <w:r>
        <w:t xml:space="preserve">: predict active/inactive, blocker/non-blocker). This</w:t>
      </w:r>
      <w:r>
        <w:t xml:space="preserve"> </w:t>
      </w:r>
      <w:r>
        <w:t xml:space="preserve">chapter’s hands-on project (Section 5.5) is a classification task.</w:t>
      </w:r>
    </w:p>
    <w:p>
      <w:pPr>
        <w:pStyle w:val="BodyText"/>
      </w:pPr>
      <w:r>
        <w:t xml:space="preserve">The field’s methodology has shifted substantially in emphasis, though</w:t>
      </w:r>
      <w:r>
        <w:t xml:space="preserve"> </w:t>
      </w:r>
      <w:r>
        <w:t xml:space="preserve">not in its core premise, over several decades. Classical QSAR — the</w:t>
      </w:r>
      <w:r>
        <w:t xml:space="preserve"> </w:t>
      </w:r>
      <w:r>
        <w:t xml:space="preserve">Hansch-type linear regression analyses that gave the field its name —</w:t>
      </w:r>
      <w:r>
        <w:t xml:space="preserve"> </w:t>
      </w:r>
      <w:r>
        <w:t xml:space="preserve">fit a small number of hand-selected physicochemical descriptors (LogP,</w:t>
      </w:r>
      <w:r>
        <w:t xml:space="preserve"> </w:t>
      </w:r>
      <w:r>
        <w:t xml:space="preserve">molar refractivity, Hammett substituent constants) against a linear</w:t>
      </w:r>
      <w:r>
        <w:t xml:space="preserve"> </w:t>
      </w:r>
      <w:r>
        <w:t xml:space="preserve">model, favoring interpretability: each coefficient has a direct</w:t>
      </w:r>
      <w:r>
        <w:t xml:space="preserve"> </w:t>
      </w:r>
      <w:r>
        <w:t xml:space="preserve">chemical meaning. Modern QSAR, including this chapter’s project,</w:t>
      </w:r>
      <w:r>
        <w:t xml:space="preserve"> </w:t>
      </w:r>
      <w:r>
        <w:t xml:space="preserve">typically fits a non-linear ensemble model (Random Forest, gradient</w:t>
      </w:r>
      <w:r>
        <w:t xml:space="preserve"> </w:t>
      </w:r>
      <w:r>
        <w:t xml:space="preserve">boosted trees) or a deep neural network on a high-dimensional</w:t>
      </w:r>
      <w:r>
        <w:t xml:space="preserve"> </w:t>
      </w:r>
      <w:r>
        <w:t xml:space="preserve">fingerprint or a learned representation, trading some of that</w:t>
      </w:r>
      <w:r>
        <w:t xml:space="preserve"> </w:t>
      </w:r>
      <w:r>
        <w:t xml:space="preserve">per-descriptor interpretability for substantially better predictive</w:t>
      </w:r>
      <w:r>
        <w:t xml:space="preserve"> </w:t>
      </w:r>
      <w:r>
        <w:t xml:space="preserve">accuracy on complex, non-additive structure-activity relationships.</w:t>
      </w:r>
      <w:r>
        <w:t xml:space="preserve"> </w:t>
      </w:r>
      <w:r>
        <w:t xml:space="preserve">Section 5.3 covers three specific non-linear methods in this modern</w:t>
      </w:r>
      <w:r>
        <w:t xml:space="preserve"> </w:t>
      </w:r>
      <w:r>
        <w:t xml:space="preserve">line; Chapter 6 covers the further step of learning the representation</w:t>
      </w:r>
      <w:r>
        <w:t xml:space="preserve"> </w:t>
      </w:r>
      <w:r>
        <w:t xml:space="preserve">itself (graph neural networks) rather than fixing it as a Chapter 2</w:t>
      </w:r>
      <w:r>
        <w:t xml:space="preserve"> </w:t>
      </w:r>
      <w:r>
        <w:t xml:space="preserve">fingerprint beforehand.</w:t>
      </w:r>
    </w:p>
    <w:p>
      <w:pPr>
        <w:pStyle w:val="BodyText"/>
      </w:pPr>
      <w:r>
        <w:t xml:space="preserve">One property of chemical data is easy to overlook coming from generic</w:t>
      </w:r>
      <w:r>
        <w:t xml:space="preserve"> </w:t>
      </w:r>
      <w:r>
        <w:t xml:space="preserve">supervised learning and becomes central to this chapter: training</w:t>
      </w:r>
      <w:r>
        <w:t xml:space="preserve"> </w:t>
      </w:r>
      <w:r>
        <w:t xml:space="preserve">examples are not independent and identically distributed in the way a</w:t>
      </w:r>
      <w:r>
        <w:t xml:space="preserve"> </w:t>
      </w:r>
      <w:r>
        <w:t xml:space="preserve">generic ML textbook assumes. Chemical libraries cluster into families of</w:t>
      </w:r>
      <w:r>
        <w:t xml:space="preserve"> </w:t>
      </w:r>
      <w:r>
        <w:t xml:space="preserve">close structural analogues built on the same synthetic scaffold — dozens</w:t>
      </w:r>
      <w:r>
        <w:t xml:space="preserve"> </w:t>
      </w:r>
      <w:r>
        <w:t xml:space="preserve">of compounds that differ only in a substituent — so two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training examples can be nearly redundant. Section 5.4 shows exactly why</w:t>
      </w:r>
      <w:r>
        <w:t xml:space="preserve"> </w:t>
      </w:r>
      <w:r>
        <w:t xml:space="preserve">this matters: it determines whether a train/test split actually measures</w:t>
      </w:r>
      <w:r>
        <w:t xml:space="preserve"> </w:t>
      </w:r>
      <w:r>
        <w:t xml:space="preserve">generalization to new chemical space, or measures something closer to</w:t>
      </w:r>
      <w:r>
        <w:t xml:space="preserve"> </w:t>
      </w:r>
      <w:r>
        <w:t xml:space="preserve">interpolation between near-duplicates.</w:t>
      </w:r>
    </w:p>
    <w:bookmarkEnd w:id="9"/>
    <w:bookmarkStart w:id="10" w:name="admet-profiling"/>
    <w:p>
      <w:pPr>
        <w:pStyle w:val="Heading2"/>
      </w:pPr>
      <w:r>
        <w:t xml:space="preserve">5.2 ADMET Profiling</w:t>
      </w:r>
    </w:p>
    <w:p>
      <w:pPr>
        <w:pStyle w:val="FirstParagraph"/>
      </w:pPr>
      <w:r>
        <w:t xml:space="preserve">Chapter 1 (Section 1.1) established that most clinical drug candidates</w:t>
      </w:r>
      <w:r>
        <w:t xml:space="preserve"> </w:t>
      </w:r>
      <w:r>
        <w:t xml:space="preserve">fail, and that failure is concentrated in efficacy — but efficacy is not</w:t>
      </w:r>
      <w:r>
        <w:t xml:space="preserve"> </w:t>
      </w:r>
      <w:r>
        <w:t xml:space="preserve">the only thing that has to hold up.</w:t>
      </w:r>
      <w:r>
        <w:t xml:space="preserve"> </w:t>
      </w:r>
      <w:r>
        <w:rPr>
          <w:b/>
          <w:bCs/>
        </w:rPr>
        <w:t xml:space="preserve">ADMET</w:t>
      </w:r>
      <w:r>
        <w:t xml:space="preserve"> </w:t>
      </w:r>
      <w:r>
        <w:t xml:space="preserve">— Absorption, Distribution,</w:t>
      </w:r>
      <w:r>
        <w:t xml:space="preserve"> </w:t>
      </w:r>
      <w:r>
        <w:t xml:space="preserve">Metabolism, Excretion, and Toxicity — is the standard shorthand for the</w:t>
      </w:r>
      <w:r>
        <w:t xml:space="preserve"> </w:t>
      </w:r>
      <w:r>
        <w:t xml:space="preserve">pharmacokinetic and safety properties that determine whether an</w:t>
      </w:r>
      <w:r>
        <w:t xml:space="preserve"> </w:t>
      </w:r>
      <w:r>
        <w:t xml:space="preserve">efficacious compound can actually become a viable, safely dosable drug.</w:t>
      </w:r>
      <w:r>
        <w:t xml:space="preserve"> </w:t>
      </w:r>
      <w:r>
        <w:t xml:space="preserve">Van de Waterbeemd and Gifford (2003), in an early and still-influential</w:t>
      </w:r>
      <w:r>
        <w:t xml:space="preserve"> </w:t>
      </w:r>
      <w:r>
        <w:t xml:space="preserve">assessment of the field, framed the core promise and the core difficulty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in silico</w:t>
      </w:r>
      <w:r>
        <w:t xml:space="preserve"> </w:t>
      </w:r>
      <w:r>
        <w:t xml:space="preserve">ADMET modeling in the same phrase: computational</w:t>
      </w:r>
      <w:r>
        <w:t xml:space="preserve"> </w:t>
      </w:r>
      <w:r>
        <w:t xml:space="preserve">prediction could move these assessments far earlier in the pipeline than</w:t>
      </w:r>
      <w:r>
        <w:t xml:space="preserve"> </w:t>
      </w:r>
      <w:r>
        <w:t xml:space="preserve">the animal and human studies that traditionally measure them directly —</w:t>
      </w:r>
      <w:r>
        <w:t xml:space="preserve"> </w:t>
      </w:r>
      <w:r>
        <w:t xml:space="preserve">“towards prediction paradise”</w:t>
      </w:r>
      <w:r>
        <w:t xml:space="preserve"> </w:t>
      </w:r>
      <w:r>
        <w:t xml:space="preserve">— but only to the extent the underlying</w:t>
      </w:r>
      <w:r>
        <w:t xml:space="preserve"> </w:t>
      </w:r>
      <w:r>
        <w:t xml:space="preserve">models are trained on data that actually captures the relevant biology,</w:t>
      </w:r>
      <w:r>
        <w:t xml:space="preserve"> </w:t>
      </w:r>
      <w:r>
        <w:t xml:space="preserve">which for many ADMET endpoints has historically been scarcer and noisier</w:t>
      </w:r>
      <w:r>
        <w:t xml:space="preserve"> </w:t>
      </w:r>
      <w:r>
        <w:t xml:space="preserve">than potency data.</w:t>
      </w:r>
    </w:p>
    <w:p>
      <w:pPr>
        <w:pStyle w:val="BodyText"/>
      </w:pPr>
      <w:r>
        <w:t xml:space="preserve">This chapter’s hands-on project focuses on one specific, well-studied</w:t>
      </w:r>
      <w:r>
        <w:t xml:space="preserve"> </w:t>
      </w:r>
      <w:r>
        <w:t xml:space="preserve">toxicity endpoint:</w:t>
      </w:r>
      <w:r>
        <w:t xml:space="preserve"> </w:t>
      </w:r>
      <w:r>
        <w:rPr>
          <w:b/>
          <w:bCs/>
        </w:rPr>
        <w:t xml:space="preserve">hERG channel blockade</w:t>
      </w:r>
      <w:r>
        <w:t xml:space="preserve">. hERG (the human</w:t>
      </w:r>
      <w:r>
        <w:t xml:space="preserve"> </w:t>
      </w:r>
      <w:r>
        <w:t xml:space="preserve">Ether-à-go-go-Related Gene, official gene symbol</w:t>
      </w:r>
      <w:r>
        <w:t xml:space="preserve"> </w:t>
      </w:r>
      <w:r>
        <w:rPr>
          <w:i/>
          <w:iCs/>
        </w:rPr>
        <w:t xml:space="preserve">KCNH2</w:t>
      </w:r>
      <w:r>
        <w:t xml:space="preserve">) encodes the</w:t>
      </w:r>
      <w:r>
        <w:t xml:space="preserve"> </w:t>
      </w:r>
      <w:r>
        <w:t xml:space="preserve">pore-forming subunit of the Kv11.1 voltage-gated potassium channel,</w:t>
      </w:r>
      <w:r>
        <w:t xml:space="preserve"> </w:t>
      </w:r>
      <w:r>
        <w:t xml:space="preserve">responsible for the rapid delayed-rectifier current (</w:t>
      </w:r>
      <m:oMath>
        <m:sSub>
          <m:e>
            <m:r>
              <m:t>I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) that</w:t>
      </w:r>
      <w:r>
        <w:t xml:space="preserve"> </w:t>
      </w:r>
      <w:r>
        <w:t xml:space="preserve">repolarizes the cardiac action potential after each heartbeat.</w:t>
      </w:r>
      <w:r>
        <w:t xml:space="preserve"> </w:t>
      </w:r>
      <w:r>
        <w:t xml:space="preserve">Sanguinetti and Tristani-Firouzi (2006), reviewing the channel’s</w:t>
      </w:r>
      <w:r>
        <w:t xml:space="preserve"> </w:t>
      </w:r>
      <w:r>
        <w:t xml:space="preserve">biology, describe why it is disproportionately liable to off-target drug</w:t>
      </w:r>
      <w:r>
        <w:t xml:space="preserve"> </w:t>
      </w:r>
      <w:r>
        <w:t xml:space="preserve">binding: its pore cavity is unusually large and lined with aromatic</w:t>
      </w:r>
      <w:r>
        <w:t xml:space="preserve"> </w:t>
      </w:r>
      <w:r>
        <w:t xml:space="preserve">residues, allowing a structurally diverse range of otherwise unrelated</w:t>
      </w:r>
      <w:r>
        <w:t xml:space="preserve"> </w:t>
      </w:r>
      <w:r>
        <w:t xml:space="preserve">drugs to bind and block it, in a way most other ion channels do not</w:t>
      </w:r>
      <w:r>
        <w:t xml:space="preserve"> </w:t>
      </w:r>
      <w:r>
        <w:t xml:space="preserve">permit. Blocking hERG prolongs the cardiac action potential — measured</w:t>
      </w:r>
      <w:r>
        <w:t xml:space="preserve"> </w:t>
      </w:r>
      <w:r>
        <w:t xml:space="preserve">clinically as QT-interval prolongation — which increases the risk of</w:t>
      </w:r>
      <w:r>
        <w:t xml:space="preserve"> </w:t>
      </w:r>
      <w:r>
        <w:rPr>
          <w:i/>
          <w:iCs/>
        </w:rPr>
        <w:t xml:space="preserve">torsade de pointes</w:t>
      </w:r>
      <w:r>
        <w:t xml:space="preserve">, a potentially fatal ventricular arrhythmia. Because</w:t>
      </w:r>
      <w:r>
        <w:t xml:space="preserve"> </w:t>
      </w:r>
      <w:r>
        <w:t xml:space="preserve">this liability is (a) common across unrelated drug classes and (b)</w:t>
      </w:r>
      <w:r>
        <w:t xml:space="preserve"> </w:t>
      </w:r>
      <w:r>
        <w:t xml:space="preserve">potentially fatal, hERG screening is now a routine, early</w:t>
      </w:r>
      <w:r>
        <w:t xml:space="preserve"> </w:t>
      </w:r>
      <w:r>
        <w:t xml:space="preserve">safety-pharmacology checkpoint in essentially every small-molecule</w:t>
      </w:r>
      <w:r>
        <w:t xml:space="preserve"> </w:t>
      </w:r>
      <w:r>
        <w:t xml:space="preserve">discovery program, which is exactly what makes cheap, fast</w:t>
      </w:r>
      <w:r>
        <w:t xml:space="preserve"> </w:t>
      </w:r>
      <w:r>
        <w:rPr>
          <w:i/>
          <w:iCs/>
        </w:rPr>
        <w:t xml:space="preserve">in silico</w:t>
      </w:r>
      <w:r>
        <w:t xml:space="preserve"> </w:t>
      </w:r>
      <w:r>
        <w:t xml:space="preserve">hERG prediction valuable: flagging a likely liability before it costs a</w:t>
      </w:r>
      <w:r>
        <w:t xml:space="preserve"> </w:t>
      </w:r>
      <w:r>
        <w:t xml:space="preserve">wet-lab assay, an animal study, or — in the cases that motivated this</w:t>
      </w:r>
      <w:r>
        <w:t xml:space="preserve"> </w:t>
      </w:r>
      <w:r>
        <w:t xml:space="preserve">regulatory scrutiny in the first place — a clinical trial or a market</w:t>
      </w:r>
      <w:r>
        <w:t xml:space="preserve"> </w:t>
      </w:r>
      <w:r>
        <w:t xml:space="preserve">withdrawal.</w:t>
      </w:r>
    </w:p>
    <w:p>
      <w:pPr>
        <w:pStyle w:val="BodyText"/>
      </w:pPr>
      <w:r>
        <w:t xml:space="preserve">A binary blocker/non-blocker classification, which is what Section 5.5</w:t>
      </w:r>
      <w:r>
        <w:t xml:space="preserve"> </w:t>
      </w:r>
      <w:r>
        <w:t xml:space="preserve">builds, is a simplification of the property that actually matters</w:t>
      </w:r>
      <w:r>
        <w:t xml:space="preserve"> </w:t>
      </w:r>
      <w:r>
        <w:t xml:space="preserve">clinically. Redfern et al. (2003), analyzing hERG/</w:t>
      </w:r>
      <m:oMath>
        <m:sSub>
          <m:e>
            <m:r>
              <m:t>I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 </w:t>
      </w:r>
      <w:r>
        <w:t xml:space="preserve">potency</w:t>
      </w:r>
      <w:r>
        <w:t xml:space="preserve"> </w:t>
      </w:r>
      <w:r>
        <w:t xml:space="preserve">against clinical torsadogenic outcomes for 100 marketed and withdrawn</w:t>
      </w:r>
      <w:r>
        <w:t xml:space="preserve"> </w:t>
      </w:r>
      <w:r>
        <w:t xml:space="preserve">drugs, found that risk correlates far better with the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of hERG</w:t>
      </w:r>
      <w:r>
        <w:t xml:space="preserve"> </w:t>
      </w:r>
      <w:r>
        <w:t xml:space="preserve">IC50 to a drug’s effective free therapeutic plasma concentration than</w:t>
      </w:r>
      <w:r>
        <w:t xml:space="preserve"> </w:t>
      </w:r>
      <w:r>
        <w:t xml:space="preserve">with hERG IC50 in isolation — drugs later withdrawn for torsade risk</w:t>
      </w:r>
      <w:r>
        <w:t xml:space="preserve"> </w:t>
      </w:r>
      <w:r>
        <w:t xml:space="preserve">clustered at 0.1- to 31-fold separation from their therapeutic</w:t>
      </w:r>
      <w:r>
        <w:t xml:space="preserve"> </w:t>
      </w:r>
      <w:r>
        <w:t xml:space="preserve">concentration, while drugs with no reported torsade risk mostly showed</w:t>
      </w:r>
      <w:r>
        <w:t xml:space="preserve"> </w:t>
      </w:r>
      <w:r>
        <w:t xml:space="preserve">greater than 30-fold separation. A compound’s hERG IC50 alone, without</w:t>
      </w:r>
      <w:r>
        <w:t xml:space="preserve"> </w:t>
      </w:r>
      <w:r>
        <w:t xml:space="preserve">knowing the concentration at which it will actually be dosed, is</w:t>
      </w:r>
      <w:r>
        <w:t xml:space="preserve"> </w:t>
      </w:r>
      <w:r>
        <w:t xml:space="preserve">therefore an incomplete safety signal — a limitation Section 5.5 returns</w:t>
      </w:r>
      <w:r>
        <w:t xml:space="preserve"> </w:t>
      </w:r>
      <w:r>
        <w:t xml:space="preserve">to directly once a concrete IC50 threshold has been chosen.</w:t>
      </w:r>
    </w:p>
    <w:bookmarkEnd w:id="10"/>
    <w:bookmarkStart w:id="11" w:name="classical-machine-learning-benchmarks"/>
    <w:p>
      <w:pPr>
        <w:pStyle w:val="Heading2"/>
      </w:pPr>
      <w:r>
        <w:t xml:space="preserve">5.3 Classical Machine Learning Benchmarks</w:t>
      </w:r>
    </w:p>
    <w:p>
      <w:pPr>
        <w:pStyle w:val="FirstParagraph"/>
      </w:pPr>
      <w:r>
        <w:t xml:space="preserve">Three non-linear classifiers dominate practical QSAR/bioactivity</w:t>
      </w:r>
      <w:r>
        <w:t xml:space="preserve"> </w:t>
      </w:r>
      <w:r>
        <w:t xml:space="preserve">classification and are benchmarked directly in Section 5.5:</w:t>
      </w:r>
    </w:p>
    <w:p>
      <w:pPr>
        <w:pStyle w:val="BodyText"/>
      </w:pPr>
      <w:r>
        <w:rPr>
          <w:b/>
          <w:bCs/>
        </w:rPr>
        <w:t xml:space="preserve">Random Forest</w:t>
      </w:r>
      <w:r>
        <w:t xml:space="preserve"> </w:t>
      </w:r>
      <w:r>
        <w:t xml:space="preserve">(Breiman, 2001) trains an ensemble of decision trees,</w:t>
      </w:r>
      <w:r>
        <w:t xml:space="preserve"> </w:t>
      </w:r>
      <w:r>
        <w:t xml:space="preserve">each fit on a bootstrap resample of the training data and restricted at</w:t>
      </w:r>
      <w:r>
        <w:t xml:space="preserve"> </w:t>
      </w:r>
      <w:r>
        <w:t xml:space="preserve">each split to a random subset of features, then averages their</w:t>
      </w:r>
      <w:r>
        <w:t xml:space="preserve"> </w:t>
      </w:r>
      <w:r>
        <w:t xml:space="preserve">predictions. The random feature subsampling is what decorrelates the</w:t>
      </w:r>
      <w:r>
        <w:t xml:space="preserve"> </w:t>
      </w:r>
      <w:r>
        <w:t xml:space="preserve">trees from each other — without it, bagged trees fit on the same</w:t>
      </w:r>
      <w:r>
        <w:t xml:space="preserve"> </w:t>
      </w:r>
      <w:r>
        <w:t xml:space="preserve">strongly-correlated fingerprint bits would end up highly similar, and</w:t>
      </w:r>
      <w:r>
        <w:t xml:space="preserve"> </w:t>
      </w:r>
      <w:r>
        <w:t xml:space="preserve">averaging similar models does little to reduce variance. Random Forests</w:t>
      </w:r>
      <w:r>
        <w:t xml:space="preserve"> </w:t>
      </w:r>
      <w:r>
        <w:t xml:space="preserve">require almost no hyperparameter tuning to get reasonable performance</w:t>
      </w:r>
      <w:r>
        <w:t xml:space="preserve"> </w:t>
      </w:r>
      <w:r>
        <w:t xml:space="preserve">and are a standard, hard-to-beat-by-accident baseline for</w:t>
      </w:r>
      <w:r>
        <w:t xml:space="preserve"> </w:t>
      </w:r>
      <w:r>
        <w:t xml:space="preserve">fingerprint-based classification.</w:t>
      </w:r>
    </w:p>
    <w:p>
      <w:pPr>
        <w:pStyle w:val="BodyText"/>
      </w:pPr>
      <w:r>
        <w:rPr>
          <w:b/>
          <w:bCs/>
        </w:rPr>
        <w:t xml:space="preserve">Support Vector Machines</w:t>
      </w:r>
      <w:r>
        <w:t xml:space="preserve"> </w:t>
      </w:r>
      <w:r>
        <w:t xml:space="preserve">(Cortes &amp; Vapnik, 1995) find the hyperplane</w:t>
      </w:r>
      <w:r>
        <w:t xml:space="preserve"> </w:t>
      </w:r>
      <w:r>
        <w:t xml:space="preserve">that separates two classes with maximum margin, then generalize to</w:t>
      </w:r>
      <w:r>
        <w:t xml:space="preserve"> </w:t>
      </w:r>
      <w:r>
        <w:t xml:space="preserve">non-linear decision boundaries via the kernel trick: instead of an</w:t>
      </w:r>
      <w:r>
        <w:t xml:space="preserve"> </w:t>
      </w:r>
      <w:r>
        <w:t xml:space="preserve">explicit non-linear feature map, a kernel function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computes inner</w:t>
      </w:r>
      <w:r>
        <w:t xml:space="preserve"> </w:t>
      </w:r>
      <w:r>
        <w:t xml:space="preserve">products in an implicit, higher-dimensional feature space directly. The</w:t>
      </w:r>
      <w:r>
        <w:t xml:space="preserve"> </w:t>
      </w:r>
      <w:r>
        <w:t xml:space="preserve">decision function takes the form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sign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summed over the training examples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non-zero weight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(the support vectors). This chapter’s project uses the radial basis</w:t>
      </w:r>
      <w:r>
        <w:t xml:space="preserve"> </w:t>
      </w:r>
      <w:r>
        <w:t xml:space="preserve">function (RBF) kernel, a standard default for fingerprint data with no</w:t>
      </w:r>
      <w:r>
        <w:t xml:space="preserve"> </w:t>
      </w:r>
      <w:r>
        <w:t xml:space="preserve">prior assumption of linear separability.</w:t>
      </w:r>
    </w:p>
    <w:p>
      <w:pPr>
        <w:pStyle w:val="BodyText"/>
      </w:pPr>
      <w:r>
        <w:rPr>
          <w:b/>
          <w:bCs/>
        </w:rPr>
        <w:t xml:space="preserve">XGBoost</w:t>
      </w:r>
      <w:r>
        <w:t xml:space="preserve"> </w:t>
      </w:r>
      <w:r>
        <w:t xml:space="preserve">(Chen &amp; Guestrin, 2016) is a specific, heavily engineered</w:t>
      </w:r>
      <w:r>
        <w:t xml:space="preserve"> </w:t>
      </w:r>
      <w:r>
        <w:t xml:space="preserve">implementation of gradient-boosted decision trees: rather than averaging</w:t>
      </w:r>
      <w:r>
        <w:t xml:space="preserve"> </w:t>
      </w:r>
      <w:r>
        <w:t xml:space="preserve">independently trained trees as Random Forest does, it fits trees</w:t>
      </w:r>
      <w:r>
        <w:t xml:space="preserve"> </w:t>
      </w:r>
      <w:r>
        <w:t xml:space="preserve">sequentially, each one trained to correct the current ensemble’s</w:t>
      </w:r>
      <w:r>
        <w:t xml:space="preserve"> </w:t>
      </w:r>
      <w:r>
        <w:t xml:space="preserve">residual error, with an explicit regularization term controlling tree</w:t>
      </w:r>
      <w:r>
        <w:t xml:space="preserve"> </w:t>
      </w:r>
      <w:r>
        <w:t xml:space="preserve">complexity directly in the objective: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Ω</m:t>
              </m:r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T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λ</m:t>
          </m:r>
          <m:s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w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per-example loss (log-loss for the binary classification</w:t>
      </w:r>
      <w:r>
        <w:t xml:space="preserve"> </w:t>
      </w:r>
      <w:r>
        <w:t xml:space="preserve">task in Section 5.5),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number of leaves in tree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λ</m:t>
        </m:r>
      </m:oMath>
      <w:r>
        <w:t xml:space="preserve"> </w:t>
      </w:r>
      <w:r>
        <w:t xml:space="preserve">penalize tree size and leaf-weight magnitude</w:t>
      </w:r>
      <w:r>
        <w:t xml:space="preserve"> </w:t>
      </w:r>
      <w:r>
        <w:t xml:space="preserve">respectively — the regularization is what keeps boosting, which can</w:t>
      </w:r>
      <w:r>
        <w:t xml:space="preserve"> </w:t>
      </w:r>
      <w:r>
        <w:t xml:space="preserve">overfit badly if left unchecked, competitive in practice.</w:t>
      </w:r>
    </w:p>
    <w:p>
      <w:pPr>
        <w:pStyle w:val="BodyText"/>
      </w:pPr>
      <w:r>
        <w:t xml:space="preserve">All three are implemented here directly with scikit-learn (Pedregosa et</w:t>
      </w:r>
      <w:r>
        <w:t xml:space="preserve"> </w:t>
      </w:r>
      <w:r>
        <w:t xml:space="preserve">al., 2011) for Random Forest and SVM, and the dedicated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package for XGBoost — the same tabular-data workhorses used throughout</w:t>
      </w:r>
      <w:r>
        <w:t xml:space="preserve"> </w:t>
      </w:r>
      <w:r>
        <w:t xml:space="preserve">applied ML, not chemistry-specific tools. Siramshetty et al. (2020)</w:t>
      </w:r>
      <w:r>
        <w:t xml:space="preserve"> </w:t>
      </w:r>
      <w:r>
        <w:t xml:space="preserve">benchmarked exactly this kind of classical approach against modern deep</w:t>
      </w:r>
      <w:r>
        <w:t xml:space="preserve"> </w:t>
      </w:r>
      <w:r>
        <w:t xml:space="preserve">learning (DNNs, RNNs) on a comparably sized ChEMBL-derived hERG dataset</w:t>
      </w:r>
      <w:r>
        <w:t xml:space="preserve"> </w:t>
      </w:r>
      <w:r>
        <w:t xml:space="preserve">(~9,000 compounds) and found their best overall result came from</w:t>
      </w:r>
      <w:r>
        <w:t xml:space="preserve"> </w:t>
      </w:r>
      <w:r>
        <w:rPr>
          <w:b/>
          <w:bCs/>
        </w:rPr>
        <w:t xml:space="preserve">XGBoost with RDKit descriptors</w:t>
      </w:r>
      <w:r>
        <w:t xml:space="preserve"> </w:t>
      </w:r>
      <w:r>
        <w:t xml:space="preserve">— direct support, from the hERG</w:t>
      </w:r>
      <w:r>
        <w:t xml:space="preserve"> </w:t>
      </w:r>
      <w:r>
        <w:t xml:space="preserve">literature specifically, for why the outline of this book centers</w:t>
      </w:r>
      <w:r>
        <w:t xml:space="preserve"> </w:t>
      </w:r>
      <w:r>
        <w:t xml:space="preserve">XGBoost for Section 5.5’s project while still benchmarking Random Forest</w:t>
      </w:r>
      <w:r>
        <w:t xml:space="preserve"> </w:t>
      </w:r>
      <w:r>
        <w:t xml:space="preserve">and SVM alongside it for comparison.</w:t>
      </w:r>
    </w:p>
    <w:bookmarkEnd w:id="11"/>
    <w:bookmarkStart w:id="15" w:name="handling-bioactivity-bias"/>
    <w:p>
      <w:pPr>
        <w:pStyle w:val="Heading2"/>
      </w:pPr>
      <w:r>
        <w:t xml:space="preserve">5.4 Handling Bioactivity Bias</w:t>
      </w:r>
    </w:p>
    <w:p>
      <w:pPr>
        <w:pStyle w:val="FirstParagraph"/>
      </w:pPr>
      <w:r>
        <w:t xml:space="preserve">Two distinct forms of bias affect a bioactivity classifier, and both are</w:t>
      </w:r>
      <w:r>
        <w:t xml:space="preserve"> </w:t>
      </w:r>
      <w:r>
        <w:t xml:space="preserve">demonstrated with real measurements from this chapter’s own dataset in</w:t>
      </w:r>
      <w:r>
        <w:t xml:space="preserve"> </w:t>
      </w:r>
      <w:r>
        <w:t xml:space="preserve">Section 5.5.</w:t>
      </w:r>
    </w:p>
    <w:bookmarkStart w:id="13" w:name="class-imbalance"/>
    <w:p>
      <w:pPr>
        <w:pStyle w:val="Heading3"/>
      </w:pPr>
      <w:r>
        <w:t xml:space="preserve">Class imbalance</w:t>
      </w:r>
    </w:p>
    <w:p>
      <w:pPr>
        <w:pStyle w:val="FirstParagraph"/>
      </w:pPr>
      <w:r>
        <w:t xml:space="preserve">Running this chapter’s cleaning pipeline (Section 5.5) against the real</w:t>
      </w:r>
      <w:r>
        <w:t xml:space="preserve"> </w:t>
      </w:r>
      <w:r>
        <w:t xml:space="preserve">ChEMBL hERG dataset produces 1,307 compounds labeled blockers against</w:t>
      </w:r>
      <w:r>
        <w:t xml:space="preserve"> </w:t>
      </w:r>
      <w:r>
        <w:t xml:space="preserve">458 labeled non-blockers at the chosen threshold — a roughly 2.85:1</w:t>
      </w:r>
      <w:r>
        <w:t xml:space="preserve"> </w:t>
      </w:r>
      <w:r>
        <w:t xml:space="preserve">imbalance, not the near-even split a textbook classification example</w:t>
      </w:r>
      <w:r>
        <w:t xml:space="preserve"> </w:t>
      </w:r>
      <w:r>
        <w:t xml:space="preserve">often assumes. Part of this imbalance is a real property of hERG</w:t>
      </w:r>
      <w:r>
        <w:t xml:space="preserve"> </w:t>
      </w:r>
      <w:r>
        <w:t xml:space="preserve">pharmacology (many drug-like scaffolds do block the channel at some</w:t>
      </w:r>
      <w:r>
        <w:t xml:space="preserve"> </w:t>
      </w:r>
      <w:r>
        <w:t xml:space="preserve">concentration), but part of it is a data-ascertainment artifact worth</w:t>
      </w:r>
      <w:r>
        <w:t xml:space="preserve"> </w:t>
      </w:r>
      <w:r>
        <w:t xml:space="preserve">naming directly: compounds are deposited in ChEMBL because someone chose</w:t>
      </w:r>
      <w:r>
        <w:t xml:space="preserve"> </w:t>
      </w:r>
      <w:r>
        <w:t xml:space="preserve">to test them, and hERG counter-screening is disproportionately run on</w:t>
      </w:r>
      <w:r>
        <w:t xml:space="preserve"> </w:t>
      </w:r>
      <w:r>
        <w:t xml:space="preserve">compounds already flagged, by structure or by chemical series, as</w:t>
      </w:r>
      <w:r>
        <w:t xml:space="preserve"> </w:t>
      </w:r>
      <w:r>
        <w:t xml:space="preserve">plausible liabilities. A dataset built this way is not a random sample</w:t>
      </w:r>
      <w:r>
        <w:t xml:space="preserve"> </w:t>
      </w:r>
      <w:r>
        <w:t xml:space="preserve">of drug-like chemical space, and its class balance should not be read as</w:t>
      </w:r>
      <w:r>
        <w:t xml:space="preserve"> </w:t>
      </w:r>
      <w:r>
        <w:t xml:space="preserve">an estimate of the true prevalence of hERG blockade among arbitrary</w:t>
      </w:r>
      <w:r>
        <w:t xml:space="preserve"> </w:t>
      </w:r>
      <w:r>
        <w:t xml:space="preserve">compounds — a caveat that applies to bioactivity datasets generally, not</w:t>
      </w:r>
      <w:r>
        <w:t xml:space="preserve"> </w:t>
      </w:r>
      <w:r>
        <w:t xml:space="preserve">just this one.</w:t>
      </w:r>
    </w:p>
    <w:p>
      <w:pPr>
        <w:pStyle w:val="BodyText"/>
      </w:pPr>
      <w:r>
        <w:t xml:space="preserve">Practically, imbalance matters because raw accuracy is easy to game: a</w:t>
      </w:r>
      <w:r>
        <w:t xml:space="preserve"> </w:t>
      </w:r>
      <w:r>
        <w:t xml:space="preserve">classifier that always predicts</w:t>
      </w:r>
      <w:r>
        <w:t xml:space="preserve"> </w:t>
      </w:r>
      <w:r>
        <w:t xml:space="preserve">“blocker”</w:t>
      </w:r>
      <w:r>
        <w:t xml:space="preserve"> </w:t>
      </w:r>
      <w:r>
        <w:t xml:space="preserve">on this dataset would already</w:t>
      </w:r>
      <w:r>
        <w:t xml:space="preserve"> </w:t>
      </w:r>
      <w:r>
        <w:t xml:space="preserve">score roughly 74% accuracy while learning nothing, which is exactly why</w:t>
      </w:r>
      <w:r>
        <w:t xml:space="preserve"> </w:t>
      </w:r>
      <w:r>
        <w:t xml:space="preserve">Section 5.5 reports balanced accuracy and ROC-AUC alongside accuracy</w:t>
      </w:r>
      <w:r>
        <w:t xml:space="preserve"> </w:t>
      </w:r>
      <w:r>
        <w:t xml:space="preserve">throughout — both are far less inflated by a majority-class-favoring</w:t>
      </w:r>
      <w:r>
        <w:t xml:space="preserve"> </w:t>
      </w:r>
      <w:r>
        <w:t xml:space="preserve">classifier. One standard mitigation is</w:t>
      </w:r>
      <w:r>
        <w:t xml:space="preserve"> </w:t>
      </w:r>
      <w:r>
        <w:rPr>
          <w:b/>
          <w:bCs/>
        </w:rPr>
        <w:t xml:space="preserve">oversampling</w:t>
      </w:r>
      <w:r>
        <w:t xml:space="preserve"> </w:t>
      </w:r>
      <w:r>
        <w:t xml:space="preserve">the minority</w:t>
      </w:r>
      <w:r>
        <w:t xml:space="preserve"> </w:t>
      </w:r>
      <w:r>
        <w:t xml:space="preserve">class in 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set specifically: SMOTE (Synthetic Minority</w:t>
      </w:r>
      <w:r>
        <w:t xml:space="preserve"> </w:t>
      </w:r>
      <w:r>
        <w:t xml:space="preserve">Over-sampling Technique; Chawla et al., 2002) generates synthetic</w:t>
      </w:r>
      <w:r>
        <w:t xml:space="preserve"> </w:t>
      </w:r>
      <w:r>
        <w:t xml:space="preserve">minority-class examples by interpolating between each minority example</w:t>
      </w:r>
      <w:r>
        <w:t xml:space="preserve"> </w:t>
      </w:r>
      <w:r>
        <w:t xml:space="preserve">and its nearest minority-class neighbors in feature space, rather than</w:t>
      </w:r>
      <w:r>
        <w:t xml:space="preserve"> </w:t>
      </w:r>
      <w:r>
        <w:t xml:space="preserve">naively duplicating existing rows, giving the classifier more (and more</w:t>
      </w:r>
      <w:r>
        <w:t xml:space="preserve"> </w:t>
      </w:r>
      <w:r>
        <w:t xml:space="preserve">varied) minority-class signal to fit against. Applying SMOTE only to the</w:t>
      </w:r>
      <w:r>
        <w:t xml:space="preserve"> </w:t>
      </w:r>
      <w:r>
        <w:t xml:space="preserve">training set — never to the held-out test set, which must stay a</w:t>
      </w:r>
      <w:r>
        <w:t xml:space="preserve"> </w:t>
      </w:r>
      <w:r>
        <w:t xml:space="preserve">faithful sample of the real class distribution to give an honest</w:t>
      </w:r>
      <w:r>
        <w:t xml:space="preserve"> </w:t>
      </w:r>
      <w:r>
        <w:t xml:space="preserve">performance estimate — is a correctness requirement, not a style choice,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train_and_evaluate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herg_qsar.py</w:t>
        </w:r>
      </w:hyperlink>
      <w:r>
        <w:t xml:space="preserve"> </w:t>
      </w:r>
      <w:r>
        <w:t xml:space="preserve">enforces it</w:t>
      </w:r>
      <w:r>
        <w:t xml:space="preserve"> </w:t>
      </w:r>
      <w:r>
        <w:t xml:space="preserve">structurally: the split happens first, and</w:t>
      </w:r>
      <w:r>
        <w:t xml:space="preserve"> </w:t>
      </w:r>
      <w:r>
        <w:rPr>
          <w:rStyle w:val="VerbatimChar"/>
        </w:rPr>
        <w:t xml:space="preserve">SMOTE().fit_resample</w:t>
      </w:r>
      <w:r>
        <w:t xml:space="preserve"> </w:t>
      </w:r>
      <w:r>
        <w:t xml:space="preserve">is</w:t>
      </w:r>
      <w:r>
        <w:t xml:space="preserve"> </w:t>
      </w:r>
      <w:r>
        <w:t xml:space="preserve">only ever called on the training partition.</w:t>
      </w:r>
    </w:p>
    <w:p>
      <w:pPr>
        <w:pStyle w:val="BodyText"/>
      </w:pPr>
      <w:r>
        <w:t xml:space="preserve">Run on this chapter’s scaffold-split evaluation (the harder, more</w:t>
      </w:r>
      <w:r>
        <w:t xml:space="preserve"> </w:t>
      </w:r>
      <w:r>
        <w:t xml:space="preserve">realistic split — see below), SMOTE moves XGBoost’s balanced accuracy</w:t>
      </w:r>
      <w:r>
        <w:t xml:space="preserve"> </w:t>
      </w:r>
      <w:r>
        <w:t xml:space="preserve">from 0.661 to 0.692 and ROC-AUC from 0.803 to 0.804, at the cost of</w:t>
      </w:r>
      <w:r>
        <w:t xml:space="preserve"> </w:t>
      </w:r>
      <w:r>
        <w:t xml:space="preserve">accuracy (0.776 → 0.768), recall (0.881 → 0.836), and F1 (0.857 →</w:t>
      </w:r>
      <w:r>
        <w:t xml:space="preserve"> </w:t>
      </w:r>
      <w:r>
        <w:t xml:space="preserve">0.846). This is a genuine, unglamorous trade-off, not a universal</w:t>
      </w:r>
      <w:r>
        <w:t xml:space="preserve"> </w:t>
      </w:r>
      <w:r>
        <w:t xml:space="preserve">improvement: SMOTE trained the model to pay more attention to the</w:t>
      </w:r>
      <w:r>
        <w:t xml:space="preserve"> </w:t>
      </w:r>
      <w:r>
        <w:t xml:space="preserve">minority (non-blocker) class, which helped the metrics that treat both</w:t>
      </w:r>
      <w:r>
        <w:t xml:space="preserve"> </w:t>
      </w:r>
      <w:r>
        <w:t xml:space="preserve">classes symmetrically and cost a small amount of majority-class</w:t>
      </w:r>
      <w:r>
        <w:t xml:space="preserve"> </w:t>
      </w:r>
      <w:r>
        <w:t xml:space="preserve">performance. Whether that trade is worth taking depends on which error</w:t>
      </w:r>
      <w:r>
        <w:t xml:space="preserve"> </w:t>
      </w:r>
      <w:r>
        <w:t xml:space="preserve">is more costly in context — missing a true blocker (a safety miss) is</w:t>
      </w:r>
      <w:r>
        <w:t xml:space="preserve"> </w:t>
      </w:r>
      <w:r>
        <w:t xml:space="preserve">generally worse than flagging a true non-blocker unnecessarily (an</w:t>
      </w:r>
      <w:r>
        <w:t xml:space="preserve"> </w:t>
      </w:r>
      <w:r>
        <w:t xml:space="preserve">efficiency cost), which is an argument for caring about</w:t>
      </w:r>
      <w:r>
        <w:t xml:space="preserve"> </w:t>
      </w:r>
      <w:r>
        <w:t xml:space="preserve">class-imbalance-aware metrics in the first place, independent of whether</w:t>
      </w:r>
      <w:r>
        <w:t xml:space="preserve"> </w:t>
      </w:r>
      <w:r>
        <w:t xml:space="preserve">SMOTE specifically is used.</w:t>
      </w:r>
    </w:p>
    <w:bookmarkEnd w:id="13"/>
    <w:bookmarkStart w:id="14" w:name="random-split-vs.-scaffold-split"/>
    <w:p>
      <w:pPr>
        <w:pStyle w:val="Heading3"/>
      </w:pPr>
      <w:r>
        <w:t xml:space="preserve">Random split vs. scaffold split</w:t>
      </w:r>
    </w:p>
    <w:p>
      <w:pPr>
        <w:pStyle w:val="FirstParagraph"/>
      </w:pPr>
      <w:r>
        <w:t xml:space="preserve">The second, distinct source of bias is in how a dataset is partitioned</w:t>
      </w:r>
      <w:r>
        <w:t xml:space="preserve"> </w:t>
      </w:r>
      <w:r>
        <w:t xml:space="preserve">into train and test sets at all — the point Chapter 4 previewed and this</w:t>
      </w:r>
      <w:r>
        <w:t xml:space="preserve"> </w:t>
      </w:r>
      <w:r>
        <w:t xml:space="preserve">section now measures directly. A uniformly random split routinely puts</w:t>
      </w:r>
      <w:r>
        <w:t xml:space="preserve"> </w:t>
      </w:r>
      <w:r>
        <w:t xml:space="preserve">two close analogues, sharing the same core scaffold and differing only</w:t>
      </w:r>
      <w:r>
        <w:t xml:space="preserve"> </w:t>
      </w:r>
      <w:r>
        <w:t xml:space="preserve">in a substituent, on opposite sides of the train/test boundary. A model</w:t>
      </w:r>
      <w:r>
        <w:t xml:space="preserve"> </w:t>
      </w:r>
      <w:r>
        <w:t xml:space="preserve">can then score well on the test set not because it generalizes to new</w:t>
      </w:r>
      <w:r>
        <w:t xml:space="preserve"> </w:t>
      </w:r>
      <w:r>
        <w:t xml:space="preserve">chemical space, but because it has effectively already seen a near-twin</w:t>
      </w:r>
      <w:r>
        <w:t xml:space="preserve"> </w:t>
      </w:r>
      <w:r>
        <w:t xml:space="preserve">of each test compound during training. A</w:t>
      </w:r>
      <w:r>
        <w:t xml:space="preserve"> </w:t>
      </w:r>
      <w:r>
        <w:rPr>
          <w:b/>
          <w:bCs/>
        </w:rPr>
        <w:t xml:space="preserve">scaffold split</w:t>
      </w:r>
      <w:r>
        <w:t xml:space="preserve"> </w:t>
      </w:r>
      <w:r>
        <w:t xml:space="preserve">— computed</w:t>
      </w:r>
      <w:r>
        <w:t xml:space="preserve"> </w:t>
      </w:r>
      <w:r>
        <w:t xml:space="preserve">here from Bemis-Murcko scaffolds (Bemis &amp; Murcko, 1996), following the</w:t>
      </w:r>
      <w:r>
        <w:t xml:space="preserve"> </w:t>
      </w:r>
      <w:r>
        <w:t xml:space="preserve">grouping-and-greedy-fill methodology documented for exactly this purpose</w:t>
      </w:r>
      <w:r>
        <w:t xml:space="preserve"> </w:t>
      </w:r>
      <w:r>
        <w:t xml:space="preserve">by Yang et al. (2019) — groups compounds by their generic ring scaffold</w:t>
      </w:r>
      <w:r>
        <w:t xml:space="preserve"> </w:t>
      </w:r>
      <w:r>
        <w:t xml:space="preserve">first and assigns whole scaffold groups to train or test, so no scaffold</w:t>
      </w:r>
      <w:r>
        <w:t xml:space="preserve"> </w:t>
      </w:r>
      <w:r>
        <w:t xml:space="preserve">appears on both sides. This is a harder, but more honest, estimate of</w:t>
      </w:r>
      <w:r>
        <w:t xml:space="preserve"> </w:t>
      </w:r>
      <w:r>
        <w:t xml:space="preserve">how a model performs on genuinely novel chemical series.</w:t>
      </w:r>
    </w:p>
    <w:p>
      <w:pPr>
        <w:pStyle w:val="BodyText"/>
      </w:pPr>
      <w:r>
        <w:rPr>
          <w:rStyle w:val="VerbatimChar"/>
        </w:rPr>
        <w:t xml:space="preserve">herg_qsar.py</w:t>
      </w:r>
      <w:r>
        <w:t xml:space="preserve"> </w:t>
      </w:r>
      <w:r>
        <w:t xml:space="preserve">implements this directly with RDKit’s</w:t>
      </w:r>
      <w:r>
        <w:t xml:space="preserve"> </w:t>
      </w:r>
      <w:r>
        <w:rPr>
          <w:rStyle w:val="VerbatimChar"/>
        </w:rPr>
        <w:t xml:space="preserve">Scaffolds.MurckoScaffold</w:t>
      </w:r>
      <w:r>
        <w:t xml:space="preserve"> </w:t>
      </w:r>
      <w:r>
        <w:t xml:space="preserve">module rather than via the</w:t>
      </w:r>
      <w:r>
        <w:t xml:space="preserve"> </w:t>
      </w:r>
      <w:r>
        <w:rPr>
          <w:rStyle w:val="VerbatimChar"/>
        </w:rPr>
        <w:t xml:space="preserve">deepchem</w:t>
      </w:r>
      <w:r>
        <w:t xml:space="preserve"> </w:t>
      </w:r>
      <w:r>
        <w:t xml:space="preserve">package</w:t>
      </w:r>
      <w:r>
        <w:t xml:space="preserve"> </w:t>
      </w:r>
      <w:r>
        <w:t xml:space="preserve">specifically because that dependency turned out not to be viable in this</w:t>
      </w:r>
      <w:r>
        <w:t xml:space="preserve"> </w:t>
      </w:r>
      <w:r>
        <w:t xml:space="preserve">project’s environment — see Section 5.5 for exactly what happened.</w:t>
      </w:r>
    </w:p>
    <w:p>
      <w:pPr>
        <w:pStyle w:val="BodyText"/>
      </w:pPr>
      <w:r>
        <w:t xml:space="preserve">Running this chapter’s full pipeline (1,765 compounds, an 80/20 split)</w:t>
      </w:r>
      <w:r>
        <w:t xml:space="preserve"> </w:t>
      </w:r>
      <w:r>
        <w:t xml:space="preserve">under both strategies, for all three classifiers from Section 5.3, gives</w:t>
      </w:r>
      <w:r>
        <w:t xml:space="preserve"> </w:t>
      </w:r>
      <w:r>
        <w:t xml:space="preserve">a consistent 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Balanced acc.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0.816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0.843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0.816</w:t>
            </w:r>
          </w:p>
        </w:tc>
        <w:tc>
          <w:tcPr/>
          <w:p>
            <w:pPr>
              <w:pStyle w:val="Compact"/>
            </w:pPr>
            <w:r>
              <w:t xml:space="preserve">0.710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0.631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</w:tr>
    </w:tbl>
    <w:p>
      <w:pPr>
        <w:pStyle w:val="BodyText"/>
      </w:pPr>
      <w:r>
        <w:t xml:space="preserve">Balanced accuracy and ROC-AUC — the two metrics least sensitive to a</w:t>
      </w:r>
      <w:r>
        <w:t xml:space="preserve"> </w:t>
      </w:r>
      <w:r>
        <w:t xml:space="preserve">shift in class balance between splits — drop under scaffold split for</w:t>
      </w:r>
      <w:r>
        <w:t xml:space="preserve"> </w:t>
      </w:r>
      <w:r>
        <w:rPr>
          <w:b/>
          <w:bCs/>
        </w:rPr>
        <w:t xml:space="preserve">every one of the three models</w:t>
      </w:r>
      <w:r>
        <w:t xml:space="preserve">, by 0.06–0.08 in balanced accuracy and</w:t>
      </w:r>
      <w:r>
        <w:t xml:space="preserve"> </w:t>
      </w:r>
      <w:r>
        <w:t xml:space="preserve">0.04–0.05 in ROC-AUC. That is the random split systematically</w:t>
      </w:r>
      <w:r>
        <w:t xml:space="preserve"> </w:t>
      </w:r>
      <w:r>
        <w:t xml:space="preserve">overestimating real-world generalization, exactly as Chapter 4</w:t>
      </w:r>
      <w:r>
        <w:t xml:space="preserve"> </w:t>
      </w:r>
      <w:r>
        <w:t xml:space="preserve">anticipated, now with a real, reproducible number attached rather than a</w:t>
      </w:r>
      <w:r>
        <w:t xml:space="preserve"> </w:t>
      </w:r>
      <w:r>
        <w:t xml:space="preserve">forward reference.</w:t>
      </w:r>
    </w:p>
    <w:p>
      <w:pPr>
        <w:pStyle w:val="BodyText"/>
      </w:pPr>
      <w:r>
        <w:t xml:space="preserve">Not every individual metric moves the same direction, and the one</w:t>
      </w:r>
      <w:r>
        <w:t xml:space="preserve"> </w:t>
      </w:r>
      <w:r>
        <w:t xml:space="preserve">exception is worth naming rather than smoothing over: Random Forest’s</w:t>
      </w:r>
      <w:r>
        <w:t xml:space="preserve"> </w:t>
      </w:r>
      <w:r>
        <w:t xml:space="preserve">recall is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under scaffold split (0.941) than random split</w:t>
      </w:r>
      <w:r>
        <w:t xml:space="preserve"> </w:t>
      </w:r>
      <w:r>
        <w:t xml:space="preserve">(0.931). The likely explanation is not that scaffold splitting somehow</w:t>
      </w:r>
      <w:r>
        <w:t xml:space="preserve"> </w:t>
      </w:r>
      <w:r>
        <w:t xml:space="preserve">made the task easier for this one model and metric — it is that the two</w:t>
      </w:r>
      <w:r>
        <w:t xml:space="preserve"> </w:t>
      </w:r>
      <w:r>
        <w:t xml:space="preserve">splits’ test sets have slightly different blocker fractions by</w:t>
      </w:r>
      <w:r>
        <w:t xml:space="preserve"> </w:t>
      </w:r>
      <w:r>
        <w:t xml:space="preserve">construction (73.9% under random split vs. 76.2% under scaffold split,</w:t>
      </w:r>
      <w:r>
        <w:t xml:space="preserve"> </w:t>
      </w:r>
      <w:r>
        <w:t xml:space="preserve">an artifact of which scaffold groups happened to land in each partition</w:t>
      </w:r>
      <w:r>
        <w:t xml:space="preserve"> </w:t>
      </w:r>
      <w:r>
        <w:t xml:space="preserve">this run), and recall on the majority class is sensitive to that shift</w:t>
      </w:r>
      <w:r>
        <w:t xml:space="preserve"> </w:t>
      </w:r>
      <w:r>
        <w:t xml:space="preserve">in a way balanced accuracy and ROC-AUC are designed not to be. This is</w:t>
      </w:r>
      <w:r>
        <w:t xml:space="preserve"> </w:t>
      </w:r>
      <w:r>
        <w:t xml:space="preserve">itself the practical lesson: any single metric, evaluated on one split,</w:t>
      </w:r>
      <w:r>
        <w:t xml:space="preserve"> </w:t>
      </w:r>
      <w:r>
        <w:t xml:space="preserve">can mislead; the reliable signal here is the consistent drop across</w:t>
      </w:r>
      <w:r>
        <w:t xml:space="preserve"> </w:t>
      </w:r>
      <w:r>
        <w:rPr>
          <w:i/>
          <w:iCs/>
        </w:rPr>
        <w:t xml:space="preserve">balanced</w:t>
      </w:r>
      <w:r>
        <w:t xml:space="preserve"> </w:t>
      </w:r>
      <w:r>
        <w:t xml:space="preserve">metrics and across</w:t>
      </w:r>
      <w:r>
        <w:t xml:space="preserve"> </w:t>
      </w:r>
      <w:r>
        <w:rPr>
          <w:i/>
          <w:iCs/>
        </w:rPr>
        <w:t xml:space="preserve">all three</w:t>
      </w:r>
      <w:r>
        <w:t xml:space="preserve"> </w:t>
      </w:r>
      <w:r>
        <w:t xml:space="preserve">independently trained models,</w:t>
      </w:r>
      <w:r>
        <w:t xml:space="preserve"> </w:t>
      </w:r>
      <w:r>
        <w:t xml:space="preserve">not any one number in isolation.</w:t>
      </w:r>
    </w:p>
    <w:bookmarkEnd w:id="14"/>
    <w:bookmarkEnd w:id="15"/>
    <w:bookmarkStart w:id="25" w:name="X43cf9f6b89e74851de581f35479d9aa4ba314e4"/>
    <w:p>
      <w:pPr>
        <w:pStyle w:val="Heading2"/>
      </w:pPr>
      <w:r>
        <w:t xml:space="preserve">5.5 Hands-on Project: hERG Cardiotoxicity Classifier</w:t>
      </w:r>
    </w:p>
    <w:p>
      <w:pPr>
        <w:pStyle w:val="FirstParagraph"/>
      </w:pPr>
      <w:r>
        <w:t xml:space="preserve">The project code lives in this chapter’s folder (</w:t>
      </w:r>
      <w:r>
        <w:rPr>
          <w:rStyle w:val="VerbatimChar"/>
        </w:rPr>
        <w:t xml:space="preserve">ch05_qsar_admet/</w:t>
      </w:r>
      <w:r>
        <w:t xml:space="preserve">) and</w:t>
      </w:r>
      <w:r>
        <w:t xml:space="preserve"> </w:t>
      </w:r>
      <w:r>
        <w:t xml:space="preserve">implements the full pipeline referenced throughout this chapter:</w:t>
      </w:r>
      <w:r>
        <w:t xml:space="preserve"> </w:t>
      </w:r>
      <w:r>
        <w:t xml:space="preserve">extract real hERG bioactivity data from ChEMBL, clean and label it,</w:t>
      </w:r>
      <w:r>
        <w:t xml:space="preserve"> </w:t>
      </w:r>
      <w:r>
        <w:t xml:space="preserve">featurize with Chapter 2’s fingerprints, split it two ways, and train</w:t>
      </w:r>
      <w:r>
        <w:t xml:space="preserve"> </w:t>
      </w:r>
      <w:r>
        <w:t xml:space="preserve">and evaluate a classifier.</w:t>
      </w:r>
    </w:p>
    <w:bookmarkStart w:id="16" w:name="on-deepchem"/>
    <w:p>
      <w:pPr>
        <w:pStyle w:val="Heading3"/>
      </w:pPr>
      <w:r>
        <w:t xml:space="preserve">On DeepChem</w:t>
      </w:r>
    </w:p>
    <w:p>
      <w:pPr>
        <w:pStyle w:val="FirstParagraph"/>
      </w:pPr>
      <w:r>
        <w:t xml:space="preserve">Chapter 4 stated that</w:t>
      </w:r>
      <w:r>
        <w:t xml:space="preserve"> </w:t>
      </w:r>
      <w:r>
        <w:t xml:space="preserve">“DeepChem becomes the more direct, load-bearing</w:t>
      </w:r>
      <w:r>
        <w:t xml:space="preserve"> </w:t>
      </w:r>
      <w:r>
        <w:t xml:space="preserve">tool starting in Chapter 5.”</w:t>
      </w:r>
      <w:r>
        <w:t xml:space="preserve"> </w:t>
      </w:r>
      <w:r>
        <w:t xml:space="preserve">Building this chapter’s project, the</w:t>
      </w:r>
      <w:r>
        <w:t xml:space="preserve"> </w:t>
      </w:r>
      <w:r>
        <w:t xml:space="preserve">specific intended use — DeepChem’s documented scaffold-splitting</w:t>
      </w:r>
      <w:r>
        <w:t xml:space="preserve"> </w:t>
      </w:r>
      <w:r>
        <w:t xml:space="preserve">utility — was attempted first, and hit a real, reproducible problem: in</w:t>
      </w:r>
      <w:r>
        <w:t xml:space="preserve"> </w:t>
      </w:r>
      <w:r>
        <w:t xml:space="preserve">this project’s environment,</w:t>
      </w:r>
      <w:r>
        <w:t xml:space="preserve"> </w:t>
      </w:r>
      <w:r>
        <w:rPr>
          <w:rStyle w:val="VerbatimChar"/>
        </w:rPr>
        <w:t xml:space="preserve">import deepchem</w:t>
      </w:r>
      <w:r>
        <w:t xml:space="preserve"> </w:t>
      </w:r>
      <w:r>
        <w:t xml:space="preserve">unconditionally imports</w:t>
      </w:r>
      <w:r>
        <w:t xml:space="preserve"> </w:t>
      </w:r>
      <w:r>
        <w:rPr>
          <w:rStyle w:val="VerbatimChar"/>
        </w:rPr>
        <w:t xml:space="preserve">deepchem.trans.transformers</w:t>
      </w:r>
      <w:r>
        <w:t xml:space="preserve">, which unconditionally imports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t xml:space="preserve">at module load time, even though TensorFlow is not</w:t>
      </w:r>
      <w:r>
        <w:t xml:space="preserve"> </w:t>
      </w:r>
      <w:r>
        <w:t xml:space="preserve">declared as an installation dependency and nothing in this project’s use</w:t>
      </w:r>
      <w:r>
        <w:t xml:space="preserve"> </w:t>
      </w:r>
      <w:r>
        <w:t xml:space="preserve">case (a scaffold splitter) requires it. Installing a multi-gigabyte deep</w:t>
      </w:r>
      <w:r>
        <w:t xml:space="preserve"> </w:t>
      </w:r>
      <w:r>
        <w:t xml:space="preserve">learning framework as a transitive, undeclared dependency of one</w:t>
      </w:r>
      <w:r>
        <w:t xml:space="preserve"> </w:t>
      </w:r>
      <w:r>
        <w:t xml:space="preserve">utility function is a poor trade for a book whose own stated engineering</w:t>
      </w:r>
      <w:r>
        <w:t xml:space="preserve"> </w:t>
      </w:r>
      <w:r>
        <w:t xml:space="preserve">principle (Chapter 4, Section 4.2) is using the most pedagogically</w:t>
      </w:r>
      <w:r>
        <w:t xml:space="preserve"> </w:t>
      </w:r>
      <w:r>
        <w:t xml:space="preserve">direct tool for the job. Section 5.4’s scaffold split is therefore</w:t>
      </w:r>
      <w:r>
        <w:t xml:space="preserve"> </w:t>
      </w:r>
      <w:r>
        <w:t xml:space="preserve">implemented directly against RDKit’s own</w:t>
      </w:r>
      <w:r>
        <w:t xml:space="preserve"> </w:t>
      </w:r>
      <w:r>
        <w:rPr>
          <w:rStyle w:val="VerbatimChar"/>
        </w:rPr>
        <w:t xml:space="preserve">Scaffolds.MurckoScaffold</w:t>
      </w:r>
      <w:r>
        <w:t xml:space="preserve"> </w:t>
      </w:r>
      <w:r>
        <w:t xml:space="preserve">module — a well-documented, roughly twenty-line algorithm — rather than</w:t>
      </w:r>
      <w:r>
        <w:t xml:space="preserve"> </w:t>
      </w:r>
      <w:r>
        <w:t xml:space="preserve">through DeepChem. This is a smaller-scope fulfillment of Chapter 4’s</w:t>
      </w:r>
      <w:r>
        <w:t xml:space="preserve"> </w:t>
      </w:r>
      <w:r>
        <w:t xml:space="preserve">forward reference than</w:t>
      </w:r>
      <w:r>
        <w:t xml:space="preserve"> </w:t>
      </w:r>
      <w:r>
        <w:t xml:space="preserve">“DeepChem becomes load-bearing,”</w:t>
      </w:r>
      <w:r>
        <w:t xml:space="preserve"> </w:t>
      </w:r>
      <w:r>
        <w:t xml:space="preserve">and that gap is</w:t>
      </w:r>
      <w:r>
        <w:t xml:space="preserve"> </w:t>
      </w:r>
      <w:r>
        <w:t xml:space="preserve">recorded here rather than papered over.</w:t>
      </w:r>
    </w:p>
    <w:bookmarkEnd w:id="16"/>
    <w:bookmarkStart w:id="17" w:name="extract-and-label"/>
    <w:p>
      <w:pPr>
        <w:pStyle w:val="Heading3"/>
      </w:pPr>
      <w:r>
        <w:t xml:space="preserve">Extract and label</w:t>
      </w:r>
    </w:p>
    <w:p>
      <w:pPr>
        <w:pStyle w:val="FirstParagraph"/>
      </w:pPr>
      <w:hyperlink r:id="rId12">
        <w:r>
          <w:rPr>
            <w:rStyle w:val="VerbatimChar"/>
          </w:rPr>
          <w:t xml:space="preserve">herg_qsar.py</w:t>
        </w:r>
      </w:hyperlink>
      <w:r>
        <w:t xml:space="preserve"> </w:t>
      </w:r>
      <w:r>
        <w:t xml:space="preserve">extracts IC50 bioactivity records for</w:t>
      </w:r>
      <w:r>
        <w:t xml:space="preserve"> </w:t>
      </w:r>
      <w:r>
        <w:t xml:space="preserve">hERG (</w:t>
      </w:r>
      <w:r>
        <w:rPr>
          <w:rStyle w:val="VerbatimChar"/>
        </w:rPr>
        <w:t xml:space="preserve">CHEMBL240</w:t>
      </w:r>
      <w:r>
        <w:t xml:space="preserve">) from the ChEMBL API, paginating exactly as Chapter</w:t>
      </w:r>
      <w:r>
        <w:t xml:space="preserve"> </w:t>
      </w:r>
      <w:r>
        <w:t xml:space="preserve">4’s</w:t>
      </w:r>
      <w:r>
        <w:t xml:space="preserve"> </w:t>
      </w:r>
      <w:r>
        <w:rPr>
          <w:rStyle w:val="VerbatimChar"/>
        </w:rPr>
        <w:t xml:space="preserve">extract_bioactivities</w:t>
      </w:r>
      <w:r>
        <w:t xml:space="preserve"> </w:t>
      </w:r>
      <w:r>
        <w:t xml:space="preserve">does. Each record is standardized with</w:t>
      </w:r>
      <w:r>
        <w:t xml:space="preserve"> </w:t>
      </w:r>
      <w:r>
        <w:t xml:space="preserve">Chapter 4’s technique (Section 4.1: largest fragment, uncharge,</w:t>
      </w:r>
      <w:r>
        <w:t xml:space="preserve"> </w:t>
      </w:r>
      <w:r>
        <w:t xml:space="preserve">canonical tautomer) and duplicate measurements of the same standardized</w:t>
      </w:r>
      <w:r>
        <w:t xml:space="preserve"> </w:t>
      </w:r>
      <w:r>
        <w:t xml:space="preserve">structure are merged via the median, as in Chapter 4. Each resulting</w:t>
      </w:r>
      <w:r>
        <w:t xml:space="preserve"> </w:t>
      </w:r>
      <w:r>
        <w:t xml:space="preserve">compound is then labeled by a fixed threshold on its median IC50:</w:t>
      </w:r>
    </w:p>
    <w:p>
      <w:pPr>
        <w:pStyle w:val="SourceCode"/>
      </w:pPr>
      <w:r>
        <w:rPr>
          <w:rStyle w:val="NormalTok"/>
        </w:rPr>
        <w:t xml:space="preserve">DEFAULT_THRESHOLD_NM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 uM</w:t>
      </w:r>
      <w:r>
        <w:br/>
      </w:r>
      <w:r>
        <w:rPr>
          <w:rStyle w:val="NormalTok"/>
        </w:rPr>
        <w:t xml:space="preserve">is_blocker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median_ic50_nm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DEFAULT_THRESHOLD_NM</w:t>
      </w:r>
    </w:p>
    <w:p>
      <w:pPr>
        <w:pStyle w:val="FirstParagraph"/>
      </w:pPr>
      <w:r>
        <w:t xml:space="preserve">This 10 µM cutoff is a deliberate, explicit modeling choice for this</w:t>
      </w:r>
      <w:r>
        <w:t xml:space="preserve"> </w:t>
      </w:r>
      <w:r>
        <w:t xml:space="preserve">project, not a value taken from a specific external paper’s stated</w:t>
      </w:r>
      <w:r>
        <w:t xml:space="preserve"> </w:t>
      </w:r>
      <w:r>
        <w:t xml:space="preserve">methodology — that distinction matters, because the exact numeric</w:t>
      </w:r>
      <w:r>
        <w:t xml:space="preserve"> </w:t>
      </w:r>
      <w:r>
        <w:t xml:space="preserve">threshold used for hERG</w:t>
      </w:r>
      <w:r>
        <w:t xml:space="preserve"> </w:t>
      </w:r>
      <w:r>
        <w:t xml:space="preserve">“blocker”</w:t>
      </w:r>
      <w:r>
        <w:t xml:space="preserve"> </w:t>
      </w:r>
      <w:r>
        <w:t xml:space="preserve">classification genuinely varies across</w:t>
      </w:r>
      <w:r>
        <w:t xml:space="preserve"> </w:t>
      </w:r>
      <w:r>
        <w:t xml:space="preserve">the published literature, and claiming otherwise would misattribute a</w:t>
      </w:r>
      <w:r>
        <w:t xml:space="preserve"> </w:t>
      </w:r>
      <w:r>
        <w:t xml:space="preserve">number this chapter chose. It is chosen as a round order-of-magnitude</w:t>
      </w:r>
      <w:r>
        <w:t xml:space="preserve"> </w:t>
      </w:r>
      <w:r>
        <w:t xml:space="preserve">value broadly consistent with the qualitative safety-margin reasoning in</w:t>
      </w:r>
      <w:r>
        <w:t xml:space="preserve"> </w:t>
      </w:r>
      <w:r>
        <w:t xml:space="preserve">Redfern et al. (2003, Section 5.2): this project’s own dataset has a</w:t>
      </w:r>
      <w:r>
        <w:t xml:space="preserve"> </w:t>
      </w:r>
      <w:r>
        <w:t xml:space="preserve">median IC50 of 3.5 µM, so 10 µM sits at roughly the upper-middle of the</w:t>
      </w:r>
      <w:r>
        <w:t xml:space="preserve"> </w:t>
      </w:r>
      <w:r>
        <w:t xml:space="preserve">observed potency range rather than at an extreme. Changing it is a</w:t>
      </w:r>
      <w:r>
        <w:t xml:space="preserve"> </w:t>
      </w:r>
      <w:r>
        <w:t xml:space="preserve">one-line edit (</w:t>
      </w:r>
      <w:r>
        <w:rPr>
          <w:rStyle w:val="VerbatimChar"/>
        </w:rPr>
        <w:t xml:space="preserve">--threshold-nm</w:t>
      </w:r>
      <w:r>
        <w:t xml:space="preserve">), and doing so changes both the label</w:t>
      </w:r>
      <w:r>
        <w:t xml:space="preserve"> </w:t>
      </w:r>
      <w:r>
        <w:t xml:space="preserve">balance and, materially, how hard the resulting classification task is —</w:t>
      </w:r>
      <w:r>
        <w:t xml:space="preserve"> </w:t>
      </w:r>
      <w:r>
        <w:t xml:space="preserve">worth trying directly rather than taking this chapter’s specific choice</w:t>
      </w:r>
      <w:r>
        <w:t xml:space="preserve"> </w:t>
      </w:r>
      <w:r>
        <w:t xml:space="preserve">as definitive.</w:t>
      </w:r>
    </w:p>
    <w:bookmarkEnd w:id="17"/>
    <w:bookmarkStart w:id="18" w:name="featurize-split-train"/>
    <w:p>
      <w:pPr>
        <w:pStyle w:val="Heading3"/>
      </w:pPr>
      <w:r>
        <w:t xml:space="preserve">Featurize, split, train</w:t>
      </w:r>
    </w:p>
    <w:p>
      <w:pPr>
        <w:pStyle w:val="FirstParagraph"/>
      </w:pPr>
      <w:r>
        <w:t xml:space="preserve">Compounds are featurized with the same Morgan/ECFP4 fingerprint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radius=2, fpSize=2048</w:t>
      </w:r>
      <w:r>
        <w:t xml:space="preserve">) as Chapter 2, split with either</w:t>
      </w:r>
      <w:r>
        <w:t xml:space="preserve"> </w:t>
      </w:r>
      <w:r>
        <w:rPr>
          <w:rStyle w:val="VerbatimChar"/>
        </w:rPr>
        <w:t xml:space="preserve">random_split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scaffold_split</w:t>
      </w:r>
      <w:r>
        <w:t xml:space="preserve"> </w:t>
      </w:r>
      <w:r>
        <w:t xml:space="preserve">(Section 5.4), and passed to one of the three</w:t>
      </w:r>
      <w:r>
        <w:t xml:space="preserve"> </w:t>
      </w:r>
      <w:r>
        <w:t xml:space="preserve">classifiers from Section 5.3 via a single shared interface: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train_and_evaluate(records, 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split_type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"scaffold"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use_smote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so the same clean/featurize pipeline underlies every combination of</w:t>
      </w:r>
      <w:r>
        <w:t xml:space="preserve"> </w:t>
      </w:r>
      <w:r>
        <w:t xml:space="preserve">model, split, and oversampling choice reported in Sections 5.3–5.4.</w:t>
      </w:r>
    </w:p>
    <w:bookmarkEnd w:id="18"/>
    <w:bookmarkStart w:id="19" w:name="running-it-and-reading-the-output"/>
    <w:p>
      <w:pPr>
        <w:pStyle w:val="Heading3"/>
      </w:pPr>
      <w:r>
        <w:t xml:space="preserve">Running it and reading the output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ch05_qsar_admet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herg_qsar.py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xgboost </w:t>
      </w:r>
      <w:r>
        <w:rPr>
          <w:rStyle w:val="AttributeTok"/>
        </w:rPr>
        <w:t xml:space="preserve">--split</w:t>
      </w:r>
      <w:r>
        <w:rPr>
          <w:rStyle w:val="NormalTok"/>
        </w:rPr>
        <w:t xml:space="preserve"> both</w:t>
      </w:r>
    </w:p>
    <w:p>
      <w:pPr>
        <w:pStyle w:val="FirstParagraph"/>
      </w:pPr>
      <w:r>
        <w:t xml:space="preserve">Running the default configuration against the live ChEMBL API (or</w:t>
      </w:r>
      <w:r>
        <w:t xml:space="preserve"> </w:t>
      </w:r>
      <w:r>
        <w:t xml:space="preserve">offline, deterministically, with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) extracts 3,000 raw</w:t>
      </w:r>
      <w:r>
        <w:t xml:space="preserve"> </w:t>
      </w:r>
      <w:r>
        <w:t xml:space="preserve">IC50 records, cleans them to 1,765 unique standardized compounds (1,307</w:t>
      </w:r>
      <w:r>
        <w:t xml:space="preserve"> </w:t>
      </w:r>
      <w:r>
        <w:t xml:space="preserve">blockers / 458 non-blockers at the 10 µM threshold), and reports, for</w:t>
      </w:r>
      <w:r>
        <w:t xml:space="preserve"> </w:t>
      </w:r>
      <w:r>
        <w:t xml:space="preserve">both the random and scaffold split, exactly the metrics tabulated in</w:t>
      </w:r>
      <w:r>
        <w:t xml:space="preserve"> </w:t>
      </w:r>
      <w:r>
        <w:t xml:space="preserve">Section 5.4 — XGBoost’s scaffold-split ROC-AUC of 0.803 against its</w:t>
      </w:r>
      <w:r>
        <w:t xml:space="preserve"> </w:t>
      </w:r>
      <w:r>
        <w:t xml:space="preserve">random-split ROC-AUC of 0.843 is the single number this chapter’s</w:t>
      </w:r>
      <w:r>
        <w:t xml:space="preserve"> </w:t>
      </w:r>
      <w:r>
        <w:t xml:space="preserve">narrative has been building toward since Chapter 4.</w:t>
      </w:r>
    </w:p>
    <w:bookmarkEnd w:id="19"/>
    <w:bookmarkStart w:id="22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rdkit&gt;=2023.9.1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scikit-learn&gt;=1.3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xgboost&gt;=2.0</w:t>
      </w:r>
      <w:r>
        <w:t xml:space="preserve">,</w:t>
      </w:r>
      <w:r>
        <w:t xml:space="preserve"> </w:t>
      </w:r>
      <w:r>
        <w:rPr>
          <w:rStyle w:val="VerbatimChar"/>
        </w:rPr>
        <w:t xml:space="preserve">imbalanced-learn&gt;=0.11</w:t>
      </w:r>
      <w:r>
        <w:t xml:space="preserve"> </w:t>
      </w:r>
      <w:r>
        <w:t xml:space="preserve">in</w:t>
      </w:r>
      <w:r>
        <w:t xml:space="preserve"> </w:t>
      </w:r>
      <w:hyperlink r:id="rId20">
        <w:r>
          <w:rPr>
            <w:rStyle w:val="VerbatimChar"/>
          </w:rPr>
          <w:t xml:space="preserve">requirements.txt</w:t>
        </w:r>
      </w:hyperlink>
      <w:r>
        <w:t xml:space="preserve">, validated against 2026-era</w:t>
      </w:r>
      <w:r>
        <w:t xml:space="preserve"> </w:t>
      </w:r>
      <w:r>
        <w:t xml:space="preserve">releases of each).</w:t>
      </w:r>
      <w:r>
        <w:t xml:space="preserve"> </w:t>
      </w:r>
      <w:r>
        <w:rPr>
          <w:rStyle w:val="VerbatimChar"/>
        </w:rPr>
        <w:t xml:space="preserve">data/raw_herg_bioactivities_sample.json</w:t>
      </w:r>
      <w:r>
        <w:t xml:space="preserve"> </w:t>
      </w:r>
      <w:r>
        <w:t xml:space="preserve">bundles a</w:t>
      </w:r>
      <w:r>
        <w:t xml:space="preserve"> </w:t>
      </w:r>
      <w:r>
        <w:t xml:space="preserve">real 3,000-record extract (fetched 2026-08-19) so the full clean →</w:t>
      </w:r>
      <w:r>
        <w:t xml:space="preserve"> </w:t>
      </w:r>
      <w:r>
        <w:t xml:space="preserve">featurize → split → train → evaluate pipeline runs offline and</w:t>
      </w:r>
      <w:r>
        <w:t xml:space="preserve"> </w:t>
      </w:r>
      <w:r>
        <w:t xml:space="preserve">deterministically with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, following Chapter 4’s</w:t>
      </w:r>
      <w:r>
        <w:t xml:space="preserve"> </w:t>
      </w:r>
      <w:r>
        <w:t xml:space="preserve">resilience pattern directly (the live ChEMBL connection did in fact time</w:t>
      </w:r>
      <w:r>
        <w:t xml:space="preserve"> </w:t>
      </w:r>
      <w:r>
        <w:t xml:space="preserve">out once while this fixture was being prepared — an unprompted,</w:t>
      </w:r>
      <w:r>
        <w:t xml:space="preserve"> </w:t>
      </w:r>
      <w:r>
        <w:t xml:space="preserve">real-world demonstration of exactly the failure mode that pattern</w:t>
      </w:r>
      <w:r>
        <w:t xml:space="preserve"> </w:t>
      </w:r>
      <w:r>
        <w:t xml:space="preserve">exists to survive). The 28-test suite in</w:t>
      </w:r>
      <w:r>
        <w:t xml:space="preserve"> </w:t>
      </w:r>
      <w:hyperlink r:id="rId21">
        <w:r>
          <w:rPr>
            <w:rStyle w:val="VerbatimChar"/>
          </w:rPr>
          <w:t xml:space="preserve">tests/test_herg_qsar.py</w:t>
        </w:r>
      </w:hyperlink>
      <w:r>
        <w:t xml:space="preserve"> </w:t>
      </w:r>
      <w:r>
        <w:t xml:space="preserve">checks</w:t>
      </w:r>
      <w:r>
        <w:t xml:space="preserve"> </w:t>
      </w:r>
      <w:r>
        <w:t xml:space="preserve">extraction, cleaning, labeling, featurization, both split strategies</w:t>
      </w:r>
      <w:r>
        <w:t xml:space="preserve"> </w:t>
      </w:r>
      <w:r>
        <w:t xml:space="preserve">(including an explicit check that scaffold split never places the same</w:t>
      </w:r>
      <w:r>
        <w:t xml:space="preserve"> </w:t>
      </w:r>
      <w:r>
        <w:t xml:space="preserve">scaffold in both train and test), and end-to-end training against both</w:t>
      </w:r>
      <w:r>
        <w:t xml:space="preserve"> </w:t>
      </w:r>
      <w:r>
        <w:t xml:space="preserve">synthetic edge cases and a real slice of the bundled fixture.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28</w:t>
      </w:r>
      <w:r>
        <w:t xml:space="preserve"> </w:t>
      </w:r>
      <w:r>
        <w:t xml:space="preserve">results.</w:t>
      </w:r>
    </w:p>
    <w:bookmarkEnd w:id="22"/>
    <w:bookmarkStart w:id="23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Everything in this chapter operates on the same 2D representation</w:t>
      </w:r>
      <w:r>
        <w:t xml:space="preserve"> </w:t>
      </w:r>
      <w:r>
        <w:t xml:space="preserve">Chapter 2 introduced, with the same blind spot flagged there: a</w:t>
      </w:r>
      <w:r>
        <w:t xml:space="preserve"> </w:t>
      </w:r>
      <w:r>
        <w:t xml:space="preserve">fingerprint encodes molecular constitution, not the 3D shape a compound</w:t>
      </w:r>
      <w:r>
        <w:t xml:space="preserve"> </w:t>
      </w:r>
      <w:r>
        <w:t xml:space="preserve">actually presents to hERG’s binding pocket. Sanguinetti and</w:t>
      </w:r>
      <w:r>
        <w:t xml:space="preserve"> </w:t>
      </w:r>
      <w:r>
        <w:t xml:space="preserve">Tristani-Firouzi’s point about hERG specifically (Section 5.2) — that</w:t>
      </w:r>
      <w:r>
        <w:t xml:space="preserve"> </w:t>
      </w:r>
      <w:r>
        <w:t xml:space="preserve">its unusually large, aromatic-lined pore accommodates structurally</w:t>
      </w:r>
      <w:r>
        <w:t xml:space="preserve"> </w:t>
      </w:r>
      <w:r>
        <w:t xml:space="preserve">diverse binders through more than one plausible binding mode — is a</w:t>
      </w:r>
      <w:r>
        <w:t xml:space="preserve"> </w:t>
      </w:r>
      <w:r>
        <w:t xml:space="preserve">concrete reason this class of liability may be harder for a fixed 2D</w:t>
      </w:r>
      <w:r>
        <w:t xml:space="preserve"> </w:t>
      </w:r>
      <w:r>
        <w:t xml:space="preserve">fingerprint to fully capture than a more geometrically constrained</w:t>
      </w:r>
      <w:r>
        <w:t xml:space="preserve"> </w:t>
      </w:r>
      <w:r>
        <w:t xml:space="preserve">target would be; Chapter 6’s graph neural networks (learning a</w:t>
      </w:r>
      <w:r>
        <w:t xml:space="preserve"> </w:t>
      </w:r>
      <w:r>
        <w:t xml:space="preserve">representation directly from structure rather than fixing one in</w:t>
      </w:r>
      <w:r>
        <w:t xml:space="preserve"> </w:t>
      </w:r>
      <w:r>
        <w:t xml:space="preserve">advance) and Chapter 11’s docking methods (explicit 3D binding-pose</w:t>
      </w:r>
      <w:r>
        <w:t xml:space="preserve"> </w:t>
      </w:r>
      <w:r>
        <w:t xml:space="preserve">prediction) are both direct responses to this same limitation, applied</w:t>
      </w:r>
      <w:r>
        <w:t xml:space="preserve"> </w:t>
      </w:r>
      <w:r>
        <w:t xml:space="preserve">to different parts of the pipeline. Separately, a fixed IC50 threshold</w:t>
      </w:r>
      <w:r>
        <w:t xml:space="preserve"> </w:t>
      </w:r>
      <w:r>
        <w:t xml:space="preserve">discards the concentration-dependent safety-margin reasoning Redfern et</w:t>
      </w:r>
      <w:r>
        <w:t xml:space="preserve"> </w:t>
      </w:r>
      <w:r>
        <w:t xml:space="preserve">al. established (Section 5.2) — a regression model predicting IC50</w:t>
      </w:r>
      <w:r>
        <w:t xml:space="preserve"> </w:t>
      </w:r>
      <w:r>
        <w:t xml:space="preserve">directly, combined with a compound’s anticipated therapeutic</w:t>
      </w:r>
      <w:r>
        <w:t xml:space="preserve"> </w:t>
      </w:r>
      <w:r>
        <w:t xml:space="preserve">concentration, is a more complete safety assessment than any single</w:t>
      </w:r>
      <w:r>
        <w:t xml:space="preserve"> </w:t>
      </w:r>
      <w:r>
        <w:t xml:space="preserve">blocker/non-blocker classifier. And a scaffold split, while a</w:t>
      </w:r>
      <w:r>
        <w:t xml:space="preserve"> </w:t>
      </w:r>
      <w:r>
        <w:t xml:space="preserve">substantially more honest estimate of generalization than a random</w:t>
      </w:r>
      <w:r>
        <w:t xml:space="preserve"> </w:t>
      </w:r>
      <w:r>
        <w:t xml:space="preserve">split, is still evaluated against scaffolds already present in a fixed</w:t>
      </w:r>
      <w:r>
        <w:t xml:space="preserve"> </w:t>
      </w:r>
      <w:r>
        <w:t xml:space="preserve">historical dataset — it is not a test against chemistry that does not</w:t>
      </w:r>
      <w:r>
        <w:t xml:space="preserve"> </w:t>
      </w:r>
      <w:r>
        <w:t xml:space="preserve">yet exist, which is precisely the harder problem Chapter 7’s generative</w:t>
      </w:r>
      <w:r>
        <w:t xml:space="preserve"> </w:t>
      </w:r>
      <w:r>
        <w:t xml:space="preserve">models are evaluated against.</w:t>
      </w:r>
    </w:p>
    <w:bookmarkEnd w:id="23"/>
    <w:bookmarkStart w:id="24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rdkit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imbalanced-learn</w:t>
      </w:r>
      <w:r>
        <w:t xml:space="preserve"> </w:t>
      </w:r>
      <w:r>
        <w:t xml:space="preserve">are not preinstalled on</w:t>
      </w:r>
      <w:r>
        <w:t xml:space="preserve"> </w:t>
      </w:r>
      <w:r>
        <w:t xml:space="preserve">Colab’s default runtime (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are);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!pip install rdkit xgboost imbalanced-learn</w:t>
      </w:r>
      <w:r>
        <w:t xml:space="preserve"> </w:t>
      </w:r>
      <w:r>
        <w:t xml:space="preserve">in the first cell. No</w:t>
      </w:r>
      <w:r>
        <w:t xml:space="preserve"> </w:t>
      </w:r>
      <w:r>
        <w:t xml:space="preserve">GPU is required — training any of the three classifiers on ~1,400</w:t>
      </w:r>
      <w:r>
        <w:t xml:space="preserve"> </w:t>
      </w:r>
      <w:r>
        <w:t xml:space="preserve">compounds’ worth of 2048-bit fingerprints completes in well under a</w:t>
      </w:r>
      <w:r>
        <w:t xml:space="preserve"> </w:t>
      </w:r>
      <w:r>
        <w:t xml:space="preserve">minute on CPU.</w:t>
      </w:r>
    </w:p>
    <w:bookmarkEnd w:id="24"/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Van de Waterbeemd, H., &amp; Gifford, E. (2003). ADMET in silico</w:t>
      </w:r>
      <w:r>
        <w:t xml:space="preserve"> </w:t>
      </w:r>
      <w:r>
        <w:t xml:space="preserve">modelling: towards prediction paradise?</w:t>
      </w:r>
      <w:r>
        <w:t xml:space="preserve"> </w:t>
      </w:r>
      <w:r>
        <w:rPr>
          <w:i/>
          <w:iCs/>
        </w:rPr>
        <w:t xml:space="preserve">Nature Reviews Drug</w:t>
      </w:r>
      <w:r>
        <w:rPr>
          <w:i/>
          <w:iCs/>
        </w:rPr>
        <w:t xml:space="preserve"> </w:t>
      </w:r>
      <w:r>
        <w:rPr>
          <w:i/>
          <w:iCs/>
        </w:rPr>
        <w:t xml:space="preserve">Discovery</w:t>
      </w:r>
      <w:r>
        <w:t xml:space="preserve">, 2(3), 192–204. https://doi.org/10.1038/nrd1032</w:t>
      </w:r>
    </w:p>
    <w:p>
      <w:pPr>
        <w:pStyle w:val="Compact"/>
        <w:numPr>
          <w:ilvl w:val="0"/>
          <w:numId w:val="1001"/>
        </w:numPr>
      </w:pPr>
      <w:r>
        <w:t xml:space="preserve">Sanguinetti, M. C., &amp; Tristani-Firouzi, M. (2006). hERG potassium</w:t>
      </w:r>
      <w:r>
        <w:t xml:space="preserve"> </w:t>
      </w:r>
      <w:r>
        <w:t xml:space="preserve">channels and cardiac arrhythmia.</w:t>
      </w:r>
      <w:r>
        <w:t xml:space="preserve"> </w:t>
      </w:r>
      <w:r>
        <w:rPr>
          <w:i/>
          <w:iCs/>
        </w:rPr>
        <w:t xml:space="preserve">Nature</w:t>
      </w:r>
      <w:r>
        <w:t xml:space="preserve">, 440(7083), 463–469.</w:t>
      </w:r>
      <w:r>
        <w:t xml:space="preserve"> </w:t>
      </w:r>
      <w:r>
        <w:t xml:space="preserve">https://doi.org/10.1038/nature04710</w:t>
      </w:r>
    </w:p>
    <w:p>
      <w:pPr>
        <w:pStyle w:val="Compact"/>
        <w:numPr>
          <w:ilvl w:val="0"/>
          <w:numId w:val="1001"/>
        </w:numPr>
      </w:pPr>
      <w:r>
        <w:t xml:space="preserve">Redfern, W. S., Carlsson, L., Davis, A. S., Lynch, W. G., MacKenzie,</w:t>
      </w:r>
      <w:r>
        <w:t xml:space="preserve"> </w:t>
      </w:r>
      <w:r>
        <w:t xml:space="preserve">I., Palethorpe, S., Siegl, P. K., Strang, I., Sullivan, A. T., Wallis,</w:t>
      </w:r>
      <w:r>
        <w:t xml:space="preserve"> </w:t>
      </w:r>
      <w:r>
        <w:t xml:space="preserve">R., Camm, A. J., &amp; Hammond, T. G. (2003). Relationships between</w:t>
      </w:r>
      <w:r>
        <w:t xml:space="preserve"> </w:t>
      </w:r>
      <w:r>
        <w:t xml:space="preserve">preclinical cardiac electrophysiology, clinical QT interval</w:t>
      </w:r>
      <w:r>
        <w:t xml:space="preserve"> </w:t>
      </w:r>
      <w:r>
        <w:t xml:space="preserve">prolongation and torsade de pointes for a broad range of drugs:</w:t>
      </w:r>
      <w:r>
        <w:t xml:space="preserve"> </w:t>
      </w:r>
      <w:r>
        <w:t xml:space="preserve">evidence for a provisional safety margin in drug development.</w:t>
      </w:r>
      <w:r>
        <w:t xml:space="preserve"> </w:t>
      </w:r>
      <w:r>
        <w:rPr>
          <w:i/>
          <w:iCs/>
        </w:rPr>
        <w:t xml:space="preserve">Cardiovascular Research</w:t>
      </w:r>
      <w:r>
        <w:t xml:space="preserve">, 58(1), 32–45.</w:t>
      </w:r>
      <w:r>
        <w:t xml:space="preserve"> </w:t>
      </w:r>
      <w:r>
        <w:t xml:space="preserve">https://doi.org/10.1016/s0008-6363(02)00846-5</w:t>
      </w:r>
    </w:p>
    <w:p>
      <w:pPr>
        <w:pStyle w:val="Compact"/>
        <w:numPr>
          <w:ilvl w:val="0"/>
          <w:numId w:val="1001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  <w:r>
        <w:t xml:space="preserve"> </w:t>
      </w:r>
      <w:r>
        <w:t xml:space="preserve">https://doi.org/10.1023/A:1010933404324</w:t>
      </w:r>
    </w:p>
    <w:p>
      <w:pPr>
        <w:pStyle w:val="Compact"/>
        <w:numPr>
          <w:ilvl w:val="0"/>
          <w:numId w:val="1001"/>
        </w:numPr>
      </w:pPr>
      <w:r>
        <w:t xml:space="preserve">Cortes, C., &amp; Vapnik, V. (1995). Support-vector networks.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20(3), 273–297. https://doi.org/10.1007/BF00994018</w:t>
      </w:r>
    </w:p>
    <w:p>
      <w:pPr>
        <w:pStyle w:val="Compact"/>
        <w:numPr>
          <w:ilvl w:val="0"/>
          <w:numId w:val="1001"/>
        </w:numPr>
      </w:pPr>
      <w:r>
        <w:t xml:space="preserve">Chen, T., &amp; Guestrin, C. (2016). XGBoost: A scalable tree boosting</w:t>
      </w:r>
      <w:r>
        <w:t xml:space="preserve"> </w:t>
      </w:r>
      <w:r>
        <w:t xml:space="preserve">system. In</w:t>
      </w:r>
      <w:r>
        <w:t xml:space="preserve"> </w:t>
      </w:r>
      <w:r>
        <w:rPr>
          <w:i/>
          <w:iCs/>
        </w:rPr>
        <w:t xml:space="preserve">Proceedings of the 22nd ACM SIGKDD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Knowledge Discovery and Data Mining</w:t>
      </w:r>
      <w:r>
        <w:t xml:space="preserve"> </w:t>
      </w:r>
      <w:r>
        <w:t xml:space="preserve">(pp. 785–794).</w:t>
      </w:r>
      <w:r>
        <w:t xml:space="preserve"> </w:t>
      </w:r>
      <w:r>
        <w:t xml:space="preserve">https://doi.org/10.1145/2939672.2939785</w:t>
      </w:r>
    </w:p>
    <w:p>
      <w:pPr>
        <w:pStyle w:val="Compact"/>
        <w:numPr>
          <w:ilvl w:val="0"/>
          <w:numId w:val="1001"/>
        </w:numPr>
      </w:pPr>
      <w:r>
        <w:t xml:space="preserve">Pedregosa, F., Varoquaux, G., Gramfort, A., Michel, V., Thirion, B.,</w:t>
      </w:r>
      <w:r>
        <w:t xml:space="preserve"> </w:t>
      </w:r>
      <w:r>
        <w:t xml:space="preserve">Grisel, O., Blondel, M., Prettenhofer, P., Weiss, R., Dubourg, V.,</w:t>
      </w:r>
      <w:r>
        <w:t xml:space="preserve"> </w:t>
      </w:r>
      <w:r>
        <w:t xml:space="preserve">Vanderplas, J., Passos, A., Cournapeau, D., Brucher, M., Perrot, M., &amp;</w:t>
      </w:r>
      <w:r>
        <w:t xml:space="preserve"> </w:t>
      </w:r>
      <w:r>
        <w:t xml:space="preserve">Duchesnay, É. 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2825–2830.</w:t>
      </w:r>
    </w:p>
    <w:p>
      <w:pPr>
        <w:pStyle w:val="Compact"/>
        <w:numPr>
          <w:ilvl w:val="0"/>
          <w:numId w:val="1001"/>
        </w:numPr>
      </w:pPr>
      <w:r>
        <w:t xml:space="preserve">Siramshetty, V. B., Nguyen, D. T., Martinez, N. J., Southall, N. T.,</w:t>
      </w:r>
      <w:r>
        <w:t xml:space="preserve"> </w:t>
      </w:r>
      <w:r>
        <w:t xml:space="preserve">Simeonov, A., &amp; Zakharov, A. V. (2020). Critical assessment of</w:t>
      </w:r>
      <w:r>
        <w:t xml:space="preserve"> </w:t>
      </w:r>
      <w:r>
        <w:t xml:space="preserve">artificial intelligence methods for prediction of hERG channel</w:t>
      </w:r>
      <w:r>
        <w:t xml:space="preserve"> </w:t>
      </w:r>
      <w:r>
        <w:t xml:space="preserve">inhibition in the</w:t>
      </w:r>
      <w:r>
        <w:t xml:space="preserve"> </w:t>
      </w:r>
      <w:r>
        <w:t xml:space="preserve">“Big Data”</w:t>
      </w:r>
      <w:r>
        <w:t xml:space="preserve"> </w:t>
      </w:r>
      <w:r>
        <w:t xml:space="preserve">era.</w:t>
      </w:r>
      <w:r>
        <w:t xml:space="preserve"> </w:t>
      </w:r>
      <w:r>
        <w:rPr>
          <w:i/>
          <w:iCs/>
        </w:rPr>
        <w:t xml:space="preserve">Journal of Chemical Information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Modeling</w:t>
      </w:r>
      <w:r>
        <w:t xml:space="preserve">, 60(12), 6007–6019.</w:t>
      </w:r>
      <w:r>
        <w:t xml:space="preserve"> </w:t>
      </w:r>
      <w:r>
        <w:t xml:space="preserve">https://doi.org/10.1021/acs.jcim.0c00884</w:t>
      </w:r>
    </w:p>
    <w:p>
      <w:pPr>
        <w:pStyle w:val="Compact"/>
        <w:numPr>
          <w:ilvl w:val="0"/>
          <w:numId w:val="1001"/>
        </w:numPr>
      </w:pPr>
      <w:r>
        <w:t xml:space="preserve">Bemis, G. W., &amp; Murcko, M. A. (1996). The properties of known drugs,</w:t>
      </w:r>
      <w:r>
        <w:t xml:space="preserve"> </w:t>
      </w:r>
      <w:r>
        <w:t xml:space="preserve">part 1: Molecular frameworks.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,</w:t>
      </w:r>
      <w:r>
        <w:t xml:space="preserve"> </w:t>
      </w:r>
      <w:r>
        <w:t xml:space="preserve">39(15), 2887–2893. https://doi.org/10.1021/jm9602928</w:t>
      </w:r>
    </w:p>
    <w:p>
      <w:pPr>
        <w:pStyle w:val="Compact"/>
        <w:numPr>
          <w:ilvl w:val="0"/>
          <w:numId w:val="1001"/>
        </w:numPr>
      </w:pPr>
      <w:r>
        <w:t xml:space="preserve">Yang, K., Swanson, K., Jin, W., Coley, C., Eiden, P., Gao, H.,</w:t>
      </w:r>
      <w:r>
        <w:t xml:space="preserve"> </w:t>
      </w:r>
      <w:r>
        <w:t xml:space="preserve">Guzman-Perez, A., Hopper, T., Kelley, B., Mathea, M., Palmer, A.,</w:t>
      </w:r>
      <w:r>
        <w:t xml:space="preserve"> </w:t>
      </w:r>
      <w:r>
        <w:t xml:space="preserve">Settels, V., Jaakkola, T., Jensen, K., &amp; Barzilay, R. (2019). Analyzing</w:t>
      </w:r>
      <w:r>
        <w:t xml:space="preserve"> </w:t>
      </w:r>
      <w:r>
        <w:t xml:space="preserve">learned molecular representations for property prediction.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Chemical Information and Modeling</w:t>
      </w:r>
      <w:r>
        <w:t xml:space="preserve">, 59(8), 3370–3388.</w:t>
      </w:r>
      <w:r>
        <w:t xml:space="preserve"> </w:t>
      </w:r>
      <w:r>
        <w:t xml:space="preserve">https://doi.org/10.1021/acs.jcim.9b00237</w:t>
      </w:r>
    </w:p>
    <w:p>
      <w:pPr>
        <w:pStyle w:val="Compact"/>
        <w:numPr>
          <w:ilvl w:val="0"/>
          <w:numId w:val="1001"/>
        </w:numPr>
      </w:pPr>
      <w:r>
        <w:t xml:space="preserve">Chawla, N. V., Bowyer, K. W., Hall, L. O., &amp; Kegelmeyer, W. P. (2002).</w:t>
      </w:r>
      <w:r>
        <w:t xml:space="preserve"> </w:t>
      </w:r>
      <w:r>
        <w:t xml:space="preserve">SMOTE: Synthetic minority over-sampling technique.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 Research</w:t>
      </w:r>
      <w:r>
        <w:t xml:space="preserve">, 16, 321–357.</w:t>
      </w:r>
      <w:r>
        <w:t xml:space="preserve"> </w:t>
      </w:r>
      <w:r>
        <w:t xml:space="preserve">https://doi.org/10.1613/jair.953</w:t>
      </w:r>
    </w:p>
    <w:p>
      <w:pPr>
        <w:pStyle w:val="FirstParagraph"/>
      </w:pPr>
      <w:r>
        <w:t xml:space="preserve">See Chapter 1’s references for Mendez et al. (2019, ChEMBL) and Chapter</w:t>
      </w:r>
      <w:r>
        <w:t xml:space="preserve"> </w:t>
      </w:r>
      <w:r>
        <w:t xml:space="preserve">4’s references for Ramsundar et al. (2019, DeepChem’s own documented</w:t>
      </w:r>
      <w:r>
        <w:t xml:space="preserve"> </w:t>
      </w:r>
      <w:r>
        <w:t xml:space="preserve">citation) — both reused here rather than re-listed. RDKit itself has no</w:t>
      </w:r>
      <w:r>
        <w:t xml:space="preserve"> </w:t>
      </w:r>
      <w:r>
        <w:t xml:space="preserve">official journal publication; its maintainers’ recommended citation is</w:t>
      </w:r>
      <w:r>
        <w:t xml:space="preserve"> </w:t>
      </w:r>
      <w:r>
        <w:t xml:space="preserve">“RDKit: Open-source cheminformatics. https://www.rdkit.org”</w:t>
      </w:r>
      <w:r>
        <w:t xml:space="preserve"> </w:t>
      </w:r>
      <w:r>
        <w:t xml:space="preserve">(confirmed</w:t>
      </w:r>
      <w:r>
        <w:t xml:space="preserve"> </w:t>
      </w:r>
      <w:r>
        <w:t xml:space="preserve">directly from the project’s own documentation), matching the convention</w:t>
      </w:r>
      <w:r>
        <w:t xml:space="preserve"> </w:t>
      </w:r>
      <w:r>
        <w:t xml:space="preserve">established in Chapter 4’s references. The Pedregosa et al. (2011)</w:t>
      </w:r>
      <w:r>
        <w:t xml:space="preserve"> </w:t>
      </w:r>
      <w:r>
        <w:t xml:space="preserve">scikit-learn citation is reproduced from the paper’s own metadata on</w:t>
      </w:r>
      <w:r>
        <w:t xml:space="preserve"> </w:t>
      </w:r>
      <w:r>
        <w:rPr>
          <w:rStyle w:val="VerbatimChar"/>
        </w:rPr>
        <w:t xml:space="preserve">jmlr.org</w:t>
      </w:r>
      <w:r>
        <w:t xml:space="preserve">, which lists no DOI for this article.</w:t>
      </w:r>
    </w:p>
    <w:p>
      <w:pPr>
        <w:pStyle w:val="BodyText"/>
      </w:pPr>
      <w:r>
        <w:t xml:space="preserve">All dataset sizes, class balances, and model metrics cited in Sections</w:t>
      </w:r>
      <w:r>
        <w:t xml:space="preserve"> </w:t>
      </w:r>
      <w:r>
        <w:t xml:space="preserve">5.4–5.5 were computed directly by running</w:t>
      </w:r>
      <w:r>
        <w:t xml:space="preserve"> </w:t>
      </w:r>
      <w:r>
        <w:rPr>
          <w:rStyle w:val="VerbatimChar"/>
        </w:rPr>
        <w:t xml:space="preserve">herg_qsar.py</w:t>
      </w:r>
      <w:r>
        <w:t xml:space="preserve"> </w:t>
      </w:r>
      <w:r>
        <w:t xml:space="preserve">against the</w:t>
      </w:r>
      <w:r>
        <w:t xml:space="preserve"> </w:t>
      </w:r>
      <w:r>
        <w:t xml:space="preserve">live ChEMBL API on 2026-08-19, not taken from a secondary source — see</w:t>
      </w:r>
      <w:r>
        <w:t xml:space="preserve"> </w:t>
      </w:r>
      <w:r>
        <w:rPr>
          <w:rStyle w:val="VerbatimChar"/>
        </w:rPr>
        <w:t xml:space="preserve">data/raw_herg_bioactivities_sample.json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herg_qsar.py</w:t>
      </w:r>
      <w:r>
        <w:t xml:space="preserve"> </w:t>
      </w:r>
      <w:r>
        <w:t xml:space="preserve">to</w:t>
      </w:r>
      <w:r>
        <w:t xml:space="preserve"> </w:t>
      </w:r>
      <w:r>
        <w:t xml:space="preserve">reproduce.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erg_qsar.py" TargetMode="External" /><Relationship Type="http://schemas.openxmlformats.org/officeDocument/2006/relationships/hyperlink" Id="rId20" Target="requirements.txt" TargetMode="External" /><Relationship Type="http://schemas.openxmlformats.org/officeDocument/2006/relationships/hyperlink" Id="rId21" Target="tests/test_herg_qsa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erg_qsar.py" TargetMode="External" /><Relationship Type="http://schemas.openxmlformats.org/officeDocument/2006/relationships/hyperlink" Id="rId20" Target="requirements.txt" TargetMode="External" /><Relationship Type="http://schemas.openxmlformats.org/officeDocument/2006/relationships/hyperlink" Id="rId21" Target="tests/test_herg_qsa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2026-08-20T03:54:37Z</dcterms:created>
  <dcterms:modified xsi:type="dcterms:W3CDTF">2026-08-20T03:54:37Z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