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b329e50ec9cb29b959e06c4e5dfece6e8b8691"/>
    <w:p>
      <w:pPr>
        <w:pStyle w:val="Heading1"/>
      </w:pPr>
      <w:r>
        <w:t xml:space="preserve">Chapter 6: Graph Neural Networks (GNNs) in Chemistry</w:t>
      </w:r>
    </w:p>
    <w:p>
      <w:pPr>
        <w:pStyle w:val="FirstParagraph"/>
      </w:pPr>
      <w:r>
        <w:t xml:space="preserve">Chapter 2 represented a molecule three ways — a SMILES string, a fixed</w:t>
      </w:r>
      <w:r>
        <w:t xml:space="preserve"> </w:t>
      </w:r>
      <w:r>
        <w:t xml:space="preserve">hashed fingerprint, and, briefly, the underlying graph itself (Section</w:t>
      </w:r>
      <w:r>
        <w:t xml:space="preserve"> </w:t>
      </w:r>
      <w:r>
        <w:t xml:space="preserve">2.3), noting that a fingerprint is</w:t>
      </w:r>
      <w:r>
        <w:t xml:space="preserve"> </w:t>
      </w:r>
      <w:r>
        <w:t xml:space="preserve">“a fast, lossy fixed-size summary”</w:t>
      </w:r>
      <w:r>
        <w:t xml:space="preserve"> </w:t>
      </w:r>
      <w:r>
        <w:t xml:space="preserve">of that graph and that</w:t>
      </w:r>
      <w:r>
        <w:t xml:space="preserve"> </w:t>
      </w:r>
      <w:r>
        <w:t xml:space="preserve">“learning similarity directly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graph neural networks… Chapter 6 covers in full.”</w:t>
      </w:r>
      <w:r>
        <w:t xml:space="preserve"> </w:t>
      </w:r>
      <w:r>
        <w:t xml:space="preserve">This is that chapter. Chapter 5’s classical models (Random Forest, SVM,</w:t>
      </w:r>
      <w:r>
        <w:t xml:space="preserve"> </w:t>
      </w:r>
      <w:r>
        <w:t xml:space="preserve">XGBoost) all consumed a Chapter 2 fingerprint as a fixed input vector;</w:t>
      </w:r>
      <w:r>
        <w:t xml:space="preserve"> </w:t>
      </w:r>
      <w:r>
        <w:t xml:space="preserve">every model in this chapter instead consumes the molecular graph</w:t>
      </w:r>
      <w:r>
        <w:t xml:space="preserve"> </w:t>
      </w:r>
      <w:r>
        <w:t xml:space="preserve">directly, learning its own task-specific representation rather than</w:t>
      </w:r>
      <w:r>
        <w:t xml:space="preserve"> </w:t>
      </w:r>
      <w:r>
        <w:t xml:space="preserve">having one fixed in advance.</w:t>
      </w:r>
    </w:p>
    <w:bookmarkStart w:id="9" w:name="motivation-for-gnns"/>
    <w:p>
      <w:pPr>
        <w:pStyle w:val="Heading2"/>
      </w:pPr>
      <w:r>
        <w:t xml:space="preserve">6.1 Motivation for GNNs</w:t>
      </w:r>
    </w:p>
    <w:p>
      <w:pPr>
        <w:pStyle w:val="FirstParagraph"/>
      </w:pPr>
      <w:r>
        <w:t xml:space="preserve">A Morgan/ECFP4 fingerprint (Chapter 2, Section 2.2) is built by a fixed,</w:t>
      </w:r>
      <w:r>
        <w:t xml:space="preserve"> </w:t>
      </w:r>
      <w:r>
        <w:t xml:space="preserve">non-learned algorithm: hash each atom’s local environment out to some</w:t>
      </w:r>
      <w:r>
        <w:t xml:space="preserve"> </w:t>
      </w:r>
      <w:r>
        <w:t xml:space="preserve">radius, fold the results into a bit vector, done. The procedure never</w:t>
      </w:r>
      <w:r>
        <w:t xml:space="preserve"> </w:t>
      </w:r>
      <w:r>
        <w:t xml:space="preserve">sees a training label, so it cannot allocate representational capacity</w:t>
      </w:r>
      <w:r>
        <w:t xml:space="preserve"> </w:t>
      </w:r>
      <w:r>
        <w:t xml:space="preserve">toward whichever structural patterns actually matter for the property</w:t>
      </w:r>
      <w:r>
        <w:t xml:space="preserve"> </w:t>
      </w:r>
      <w:r>
        <w:t xml:space="preserve">being predicted — every bit is spent identically regardless of whether</w:t>
      </w:r>
      <w:r>
        <w:t xml:space="preserve"> </w:t>
      </w:r>
      <w:r>
        <w:t xml:space="preserve">the downstream task is solubility, toxicity, or binding affinity. Two</w:t>
      </w:r>
      <w:r>
        <w:t xml:space="preserve"> </w:t>
      </w:r>
      <w:r>
        <w:t xml:space="preserve">concrete costs follow directly from this, both named explicitly in</w:t>
      </w:r>
      <w:r>
        <w:t xml:space="preserve"> </w:t>
      </w:r>
      <w:r>
        <w:t xml:space="preserve">Chapter 2: hashing</w:t>
      </w:r>
      <w:r>
        <w:t xml:space="preserve"> </w:t>
      </w:r>
      <w:r>
        <w:rPr>
          <w:b/>
          <w:bCs/>
        </w:rPr>
        <w:t xml:space="preserve">collisions</w:t>
      </w:r>
      <w:r>
        <w:t xml:space="preserve">, where chemically distinct</w:t>
      </w:r>
      <w:r>
        <w:t xml:space="preserve"> </w:t>
      </w:r>
      <w:r>
        <w:t xml:space="preserve">environments alias to the same bit as the dictionary of possible</w:t>
      </w:r>
      <w:r>
        <w:t xml:space="preserve"> </w:t>
      </w:r>
      <w:r>
        <w:t xml:space="preserve">environments competes for a fixed-width vector, and a hard</w:t>
      </w:r>
      <w:r>
        <w:t xml:space="preserve"> </w:t>
      </w:r>
      <w:r>
        <w:rPr>
          <w:b/>
          <w:bCs/>
        </w:rPr>
        <w:t xml:space="preserve">radius</w:t>
      </w:r>
      <w:r>
        <w:rPr>
          <w:b/>
          <w:bCs/>
        </w:rPr>
        <w:t xml:space="preserve"> </w:t>
      </w:r>
      <w:r>
        <w:rPr>
          <w:b/>
          <w:bCs/>
        </w:rPr>
        <w:t xml:space="preserve">cutoff</w:t>
      </w:r>
      <w:r>
        <w:t xml:space="preserve">, beyond which no information propagates no matter how</w:t>
      </w:r>
      <w:r>
        <w:t xml:space="preserve"> </w:t>
      </w:r>
      <w:r>
        <w:t xml:space="preserve">relevant a distant substructure is to the property in question.</w:t>
      </w:r>
    </w:p>
    <w:p>
      <w:pPr>
        <w:pStyle w:val="BodyText"/>
      </w:pPr>
      <w:r>
        <w:t xml:space="preserve">Duvenaud et al. (2015) framed the fix precisely: replace the fixed</w:t>
      </w:r>
      <w:r>
        <w:t xml:space="preserve"> </w:t>
      </w:r>
      <w:r>
        <w:t xml:space="preserve">hashing step with a differentiable, learnable analogue of the same</w:t>
      </w:r>
      <w:r>
        <w:t xml:space="preserve"> </w:t>
      </w:r>
      <w:r>
        <w:t xml:space="preserve">circular-fingerprint procedure — at each layer, aggregate information</w:t>
      </w:r>
      <w:r>
        <w:t xml:space="preserve"> </w:t>
      </w:r>
      <w:r>
        <w:t xml:space="preserve">from each atom’s immediate neighbors, exactly as Morgan’s algorithm</w:t>
      </w:r>
      <w:r>
        <w:t xml:space="preserve"> </w:t>
      </w:r>
      <w:r>
        <w:t xml:space="preserve">does, but with a neural network instead of a hash function, trained</w:t>
      </w:r>
      <w:r>
        <w:t xml:space="preserve"> </w:t>
      </w:r>
      <w:r>
        <w:t xml:space="preserve">end-to-end against the actual prediction target. Stacking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such</w:t>
      </w:r>
      <w:r>
        <w:t xml:space="preserve"> </w:t>
      </w:r>
      <w:r>
        <w:t xml:space="preserve">layers lets information reach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bonds away, precisely as increasing</w:t>
      </w:r>
      <w:r>
        <w:t xml:space="preserve"> </w:t>
      </w:r>
      <w:r>
        <w:t xml:space="preserve">an ECFP’s radius does, but where a fingerprint discards everything</w:t>
      </w:r>
      <w:r>
        <w:t xml:space="preserve"> </w:t>
      </w:r>
      <w:r>
        <w:t xml:space="preserve">except the final hashed identifier, a GNN keeps every intermediate</w:t>
      </w:r>
      <w:r>
        <w:t xml:space="preserve"> </w:t>
      </w:r>
      <w:r>
        <w:t xml:space="preserve">representation differentiable and lets gradient descent decide what</w:t>
      </w:r>
      <w:r>
        <w:t xml:space="preserve"> </w:t>
      </w:r>
      <w:r>
        <w:t xml:space="preserve">those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rounds of neighborhood aggregation should actually encode</w:t>
      </w:r>
      <w:r>
        <w:t xml:space="preserve"> </w:t>
      </w:r>
      <w:r>
        <w:t xml:space="preserve">for the task at hand. This is the core idea this chapter formalizes:</w:t>
      </w:r>
      <w:r>
        <w:t xml:space="preserve"> </w:t>
      </w:r>
      <w:r>
        <w:rPr>
          <w:b/>
          <w:bCs/>
        </w:rPr>
        <w:t xml:space="preserve">spatial neighborhood aggregation</w:t>
      </w:r>
      <w:r>
        <w:t xml:space="preserve"> </w:t>
      </w:r>
      <w:r>
        <w:t xml:space="preserve">— often called</w:t>
      </w:r>
      <w:r>
        <w:t xml:space="preserve"> </w:t>
      </w:r>
      <w:r>
        <w:rPr>
          <w:b/>
          <w:bCs/>
        </w:rPr>
        <w:t xml:space="preserve">message</w:t>
      </w:r>
      <w:r>
        <w:rPr>
          <w:b/>
          <w:bCs/>
        </w:rPr>
        <w:t xml:space="preserve"> </w:t>
      </w:r>
      <w:r>
        <w:rPr>
          <w:b/>
          <w:bCs/>
        </w:rPr>
        <w:t xml:space="preserve">passing</w:t>
      </w:r>
      <w:r>
        <w:t xml:space="preserve"> </w:t>
      </w:r>
      <w:r>
        <w:t xml:space="preserve">— as a learnable generalization of the fixed circular</w:t>
      </w:r>
      <w:r>
        <w:t xml:space="preserve"> </w:t>
      </w:r>
      <w:r>
        <w:t xml:space="preserve">fingerprints Chapter 2 built by hand.</w:t>
      </w:r>
    </w:p>
    <w:p>
      <w:pPr>
        <w:pStyle w:val="BodyText"/>
      </w:pPr>
      <w:r>
        <w:t xml:space="preserve">Formally, recall Chapter 2’s notation (Section 2.3): a molecule is a</w:t>
      </w:r>
      <w:r>
        <w:t xml:space="preserve"> </w:t>
      </w:r>
      <w: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with a node feature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(one row per atom) and an adjacency structure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recording which atoms are bonded. Every architecture in</w:t>
      </w:r>
      <w:r>
        <w:t xml:space="preserve"> </w:t>
      </w:r>
      <w:r>
        <w:t xml:space="preserve">this chapter computes a sequence of updated node representations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,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, where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produced from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exactly one round of</w:t>
      </w:r>
      <w:r>
        <w:t xml:space="preserve"> </w:t>
      </w:r>
      <w:r>
        <w:t xml:space="preserve">neighborhood aggregation — an operation this chapter now defines</w:t>
      </w:r>
      <w:r>
        <w:t xml:space="preserve"> </w:t>
      </w:r>
      <w:r>
        <w:t xml:space="preserve">precisely, in three increasingly general forms.</w:t>
      </w:r>
    </w:p>
    <w:bookmarkEnd w:id="9"/>
    <w:bookmarkStart w:id="10" w:name="gcn-gat-architectures"/>
    <w:p>
      <w:pPr>
        <w:pStyle w:val="Heading2"/>
      </w:pPr>
      <w:r>
        <w:t xml:space="preserve">6.2 GCN &amp; GAT Architectures</w:t>
      </w:r>
    </w:p>
    <w:p>
      <w:pPr>
        <w:pStyle w:val="FirstParagraph"/>
      </w:pPr>
      <w:r>
        <w:rPr>
          <w:b/>
          <w:bCs/>
        </w:rPr>
        <w:t xml:space="preserve">Graph Convolutional Networks</w:t>
      </w:r>
      <w:r>
        <w:t xml:space="preserve"> </w:t>
      </w:r>
      <w:r>
        <w:t xml:space="preserve">(GCN; Kipf &amp; Welling, 2017) derive</w:t>
      </w:r>
      <w:r>
        <w:t xml:space="preserve"> </w:t>
      </w:r>
      <w:r>
        <w:t xml:space="preserve">their update rule as a first-order approximation of spectral</w:t>
      </w:r>
      <w:r>
        <w:t xml:space="preserve"> </w:t>
      </w:r>
      <w:r>
        <w:t xml:space="preserve">convolution on a graph, which reduces, per layer, to: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rPr>
                      <m:sty m:val="bi"/>
                    </m:rPr>
                    <m:t>A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I</m:t>
        </m:r>
      </m:oMath>
      <w:r>
        <w:t xml:space="preserve"> </w:t>
      </w:r>
      <w:r>
        <w:t xml:space="preserve">is the adjacency</w:t>
      </w:r>
      <w:r>
        <w:t xml:space="preserve"> </w:t>
      </w:r>
      <w:r>
        <w:t xml:space="preserve">matrix with self-loops added (so a node’s own previous representation</w:t>
      </w:r>
      <w:r>
        <w:t xml:space="preserve"> </w:t>
      </w:r>
      <w:r>
        <w:t xml:space="preserve">contributes to its update, not only its neighbors’),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D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</m:oMath>
      <w:r>
        <w:t xml:space="preserve">’s degree matrix,</w:t>
      </w:r>
      <w:r>
        <w:t xml:space="preserve"> 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learned weight matrix shared across every node</w:t>
      </w:r>
      <w:r>
        <w:t xml:space="preserve"> </w:t>
      </w:r>
      <w:r>
        <w:t xml:space="preserve">in the graph,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a nonlinearity (ReLU throughout this</w:t>
      </w:r>
      <w:r>
        <w:t xml:space="preserve"> </w:t>
      </w:r>
      <w:r>
        <w:t xml:space="preserve">chapter’s implementation).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rPr>
                    <m:sty m:val="bi"/>
                  </m:rPr>
                  <m:t>D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  <m:sSup>
          <m:e>
            <m:acc>
              <m:accPr>
                <m:chr m:val="̃"/>
              </m:accPr>
              <m:e>
                <m:r>
                  <m:rPr>
                    <m:sty m:val="bi"/>
                  </m:rPr>
                  <m:t>D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term is a symmetric normalization: it averages each node’s neighbors</w:t>
      </w:r>
      <w:r>
        <w:t xml:space="preserve"> </w:t>
      </w:r>
      <w:r>
        <w:t xml:space="preserve">rather than summing them raw, so a highly-connected atom (a ring</w:t>
      </w:r>
      <w:r>
        <w:t xml:space="preserve"> </w:t>
      </w:r>
      <w:r>
        <w:t xml:space="preserve">fusion carbon) does not automatically dominate a sparsely-connected one</w:t>
      </w:r>
      <w:r>
        <w:t xml:space="preserve"> </w:t>
      </w:r>
      <w:r>
        <w:t xml:space="preserve">(a terminal methyl) purely by virtue of degree. Every node’s update</w:t>
      </w:r>
      <w:r>
        <w:t xml:space="preserve"> </w:t>
      </w:r>
      <w:r>
        <w:t xml:space="preserve">uses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, which is what makes the layer’s</w:t>
      </w:r>
      <w:r>
        <w:t xml:space="preserve"> </w:t>
      </w:r>
      <w:r>
        <w:t xml:space="preserve">parameter count independent of molecule size and lets one trained</w:t>
      </w:r>
      <w:r>
        <w:t xml:space="preserve"> </w:t>
      </w:r>
      <w:r>
        <w:t xml:space="preserve">model apply to molecules of any size.</w:t>
      </w:r>
    </w:p>
    <w:p>
      <w:pPr>
        <w:pStyle w:val="BodyText"/>
      </w:pPr>
      <w:r>
        <w:rPr>
          <w:b/>
          <w:bCs/>
        </w:rPr>
        <w:t xml:space="preserve">Graph Attention Networks</w:t>
      </w:r>
      <w:r>
        <w:t xml:space="preserve"> </w:t>
      </w:r>
      <w:r>
        <w:t xml:space="preserve">(GAT; Veličković et al., 2018) replace the</w:t>
      </w:r>
      <w:r>
        <w:t xml:space="preserve"> </w:t>
      </w:r>
      <w:r>
        <w:t xml:space="preserve">fixed, degree-based normalization above with</w:t>
      </w:r>
      <w:r>
        <w:t xml:space="preserve"> </w:t>
      </w:r>
      <w:r>
        <w:rPr>
          <w:i/>
          <w:iCs/>
        </w:rPr>
        <w:t xml:space="preserve">learned, asymmetric</w:t>
      </w:r>
      <w:r>
        <w:t xml:space="preserve"> </w:t>
      </w:r>
      <w:r>
        <w:t xml:space="preserve">attention weights: rather than deciding a priori that every neighbor</w:t>
      </w:r>
      <w:r>
        <w:t xml:space="preserve"> </w:t>
      </w:r>
      <w:r>
        <w:t xml:space="preserve">should be averaged equally, GAT learns how much each neighbor should</w:t>
      </w:r>
      <w:r>
        <w:t xml:space="preserve"> </w:t>
      </w:r>
      <w:r>
        <w:t xml:space="preserve">contribute to a given atom’s update, conditioned on both atoms’</w:t>
      </w:r>
      <w:r>
        <w:t xml:space="preserve"> </w:t>
      </w:r>
      <w:r>
        <w:t xml:space="preserve">current features. For neighbor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atom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LeakyReLU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bi"/>
                        </m:rPr>
                        <m:t>W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 </m:t>
                      </m:r>
                      <m:r>
                        <m:rPr>
                          <m:sty m:val="bi"/>
                        </m:rPr>
                        <m:t>W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]</m:t>
                      </m:r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LeakyReLU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bi"/>
                        </m:rPr>
                        <m:t>W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 </m:t>
                      </m:r>
                      <m:r>
                        <m:rPr>
                          <m:sty m:val="bi"/>
                        </m:rPr>
                        <m:t>W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h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]</m:t>
                      </m:r>
                    </m:e>
                  </m:d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bi"/>
                </m:rPr>
                <m:t>W</m:t>
              </m:r>
              <m:sSubSup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∥</m:t>
        </m:r>
      </m:oMath>
      <w:r>
        <w:t xml:space="preserve"> </w:t>
      </w:r>
      <w:r>
        <w:t xml:space="preserve">denotes concatenation,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learned, 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atom</w:t>
      </w:r>
      <w:r>
        <w:t xml:space="preserve"> </w:t>
      </w:r>
      <m:oMath>
        <m:r>
          <m:t>i</m:t>
        </m:r>
      </m:oMath>
      <w:r>
        <w:t xml:space="preserve">’s bonded neighborhood. The</w:t>
      </w:r>
      <w:r>
        <w:t xml:space="preserve"> </w:t>
      </w:r>
      <w:r>
        <w:t xml:space="preserve">softmax over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guarantees the attention weights for a</w:t>
      </w:r>
      <w:r>
        <w:t xml:space="preserve"> </w:t>
      </w:r>
      <w:r>
        <w:t xml:space="preserve">given atom sum to 1, so this is still a weighted average of neighbor</w:t>
      </w:r>
      <w:r>
        <w:t xml:space="preserve"> </w:t>
      </w:r>
      <w:r>
        <w:t xml:space="preserve">features — but the weights themselves are now a learned function of</w:t>
      </w:r>
      <w:r>
        <w:t xml:space="preserve"> </w:t>
      </w:r>
      <w:r>
        <w:t xml:space="preserve">the two atoms’ features, letting the model up-weight a chemically</w:t>
      </w:r>
      <w:r>
        <w:t xml:space="preserve"> </w:t>
      </w:r>
      <w:r>
        <w:t xml:space="preserve">important neighbor (say, a nearby heteroatom) and down-weight an</w:t>
      </w:r>
      <w:r>
        <w:t xml:space="preserve"> </w:t>
      </w:r>
      <w:r>
        <w:t xml:space="preserve">unremarkable one, rather than treating every bonded neighbor</w:t>
      </w:r>
      <w:r>
        <w:t xml:space="preserve"> </w:t>
      </w:r>
      <w:r>
        <w:t xml:space="preserve">identically as plain GCN does. In practice, GAT layers use several</w:t>
      </w:r>
      <w:r>
        <w:t xml:space="preserve"> </w:t>
      </w:r>
      <w:r>
        <w:t xml:space="preserve">independent attention heads in parallel (each with its own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W</m:t>
        </m:r>
      </m:oMath>
      <w:r>
        <w:t xml:space="preserve">) and concatenate or average their outputs —</w:t>
      </w:r>
      <w:r>
        <w:t xml:space="preserve"> </w:t>
      </w:r>
      <w:r>
        <w:t xml:space="preserve">this chapter’s implementation uses 4 heads, each producing</w:t>
      </w:r>
      <w:r>
        <w:t xml:space="preserve"> </w:t>
      </w:r>
      <m:oMath>
        <m:r>
          <m:rPr>
            <m:nor/>
            <m:sty m:val="p"/>
          </m:rPr>
          <m:t>hidden_dim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features, concatenated back to</w:t>
      </w:r>
      <w:r>
        <w:t xml:space="preserve"> </w:t>
      </w:r>
      <m:oMath>
        <m:r>
          <m:rPr>
            <m:nor/>
            <m:sty m:val="p"/>
          </m:rPr>
          <m:t>hidden_dim</m:t>
        </m:r>
      </m:oMath>
      <w:r>
        <w:t xml:space="preserve">.</w:t>
      </w:r>
    </w:p>
    <w:p>
      <w:pPr>
        <w:pStyle w:val="BodyText"/>
      </w:pPr>
      <w:r>
        <w:t xml:space="preserve">Neither formulation above uses</w:t>
      </w:r>
      <w:r>
        <w:t xml:space="preserve"> </w:t>
      </w:r>
      <w:r>
        <w:rPr>
          <w:b/>
          <w:bCs/>
        </w:rPr>
        <w:t xml:space="preserve">edge features</w:t>
      </w:r>
      <w:r>
        <w:t xml:space="preserve"> </w:t>
      </w:r>
      <w:r>
        <w:t xml:space="preserve">— a GCN layer only</w:t>
      </w:r>
      <w:r>
        <w:t xml:space="preserve"> </w:t>
      </w:r>
      <w:r>
        <w:t xml:space="preserve">sees which atoms are bonded, a GAT layer only sees the two bonded</w:t>
      </w:r>
      <w:r>
        <w:t xml:space="preserve"> </w:t>
      </w:r>
      <w:r>
        <w:t xml:space="preserve">atoms’ own features, and neither consumes bond order, conjugation, or</w:t>
      </w:r>
      <w:r>
        <w:t xml:space="preserve"> </w:t>
      </w:r>
      <w:r>
        <w:t xml:space="preserve">stereochemistry directly in its aggregation step (both architectures</w:t>
      </w:r>
      <w:r>
        <w:t xml:space="preserve"> </w:t>
      </w:r>
      <w:r>
        <w:t xml:space="preserve">were originally developed for citation-network graphs, where</w:t>
      </w:r>
      <w:r>
        <w:t xml:space="preserve"> </w:t>
      </w:r>
      <w:r>
        <w:t xml:space="preserve">“edges”</w:t>
      </w:r>
      <w:r>
        <w:t xml:space="preserve"> </w:t>
      </w:r>
      <w:r>
        <w:t xml:space="preserve">carry no intrinsic feature beyond their existence). For a chemical</w:t>
      </w:r>
      <w:r>
        <w:t xml:space="preserve"> </w:t>
      </w:r>
      <w:r>
        <w:t xml:space="preserve">graph, where bond type is often exactly the information that</w:t>
      </w:r>
      <w:r>
        <w:t xml:space="preserve"> </w:t>
      </w:r>
      <w:r>
        <w:t xml:space="preserve">distinguishes an aromatic ring from a saturated one, that is a real</w:t>
      </w:r>
      <w:r>
        <w:t xml:space="preserve"> </w:t>
      </w:r>
      <w:r>
        <w:t xml:space="preserve">limitation — and it is precisely what motivates Section 6.3’s</w:t>
      </w:r>
      <w:r>
        <w:t xml:space="preserve"> </w:t>
      </w:r>
      <w:r>
        <w:t xml:space="preserve">architecture.</w:t>
      </w:r>
    </w:p>
    <w:bookmarkEnd w:id="10"/>
    <w:bookmarkStart w:id="11" w:name="message-passing-neural-networks-mpnn"/>
    <w:p>
      <w:pPr>
        <w:pStyle w:val="Heading2"/>
      </w:pPr>
      <w:r>
        <w:t xml:space="preserve">6.3 Message Passing Neural Networks (MPNN)</w:t>
      </w:r>
    </w:p>
    <w:p>
      <w:pPr>
        <w:pStyle w:val="FirstParagraph"/>
      </w:pPr>
      <w:r>
        <w:t xml:space="preserve">Gilmer et al. (2017) unify GCN, GAT, and a wide family of earlier</w:t>
      </w:r>
      <w:r>
        <w:t xml:space="preserve"> </w:t>
      </w:r>
      <w:r>
        <w:t xml:space="preserve">graph-convolutional architectures — including Duvenaud et al.’s (2015)</w:t>
      </w:r>
      <w:r>
        <w:t xml:space="preserve"> </w:t>
      </w:r>
      <w:r>
        <w:t xml:space="preserve">learnable fingerprint from Section 6.1 — under a single framework,</w:t>
      </w:r>
      <w:r>
        <w:t xml:space="preserve"> </w:t>
      </w:r>
      <w:r>
        <w:rPr>
          <w:b/>
          <w:bCs/>
        </w:rPr>
        <w:t xml:space="preserve">Message Passing Neural Networks</w:t>
      </w:r>
      <w:r>
        <w:t xml:space="preserve">, defined by two learned functions</w:t>
      </w:r>
      <w:r>
        <w:t xml:space="preserve"> </w:t>
      </w:r>
      <w:r>
        <w:t xml:space="preserve">applied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rounds: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message function</w:t>
      </w:r>
      <w:r>
        <w:t xml:space="preserve">) computes a message from every</w:t>
      </w:r>
      <w:r>
        <w:t xml:space="preserve"> </w:t>
      </w:r>
      <w:r>
        <w:t xml:space="preserve">bonded neighbor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using both atoms’ current representations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bond features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connecting them, the messages are</w:t>
      </w:r>
      <w:r>
        <w:t xml:space="preserve"> </w:t>
      </w:r>
      <w:r>
        <w:t xml:space="preserve">aggregated (summed, here) into</w:t>
      </w:r>
      <w:r>
        <w:t xml:space="preserve"> </w:t>
      </w:r>
      <m:oMath>
        <m:sSubSup>
          <m:e>
            <m:r>
              <m:rPr>
                <m:sty m:val="bi"/>
              </m:rP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update function</w:t>
      </w:r>
      <w:r>
        <w:t xml:space="preserve">) combines the aggregated message with atom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r>
        <w:t xml:space="preserve">own previous representation to produce its new one. GCN and GAT are</w:t>
      </w:r>
      <w:r>
        <w:t xml:space="preserve"> </w:t>
      </w:r>
      <w:r>
        <w:t xml:space="preserve">both special cases: GCN’s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discards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entirely and</w:t>
      </w:r>
      <w:r>
        <w:t xml:space="preserve"> </w:t>
      </w:r>
      <w:r>
        <w:t xml:space="preserve">uses a fixed-degree-normalized weight; GAT’s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discards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too but replaces the fixed weight with a learned</w:t>
      </w:r>
      <w:r>
        <w:t xml:space="preserve"> </w:t>
      </w:r>
      <w:r>
        <w:t xml:space="preserve">attention coefficient. What makes this framework strictly more general</w:t>
      </w:r>
      <w:r>
        <w:t xml:space="preserve"> </w:t>
      </w:r>
      <w:r>
        <w:t xml:space="preserve">— and the reason it is the architecture Section 6.5’s hands-on project</w:t>
      </w:r>
      <w:r>
        <w:t xml:space="preserve"> </w:t>
      </w:r>
      <w:r>
        <w:t xml:space="preserve">builds — is that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can condition on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directly, so</w:t>
      </w:r>
      <w:r>
        <w:t xml:space="preserve"> </w:t>
      </w:r>
      <w:r>
        <w:t xml:space="preserve">bond order, conjugation, and stereochemistry participate in the</w:t>
      </w:r>
      <w:r>
        <w:t xml:space="preserve"> </w:t>
      </w:r>
      <w:r>
        <w:t xml:space="preserve">aggregation instead of being invisible to it.</w:t>
      </w:r>
    </w:p>
    <w:p>
      <w:pPr>
        <w:pStyle w:val="BodyText"/>
      </w:pPr>
      <w:r>
        <w:t xml:space="preserve">This chapter’s implementation uses Gilmer et al.’s</w:t>
      </w:r>
      <w:r>
        <w:t xml:space="preserve"> </w:t>
      </w:r>
      <w:r>
        <w:rPr>
          <w:b/>
          <w:bCs/>
        </w:rPr>
        <w:t xml:space="preserve">edge network</w:t>
      </w:r>
      <w:r>
        <w:t xml:space="preserve"> </w:t>
      </w:r>
      <w:r>
        <w:t xml:space="preserve">variant of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specifically, which PyTorch Geometric implements</w:t>
      </w:r>
      <w:r>
        <w:t xml:space="preserve"> </w:t>
      </w:r>
      <w:r>
        <w:t xml:space="preserve">directly as</w:t>
      </w:r>
      <w:r>
        <w:t xml:space="preserve"> </w:t>
      </w:r>
      <w:r>
        <w:rPr>
          <w:rStyle w:val="VerbatimChar"/>
        </w:rPr>
        <w:t xml:space="preserve">NNConv</w:t>
      </w:r>
      <w:r>
        <w:t xml:space="preserve">: the message function is itself a small neural</w:t>
      </w:r>
      <w:r>
        <w:t xml:space="preserve"> </w:t>
      </w:r>
      <w:r>
        <w:t xml:space="preserve">network,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h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A</m:t>
            </m:r>
          </m:e>
          <m:sub>
            <m:r>
              <m:t>l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rPr>
                <m:sty m:val="bi"/>
              </m:rPr>
              <m:t>h</m:t>
            </m:r>
          </m:e>
          <m:sub>
            <m:r>
              <m:t>j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a learned function (a 2-layer MLP in this chapter’s code) mapping a</w:t>
      </w:r>
      <w:r>
        <w:t xml:space="preserve"> </w:t>
      </w:r>
      <w:r>
        <w:t xml:space="preserve">bond’s features to an entire</w:t>
      </w:r>
      <w:r>
        <w:t xml:space="preserve"> </w:t>
      </w:r>
      <m:oMath>
        <m:r>
          <m:rPr>
            <m:nor/>
            <m:sty m:val="p"/>
          </m:rPr>
          <m:t>hidden_dim</m:t>
        </m:r>
        <m:r>
          <m:rPr>
            <m:sty m:val="p"/>
          </m:rPr>
          <m:t>×</m:t>
        </m:r>
        <m:r>
          <m:rPr>
            <m:nor/>
            <m:sty m:val="p"/>
          </m:rPr>
          <m:t>hidden_dim</m:t>
        </m:r>
      </m:oMath>
      <w:r>
        <w:t xml:space="preserve"> </w:t>
      </w:r>
      <w:r>
        <w:t xml:space="preserve">weight matrix, applied to the neighbor’s</w:t>
      </w:r>
      <w:r>
        <w:t xml:space="preserve"> </w:t>
      </w:r>
      <w:r>
        <w:t xml:space="preserve">representation. In other words, every distinct bond environment</w:t>
      </w:r>
      <w:r>
        <w:t xml:space="preserve"> </w:t>
      </w:r>
      <w:r>
        <w:t xml:space="preserve">generates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linear transformation of the message passed along</w:t>
      </w:r>
      <w:r>
        <w:t xml:space="preserve"> </w:t>
      </w:r>
      <w:r>
        <w:t xml:space="preserve">it, rather than every bond in the graph sharing one fixed transform —</w:t>
      </w:r>
      <w:r>
        <w:t xml:space="preserve"> </w:t>
      </w:r>
      <w:r>
        <w:t xml:space="preserve">concretely, an aromatic C=C bond and a saturated C-C bond propagate</w:t>
      </w:r>
      <w:r>
        <w:t xml:space="preserve"> </w:t>
      </w:r>
      <w:r>
        <w:t xml:space="preserve">information differently, because the edge network produces a different</w:t>
      </w:r>
      <w:r>
        <w:t xml:space="preserve"> </w:t>
      </w:r>
      <w:r>
        <w:t xml:space="preserve">weight matrix for each. The update function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in this chapter’s</w:t>
      </w:r>
      <w:r>
        <w:t xml:space="preserve"> </w:t>
      </w:r>
      <w:r>
        <w:t xml:space="preserve">implementation is a plain residual-free ReLU (</w:t>
      </w:r>
      <w:r>
        <w:t xml:space="preserve"> </w:t>
      </w:r>
      <m:oMath>
        <m:sSubSup>
          <m:e>
            <m:r>
              <m:rPr>
                <m:sty m:val="bi"/>
              </m:rPr>
              <m:t>h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sSubSup>
          <m:e>
            <m:r>
              <m:rPr>
                <m:sty m:val="bi"/>
              </m:rPr>
              <m:t>m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</m:oMath>
      <w:r>
        <w:t xml:space="preserve">, matching PyG’s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NNConv</w:t>
      </w:r>
      <w:r>
        <w:t xml:space="preserve"> </w:t>
      </w:r>
      <w:r>
        <w:t xml:space="preserve">behavior when composed with an activation) rather than</w:t>
      </w:r>
      <w:r>
        <w:t xml:space="preserve"> </w:t>
      </w:r>
      <w:r>
        <w:t xml:space="preserve">the gated recurrent unit (GRU) Gilmer et al.’s original paper uses for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, and this chapter’s readout is global mean pooling rather than</w:t>
      </w:r>
      <w:r>
        <w:t xml:space="preserve"> </w:t>
      </w:r>
      <w:r>
        <w:t xml:space="preserve">their Set2Set readout — both are explicit simplifications, named here</w:t>
      </w:r>
      <w:r>
        <w:t xml:space="preserve"> </w:t>
      </w:r>
      <w:r>
        <w:t xml:space="preserve">rather than silently substituted, made because the edge-conditioned</w:t>
      </w:r>
      <w:r>
        <w:t xml:space="preserve"> </w:t>
      </w:r>
      <w:r>
        <w:t xml:space="preserve">message function is the architecturally distinctive contribution this</w:t>
      </w:r>
      <w:r>
        <w:t xml:space="preserve"> </w:t>
      </w:r>
      <w:r>
        <w:t xml:space="preserve">section is teaching, and the simpler update/readout choices keep</w:t>
      </w:r>
      <w:r>
        <w:t xml:space="preserve"> </w:t>
      </w:r>
      <w:r>
        <w:t xml:space="preserve">Section 6.5’s implementation legible without changing that core</w:t>
      </w:r>
      <w:r>
        <w:t xml:space="preserve"> </w:t>
      </w:r>
      <w:r>
        <w:t xml:space="preserve">mechanism.</w:t>
      </w:r>
    </w:p>
    <w:bookmarkEnd w:id="11"/>
    <w:bookmarkStart w:id="12" w:name="d-equivariant-networks"/>
    <w:p>
      <w:pPr>
        <w:pStyle w:val="Heading2"/>
      </w:pPr>
      <w:r>
        <w:t xml:space="preserve">6.4 3D Equivariant Networks</w:t>
      </w:r>
    </w:p>
    <w:p>
      <w:pPr>
        <w:pStyle w:val="FirstParagraph"/>
      </w:pPr>
      <w:r>
        <w:t xml:space="preserve">Every architecture so far operates purely on the molecular graph’s</w:t>
      </w:r>
      <w:r>
        <w:t xml:space="preserve"> </w:t>
      </w:r>
      <w:r>
        <w:rPr>
          <w:i/>
          <w:iCs/>
        </w:rPr>
        <w:t xml:space="preserve">topology</w:t>
      </w:r>
      <w:r>
        <w:t xml:space="preserve"> </w:t>
      </w:r>
      <w:r>
        <w:t xml:space="preserve">— which atoms are bonded to which — with no reference to</w:t>
      </w:r>
      <w:r>
        <w:t xml:space="preserve"> </w:t>
      </w:r>
      <w:r>
        <w:t xml:space="preserve">3D geometry, echoing Chapter 2’s point (Section 2.4) that a graph</w:t>
      </w:r>
      <w:r>
        <w:t xml:space="preserve"> </w:t>
      </w:r>
      <w:r>
        <w:t xml:space="preserve">fixes constitution but not shape. Many of the properties later</w:t>
      </w:r>
      <w:r>
        <w:t xml:space="preserve"> </w:t>
      </w:r>
      <w:r>
        <w:t xml:space="preserve">chapters care about most — binding pose energetics (Chapter 11),</w:t>
      </w:r>
      <w:r>
        <w:t xml:space="preserve"> </w:t>
      </w:r>
      <w:r>
        <w:t xml:space="preserve">force-field-level potential energy (Chapter 12) — are fundamentally</w:t>
      </w:r>
      <w:r>
        <w:t xml:space="preserve"> </w:t>
      </w:r>
      <w:r>
        <w:t xml:space="preserve">properties of a specific 3D arrangement of atoms in space, not of the</w:t>
      </w:r>
      <w:r>
        <w:t xml:space="preserve"> </w:t>
      </w:r>
      <w:r>
        <w:t xml:space="preserve">bond graph alone, which is what motivates a class of architectures that</w:t>
      </w:r>
      <w:r>
        <w:t xml:space="preserve"> </w:t>
      </w:r>
      <w:r>
        <w:t xml:space="preserve">take atomic coordinates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input</w:t>
      </w:r>
      <w:r>
        <w:t xml:space="preserve"> </w:t>
      </w:r>
      <w:r>
        <w:t xml:space="preserve">alongside (or instead of) bond connectivity.</w:t>
      </w:r>
    </w:p>
    <w:p>
      <w:pPr>
        <w:pStyle w:val="BodyText"/>
      </w:pPr>
      <w:r>
        <w:t xml:space="preserve">Building such an architecture naively is subtly wrong. A molecule’s</w:t>
      </w:r>
      <w:r>
        <w:t xml:space="preserve"> </w:t>
      </w:r>
      <w:r>
        <w:t xml:space="preserve">physical properties do not depend on how it happens to be rotated,</w:t>
      </w:r>
      <w:r>
        <w:t xml:space="preserve"> </w:t>
      </w:r>
      <w:r>
        <w:t xml:space="preserve">translated, or reflected in the coordinate frame a dataset happens to</w:t>
      </w:r>
      <w:r>
        <w:t xml:space="preserve"> </w:t>
      </w:r>
      <w:r>
        <w:t xml:space="preserve">store it in — a solubility or a binding energy is the same number</w:t>
      </w:r>
      <w:r>
        <w:t xml:space="preserve"> </w:t>
      </w:r>
      <w:r>
        <w:t xml:space="preserve">whether the input coordinates were rotated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first or not — but a</w:t>
      </w:r>
      <w:r>
        <w:t xml:space="preserve"> </w:t>
      </w:r>
      <w:r>
        <w:t xml:space="preserve">generic neural network consuming raw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coordinates has no</w:t>
      </w:r>
      <w:r>
        <w:t xml:space="preserve"> </w:t>
      </w:r>
      <w:r>
        <w:t xml:space="preserve">reason to respect that fact and will, in general, output different</w:t>
      </w:r>
      <w:r>
        <w:t xml:space="preserve"> </w:t>
      </w:r>
      <w:r>
        <w:t xml:space="preserve">predictions for the identical molecule presented in a different</w:t>
      </w:r>
      <w:r>
        <w:t xml:space="preserve"> </w:t>
      </w:r>
      <w:r>
        <w:t xml:space="preserve">orientation.</w:t>
      </w:r>
      <w:r>
        <w:t xml:space="preserve"> </w:t>
      </w:r>
      <w:r>
        <w:rPr>
          <w:b/>
          <w:bCs/>
        </w:rPr>
        <w:t xml:space="preserve">Invariance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equivariance</w:t>
      </w:r>
      <w:r>
        <w:t xml:space="preserve"> </w:t>
      </w:r>
      <w:r>
        <w:t xml:space="preserve">are the two precise</w:t>
      </w:r>
      <w:r>
        <w:t xml:space="preserve"> </w:t>
      </w:r>
      <w:r>
        <w:t xml:space="preserve">properties an architecture can guarantee against this failure mode.</w:t>
      </w:r>
      <w:r>
        <w:t xml:space="preserve"> </w:t>
      </w:r>
      <w:r>
        <w:t xml:space="preserve">For a transformation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(a rotation and/or translation, from the</w:t>
      </w:r>
      <w:r>
        <w:t xml:space="preserve"> </w:t>
      </w:r>
      <w:r>
        <w:t xml:space="preserve">group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rigid Euclidean motions, or its rotation-only subgroup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) acting on the input coordinates,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Invariant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⋅</m:t>
        </m:r>
        <m:r>
          <m:rPr>
            <m:sty m:val="bi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 the output is unchanged by the transformation. A predicted</w:t>
      </w:r>
      <w:r>
        <w:t xml:space="preserve"> </w:t>
      </w:r>
      <w:r>
        <w:t xml:space="preserve">scalar property (solubility, an energy)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invariant: it is</w:t>
      </w:r>
      <w:r>
        <w:t xml:space="preserve"> </w:t>
      </w:r>
      <w:r>
        <w:t xml:space="preserve">a single number, and there is no meaningful sense in which rotating</w:t>
      </w:r>
      <w:r>
        <w:t xml:space="preserve"> </w:t>
      </w:r>
      <w:r>
        <w:t xml:space="preserve">the input should change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Equivariant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⋅</m:t>
        </m:r>
        <m:r>
          <m:rPr>
            <m:sty m:val="bi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the output transforms</w:t>
      </w:r>
      <w:r>
        <w:t xml:space="preserve"> </w:t>
      </w:r>
      <w:r>
        <w:rPr>
          <w:i/>
          <w:iCs/>
        </w:rPr>
        <w:t xml:space="preserve">the same way</w:t>
      </w:r>
      <w:r>
        <w:t xml:space="preserve"> </w:t>
      </w:r>
      <w:r>
        <w:t xml:space="preserve">the input did, rather than</w:t>
      </w:r>
      <w:r>
        <w:t xml:space="preserve"> </w:t>
      </w:r>
      <w:r>
        <w:t xml:space="preserve">staying fixed. A predicted force or velocity vector, which has its</w:t>
      </w:r>
      <w:r>
        <w:t xml:space="preserve"> </w:t>
      </w:r>
      <w:r>
        <w:t xml:space="preserve">own direction in space,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equivariant: rotate the</w:t>
      </w:r>
      <w:r>
        <w:t xml:space="preserve"> </w:t>
      </w:r>
      <w:r>
        <w:t xml:space="preserve">molecule, and the predicted force vectors must rotate identically,</w:t>
      </w:r>
      <w:r>
        <w:t xml:space="preserve"> </w:t>
      </w:r>
      <w:r>
        <w:t xml:space="preserve">or the prediction is physically inconsistent with itself.</w:t>
      </w:r>
    </w:p>
    <w:p>
      <w:pPr>
        <w:pStyle w:val="FirstParagraph"/>
      </w:pPr>
      <w:r>
        <w:t xml:space="preserve">A network with either property gets that consistency guaranteed by its</w:t>
      </w:r>
      <w:r>
        <w:t xml:space="preserve"> </w:t>
      </w:r>
      <w:r>
        <w:t xml:space="preserve">architecture rather than approximated by hoping enough rotated training</w:t>
      </w:r>
      <w:r>
        <w:t xml:space="preserve"> </w:t>
      </w:r>
      <w:r>
        <w:t xml:space="preserve">examples were seen — which matters directly for</w:t>
      </w:r>
      <w:r>
        <w:t xml:space="preserve"> </w:t>
      </w:r>
      <w:r>
        <w:rPr>
          <w:b/>
          <w:bCs/>
        </w:rPr>
        <w:t xml:space="preserve">data efficiency</w:t>
      </w:r>
      <w:r>
        <w:t xml:space="preserve">:</w:t>
      </w:r>
      <w:r>
        <w:t xml:space="preserve"> </w:t>
      </w:r>
      <w:r>
        <w:t xml:space="preserve">an invariant or equivariant model does not need to learn the same</w:t>
      </w:r>
      <w:r>
        <w:t xml:space="preserve"> </w:t>
      </w:r>
      <w:r>
        <w:t xml:space="preserve">physics separately for every orientation a molecule might appear in</w:t>
      </w:r>
      <w:r>
        <w:t xml:space="preserve"> </w:t>
      </w:r>
      <w:r>
        <w:t xml:space="preserve">during training, because the constraint is structural, not learned.</w:t>
      </w:r>
      <w:r>
        <w:t xml:space="preserve"> </w:t>
      </w:r>
      <w:r>
        <w:t xml:space="preserve">Three concrete architectures illustrate the design space: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SchNet</w:t>
      </w:r>
      <w:r>
        <w:t xml:space="preserve"> </w:t>
      </w:r>
      <w:r>
        <w:t xml:space="preserve">(Schütt et al., 2018) is</w:t>
      </w:r>
      <w:r>
        <w:t xml:space="preserve"> </w:t>
      </w:r>
      <w:r>
        <w:rPr>
          <w:i/>
          <w:iCs/>
        </w:rPr>
        <w:t xml:space="preserve">invariant</w:t>
      </w:r>
      <w:r>
        <w:t xml:space="preserve">: it represents each</w:t>
      </w:r>
      <w:r>
        <w:t xml:space="preserve"> </w:t>
      </w:r>
      <w:r>
        <w:t xml:space="preserve">pairwise atomic distance</w:t>
      </w:r>
      <w:r>
        <w:t xml:space="preserve"> </w:t>
      </w:r>
      <m:oMath>
        <m:d>
          <m:dPr>
            <m:begChr m:val="‖"/>
            <m:sepChr m:val=""/>
            <m:endChr m:val="‖"/>
            <m:grow/>
          </m:dPr>
          <m:e>
            <m:sSub>
              <m:e>
                <m:r>
                  <m:rPr>
                    <m:sty m:val="bi"/>
                  </m:rP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i"/>
                  </m:rPr>
                  <m:t>r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(itself already rotation- and translation-invariant, since a</w:t>
      </w:r>
      <w:r>
        <w:t xml:space="preserve"> </w:t>
      </w:r>
      <w:r>
        <w:t xml:space="preserve">distance between two points does not change under a rigid motion)</w:t>
      </w:r>
      <w:r>
        <w:t xml:space="preserve"> </w:t>
      </w:r>
      <w:r>
        <w:t xml:space="preserve">through continuous, learned radial filters, and aggregates only</w:t>
      </w:r>
      <w:r>
        <w:t xml:space="preserve"> </w:t>
      </w:r>
      <w:r>
        <w:t xml:space="preserve">scalar quantities throughout — so nothing equivariant ever needs to</w:t>
      </w:r>
      <w:r>
        <w:t xml:space="preserve"> </w:t>
      </w:r>
      <w:r>
        <w:t xml:space="preserve">be tracked, at the cost of being unable to output a genuinely</w:t>
      </w:r>
      <w:r>
        <w:t xml:space="preserve"> </w:t>
      </w:r>
      <w:r>
        <w:t xml:space="preserve">directional quantity like a force.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EGNN</w:t>
      </w:r>
      <w:r>
        <w:t xml:space="preserve"> </w:t>
      </w:r>
      <w:r>
        <w:t xml:space="preserve">(Satorras et al., 2021) is</w:t>
      </w:r>
      <w:r>
        <w:t xml:space="preserve"> </w:t>
      </w:r>
      <w:r>
        <w:rPr>
          <w:i/>
          <w:iCs/>
        </w:rPr>
        <w:t xml:space="preserve">equivariant</w:t>
      </w:r>
      <w:r>
        <w:t xml:space="preserve">: alongside scalar</w:t>
      </w:r>
      <w:r>
        <w:t xml:space="preserve"> </w:t>
      </w:r>
      <w:r>
        <w:t xml:space="preserve">node features, it maintains and updates the atomic coordinates</w:t>
      </w:r>
      <w:r>
        <w:t xml:space="preserve"> </w:t>
      </w:r>
      <w:r>
        <w:t xml:space="preserve">themselves at every layer, using update rules built specifically so</w:t>
      </w:r>
      <w:r>
        <w:t xml:space="preserve"> </w:t>
      </w:r>
      <w:r>
        <w:t xml:space="preserve">that rotating the input coordinates produces an identically rotated</w:t>
      </w:r>
      <w:r>
        <w:t xml:space="preserve"> </w:t>
      </w:r>
      <w:r>
        <w:t xml:space="preserve">set of output coordinates, without requiring the heavier</w:t>
      </w:r>
      <w:r>
        <w:t xml:space="preserve"> </w:t>
      </w:r>
      <w:r>
        <w:t xml:space="preserve">spherical-harmonic machinery some equivariant architectures 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NequIP</w:t>
      </w:r>
      <w:r>
        <w:t xml:space="preserve"> </w:t>
      </w:r>
      <w:r>
        <w:t xml:space="preserve">(Batzner et al., 2022) is</w:t>
      </w:r>
      <w:r>
        <w:t xml:space="preserve"> </w:t>
      </w:r>
      <w:r>
        <w:rPr>
          <w:i/>
          <w:iCs/>
        </w:rPr>
        <w:t xml:space="preserve">equivariant</w:t>
      </w:r>
      <w:r>
        <w:t xml:space="preserve"> </w:t>
      </w:r>
      <w:r>
        <w:t xml:space="preserve">via that heavier</w:t>
      </w:r>
      <w:r>
        <w:t xml:space="preserve"> </w:t>
      </w:r>
      <w:r>
        <w:t xml:space="preserve">route: it builds features that transform according to the</w:t>
      </w:r>
      <w:r>
        <w:t xml:space="preserve"> </w:t>
      </w:r>
      <w:r>
        <w:t xml:space="preserve">irreducible representations of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(using spherical harmonics</w:t>
      </w:r>
      <w:r>
        <w:t xml:space="preserve"> </w:t>
      </w:r>
      <w:r>
        <w:t xml:space="preserve">and tensor products), giving it a strictly larger space of</w:t>
      </w:r>
      <w:r>
        <w:t xml:space="preserve"> </w:t>
      </w:r>
      <w:r>
        <w:t xml:space="preserve">equivariant functions to represent higher-order directional</w:t>
      </w:r>
      <w:r>
        <w:t xml:space="preserve"> </w:t>
      </w:r>
      <w:r>
        <w:t xml:space="preserve">information — at real computational cost, in exchange for</w:t>
      </w:r>
      <w:r>
        <w:t xml:space="preserve"> </w:t>
      </w:r>
      <w:r>
        <w:t xml:space="preserve">state-of-the-art data efficiency on interatomic-potential tasks</w:t>
      </w:r>
      <w:r>
        <w:t xml:space="preserve"> </w:t>
      </w:r>
      <w:r>
        <w:t xml:space="preserve">(directly relevant to Chapter 12’s neural network potentials, which</w:t>
      </w:r>
      <w:r>
        <w:t xml:space="preserve"> </w:t>
      </w:r>
      <w:r>
        <w:t xml:space="preserve">this same paper targets).</w:t>
      </w:r>
    </w:p>
    <w:p>
      <w:pPr>
        <w:pStyle w:val="FirstParagraph"/>
      </w:pPr>
      <w:r>
        <w:t xml:space="preserve">Section 6.5’s hands-on project does not implement a 3D-aware</w:t>
      </w:r>
      <w:r>
        <w:t xml:space="preserve"> </w:t>
      </w:r>
      <w:r>
        <w:t xml:space="preserve">architecture: both ESOL and FreeSolv, as distributed through</w:t>
      </w:r>
      <w:r>
        <w:t xml:space="preserve"> </w:t>
      </w:r>
      <w:r>
        <w:t xml:space="preserve">MoleculeNet, are 2D graphs with no bundled 3D conformer (generating one</w:t>
      </w:r>
      <w:r>
        <w:t xml:space="preserve"> </w:t>
      </w:r>
      <w:r>
        <w:t xml:space="preserve">would require Chapter 2, Section 2.4’s ETKDG step, applied per</w:t>
      </w:r>
      <w:r>
        <w:t xml:space="preserve"> </w:t>
      </w:r>
      <w:r>
        <w:t xml:space="preserve">molecule, which this chapter does not do), so GCN, GAT, and this</w:t>
      </w:r>
      <w:r>
        <w:t xml:space="preserve"> </w:t>
      </w:r>
      <w:r>
        <w:t xml:space="preserve">chapter’s MPNN all operate on topology alone, consistent with Sections</w:t>
      </w:r>
      <w:r>
        <w:t xml:space="preserve"> </w:t>
      </w:r>
      <w:r>
        <w:t xml:space="preserve">6.1-6.3. This section is deliberately theory-only for that reason —</w:t>
      </w:r>
      <w:r>
        <w:t xml:space="preserve"> </w:t>
      </w:r>
      <w:r>
        <w:t xml:space="preserve">the architectures above become directly load-bearing once 3D structure</w:t>
      </w:r>
      <w:r>
        <w:t xml:space="preserve"> </w:t>
      </w:r>
      <w:r>
        <w:t xml:space="preserve">is actually on the table, starting with Chapter 9’s structure</w:t>
      </w:r>
      <w:r>
        <w:t xml:space="preserve"> </w:t>
      </w:r>
      <w:r>
        <w:t xml:space="preserve">prediction and, especially, Chapter 12’s neural network potentials.</w:t>
      </w:r>
    </w:p>
    <w:bookmarkEnd w:id="12"/>
    <w:bookmarkStart w:id="24" w:name="Xa8927f52d161e37ff0e174af17d8045937237c3"/>
    <w:p>
      <w:pPr>
        <w:pStyle w:val="Heading2"/>
      </w:pPr>
      <w:r>
        <w:t xml:space="preserve">6.5 Hands-on Project: GNN Molecular Property Prediction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ch06_gnn_molecular_properties/</w:t>
      </w:r>
      <w:r>
        <w:t xml:space="preserve">) and implements Sections 6.2-6.3’s</w:t>
      </w:r>
      <w:r>
        <w:t xml:space="preserve"> </w:t>
      </w:r>
      <w:r>
        <w:t xml:space="preserve">architectures directly in PyTorch Geometric (Fey &amp; Lenssen, 2019),</w:t>
      </w:r>
      <w:r>
        <w:t xml:space="preserve"> </w:t>
      </w:r>
      <w:r>
        <w:t xml:space="preserve">built on PyTorch (Paszke et al., 2019), to predict two real</w:t>
      </w:r>
      <w:r>
        <w:t xml:space="preserve"> </w:t>
      </w:r>
      <w:r>
        <w:t xml:space="preserve">physicochemical properties from the molecular graph alone.</w:t>
      </w:r>
    </w:p>
    <w:bookmarkStart w:id="13" w:name="a-note-on-the-second-propertys-name"/>
    <w:p>
      <w:pPr>
        <w:pStyle w:val="Heading3"/>
      </w:pPr>
      <w:r>
        <w:t xml:space="preserve">A note on the second property’s name</w:t>
      </w:r>
    </w:p>
    <w:p>
      <w:pPr>
        <w:pStyle w:val="FirstParagraph"/>
      </w:pPr>
      <w:r>
        <w:t xml:space="preserve">The outline this book follows describes this project as predicting</w:t>
      </w:r>
      <w:r>
        <w:t xml:space="preserve"> </w:t>
      </w:r>
      <w:r>
        <w:t xml:space="preserve">“aqueous solubility and binding free energy.”</w:t>
      </w:r>
      <w:r>
        <w:t xml:space="preserve"> </w:t>
      </w:r>
      <w:r>
        <w:t xml:space="preserve">The solubility half is</w:t>
      </w:r>
      <w:r>
        <w:t xml:space="preserve"> </w:t>
      </w:r>
      <w:r>
        <w:t xml:space="preserve">exact:</w:t>
      </w:r>
      <w:r>
        <w:t xml:space="preserve"> </w:t>
      </w:r>
      <w:r>
        <w:rPr>
          <w:b/>
          <w:bCs/>
        </w:rPr>
        <w:t xml:space="preserve">ESOL</w:t>
      </w:r>
      <w:r>
        <w:t xml:space="preserve"> </w:t>
      </w:r>
      <w:r>
        <w:t xml:space="preserve">(Delaney, 2004) is 1,128 compounds’ measured aqueous</w:t>
      </w:r>
      <w:r>
        <w:t xml:space="preserve"> </w:t>
      </w:r>
      <w:r>
        <w:t xml:space="preserve">solubility, expressed as log-molar solubility. The second dataset this</w:t>
      </w:r>
      <w:r>
        <w:t xml:space="preserve"> </w:t>
      </w:r>
      <w:r>
        <w:t xml:space="preserve">project actually uses, however —</w:t>
      </w:r>
      <w:r>
        <w:t xml:space="preserve"> </w:t>
      </w:r>
      <w:r>
        <w:rPr>
          <w:b/>
          <w:bCs/>
        </w:rPr>
        <w:t xml:space="preserve">FreeSolv</w:t>
      </w:r>
      <w:r>
        <w:t xml:space="preserve"> </w:t>
      </w:r>
      <w:r>
        <w:t xml:space="preserve">(Mobley &amp; Guthrie, 2014),</w:t>
      </w:r>
      <w:r>
        <w:t xml:space="preserve"> </w:t>
      </w:r>
      <w:r>
        <w:t xml:space="preserve">642 compounds — measures</w:t>
      </w:r>
      <w:r>
        <w:t xml:space="preserve"> </w:t>
      </w:r>
      <w:r>
        <w:rPr>
          <w:b/>
          <w:bCs/>
        </w:rPr>
        <w:t xml:space="preserve">hydration free energy</w:t>
      </w:r>
      <w:r>
        <w:t xml:space="preserve">: the free energy</w:t>
      </w:r>
      <w:r>
        <w:t xml:space="preserve"> </w:t>
      </w:r>
      <w:r>
        <w:t xml:space="preserve">change of transferring a molecule from vacuum into water. That is a</w:t>
      </w:r>
      <w:r>
        <w:t xml:space="preserve"> </w:t>
      </w:r>
      <w:r>
        <w:t xml:space="preserve">real, well-defined, and widely used thermodynamic property, and it is</w:t>
      </w:r>
      <w:r>
        <w:t xml:space="preserve"> </w:t>
      </w:r>
      <w:r>
        <w:t xml:space="preserve">the standard MoleculeNet regression benchmark conventionally paired</w:t>
      </w:r>
      <w:r>
        <w:t xml:space="preserve"> </w:t>
      </w:r>
      <w:r>
        <w:t xml:space="preserve">with ESOL in exactly this kind of exercise — but it is not the same</w:t>
      </w:r>
      <w:r>
        <w:t xml:space="preserve"> </w:t>
      </w:r>
      <w:r>
        <w:t xml:space="preserve">quantity as</w:t>
      </w:r>
      <w:r>
        <w:t xml:space="preserve"> </w:t>
      </w:r>
      <w:r>
        <w:rPr>
          <w:b/>
          <w:bCs/>
        </w:rPr>
        <w:t xml:space="preserve">protein-ligand binding free energy</w:t>
      </w:r>
      <w:r>
        <w:t xml:space="preserve"> </w:t>
      </w:r>
      <w:r>
        <w:t xml:space="preserve">(the free energy of</w:t>
      </w:r>
      <w:r>
        <w:t xml:space="preserve"> </w:t>
      </w:r>
      <w:r>
        <w:t xml:space="preserve">a ligand binding a specific protein pocket), which depends on a</w:t>
      </w:r>
      <w:r>
        <w:t xml:space="preserve"> </w:t>
      </w:r>
      <w:r>
        <w:t xml:space="preserve">specific 3D protein structure and is the subject of Chapter 11’s</w:t>
      </w:r>
      <w:r>
        <w:t xml:space="preserve"> </w:t>
      </w:r>
      <w:r>
        <w:t xml:space="preserve">docking methods, not this chapter’s. Rather than mislabel FreeSolv’s</w:t>
      </w:r>
      <w:r>
        <w:t xml:space="preserve"> </w:t>
      </w:r>
      <w:r>
        <w:t xml:space="preserve">actual property to match the outline’s phrase, or invent a</w:t>
      </w:r>
      <w:r>
        <w:t xml:space="preserve"> </w:t>
      </w:r>
      <w:r>
        <w:t xml:space="preserve">protein-ligand dataset this chapter’s 2D-graph architectures are not</w:t>
      </w:r>
      <w:r>
        <w:t xml:space="preserve"> </w:t>
      </w:r>
      <w:r>
        <w:t xml:space="preserve">equipped to use correctly (per Section 6.4, that would need explicit 3D</w:t>
      </w:r>
      <w:r>
        <w:t xml:space="preserve"> </w:t>
      </w:r>
      <w:r>
        <w:t xml:space="preserve">structural input), this section uses FreeSolv under its real name and</w:t>
      </w:r>
      <w:r>
        <w:t xml:space="preserve"> </w:t>
      </w:r>
      <w:r>
        <w:t xml:space="preserve">states the distinction plainly here.</w:t>
      </w:r>
    </w:p>
    <w:bookmarkEnd w:id="13"/>
    <w:bookmarkStart w:id="15" w:name="featurization-and-models"/>
    <w:p>
      <w:pPr>
        <w:pStyle w:val="Heading3"/>
      </w:pPr>
      <w:r>
        <w:t xml:space="preserve">Featurization and models</w:t>
      </w:r>
    </w:p>
    <w:p>
      <w:pPr>
        <w:pStyle w:val="FirstParagraph"/>
      </w:pPr>
      <w:r>
        <w:t xml:space="preserve">Both datasets are loaded through PyTorch Geometric’s built-in</w:t>
      </w:r>
      <w:r>
        <w:t xml:space="preserve"> </w:t>
      </w:r>
      <w:r>
        <w:rPr>
          <w:rStyle w:val="VerbatimChar"/>
        </w:rPr>
        <w:t xml:space="preserve">MoleculeNet</w:t>
      </w:r>
      <w:r>
        <w:t xml:space="preserve"> </w:t>
      </w:r>
      <w:r>
        <w:t xml:space="preserve">class, which parses each compound’s SMILES with RDKit and</w:t>
      </w:r>
      <w:r>
        <w:t xml:space="preserve"> </w:t>
      </w:r>
      <w:r>
        <w:t xml:space="preserve">featurizes it using the categorical atom/bond scheme introduced by the</w:t>
      </w:r>
      <w:r>
        <w:t xml:space="preserve"> </w:t>
      </w:r>
      <w:r>
        <w:t xml:space="preserve">Open Graph Benchmark (Hu et al., 2020): 9 categorical features per atom</w:t>
      </w:r>
      <w:r>
        <w:t xml:space="preserve"> </w:t>
      </w:r>
      <w:r>
        <w:t xml:space="preserve">(atomic number, chirality, degree, formal charge, attached-hydrogen</w:t>
      </w:r>
      <w:r>
        <w:t xml:space="preserve"> </w:t>
      </w:r>
      <w:r>
        <w:t xml:space="preserve">count, radical electron count, hybridization, aromaticity, ring</w:t>
      </w:r>
      <w:r>
        <w:t xml:space="preserve"> </w:t>
      </w:r>
      <w:r>
        <w:t xml:space="preserve">membership) and 3 per bond (bond type, stereochemistry, conjugation).</w:t>
      </w:r>
      <w:r>
        <w:t xml:space="preserve"> </w:t>
      </w:r>
      <w:hyperlink r:id="rId14">
        <w:r>
          <w:rPr>
            <w:rStyle w:val="VerbatimChar"/>
          </w:rPr>
          <w:t xml:space="preserve">gnn_property.py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AtomEncoder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BondEncoder</w:t>
      </w:r>
      <w:r>
        <w:t xml:space="preserve"> </w:t>
      </w:r>
      <w:r>
        <w:t xml:space="preserve">turn these categorical indices into dense vectors by summing one</w:t>
      </w:r>
      <w:r>
        <w:t xml:space="preserve"> </w:t>
      </w:r>
      <w:r>
        <w:t xml:space="preserve">learned embedding per feature — a standard, simple encoding scheme</w:t>
      </w:r>
      <w:r>
        <w:t xml:space="preserve"> </w:t>
      </w:r>
      <w:r>
        <w:t xml:space="preserve">that keeps every downstream layer working with ordinary continuous</w:t>
      </w:r>
      <w:r>
        <w:t xml:space="preserve"> </w:t>
      </w:r>
      <w:r>
        <w:t xml:space="preserve">vectors: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AtomEncoder(nn.Module):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nn.ModuleList(</w:t>
      </w:r>
      <w:r>
        <w:br/>
      </w:r>
      <w:r>
        <w:rPr>
          <w:rStyle w:val="NormalTok"/>
        </w:rPr>
        <w:t xml:space="preserve">            nn.Embedding(dim, hidden_dim)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NODE_FEATURE_DIMS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(emb(x[:,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emb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.embeddings))</w:t>
      </w:r>
    </w:p>
    <w:p>
      <w:pPr>
        <w:pStyle w:val="FirstParagraph"/>
      </w:pPr>
      <w:r>
        <w:rPr>
          <w:rStyle w:val="VerbatimChar"/>
        </w:rPr>
        <w:t xml:space="preserve">GCNRegressor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GATRegressor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MPNNRegressor</w:t>
      </w:r>
      <w:r>
        <w:t xml:space="preserve"> </w:t>
      </w:r>
      <w:r>
        <w:t xml:space="preserve">each stack 3</w:t>
      </w:r>
      <w:r>
        <w:t xml:space="preserve"> </w:t>
      </w:r>
      <w:r>
        <w:t xml:space="preserve">message-passing layers (</w:t>
      </w:r>
      <w:r>
        <w:rPr>
          <w:rStyle w:val="VerbatimChar"/>
        </w:rPr>
        <w:t xml:space="preserve">GCNConv</w:t>
      </w:r>
      <w:r>
        <w:t xml:space="preserve">,</w:t>
      </w:r>
      <w:r>
        <w:t xml:space="preserve"> </w:t>
      </w:r>
      <w:r>
        <w:rPr>
          <w:rStyle w:val="VerbatimChar"/>
        </w:rPr>
        <w:t xml:space="preserve">GATConv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NNConv</w:t>
      </w:r>
      <w:r>
        <w:t xml:space="preserve"> </w:t>
      </w:r>
      <w:r>
        <w:t xml:space="preserve">respectively — Sections 6.2-6.3) of width 64 over these encoded atom</w:t>
      </w:r>
      <w:r>
        <w:t xml:space="preserve"> </w:t>
      </w:r>
      <w:r>
        <w:t xml:space="preserve">features, mean-pool the final atom representations into one</w:t>
      </w:r>
      <w:r>
        <w:t xml:space="preserve"> </w:t>
      </w:r>
      <w:r>
        <w:t xml:space="preserve">graph-level vector (</w:t>
      </w:r>
      <w:r>
        <w:rPr>
          <w:rStyle w:val="VerbatimChar"/>
        </w:rPr>
        <w:t xml:space="preserve">global_mean_pool</w:t>
      </w:r>
      <w:r>
        <w:t xml:space="preserve">), and pass that through a small</w:t>
      </w:r>
      <w:r>
        <w:t xml:space="preserve"> </w:t>
      </w:r>
      <w:r>
        <w:t xml:space="preserve">2-layer MLP to a single scalar prediction.</w:t>
      </w:r>
      <w:r>
        <w:t xml:space="preserve"> </w:t>
      </w:r>
      <w:r>
        <w:rPr>
          <w:rStyle w:val="VerbatimChar"/>
        </w:rPr>
        <w:t xml:space="preserve">MPNNRegressor</w:t>
      </w:r>
      <w:r>
        <w:t xml:space="preserve"> </w:t>
      </w:r>
      <w:r>
        <w:t xml:space="preserve">additionally</w:t>
      </w:r>
      <w:r>
        <w:t xml:space="preserve"> </w:t>
      </w:r>
      <w:r>
        <w:t xml:space="preserve">runs every bond’s encoded features through</w:t>
      </w:r>
      <w:r>
        <w:t xml:space="preserve"> </w:t>
      </w:r>
      <w:r>
        <w:rPr>
          <w:rStyle w:val="VerbatimChar"/>
        </w:rPr>
        <w:t xml:space="preserve">BondEncoder</w:t>
      </w:r>
      <w:r>
        <w:t xml:space="preserve"> </w:t>
      </w:r>
      <w:r>
        <w:t xml:space="preserve">and into each</w:t>
      </w:r>
      <w:r>
        <w:t xml:space="preserve"> </w:t>
      </w:r>
      <w:r>
        <w:rPr>
          <w:rStyle w:val="VerbatimChar"/>
        </w:rPr>
        <w:t xml:space="preserve">NNConv</w:t>
      </w:r>
      <w:r>
        <w:t xml:space="preserve"> </w:t>
      </w:r>
      <w:r>
        <w:t xml:space="preserve">layer’s edge network, exactly as Section 6.3 describes.</w:t>
      </w:r>
    </w:p>
    <w:bookmarkEnd w:id="15"/>
    <w:bookmarkStart w:id="16" w:name="splitting-training-and-evaluation"/>
    <w:p>
      <w:pPr>
        <w:pStyle w:val="Heading3"/>
      </w:pPr>
      <w:r>
        <w:t xml:space="preserve">Splitting, training, and evaluation</w:t>
      </w:r>
    </w:p>
    <w:p>
      <w:pPr>
        <w:pStyle w:val="FirstParagraph"/>
      </w:pPr>
      <w:hyperlink r:id="rId14">
        <w:r>
          <w:rPr>
            <w:rStyle w:val="VerbatimChar"/>
          </w:rPr>
          <w:t xml:space="preserve">gnn_property.py</w:t>
        </w:r>
      </w:hyperlink>
      <w:r>
        <w:t xml:space="preserve"> </w:t>
      </w:r>
      <w:r>
        <w:t xml:space="preserve">reimplements Chapter 5’s</w:t>
      </w:r>
      <w:r>
        <w:t xml:space="preserve"> </w:t>
      </w:r>
      <w:r>
        <w:rPr>
          <w:rStyle w:val="VerbatimChar"/>
        </w:rPr>
        <w:t xml:space="preserve">scaffold_split</w:t>
      </w:r>
      <w:r>
        <w:t xml:space="preserve"> </w:t>
      </w:r>
      <w:r>
        <w:t xml:space="preserve">(Bemis &amp; Murcko, 1996) for this regression setting —</w:t>
      </w:r>
      <w:r>
        <w:t xml:space="preserve"> </w:t>
      </w:r>
      <w:r>
        <w:t xml:space="preserve">group compounds by generic ring scaffold, then greedily fill the</w:t>
      </w:r>
      <w:r>
        <w:t xml:space="preserve"> </w:t>
      </w:r>
      <w:r>
        <w:t xml:space="preserve">training set scaffold-group by scaffold-group until the target training</w:t>
      </w:r>
      <w:r>
        <w:t xml:space="preserve"> </w:t>
      </w:r>
      <w:r>
        <w:t xml:space="preserve">fraction is reached — alongside a stratification-free random split, so</w:t>
      </w:r>
      <w:r>
        <w:t xml:space="preserve"> </w:t>
      </w:r>
      <w:r>
        <w:t xml:space="preserve">the same random-vs-scaffold comparison Chapter 5 demonstrated for hERG</w:t>
      </w:r>
      <w:r>
        <w:t xml:space="preserve"> </w:t>
      </w:r>
      <w:r>
        <w:t xml:space="preserve">classification can be repeated here for property regression. Targets</w:t>
      </w:r>
      <w:r>
        <w:t xml:space="preserve"> </w:t>
      </w:r>
      <w:r>
        <w:t xml:space="preserve">are standardized (zero mean, unit variance, computed from the training</w:t>
      </w:r>
      <w:r>
        <w:t xml:space="preserve"> </w:t>
      </w:r>
      <w:r>
        <w:t xml:space="preserve">split only) before training and un-standardized before computing</w:t>
      </w:r>
      <w:r>
        <w:t xml:space="preserve"> </w:t>
      </w:r>
      <w:r>
        <w:t xml:space="preserve">metrics, a routine but necessary step for stable regression training</w:t>
      </w:r>
      <w:r>
        <w:t xml:space="preserve"> </w:t>
      </w:r>
      <w:r>
        <w:t xml:space="preserve">that has no analogue in Chapter 5’s classification setting. Models</w:t>
      </w:r>
      <w:r>
        <w:t xml:space="preserve"> </w:t>
      </w:r>
      <w:r>
        <w:t xml:space="preserve">train for 60 epochs with the Adam optimizer (learning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</w:t>
      </w:r>
      <w:r>
        <w:t xml:space="preserve"> </w:t>
      </w:r>
      <w:r>
        <w:t xml:space="preserve">minimizing mean squared error on the standardized target, evaluated on</w:t>
      </w:r>
      <w:r>
        <w:t xml:space="preserve"> </w:t>
      </w:r>
      <w:r>
        <w:t xml:space="preserve">the held-out test set by root-mean-squared error (RMSE)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both in the property’s original units.</w:t>
      </w:r>
    </w:p>
    <w:bookmarkEnd w:id="16"/>
    <w:bookmarkStart w:id="17" w:name="results-gcn-vs.-gat-vs.-mpnn-on-esol"/>
    <w:p>
      <w:pPr>
        <w:pStyle w:val="Heading3"/>
      </w:pPr>
      <w:r>
        <w:t xml:space="preserve">Results: GCN vs. GAT vs. MPNN on ESOL</w:t>
      </w:r>
    </w:p>
    <w:p>
      <w:pPr>
        <w:pStyle w:val="FirstParagraph"/>
      </w:pPr>
      <w:r>
        <w:t xml:space="preserve">Training all three architectures on ESOL with an identical protocol</w:t>
      </w:r>
      <w:r>
        <w:t xml:space="preserve"> </w:t>
      </w:r>
      <w:r>
        <w:t xml:space="preserve">(60 epochs, hidden dimension 64, 3 layers, seed 0) gives: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RMSE (log mol/L)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GCN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1.011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GCN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1.246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1.229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MPNN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MPNN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1.537</w:t>
            </w:r>
          </w:p>
        </w:tc>
        <w:tc>
          <w:tcPr/>
          <w:p>
            <w:pPr>
              <w:pStyle w:val="Compact"/>
            </w:pPr>
            <w:r>
              <w:t xml:space="preserve">1.196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</w:tr>
    </w:tbl>
    <w:p>
      <w:pPr>
        <w:pStyle w:val="BodyText"/>
      </w:pPr>
      <w:r>
        <w:t xml:space="preserve">Two findings, both real and both worth stating plainly rather than</w:t>
      </w:r>
      <w:r>
        <w:t xml:space="preserve"> </w:t>
      </w:r>
      <w:r>
        <w:t xml:space="preserve">rounding off to fit a tidier narrative. First, the pattern from Chapter</w:t>
      </w:r>
      <w:r>
        <w:t xml:space="preserve"> </w:t>
      </w:r>
      <w:r>
        <w:t xml:space="preserve">5 repeats exactly: every architecture’s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drops substantially under</w:t>
      </w:r>
      <w:r>
        <w:t xml:space="preserve"> </w:t>
      </w:r>
      <w:r>
        <w:t xml:space="preserve">scaffold split relative to random split (GCN: 0.787 → 0.635; GAT: 0.869</w:t>
      </w:r>
      <w:r>
        <w:t xml:space="preserve"> </w:t>
      </w:r>
      <w:r>
        <w:t xml:space="preserve">→ 0.645; MPNN: 0.864 → 0.445) — random splitting overestimates</w:t>
      </w:r>
      <w:r>
        <w:t xml:space="preserve"> </w:t>
      </w:r>
      <w:r>
        <w:t xml:space="preserve">real-world generalization for graph-structured molecular data</w:t>
      </w:r>
      <w:r>
        <w:t xml:space="preserve"> </w:t>
      </w:r>
      <w:r>
        <w:t xml:space="preserve">regardless of which specific architecture consumes the graph, which is</w:t>
      </w:r>
      <w:r>
        <w:t xml:space="preserve"> </w:t>
      </w:r>
      <w:r>
        <w:t xml:space="preserve">exactly the general lesson Chapter 5 established with fingerprints and</w:t>
      </w:r>
      <w:r>
        <w:t xml:space="preserve"> </w:t>
      </w:r>
      <w:r>
        <w:t xml:space="preserve">classical models. Second, and less tidy:</w:t>
      </w:r>
      <w:r>
        <w:t xml:space="preserve"> </w:t>
      </w:r>
      <w:r>
        <w:rPr>
          <w:b/>
          <w:bCs/>
        </w:rPr>
        <w:t xml:space="preserve">MPNN, the architecturally</w:t>
      </w:r>
      <w:r>
        <w:rPr>
          <w:b/>
          <w:bCs/>
        </w:rPr>
        <w:t xml:space="preserve"> </w:t>
      </w:r>
      <w:r>
        <w:rPr>
          <w:b/>
          <w:bCs/>
        </w:rPr>
        <w:t xml:space="preserve">most expressive of the three, generalizes worst under scaffold split</w:t>
      </w:r>
      <w:r>
        <w:t xml:space="preserve"> </w:t>
      </w:r>
      <w:r>
        <w:t xml:space="preserve">— worse than the simpler GCN and GAT, despite matching or beating them</w:t>
      </w:r>
      <w:r>
        <w:t xml:space="preserve"> </w:t>
      </w:r>
      <w:r>
        <w:t xml:space="preserve">under random split. The edge-conditioned message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NNConv</w:t>
      </w:r>
      <w:r>
        <w:t xml:space="preserve">’s edge network) gives MPNN substantially more parameters per</w:t>
      </w:r>
      <w:r>
        <w:t xml:space="preserve"> </w:t>
      </w:r>
      <w:r>
        <w:t xml:space="preserve">layer than GCN’s shared weight matrix or GAT’s attention vector, on a</w:t>
      </w:r>
      <w:r>
        <w:t xml:space="preserve"> </w:t>
      </w:r>
      <w:r>
        <w:t xml:space="preserve">training set of only 902 molecules; more capacity without more data is</w:t>
      </w:r>
      <w:r>
        <w:t xml:space="preserve"> </w:t>
      </w:r>
      <w:r>
        <w:t xml:space="preserve">a standard recipe for overfitting, and scaffold split — by construction</w:t>
      </w:r>
      <w:r>
        <w:t xml:space="preserve"> </w:t>
      </w:r>
      <w:r>
        <w:t xml:space="preserve">— is the evaluation that most exposes overfitting to the training set’s</w:t>
      </w:r>
      <w:r>
        <w:t xml:space="preserve"> </w:t>
      </w:r>
      <w:r>
        <w:t xml:space="preserve">specific chemical series. This is not evidence that MPNNs are</w:t>
      </w:r>
      <w:r>
        <w:t xml:space="preserve"> </w:t>
      </w:r>
      <w:r>
        <w:t xml:space="preserve">generally worse than GCNs for molecular property prediction (Section</w:t>
      </w:r>
      <w:r>
        <w:t xml:space="preserve"> </w:t>
      </w:r>
      <w:r>
        <w:t xml:space="preserve">6.3’s citations, and the wider literature, show the opposite in</w:t>
      </w:r>
      <w:r>
        <w:t xml:space="preserve"> </w:t>
      </w:r>
      <w:r>
        <w:t xml:space="preserve">larger-data settings); it is evidence that architectural expressiveness</w:t>
      </w:r>
      <w:r>
        <w:t xml:space="preserve"> </w:t>
      </w:r>
      <w:r>
        <w:t xml:space="preserve">and generalization under distribution shift are separate axes, and that</w:t>
      </w:r>
      <w:r>
        <w:t xml:space="preserve"> </w:t>
      </w:r>
      <w:r>
        <w:t xml:space="preserve">a fair benchmark has to check both rather than assume the more</w:t>
      </w:r>
      <w:r>
        <w:t xml:space="preserve"> </w:t>
      </w:r>
      <w:r>
        <w:t xml:space="preserve">sophisticated model wins by default.</w:t>
      </w:r>
    </w:p>
    <w:bookmarkEnd w:id="17"/>
    <w:bookmarkStart w:id="18" w:name="results-mpnn-on-freesolv"/>
    <w:p>
      <w:pPr>
        <w:pStyle w:val="Heading3"/>
      </w:pPr>
      <w:r>
        <w:t xml:space="preserve">Results: MPNN on FreeSolv</w:t>
      </w:r>
    </w:p>
    <w:p>
      <w:pPr>
        <w:pStyle w:val="FirstParagraph"/>
      </w:pPr>
      <w:r>
        <w:t xml:space="preserve">Running the same MPNN, unmodified, on FreeSolv (this project’s second</w:t>
      </w:r>
      <w:r>
        <w:t xml:space="preserve"> </w:t>
      </w:r>
      <w:r>
        <w:t xml:space="preserve">required property, per the note above):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RMSE (kcal/mol)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1.612</w:t>
            </w:r>
          </w:p>
        </w:tc>
        <w:tc>
          <w:tcPr/>
          <w:p>
            <w:pPr>
              <w:pStyle w:val="Compact"/>
            </w:pPr>
            <w:r>
              <w:t xml:space="preserve">1.127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4.272</w:t>
            </w:r>
          </w:p>
        </w:tc>
        <w:tc>
          <w:tcPr/>
          <w:p>
            <w:pPr>
              <w:pStyle w:val="Compact"/>
            </w:pPr>
            <w:r>
              <w:t xml:space="preserve">3.220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</w:tr>
    </w:tbl>
    <w:p>
      <w:pPr>
        <w:pStyle w:val="BodyText"/>
      </w:pPr>
      <w:r>
        <w:t xml:space="preserve">The random-vs-scaffold gap is even more pronounced here than on ESOL —</w:t>
      </w:r>
      <w:r>
        <w:t xml:space="preserve"> </w:t>
      </w:r>
      <w:r>
        <w:t xml:space="preserve">RMSE nearly triples (1.61 → 4.27 kcal/mol)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falls from 0.845</w:t>
      </w:r>
      <w:r>
        <w:t xml:space="preserve"> </w:t>
      </w:r>
      <w:r>
        <w:t xml:space="preserve">to 0.304. FreeSolv is both smaller (642 compounds total, so a scaffold</w:t>
      </w:r>
      <w:r>
        <w:t xml:space="preserve"> </w:t>
      </w:r>
      <w:r>
        <w:t xml:space="preserve">split leaves fewer training examples per scaffold group to learn from)</w:t>
      </w:r>
      <w:r>
        <w:t xml:space="preserve"> </w:t>
      </w:r>
      <w:r>
        <w:t xml:space="preserve">and chemically broader in origin — it was assembled for the SAMPL blind</w:t>
      </w:r>
      <w:r>
        <w:t xml:space="preserve"> </w:t>
      </w:r>
      <w:r>
        <w:t xml:space="preserve">prediction challenges specifically to stress-test free-energy methods</w:t>
      </w:r>
      <w:r>
        <w:t xml:space="preserve"> </w:t>
      </w:r>
      <w:r>
        <w:t xml:space="preserve">across diverse chemotypes (Mobley &amp; Guthrie, 2014) — both of which make</w:t>
      </w:r>
      <w:r>
        <w:t xml:space="preserve"> </w:t>
      </w:r>
      <w:r>
        <w:t xml:space="preserve">genuine cross-scaffold generalization harder than on ESOL’s more</w:t>
      </w:r>
      <w:r>
        <w:t xml:space="preserve"> </w:t>
      </w:r>
      <w:r>
        <w:t xml:space="preserve">homogeneous compound set, consistent with the larger gap observed here.</w:t>
      </w:r>
    </w:p>
    <w:bookmarkEnd w:id="18"/>
    <w:bookmarkStart w:id="21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torch&gt;=2.2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torch_geometric&gt;=2.5</w:t>
      </w:r>
      <w:r>
        <w:t xml:space="preserve">,</w:t>
      </w:r>
      <w:r>
        <w:t xml:space="preserve"> </w:t>
      </w:r>
      <w:r>
        <w:rPr>
          <w:rStyle w:val="VerbatimChar"/>
        </w:rPr>
        <w:t xml:space="preserve">rdkit&gt;=2023.9.1</w:t>
      </w:r>
      <w:r>
        <w:t xml:space="preserve"> </w:t>
      </w:r>
      <w:r>
        <w:t xml:space="preserve">in</w:t>
      </w:r>
      <w:r>
        <w:t xml:space="preserve"> </w:t>
      </w:r>
      <w:hyperlink r:id="rId19">
        <w:r>
          <w:rPr>
            <w:rStyle w:val="VerbatimChar"/>
          </w:rPr>
          <w:t xml:space="preserve">requirements.txt</w:t>
        </w:r>
      </w:hyperlink>
      <w:r>
        <w:t xml:space="preserve">, validated</w:t>
      </w:r>
      <w:r>
        <w:t xml:space="preserve"> </w:t>
      </w:r>
      <w:r>
        <w:t xml:space="preserve">against torch 2.13.0 and torch_geometric 2.8.0.post1). This chapter’s</w:t>
      </w:r>
      <w:r>
        <w:t xml:space="preserve"> </w:t>
      </w:r>
      <w:r>
        <w:rPr>
          <w:rStyle w:val="VerbatimChar"/>
        </w:rPr>
        <w:t xml:space="preserve">data/delaney-processed.csv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data/SAMPL.csv</w:t>
      </w:r>
      <w:r>
        <w:t xml:space="preserve"> </w:t>
      </w:r>
      <w:r>
        <w:t xml:space="preserve">are the real,</w:t>
      </w:r>
      <w:r>
        <w:t xml:space="preserve"> </w:t>
      </w:r>
      <w:r>
        <w:t xml:space="preserve">unmodified raw MoleculeNet CSVs for ESOL and FreeSolv, bundled so</w:t>
      </w:r>
      <w:r>
        <w:t xml:space="preserve"> </w:t>
      </w:r>
      <w:r>
        <w:rPr>
          <w:rStyle w:val="VerbatimChar"/>
        </w:rPr>
        <w:t xml:space="preserve">--use-cached-raw</w:t>
      </w:r>
      <w:r>
        <w:t xml:space="preserve"> </w:t>
      </w:r>
      <w:r>
        <w:t xml:space="preserve">seeds PyTorch Geometric’s dataset cache directly</w:t>
      </w:r>
      <w:r>
        <w:t xml:space="preserve"> </w:t>
      </w:r>
      <w:r>
        <w:t xml:space="preserve">instead of downloading from the live DeepChem S3 bucket — the same</w:t>
      </w:r>
      <w:r>
        <w:t xml:space="preserve"> </w:t>
      </w:r>
      <w:r>
        <w:t xml:space="preserve">resilience pattern Chapter 4 established. The 21-test suite in</w:t>
      </w:r>
      <w:r>
        <w:t xml:space="preserve"> </w:t>
      </w:r>
      <w:hyperlink r:id="rId20">
        <w:r>
          <w:rPr>
            <w:rStyle w:val="VerbatimChar"/>
          </w:rPr>
          <w:t xml:space="preserve">tests/test_gnn_property.py</w:t>
        </w:r>
      </w:hyperlink>
      <w:r>
        <w:t xml:space="preserve"> </w:t>
      </w:r>
      <w:r>
        <w:t xml:space="preserve">checks the</w:t>
      </w:r>
      <w:r>
        <w:t xml:space="preserve"> </w:t>
      </w:r>
      <w:r>
        <w:t xml:space="preserve">atom/bond encoders, all three model architectures’ forward and backward</w:t>
      </w:r>
      <w:r>
        <w:t xml:space="preserve"> </w:t>
      </w:r>
      <w:r>
        <w:t xml:space="preserve">passes, both split strategies (including an explicit no-scaffold-leakage</w:t>
      </w:r>
      <w:r>
        <w:t xml:space="preserve"> </w:t>
      </w:r>
      <w:r>
        <w:t xml:space="preserve">check), and end-to-end training against a small synthetic molecule set</w:t>
      </w:r>
      <w:r>
        <w:t xml:space="preserve"> </w:t>
      </w:r>
      <w:r>
        <w:t xml:space="preserve">and a real fixture subset, running in seconds; one test calls the live</w:t>
      </w:r>
      <w:r>
        <w:t xml:space="preserve"> </w:t>
      </w:r>
      <w:r>
        <w:t xml:space="preserve">MoleculeNet download directly.</w:t>
      </w:r>
      <w:r>
        <w:t xml:space="preserve"> </w:t>
      </w:r>
      <w:r>
        <w:rPr>
          <w:rStyle w:val="VerbatimChar"/>
        </w:rPr>
        <w:t xml:space="preserve">pip install -r requirements-dev.txt &amp;&amp; pytest</w:t>
      </w:r>
      <w:r>
        <w:t xml:space="preserve"> </w:t>
      </w:r>
      <w:r>
        <w:t xml:space="preserve">reproduces all 21 results. The full 60-epoch runs behind the</w:t>
      </w:r>
      <w:r>
        <w:t xml:space="preserve"> </w:t>
      </w:r>
      <w:r>
        <w:t xml:space="preserve">tables above are slower (roughly 2-3 minutes per split on one CPU</w:t>
      </w:r>
      <w:r>
        <w:t xml:space="preserve"> </w:t>
      </w:r>
      <w:r>
        <w:t xml:space="preserve">core) and are not run in the test suite for that reason — reproduce them</w:t>
      </w:r>
      <w:r>
        <w:t xml:space="preserve"> </w:t>
      </w:r>
      <w:r>
        <w:t xml:space="preserve">directly with</w:t>
      </w:r>
      <w:r>
        <w:t xml:space="preserve"> </w:t>
      </w:r>
      <w:r>
        <w:rPr>
          <w:rStyle w:val="VerbatimChar"/>
        </w:rPr>
        <w:t xml:space="preserve">python gnn_property.py --use-cached-raw --dataset esol --model mpnn --split both</w:t>
      </w:r>
      <w:r>
        <w:t xml:space="preserve">, substituting</w:t>
      </w:r>
      <w:r>
        <w:t xml:space="preserve"> </w:t>
      </w:r>
      <w:r>
        <w:rPr>
          <w:rStyle w:val="VerbatimChar"/>
        </w:rPr>
        <w:t xml:space="preserve">--dataset freesolv</w:t>
      </w:r>
      <w:r>
        <w:t xml:space="preserve"> </w:t>
      </w:r>
      <w:r>
        <w:t xml:space="preserve">for the</w:t>
      </w:r>
      <w:r>
        <w:t xml:space="preserve"> </w:t>
      </w:r>
      <w:r>
        <w:t xml:space="preserve">second table.</w:t>
      </w:r>
    </w:p>
    <w:bookmarkEnd w:id="21"/>
    <w:bookmarkStart w:id="22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Everything this chapter’s project measures is still, ultimately, an</w:t>
      </w:r>
      <w:r>
        <w:t xml:space="preserve"> </w:t>
      </w:r>
      <w:r>
        <w:t xml:space="preserve">average over one training run at one fixed random seed — the tables</w:t>
      </w:r>
      <w:r>
        <w:t xml:space="preserve"> </w:t>
      </w:r>
      <w:r>
        <w:t xml:space="preserve">above report a single seed (0) throughout, for direct comparability</w:t>
      </w:r>
      <w:r>
        <w:t xml:space="preserve"> </w:t>
      </w:r>
      <w:r>
        <w:t xml:space="preserve">across models and splits, not because run-to-run variance is known to</w:t>
      </w:r>
      <w:r>
        <w:t xml:space="preserve"> </w:t>
      </w:r>
      <w:r>
        <w:t xml:space="preserve">be small; a careful benchmark would repeat each configuration across</w:t>
      </w:r>
      <w:r>
        <w:t xml:space="preserve"> </w:t>
      </w:r>
      <w:r>
        <w:t xml:space="preserve">several seeds and report a spread, which this chapter’s code supports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--seed</w:t>
      </w:r>
      <w:r>
        <w:t xml:space="preserve">) but its reported tables do not exercise. More</w:t>
      </w:r>
      <w:r>
        <w:t xml:space="preserve"> </w:t>
      </w:r>
      <w:r>
        <w:t xml:space="preserve">fundamentally, every architecture in this chapter, including the</w:t>
      </w:r>
      <w:r>
        <w:t xml:space="preserve"> </w:t>
      </w:r>
      <w:r>
        <w:t xml:space="preserve">hands-on project’s MPNN, operates on 2D molecular topology alone —</w:t>
      </w:r>
      <w:r>
        <w:t xml:space="preserve"> </w:t>
      </w:r>
      <w:r>
        <w:t xml:space="preserve">Section 6.4’s equivariant architectures exist precisely because many</w:t>
      </w:r>
      <w:r>
        <w:t xml:space="preserve"> </w:t>
      </w:r>
      <w:r>
        <w:t xml:space="preserve">properties later chapters care about are not topology-alone properties</w:t>
      </w:r>
      <w:r>
        <w:t xml:space="preserve"> </w:t>
      </w:r>
      <w:r>
        <w:t xml:space="preserve">at all. Chapter 7’s generative models build directly on the graph</w:t>
      </w:r>
      <w:r>
        <w:t xml:space="preserve"> </w:t>
      </w:r>
      <w:r>
        <w:t xml:space="preserve">representations this chapter introduced, now used to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novel</w:t>
      </w:r>
      <w:r>
        <w:t xml:space="preserve"> </w:t>
      </w:r>
      <w:r>
        <w:t xml:space="preserve">molecular graphs rather than only score existing ones; Chapters 8 and 9</w:t>
      </w:r>
      <w:r>
        <w:t xml:space="preserve"> </w:t>
      </w:r>
      <w:r>
        <w:t xml:space="preserve">extend graph- and attention-based architectures from small molecules to</w:t>
      </w:r>
      <w:r>
        <w:t xml:space="preserve"> </w:t>
      </w:r>
      <w:r>
        <w:t xml:space="preserve">proteins, at far larger scale; and Chapter 12’s neural network</w:t>
      </w:r>
      <w:r>
        <w:t xml:space="preserve"> </w:t>
      </w:r>
      <w:r>
        <w:t xml:space="preserve">potentials are, architecturally, direct descendants of Section 6.4’s</w:t>
      </w:r>
      <w:r>
        <w:t xml:space="preserve"> </w:t>
      </w:r>
      <w:r>
        <w:t xml:space="preserve">equivariant networks, applied to the 3D, dynamics-aware regime this</w:t>
      </w:r>
      <w:r>
        <w:t xml:space="preserve"> </w:t>
      </w:r>
      <w:r>
        <w:t xml:space="preserve">chapter’s project deliberately did not enter.</w:t>
      </w:r>
    </w:p>
    <w:bookmarkEnd w:id="22"/>
    <w:bookmarkStart w:id="23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t xml:space="preserve">Colab’s default runtime preinstalls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torch_geometric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rdkit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!pip install torch_geometric rdkit</w:t>
      </w:r>
      <w:r>
        <w:t xml:space="preserve"> </w:t>
      </w:r>
      <w:r>
        <w:t xml:space="preserve">in the first cell.</w:t>
      </w:r>
      <w:r>
        <w:t xml:space="preserve"> </w:t>
      </w:r>
      <w:r>
        <w:t xml:space="preserve">A GPU runtime accelerates training automatically if selected but is not</w:t>
      </w:r>
      <w:r>
        <w:t xml:space="preserve"> </w:t>
      </w:r>
      <w:r>
        <w:t xml:space="preserve">required — every result in this chapter was produced on CPU.</w:t>
      </w:r>
    </w:p>
    <w:bookmarkEnd w:id="23"/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Duvenaud, D., Maclaurin, D., Aguilera-Iparraguirre, J.,</w:t>
      </w:r>
      <w:r>
        <w:t xml:space="preserve"> </w:t>
      </w:r>
      <w:r>
        <w:t xml:space="preserve">Gómez-Bombarelli, R., Hirzel, T., Aspuru-Guzik, A., &amp; Adams, R. P.</w:t>
      </w:r>
      <w:r>
        <w:t xml:space="preserve"> </w:t>
      </w:r>
      <w:r>
        <w:t xml:space="preserve">(2015). Convolutional networks on graphs for learning molecular</w:t>
      </w:r>
      <w:r>
        <w:t xml:space="preserve"> </w:t>
      </w:r>
      <w:r>
        <w:t xml:space="preserve">fingerprints.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28</w:t>
      </w:r>
      <w:r>
        <w:t xml:space="preserve"> </w:t>
      </w:r>
      <w:r>
        <w:t xml:space="preserve">(NeurIPS 2015). arXiv:1509.09292 (no DOI; NeurIPS proceedings papers</w:t>
      </w:r>
      <w:r>
        <w:t xml:space="preserve"> </w:t>
      </w:r>
      <w:r>
        <w:t xml:space="preserve">from this era were not assigned one).</w:t>
      </w:r>
    </w:p>
    <w:p>
      <w:pPr>
        <w:pStyle w:val="Compact"/>
        <w:numPr>
          <w:ilvl w:val="0"/>
          <w:numId w:val="1003"/>
        </w:numPr>
      </w:pPr>
      <w:r>
        <w:t xml:space="preserve">Kipf, T. N., &amp; Welling, M. (2017). Semi-supervised classification with</w:t>
      </w:r>
      <w:r>
        <w:t xml:space="preserve"> </w:t>
      </w:r>
      <w:r>
        <w:t xml:space="preserve">graph convolutional networks.</w:t>
      </w:r>
      <w:r>
        <w:t xml:space="preserve"> </w:t>
      </w:r>
      <w:r>
        <w:rPr>
          <w:i/>
          <w:iCs/>
        </w:rPr>
        <w:t xml:space="preserve">5th International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Representations</w:t>
      </w:r>
      <w:r>
        <w:t xml:space="preserve"> </w:t>
      </w:r>
      <w:r>
        <w:t xml:space="preserve">(ICLR 2017). arXiv:1609.02907 (no DOI;</w:t>
      </w:r>
      <w:r>
        <w:t xml:space="preserve"> </w:t>
      </w:r>
      <w:r>
        <w:t xml:space="preserve">ICLR, via OpenReview, does not assign one).</w:t>
      </w:r>
    </w:p>
    <w:p>
      <w:pPr>
        <w:pStyle w:val="Compact"/>
        <w:numPr>
          <w:ilvl w:val="0"/>
          <w:numId w:val="1003"/>
        </w:numPr>
      </w:pPr>
      <w:r>
        <w:t xml:space="preserve">Veličković, P., Cucurull, G., Casanova, A., Romero, A., Liò, P., &amp;</w:t>
      </w:r>
      <w:r>
        <w:t xml:space="preserve"> </w:t>
      </w:r>
      <w:r>
        <w:t xml:space="preserve">Bengio, Y. (2018). Graph attention networks.</w:t>
      </w:r>
      <w:r>
        <w:t xml:space="preserve"> </w:t>
      </w:r>
      <w:r>
        <w:rPr>
          <w:i/>
          <w:iCs/>
        </w:rPr>
        <w:t xml:space="preserve">6th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Learning Representations</w:t>
      </w:r>
      <w:r>
        <w:t xml:space="preserve"> </w:t>
      </w:r>
      <w:r>
        <w:t xml:space="preserve">(ICLR 2018). arXiv:1710.10903</w:t>
      </w:r>
      <w:r>
        <w:t xml:space="preserve"> </w:t>
      </w:r>
      <w:r>
        <w:t xml:space="preserve">(no DOI, as above).</w:t>
      </w:r>
    </w:p>
    <w:p>
      <w:pPr>
        <w:pStyle w:val="Compact"/>
        <w:numPr>
          <w:ilvl w:val="0"/>
          <w:numId w:val="1003"/>
        </w:numPr>
      </w:pPr>
      <w:r>
        <w:t xml:space="preserve">Gilmer, J., Schoenholz, S. S., Riley, P. F., Vinyals, O., &amp; Dahl, G. E.</w:t>
      </w:r>
      <w:r>
        <w:t xml:space="preserve"> </w:t>
      </w:r>
      <w:r>
        <w:t xml:space="preserve">(2017). Neural message passing for quantum chemistry.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34th International Conference on Machine Learning</w:t>
      </w:r>
      <w:r>
        <w:t xml:space="preserve">, PMLR 70,</w:t>
      </w:r>
      <w:r>
        <w:t xml:space="preserve"> </w:t>
      </w:r>
      <w:r>
        <w:t xml:space="preserve">1263-1272 (no DOI; PMLR does not assign one).</w:t>
      </w:r>
    </w:p>
    <w:p>
      <w:pPr>
        <w:pStyle w:val="Compact"/>
        <w:numPr>
          <w:ilvl w:val="0"/>
          <w:numId w:val="1003"/>
        </w:numPr>
      </w:pPr>
      <w:r>
        <w:t xml:space="preserve">Schütt, K. T., Sauceda, H. E., Kindermans, P.-J., Tkatchenko, A., &amp;</w:t>
      </w:r>
      <w:r>
        <w:t xml:space="preserve"> </w:t>
      </w:r>
      <w:r>
        <w:t xml:space="preserve">Müller, K.-R. (2018). SchNet - A deep learning architecture for</w:t>
      </w:r>
      <w:r>
        <w:t xml:space="preserve"> </w:t>
      </w:r>
      <w:r>
        <w:t xml:space="preserve">molecules and materials.</w:t>
      </w:r>
      <w:r>
        <w:t xml:space="preserve"> </w:t>
      </w:r>
      <w:r>
        <w:rPr>
          <w:i/>
          <w:iCs/>
        </w:rPr>
        <w:t xml:space="preserve">The Journal of Chemical Physics</w:t>
      </w:r>
      <w:r>
        <w:t xml:space="preserve">, 148(24),</w:t>
      </w:r>
    </w:p>
    <w:p>
      <w:pPr>
        <w:pStyle w:val="Compact"/>
        <w:numPr>
          <w:ilvl w:val="0"/>
          <w:numId w:val="1000"/>
        </w:numPr>
      </w:pPr>
      <w:r>
        <w:t xml:space="preserve">241722. https://doi.org/10.1063/1.5019779</w:t>
      </w:r>
    </w:p>
    <w:p>
      <w:pPr>
        <w:pStyle w:val="Compact"/>
        <w:numPr>
          <w:ilvl w:val="0"/>
          <w:numId w:val="1003"/>
        </w:numPr>
      </w:pPr>
      <w:r>
        <w:t xml:space="preserve">Satorras, V. G., Hoogeboom, E., &amp; Welling, M. (2021). E(n) equivariant</w:t>
      </w:r>
      <w:r>
        <w:t xml:space="preserve"> </w:t>
      </w:r>
      <w:r>
        <w:t xml:space="preserve">graph neural networks.</w:t>
      </w:r>
      <w:r>
        <w:t xml:space="preserve"> </w:t>
      </w:r>
      <w:r>
        <w:rPr>
          <w:i/>
          <w:iCs/>
        </w:rPr>
        <w:t xml:space="preserve">Proceedings of the 38th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Machine Learning</w:t>
      </w:r>
      <w:r>
        <w:t xml:space="preserve">, PMLR 139, 9323-9332 (no DOI, as</w:t>
      </w:r>
      <w:r>
        <w:t xml:space="preserve"> </w:t>
      </w:r>
      <w:r>
        <w:t xml:space="preserve">above).</w:t>
      </w:r>
    </w:p>
    <w:p>
      <w:pPr>
        <w:pStyle w:val="Compact"/>
        <w:numPr>
          <w:ilvl w:val="0"/>
          <w:numId w:val="1003"/>
        </w:numPr>
      </w:pPr>
      <w:r>
        <w:t xml:space="preserve">Batzner, S., Musaelian, A., Sun, L., Geiger, M., Mailoa, J. P.,</w:t>
      </w:r>
      <w:r>
        <w:t xml:space="preserve"> </w:t>
      </w:r>
      <w:r>
        <w:t xml:space="preserve">Kornbluth, M., Molinari, N., Smidt, T. E., &amp; Kozinsky, B. (2022).</w:t>
      </w:r>
      <w:r>
        <w:t xml:space="preserve"> </w:t>
      </w:r>
      <w:r>
        <w:t xml:space="preserve">E(3)-equivariant graph neural networks for data-efficient and</w:t>
      </w:r>
      <w:r>
        <w:t xml:space="preserve"> </w:t>
      </w:r>
      <w:r>
        <w:t xml:space="preserve">accurate interatomic potentials.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13(1), 2453.</w:t>
      </w:r>
      <w:r>
        <w:t xml:space="preserve"> </w:t>
      </w:r>
      <w:r>
        <w:t xml:space="preserve">https://doi.org/10.1038/s41467-022-29939-5</w:t>
      </w:r>
    </w:p>
    <w:p>
      <w:pPr>
        <w:pStyle w:val="Compact"/>
        <w:numPr>
          <w:ilvl w:val="0"/>
          <w:numId w:val="1003"/>
        </w:numPr>
      </w:pPr>
      <w:r>
        <w:t xml:space="preserve">Delaney, J. S. (2004). ESOL: Estimating aqueous solubility directly</w:t>
      </w:r>
      <w:r>
        <w:t xml:space="preserve"> </w:t>
      </w:r>
      <w:r>
        <w:t xml:space="preserve">from molecular structure.</w:t>
      </w:r>
      <w:r>
        <w:t xml:space="preserve"> </w:t>
      </w:r>
      <w:r>
        <w:rPr>
          <w:i/>
          <w:iCs/>
        </w:rPr>
        <w:t xml:space="preserve">Journal of Chemical Information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Computer Sciences</w:t>
      </w:r>
      <w:r>
        <w:t xml:space="preserve">, 44(3), 1000-1005.</w:t>
      </w:r>
      <w:r>
        <w:t xml:space="preserve"> </w:t>
      </w:r>
      <w:r>
        <w:t xml:space="preserve">https://doi.org/10.1021/ci034243x</w:t>
      </w:r>
    </w:p>
    <w:p>
      <w:pPr>
        <w:pStyle w:val="Compact"/>
        <w:numPr>
          <w:ilvl w:val="0"/>
          <w:numId w:val="1003"/>
        </w:numPr>
      </w:pPr>
      <w:r>
        <w:t xml:space="preserve">Mobley, D. L., &amp; Guthrie, J. P. (2014). FreeSolv: a database of</w:t>
      </w:r>
      <w:r>
        <w:t xml:space="preserve"> </w:t>
      </w:r>
      <w:r>
        <w:t xml:space="preserve">experimental and calculated hydration free energies, with input</w:t>
      </w:r>
      <w:r>
        <w:t xml:space="preserve"> </w:t>
      </w:r>
      <w:r>
        <w:t xml:space="preserve">files.</w:t>
      </w:r>
      <w:r>
        <w:t xml:space="preserve"> </w:t>
      </w:r>
      <w:r>
        <w:rPr>
          <w:i/>
          <w:iCs/>
        </w:rPr>
        <w:t xml:space="preserve">Journal of Computer-Aided Molecular Design</w:t>
      </w:r>
      <w:r>
        <w:t xml:space="preserve">, 28(7), 711-720.</w:t>
      </w:r>
      <w:r>
        <w:t xml:space="preserve"> </w:t>
      </w:r>
      <w:r>
        <w:t xml:space="preserve">https://doi.org/10.1007/s10822-014-9747-x</w:t>
      </w:r>
    </w:p>
    <w:p>
      <w:pPr>
        <w:pStyle w:val="Compact"/>
        <w:numPr>
          <w:ilvl w:val="0"/>
          <w:numId w:val="1003"/>
        </w:numPr>
      </w:pPr>
      <w:r>
        <w:t xml:space="preserve">Hu, W., Fey, M., Zitnik, M., Dong, Y., Ren, H., Liu, B., Catasta, M.,</w:t>
      </w:r>
      <w:r>
        <w:t xml:space="preserve"> </w:t>
      </w:r>
      <w:r>
        <w:t xml:space="preserve">&amp; Leskovec, J. (2020). Open graph benchmark: Datasets for machine</w:t>
      </w:r>
      <w:r>
        <w:t xml:space="preserve"> </w:t>
      </w:r>
      <w:r>
        <w:t xml:space="preserve">learning on graphs.</w:t>
      </w:r>
      <w:r>
        <w:t xml:space="preserve"> </w:t>
      </w:r>
      <w:r>
        <w:rPr>
          <w:i/>
          <w:iCs/>
        </w:rPr>
        <w:t xml:space="preserve">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33 (NeurIPS 2020). arXiv:2005.00687 (no DOI, as above).</w:t>
      </w:r>
    </w:p>
    <w:p>
      <w:pPr>
        <w:pStyle w:val="Compact"/>
        <w:numPr>
          <w:ilvl w:val="0"/>
          <w:numId w:val="1003"/>
        </w:numPr>
      </w:pPr>
      <w:r>
        <w:t xml:space="preserve">Fey, M., &amp; Lenssen, J. E. (2019). Fast graph representation learning</w:t>
      </w:r>
      <w:r>
        <w:t xml:space="preserve"> </w:t>
      </w:r>
      <w:r>
        <w:t xml:space="preserve">with PyTorch Geometric.</w:t>
      </w:r>
      <w:r>
        <w:t xml:space="preserve"> </w:t>
      </w:r>
      <w:r>
        <w:rPr>
          <w:i/>
          <w:iCs/>
        </w:rPr>
        <w:t xml:space="preserve">ICLR 2019 Workshop on Representation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on Graphs and Manifolds</w:t>
      </w:r>
      <w:r>
        <w:t xml:space="preserve">. arXiv:1903.02428 (no DOI, as</w:t>
      </w:r>
      <w:r>
        <w:t xml:space="preserve"> </w:t>
      </w:r>
      <w:r>
        <w:t xml:space="preserve">above).</w:t>
      </w:r>
    </w:p>
    <w:p>
      <w:pPr>
        <w:pStyle w:val="Compact"/>
        <w:numPr>
          <w:ilvl w:val="0"/>
          <w:numId w:val="1003"/>
        </w:numPr>
      </w:pPr>
      <w:r>
        <w:t xml:space="preserve">Paszke, A., Gross, S., Massa, F., Lerer, A., Bradbury, J., Chanan, G.,</w:t>
      </w:r>
      <w:r>
        <w:t xml:space="preserve"> </w:t>
      </w:r>
      <w:r>
        <w:t xml:space="preserve">Killeen, T., Lin, Z., Gimelshein, N., Antiga, L., Desmaison, A., Köpf,</w:t>
      </w:r>
      <w:r>
        <w:t xml:space="preserve"> </w:t>
      </w:r>
      <w:r>
        <w:t xml:space="preserve">A., Yang, E., DeVito, Z., Raison, M., Tejani, A., Chilamkurthy, S.,</w:t>
      </w:r>
      <w:r>
        <w:t xml:space="preserve"> </w:t>
      </w:r>
      <w:r>
        <w:t xml:space="preserve">Steiner, B., Fang, L., Bai, J., &amp; Chintala, S. (2019). PyTorch: An</w:t>
      </w:r>
      <w:r>
        <w:t xml:space="preserve"> </w:t>
      </w:r>
      <w:r>
        <w:t xml:space="preserve">imperative style, high-performance deep learning library.</w:t>
      </w:r>
      <w:r>
        <w:t xml:space="preserve"> </w:t>
      </w:r>
      <w:r>
        <w:rPr>
          <w:i/>
          <w:iCs/>
        </w:rPr>
        <w:t xml:space="preserve">Advances</w:t>
      </w:r>
      <w:r>
        <w:rPr>
          <w:i/>
          <w:iCs/>
        </w:rPr>
        <w:t xml:space="preserve"> </w:t>
      </w:r>
      <w:r>
        <w:rPr>
          <w:i/>
          <w:iCs/>
        </w:rPr>
        <w:t xml:space="preserve">in Neural Information Processing Systems</w:t>
      </w:r>
      <w:r>
        <w:t xml:space="preserve">, 32 (NeurIPS 2019).</w:t>
      </w:r>
      <w:r>
        <w:t xml:space="preserve"> </w:t>
      </w:r>
      <w:r>
        <w:t xml:space="preserve">arXiv:1912.01703 (no DOI, as above).</w:t>
      </w:r>
    </w:p>
    <w:p>
      <w:pPr>
        <w:pStyle w:val="FirstParagraph"/>
      </w:pPr>
      <w:r>
        <w:t xml:space="preserve">See Chapter 4’s references for Wu et al. (2018, MoleculeNet, the</w:t>
      </w:r>
      <w:r>
        <w:t xml:space="preserve"> </w:t>
      </w:r>
      <w:r>
        <w:t xml:space="preserve">benchmark suite ESOL and FreeSolv are distributed through) and Bemis &amp;</w:t>
      </w:r>
      <w:r>
        <w:t xml:space="preserve"> </w:t>
      </w:r>
      <w:r>
        <w:t xml:space="preserve">Murcko (1996, scaffold definition, reused from Chapter 5) — both reused</w:t>
      </w:r>
      <w:r>
        <w:t xml:space="preserve"> </w:t>
      </w:r>
      <w:r>
        <w:t xml:space="preserve">here rather than re-listed. Every citation above lacking a DOI was</w:t>
      </w:r>
      <w:r>
        <w:t xml:space="preserve"> </w:t>
      </w:r>
      <w:r>
        <w:t xml:space="preserve">checked directly against its own official landing page (arXiv abstract</w:t>
      </w:r>
      <w:r>
        <w:t xml:space="preserve"> </w:t>
      </w:r>
      <w:r>
        <w:t xml:space="preserve">page or the PMLR proceedings page) rather than assumed absent; ICLR</w:t>
      </w:r>
      <w:r>
        <w:t xml:space="preserve"> </w:t>
      </w:r>
      <w:r>
        <w:t xml:space="preserve">(via OpenReview), PMLR, and NeurIPS proceedings from these years</w:t>
      </w:r>
      <w:r>
        <w:t xml:space="preserve"> </w:t>
      </w:r>
      <w:r>
        <w:t xml:space="preserve">routinely do not assign DOIs, matching the same situation already</w:t>
      </w:r>
      <w:r>
        <w:t xml:space="preserve"> </w:t>
      </w:r>
      <w:r>
        <w:t xml:space="preserve">documented for the Pedregosa et al. (2011) scikit-learn citation in</w:t>
      </w:r>
      <w:r>
        <w:t xml:space="preserve"> </w:t>
      </w:r>
      <w:r>
        <w:t xml:space="preserve">Chapter 5’s references.</w:t>
      </w:r>
    </w:p>
    <w:p>
      <w:pPr>
        <w:pStyle w:val="BodyText"/>
      </w:pPr>
      <w:r>
        <w:t xml:space="preserve">All dataset sizes and model metrics cited in Section 6.5 were computed</w:t>
      </w:r>
      <w:r>
        <w:t xml:space="preserve"> </w:t>
      </w:r>
      <w:r>
        <w:t xml:space="preserve">directly by running</w:t>
      </w:r>
      <w:r>
        <w:t xml:space="preserve"> </w:t>
      </w:r>
      <w:r>
        <w:rPr>
          <w:rStyle w:val="VerbatimChar"/>
        </w:rPr>
        <w:t xml:space="preserve">gnn_property.py</w:t>
      </w:r>
      <w:r>
        <w:t xml:space="preserve"> </w:t>
      </w:r>
      <w:r>
        <w:t xml:space="preserve">against the bundled ESOL/FreeSolv</w:t>
      </w:r>
      <w:r>
        <w:t xml:space="preserve"> </w:t>
      </w:r>
      <w:r>
        <w:t xml:space="preserve">fixtures on 2026-08-20, not taken from a secondary source or from</w:t>
      </w:r>
      <w:r>
        <w:t xml:space="preserve"> </w:t>
      </w:r>
      <w:r>
        <w:t xml:space="preserve">published benchmark leaderboards — see</w:t>
      </w:r>
      <w:r>
        <w:t xml:space="preserve"> </w:t>
      </w:r>
      <w:r>
        <w:rPr>
          <w:rStyle w:val="VerbatimChar"/>
        </w:rPr>
        <w:t xml:space="preserve">data/delaney-processed.csv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data/SAMPL.csv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gnn_property.py</w:t>
      </w:r>
      <w:r>
        <w:t xml:space="preserve"> </w:t>
      </w:r>
      <w:r>
        <w:t xml:space="preserve">to reproduce.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gnn_property.py" TargetMode="External" /><Relationship Type="http://schemas.openxmlformats.org/officeDocument/2006/relationships/hyperlink" Id="rId19" Target="requirements.txt" TargetMode="External" /><Relationship Type="http://schemas.openxmlformats.org/officeDocument/2006/relationships/hyperlink" Id="rId20" Target="tests/test_gnn_property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gnn_property.py" TargetMode="External" /><Relationship Type="http://schemas.openxmlformats.org/officeDocument/2006/relationships/hyperlink" Id="rId19" Target="requirements.txt" TargetMode="External" /><Relationship Type="http://schemas.openxmlformats.org/officeDocument/2006/relationships/hyperlink" Id="rId20" Target="tests/test_gnn_property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2026-08-20T04:45:28Z</dcterms:created>
  <dcterms:modified xsi:type="dcterms:W3CDTF">2026-08-20T04:45:28Z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