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5f8a734c9f009a0fb6e10a6ac0b506a601d8b2"/>
    <w:p>
      <w:pPr>
        <w:pStyle w:val="Heading1"/>
      </w:pPr>
      <w:r>
        <w:t xml:space="preserve">Chapter 8: Protein Language Models (pLMs) &amp; Evolutionary Dynamics</w:t>
      </w:r>
    </w:p>
    <w:p>
      <w:pPr>
        <w:pStyle w:val="FirstParagraph"/>
      </w:pPr>
      <w:r>
        <w:t xml:space="preserve">Chapters 1-7 worked almost entirely with small molecules — SMILES</w:t>
      </w:r>
      <w:r>
        <w:t xml:space="preserve"> </w:t>
      </w:r>
      <w:r>
        <w:t xml:space="preserve">strings, molecular graphs, generated ligands. Part III turns to the</w:t>
      </w:r>
      <w:r>
        <w:t xml:space="preserve"> </w:t>
      </w:r>
      <w:r>
        <w:t xml:space="preserve">other half of this book’s title: macromolecules. A protein sequence is,</w:t>
      </w:r>
      <w:r>
        <w:t xml:space="preserve"> </w:t>
      </w:r>
      <w:r>
        <w:t xml:space="preserve">formally, a string over a 20-letter alphabet, and Chapter 3 (Section</w:t>
      </w:r>
      <w:r>
        <w:t xml:space="preserve"> </w:t>
      </w:r>
      <w:r>
        <w:t xml:space="preserve">3.1) already introduced the classical tools for reading meaning out of</w:t>
      </w:r>
      <w:r>
        <w:t xml:space="preserve"> </w:t>
      </w:r>
      <w:r>
        <w:t xml:space="preserve">that string — substitution matrices, pairwise and multiple sequence</w:t>
      </w:r>
      <w:r>
        <w:t xml:space="preserve"> </w:t>
      </w:r>
      <w:r>
        <w:t xml:space="preserve">alignment. This chapter asks a different question: instead of</w:t>
      </w:r>
      <w:r>
        <w:t xml:space="preserve"> </w:t>
      </w:r>
      <w:r>
        <w:t xml:space="preserve">hand-designing what a sequence’s letters mean, can a model</w:t>
      </w:r>
      <w:r>
        <w:t xml:space="preserve"> </w:t>
      </w:r>
      <w:r>
        <w:rPr>
          <w:i/>
          <w:iCs/>
        </w:rPr>
        <w:t xml:space="preserve">learn</w:t>
      </w:r>
      <w:r>
        <w:t xml:space="preserve"> </w:t>
      </w:r>
      <w:r>
        <w:t xml:space="preserve">it,</w:t>
      </w:r>
      <w:r>
        <w:t xml:space="preserve"> </w:t>
      </w:r>
      <w:r>
        <w:t xml:space="preserve">purely from being shown enormous numbers of real protein sequences and</w:t>
      </w:r>
      <w:r>
        <w:t xml:space="preserve"> </w:t>
      </w:r>
      <w:r>
        <w:t xml:space="preserve">asked to predict masked-out pieces of them? The answer — yes, well</w:t>
      </w:r>
      <w:r>
        <w:t xml:space="preserve"> </w:t>
      </w:r>
      <w:r>
        <w:t xml:space="preserve">enough to be scientifically useful with zero task-specific training —</w:t>
      </w:r>
      <w:r>
        <w:t xml:space="preserve"> </w:t>
      </w:r>
      <w:r>
        <w:t xml:space="preserve">is what makes</w:t>
      </w:r>
      <w:r>
        <w:t xml:space="preserve"> </w:t>
      </w:r>
      <w:r>
        <w:rPr>
          <w:b/>
          <w:bCs/>
        </w:rPr>
        <w:t xml:space="preserve">protein language models</w:t>
      </w:r>
      <w:r>
        <w:t xml:space="preserve"> </w:t>
      </w:r>
      <w:r>
        <w:t xml:space="preserve">(pLMs) the foundation for</w:t>
      </w:r>
      <w:r>
        <w:t xml:space="preserve"> </w:t>
      </w:r>
      <w:r>
        <w:t xml:space="preserve">every remaining chapter in Part III: Chapter 9’s structure predictors</w:t>
      </w:r>
      <w:r>
        <w:t xml:space="preserve"> </w:t>
      </w:r>
      <w:r>
        <w:t xml:space="preserve">and Chapter 10’s protein designers both build directly on the</w:t>
      </w:r>
      <w:r>
        <w:t xml:space="preserve"> </w:t>
      </w:r>
      <w:r>
        <w:t xml:space="preserve">representations this chapter introduces.</w:t>
      </w:r>
    </w:p>
    <w:bookmarkStart w:id="9" w:name="the-evolutionary-scale-hypothesis"/>
    <w:p>
      <w:pPr>
        <w:pStyle w:val="Heading2"/>
      </w:pPr>
      <w:r>
        <w:t xml:space="preserve">8.1 The Evolutionary Scale Hypothesis</w:t>
      </w:r>
    </w:p>
    <w:p>
      <w:pPr>
        <w:pStyle w:val="FirstParagraph"/>
      </w:pPr>
      <w:r>
        <w:t xml:space="preserve">Anfinsen’s (1973) thermodynamic hypothesis — that a protein’s amino</w:t>
      </w:r>
      <w:r>
        <w:t xml:space="preserve"> </w:t>
      </w:r>
      <w:r>
        <w:t xml:space="preserve">acid sequence alone determines its native 3D structure, with no</w:t>
      </w:r>
      <w:r>
        <w:t xml:space="preserve"> </w:t>
      </w:r>
      <w:r>
        <w:t xml:space="preserve">additional biological machinery required — is the foundational premise</w:t>
      </w:r>
      <w:r>
        <w:t xml:space="preserve"> </w:t>
      </w:r>
      <w:r>
        <w:t xml:space="preserve">of computational structural biology: everything Chapters 3, 9, and 10</w:t>
      </w:r>
      <w:r>
        <w:t xml:space="preserve"> </w:t>
      </w:r>
      <w:r>
        <w:t xml:space="preserve">do rests on it being true. It says the information is</w:t>
      </w:r>
      <w:r>
        <w:t xml:space="preserve"> </w:t>
      </w:r>
      <w:r>
        <w:rPr>
          <w:i/>
          <w:iCs/>
        </w:rPr>
        <w:t xml:space="preserve">there</w:t>
      </w:r>
      <w:r>
        <w:t xml:space="preserve">, encoded</w:t>
      </w:r>
      <w:r>
        <w:t xml:space="preserve"> </w:t>
      </w:r>
      <w:r>
        <w:t xml:space="preserve">in the sequence. It says nothing about how to decode it.</w:t>
      </w:r>
    </w:p>
    <w:p>
      <w:pPr>
        <w:pStyle w:val="BodyText"/>
      </w:pPr>
      <w:r>
        <w:t xml:space="preserve">Evolution has been running that decoding experiment for billions of</w:t>
      </w:r>
      <w:r>
        <w:t xml:space="preserve"> </w:t>
      </w:r>
      <w:r>
        <w:t xml:space="preserve">years. Every sequence in a modern protein family is a descendant of</w:t>
      </w:r>
      <w:r>
        <w:t xml:space="preserve"> </w:t>
      </w:r>
      <w:r>
        <w:t xml:space="preserve">some ancestral sequence, filtered through natural selection: mutations</w:t>
      </w:r>
      <w:r>
        <w:t xml:space="preserve"> </w:t>
      </w:r>
      <w:r>
        <w:t xml:space="preserve">that broke folding or function were eliminated, mutations that were</w:t>
      </w:r>
      <w:r>
        <w:t xml:space="preserve"> </w:t>
      </w:r>
      <w:r>
        <w:t xml:space="preserve">neutral or beneficial persisted. A</w:t>
      </w:r>
      <w:r>
        <w:t xml:space="preserve"> </w:t>
      </w:r>
      <w:r>
        <w:rPr>
          <w:b/>
          <w:bCs/>
        </w:rPr>
        <w:t xml:space="preserve">multiple sequence alignment</w:t>
      </w:r>
      <w:r>
        <w:t xml:space="preserve"> </w:t>
      </w:r>
      <w:r>
        <w:t xml:space="preserve">(MSA) of a protein family — Chapter 3, Section 3.1’s tool, revisited</w:t>
      </w:r>
      <w:r>
        <w:t xml:space="preserve"> </w:t>
      </w:r>
      <w:r>
        <w:t xml:space="preserve">here as promised — makes this filtering visible as statistical</w:t>
      </w:r>
      <w:r>
        <w:t xml:space="preserve"> </w:t>
      </w:r>
      <w:r>
        <w:t xml:space="preserve">structure: positions critical to folding or function stay highly</w:t>
      </w:r>
      <w:r>
        <w:t xml:space="preserve"> </w:t>
      </w:r>
      <w:r>
        <w:t xml:space="preserve">conserved across millions of years of divergence, while tolerant</w:t>
      </w:r>
      <w:r>
        <w:t xml:space="preserve"> </w:t>
      </w:r>
      <w:r>
        <w:t xml:space="preserve">positions drift freely; pairs of positions that are physically in</w:t>
      </w:r>
      <w:r>
        <w:t xml:space="preserve"> </w:t>
      </w:r>
      <w:r>
        <w:t xml:space="preserve">contact tend to</w:t>
      </w:r>
      <w:r>
        <w:t xml:space="preserve"> </w:t>
      </w:r>
      <w:r>
        <w:rPr>
          <w:b/>
          <w:bCs/>
        </w:rPr>
        <w:t xml:space="preserve">co-evolve</w:t>
      </w:r>
      <w:r>
        <w:t xml:space="preserve">, because a destabilizing substitution at</w:t>
      </w:r>
      <w:r>
        <w:t xml:space="preserve"> </w:t>
      </w:r>
      <w:r>
        <w:t xml:space="preserve">one is often compensated by a correlated substitution at the other.</w:t>
      </w:r>
      <w:r>
        <w:t xml:space="preserve"> </w:t>
      </w:r>
      <w:r>
        <w:t xml:space="preserve">Classical unsupervised methods exploit exactly this signal from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family’s MSA: EVcouplings-style direct coupling analysis</w:t>
      </w:r>
      <w:r>
        <w:t xml:space="preserve"> </w:t>
      </w:r>
      <w:r>
        <w:t xml:space="preserve">infers residue-residue contacts from co-evolving pairs, and</w:t>
      </w:r>
      <w:r>
        <w:t xml:space="preserve"> </w:t>
      </w:r>
      <w:r>
        <w:t xml:space="preserve">Riesselman et al.’s (2018) DeepSequence trains a variational</w:t>
      </w:r>
      <w:r>
        <w:t xml:space="preserve"> </w:t>
      </w:r>
      <w:r>
        <w:t xml:space="preserve">autoencoder on one family’s alignment to model that family’s implicit</w:t>
      </w:r>
      <w:r>
        <w:t xml:space="preserve"> </w:t>
      </w:r>
      <w:r>
        <w:t xml:space="preserve">fitness landscape, reporting zero-shot mutation-effect predictions</w:t>
      </w:r>
      <w:r>
        <w:t xml:space="preserve"> </w:t>
      </w:r>
      <w:r>
        <w:t xml:space="preserve">competitive with the individual assays it evaluates against — without</w:t>
      </w:r>
      <w:r>
        <w:t xml:space="preserve"> </w:t>
      </w:r>
      <w:r>
        <w:t xml:space="preserve">ever seeing experimental labels.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evolutionary scale hypothesis</w:t>
      </w:r>
      <w:r>
        <w:t xml:space="preserve"> </w:t>
      </w:r>
      <w:r>
        <w:t xml:space="preserve">— the premise this chapter’s</w:t>
      </w:r>
      <w:r>
        <w:t xml:space="preserve"> </w:t>
      </w:r>
      <w:r>
        <w:t xml:space="preserve">namesake models are built on — is a scale-up of that same idea, with</w:t>
      </w:r>
      <w:r>
        <w:t xml:space="preserve"> </w:t>
      </w:r>
      <w:r>
        <w:t xml:space="preserve">one structural change: instead of an MSA of one family (typically</w:t>
      </w:r>
      <w:r>
        <w:t xml:space="preserve"> </w:t>
      </w:r>
      <w:r>
        <w:t xml:space="preserve">thousands of sequences, aligned to each other’s exact positions),</w:t>
      </w:r>
      <w:r>
        <w:t xml:space="preserve"> </w:t>
      </w:r>
      <w:r>
        <w:t xml:space="preserve">train a single self-supervised model on hundreds of millions of</w:t>
      </w:r>
      <w:r>
        <w:t xml:space="preserve"> </w:t>
      </w:r>
      <w:r>
        <w:rPr>
          <w:i/>
          <w:iCs/>
        </w:rPr>
        <w:t xml:space="preserve">unaligned</w:t>
      </w:r>
      <w:r>
        <w:t xml:space="preserve"> </w:t>
      </w:r>
      <w:r>
        <w:t xml:space="preserve">sequences spanning the entire observed protein universe at</w:t>
      </w:r>
      <w:r>
        <w:t xml:space="preserve"> </w:t>
      </w:r>
      <w:r>
        <w:t xml:space="preserve">once. Devlin et al. (2019) introduced the training objective this</w:t>
      </w:r>
      <w:r>
        <w:t xml:space="preserve"> </w:t>
      </w:r>
      <w:r>
        <w:t xml:space="preserve">depends on for language generally —</w:t>
      </w:r>
      <w:r>
        <w:t xml:space="preserve"> </w:t>
      </w:r>
      <w:r>
        <w:rPr>
          <w:b/>
          <w:bCs/>
        </w:rPr>
        <w:t xml:space="preserve">masked language modeling</w:t>
      </w:r>
      <w:r>
        <w:t xml:space="preserve"> </w:t>
      </w:r>
      <w:r>
        <w:t xml:space="preserve">(MLM): corrupt a fraction of input tokens by replacing them with a</w:t>
      </w:r>
      <w:r>
        <w:t xml:space="preserve"> </w:t>
      </w:r>
      <w:r>
        <w:t xml:space="preserve">special mask token, and train the model to reconstruct them from</w:t>
      </w:r>
      <w:r>
        <w:t xml:space="preserve"> </w:t>
      </w:r>
      <w:r>
        <w:t xml:space="preserve">context,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MLM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p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\</m:t>
                  </m:r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randomly chosen set of masked positions in sequence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\</m:t>
            </m:r>
            <m:r>
              <m:t>M</m:t>
            </m:r>
          </m:sub>
        </m:sSub>
      </m:oMath>
      <w:r>
        <w:t xml:space="preserve"> </w:t>
      </w:r>
      <w:r>
        <w:t xml:space="preserve">denotes the full sequence with those</w:t>
      </w:r>
      <w:r>
        <w:t xml:space="preserve"> </w:t>
      </w:r>
      <w:r>
        <w:t xml:space="preserve">positions replaced by the mask token. Applied to protein sequences</w:t>
      </w:r>
      <w:r>
        <w:t xml:space="preserve"> </w:t>
      </w:r>
      <w:r>
        <w:t xml:space="preserve">with the 20-letter amino acid alphabet in place of a natural-language</w:t>
      </w:r>
      <w:r>
        <w:t xml:space="preserve"> </w:t>
      </w:r>
      <w:r>
        <w:t xml:space="preserve">vocabulary, Rives et al. (2021) showed this objective, trained at</w:t>
      </w:r>
      <w:r>
        <w:t xml:space="preserve"> </w:t>
      </w:r>
      <w:r>
        <w:t xml:space="preserve">sufficient scale (250 million UniParc sequences; up to 650 million</w:t>
      </w:r>
      <w:r>
        <w:t xml:space="preserve"> </w:t>
      </w:r>
      <w:r>
        <w:t xml:space="preserve">parameters), causes structural and functional information to emerge as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side effect</w:t>
      </w:r>
      <w:r>
        <w:t xml:space="preserve"> </w:t>
      </w:r>
      <w:r>
        <w:t xml:space="preserve">of the reconstruction task — with no structural label,</w:t>
      </w:r>
      <w:r>
        <w:t xml:space="preserve"> </w:t>
      </w:r>
      <w:r>
        <w:t xml:space="preserve">no alignment, and no family-specific input ever supplied — measurable</w:t>
      </w:r>
      <w:r>
        <w:t xml:space="preserve"> </w:t>
      </w:r>
      <w:r>
        <w:t xml:space="preserve">directly in the trained model’s internal representations (Section 8.3</w:t>
      </w:r>
      <w:r>
        <w:t xml:space="preserve"> </w:t>
      </w:r>
      <w:r>
        <w:t xml:space="preserve">makes this concrete: masking a real position and reading off the</w:t>
      </w:r>
      <w:r>
        <w:t xml:space="preserve"> </w:t>
      </w:r>
      <w:r>
        <w:t xml:space="preserve">model’s implied preferences over the 20 amino acids at that position</w:t>
      </w:r>
      <w:r>
        <w:t xml:space="preserve"> </w:t>
      </w:r>
      <w:r>
        <w:t xml:space="preserve">is precisely the reconstruction task the model was trained on, applied</w:t>
      </w:r>
      <w:r>
        <w:t xml:space="preserve"> </w:t>
      </w:r>
      <w:r>
        <w:t xml:space="preserve">at inference time as a scoring tool). This is the sense in which</w:t>
      </w:r>
      <w:r>
        <w:t xml:space="preserve"> </w:t>
      </w:r>
      <w:r>
        <w:t xml:space="preserve">“evolutionary scale”</w:t>
      </w:r>
      <w:r>
        <w:t xml:space="preserve"> </w:t>
      </w:r>
      <w:r>
        <w:t xml:space="preserve">replaces</w:t>
      </w:r>
      <w:r>
        <w:t xml:space="preserve"> </w:t>
      </w:r>
      <w:r>
        <w:t xml:space="preserve">“one family’s MSA”</w:t>
      </w:r>
      <w:r>
        <w:t xml:space="preserve"> </w:t>
      </w:r>
      <w:r>
        <w:t xml:space="preserve">as the source of</w:t>
      </w:r>
      <w:r>
        <w:t xml:space="preserve"> </w:t>
      </w:r>
      <w:r>
        <w:t xml:space="preserve">selective-pressure information: not because cross-family evolutionary</w:t>
      </w:r>
      <w:r>
        <w:t xml:space="preserve"> </w:t>
      </w:r>
      <w:r>
        <w:t xml:space="preserve">signal stops mattering, but because a big enough corpus of raw</w:t>
      </w:r>
      <w:r>
        <w:t xml:space="preserve"> </w:t>
      </w:r>
      <w:r>
        <w:t xml:space="preserve">sequences turns out to contain it implicitly, recoverable without ever</w:t>
      </w:r>
      <w:r>
        <w:t xml:space="preserve"> </w:t>
      </w:r>
      <w:r>
        <w:t xml:space="preserve">constructing an alignment.</w:t>
      </w:r>
    </w:p>
    <w:bookmarkEnd w:id="9"/>
    <w:bookmarkStart w:id="10" w:name="plm-families"/>
    <w:p>
      <w:pPr>
        <w:pStyle w:val="Heading2"/>
      </w:pPr>
      <w:r>
        <w:t xml:space="preserve">8.2 pLM Families</w:t>
      </w:r>
    </w:p>
    <w:p>
      <w:pPr>
        <w:pStyle w:val="FirstParagraph"/>
      </w:pPr>
      <w:r>
        <w:rPr>
          <w:b/>
          <w:bCs/>
        </w:rPr>
        <w:t xml:space="preserve">ESM-1b</w:t>
      </w:r>
      <w:r>
        <w:t xml:space="preserve"> </w:t>
      </w:r>
      <w:r>
        <w:t xml:space="preserve">(Rives et al., 2021) is a 650M-parameter Transformer</w:t>
      </w:r>
      <w:r>
        <w:t xml:space="preserve"> </w:t>
      </w:r>
      <w:r>
        <w:rPr>
          <w:i/>
          <w:iCs/>
        </w:rPr>
        <w:t xml:space="preserve">encoder</w:t>
      </w:r>
      <w:r>
        <w:t xml:space="preserve"> </w:t>
      </w:r>
      <w:r>
        <w:t xml:space="preserve">(bidirectional self-attention, unlike Chapter 7’s causal</w:t>
      </w:r>
      <w:r>
        <w:t xml:space="preserve"> </w:t>
      </w:r>
      <w:r>
        <w:t xml:space="preserve">decoder — every position attends to every other position, masked ones</w:t>
      </w:r>
      <w:r>
        <w:t xml:space="preserve"> </w:t>
      </w:r>
      <w:r>
        <w:t xml:space="preserve">included, which is exactly what reconstructing a masked position from</w:t>
      </w:r>
      <w:r>
        <w:t xml:space="preserve"> </w:t>
      </w:r>
      <w:r>
        <w:t xml:space="preserve">its full surrounding context requires) trained with the MLM objective</w:t>
      </w:r>
      <w:r>
        <w:t xml:space="preserve"> </w:t>
      </w:r>
      <w:r>
        <w:t xml:space="preserve">above on UniRef50.</w:t>
      </w:r>
      <w:r>
        <w:t xml:space="preserve"> </w:t>
      </w:r>
      <w:r>
        <w:rPr>
          <w:b/>
          <w:bCs/>
        </w:rPr>
        <w:t xml:space="preserve">ESM-2</w:t>
      </w:r>
      <w:r>
        <w:t xml:space="preserve"> </w:t>
      </w:r>
      <w:r>
        <w:t xml:space="preserve">(Lin et al., 2023) is the direct successor</w:t>
      </w:r>
      <w:r>
        <w:t xml:space="preserve"> </w:t>
      </w:r>
      <w:r>
        <w:t xml:space="preserve">used throughout this chapter’s hands-on project: architecturally the</w:t>
      </w:r>
      <w:r>
        <w:t xml:space="preserve"> </w:t>
      </w:r>
      <w:r>
        <w:t xml:space="preserve">same encoder design, with three concrete changes — rotary positional</w:t>
      </w:r>
      <w:r>
        <w:t xml:space="preserve"> </w:t>
      </w:r>
      <w:r>
        <w:t xml:space="preserve">embeddings in place of ESM-1b’s learned absolute ones, a training-data</w:t>
      </w:r>
      <w:r>
        <w:t xml:space="preserve"> </w:t>
      </w:r>
      <w:r>
        <w:t xml:space="preserve">switch to UniRef50 with UniRef90 sequence sampling for diversity, and,</w:t>
      </w:r>
      <w:r>
        <w:t xml:space="preserve"> </w:t>
      </w:r>
      <w:r>
        <w:t xml:space="preserve">most consequentially, a scale sweep spanning eight model sizes from 8M</w:t>
      </w:r>
      <w:r>
        <w:t xml:space="preserve"> </w:t>
      </w:r>
      <w:r>
        <w:t xml:space="preserve">to 15B parameters, trained on an identical recipe so that model size is</w:t>
      </w:r>
      <w:r>
        <w:t xml:space="preserve"> </w:t>
      </w:r>
      <w:r>
        <w:t xml:space="preserve">isolated as the one varying factor. Lin et al. (2023) report that</w:t>
      </w:r>
      <w:r>
        <w:t xml:space="preserve"> </w:t>
      </w:r>
      <w:r>
        <w:t xml:space="preserve">structure-prediction accuracy (measured via ESMFold, the structure</w:t>
      </w:r>
      <w:r>
        <w:t xml:space="preserve"> </w:t>
      </w:r>
      <w:r>
        <w:t xml:space="preserve">head trained on top of ESM-2’s representations — Chapter 9’s subject)</w:t>
      </w:r>
      <w:r>
        <w:t xml:space="preserve"> </w:t>
      </w:r>
      <w:r>
        <w:t xml:space="preserve">improves smoothly and predictably with scale across this entire sweep,</w:t>
      </w:r>
      <w:r>
        <w:t xml:space="preserve"> </w:t>
      </w:r>
      <w:r>
        <w:t xml:space="preserve">with no sign of saturating even at 15B parameters; Section 8.4 checks</w:t>
      </w:r>
      <w:r>
        <w:t xml:space="preserve"> </w:t>
      </w:r>
      <w:r>
        <w:t xml:space="preserve">whether the same scale-dependence shows up in this chapter’s much</w:t>
      </w:r>
      <w:r>
        <w:t xml:space="preserve"> </w:t>
      </w:r>
      <w:r>
        <w:t xml:space="preserve">smaller zero-shot mutation-scoring task, across the 8M/35M/150M range</w:t>
      </w:r>
      <w:r>
        <w:t xml:space="preserve"> </w:t>
      </w:r>
      <w:r>
        <w:t xml:space="preserve">that fits comfortably in a free Colab CPU runtime.</w:t>
      </w:r>
    </w:p>
    <w:p>
      <w:pPr>
        <w:pStyle w:val="BodyText"/>
      </w:pPr>
      <w:r>
        <w:rPr>
          <w:b/>
          <w:bCs/>
        </w:rPr>
        <w:t xml:space="preserve">ProtTrans</w:t>
      </w:r>
      <w:r>
        <w:t xml:space="preserve"> </w:t>
      </w:r>
      <w:r>
        <w:t xml:space="preserve">(Elnaggar et al., 2022) takes a parallel path to the same</w:t>
      </w:r>
      <w:r>
        <w:t xml:space="preserve"> </w:t>
      </w:r>
      <w:r>
        <w:t xml:space="preserve">goal: rather than one architecture, it trains and benchmarks several</w:t>
      </w:r>
      <w:r>
        <w:t xml:space="preserve"> </w:t>
      </w:r>
      <w:r>
        <w:t xml:space="preserve">established NLP language model architectures — BERT, ALBERT, Electra,</w:t>
      </w:r>
      <w:r>
        <w:t xml:space="preserve"> </w:t>
      </w:r>
      <w:r>
        <w:t xml:space="preserve">T5, among others — on protein sequences (UniRef and BFD, up to 393</w:t>
      </w:r>
      <w:r>
        <w:t xml:space="preserve"> </w:t>
      </w:r>
      <w:r>
        <w:t xml:space="preserve">billion residues), each adapted only by swapping the vocabulary from</w:t>
      </w:r>
      <w:r>
        <w:t xml:space="preserve"> </w:t>
      </w:r>
      <w:r>
        <w:t xml:space="preserve">natural-language tokens to amino acids. ProtBERT, its BERT-architecture</w:t>
      </w:r>
      <w:r>
        <w:t xml:space="preserve"> </w:t>
      </w:r>
      <w:r>
        <w:t xml:space="preserve">member, is the most widely used single output of that effort, sharing</w:t>
      </w:r>
      <w:r>
        <w:t xml:space="preserve"> </w:t>
      </w:r>
      <w:r>
        <w:t xml:space="preserve">ESM-1b’s encoder-plus-MLM design but trained with a different data</w:t>
      </w:r>
      <w:r>
        <w:t xml:space="preserve"> </w:t>
      </w:r>
      <w:r>
        <w:t xml:space="preserve">mixture and codebase. The three families make the same underlying bet</w:t>
      </w:r>
      <w:r>
        <w:t xml:space="preserve"> </w:t>
      </w:r>
      <w:r>
        <w:t xml:space="preserve">— self-supervised reconstruction at scale extracts biologically</w:t>
      </w:r>
      <w:r>
        <w:t xml:space="preserve"> </w:t>
      </w:r>
      <w:r>
        <w:t xml:space="preserve">meaningful structure — with different choices of architecture,</w:t>
      </w:r>
      <w:r>
        <w:t xml:space="preserve"> </w:t>
      </w:r>
      <w:r>
        <w:t xml:space="preserve">training corpus, and (for ESM-2 specifically) an explicit, deliberately</w:t>
      </w:r>
      <w:r>
        <w:t xml:space="preserve"> </w:t>
      </w:r>
      <w:r>
        <w:t xml:space="preserve">isolated study of scale itself; Section 8.4 uses ESM-2 because its</w:t>
      </w:r>
      <w:r>
        <w:t xml:space="preserve"> </w:t>
      </w:r>
      <w:r>
        <w:t xml:space="preserve">published scale sweep is exactly what a scale-comparison hands-on</w:t>
      </w:r>
      <w:r>
        <w:t xml:space="preserve"> </w:t>
      </w:r>
      <w:r>
        <w:t xml:space="preserve">project needs.</w:t>
      </w:r>
    </w:p>
    <w:bookmarkEnd w:id="10"/>
    <w:bookmarkStart w:id="11" w:name="biological-embeddings"/>
    <w:p>
      <w:pPr>
        <w:pStyle w:val="Heading2"/>
      </w:pPr>
      <w:r>
        <w:t xml:space="preserve">8.3 Biological Embeddings</w:t>
      </w:r>
    </w:p>
    <w:p>
      <w:pPr>
        <w:pStyle w:val="FirstParagraph"/>
      </w:pPr>
      <w:r>
        <w:t xml:space="preserve">A trained pLM offers two distinct things a downstream task can consume,</w:t>
      </w:r>
      <w:r>
        <w:t xml:space="preserve"> </w:t>
      </w:r>
      <w:r>
        <w:t xml:space="preserve">and this chapter’s hands-on project uses both.</w:t>
      </w:r>
    </w:p>
    <w:p>
      <w:pPr>
        <w:pStyle w:val="BodyText"/>
      </w:pPr>
      <w:r>
        <w:rPr>
          <w:b/>
          <w:bCs/>
        </w:rPr>
        <w:t xml:space="preserve">Masked-marginal scoring.</w:t>
      </w:r>
      <w:r>
        <w:t xml:space="preserve"> </w:t>
      </w:r>
      <w:r>
        <w:t xml:space="preserve">Because the MLM objective already trains</w:t>
      </w:r>
      <w:r>
        <w:t xml:space="preserve"> </w:t>
      </w:r>
      <w:r>
        <w:t xml:space="preserve">the model to output</w:t>
      </w:r>
      <w:r>
        <w:t xml:space="preserve"> </w:t>
      </w:r>
      <m:oMath>
        <m:sSub>
          <m:e>
            <m:r>
              <m:t>p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rPr>
                <m:sty m:val="p"/>
              </m:rPr>
              <m:t>\</m:t>
            </m:r>
            <m:r>
              <m:rPr>
                <m:sty m:val="p"/>
              </m:rPr>
              <m:t>{</m:t>
            </m:r>
            <m:r>
              <m:t>i</m:t>
            </m:r>
            <m:r>
              <m:rPr>
                <m:sty m:val="p"/>
              </m:rPr>
              <m:t>}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a full</w:t>
      </w:r>
      <w:r>
        <w:t xml:space="preserve"> </w:t>
      </w:r>
      <w:r>
        <w:t xml:space="preserve">probability distribution over the 20 amino acids at any position, given</w:t>
      </w:r>
      <w:r>
        <w:t xml:space="preserve"> </w:t>
      </w:r>
      <w:r>
        <w:t xml:space="preserve">everything else — that same forward pass, run once at inference time</w:t>
      </w:r>
      <w:r>
        <w:t xml:space="preserve"> </w:t>
      </w:r>
      <w:r>
        <w:t xml:space="preserve">with no gradient updates at all, can be turned directly into a</w:t>
      </w:r>
      <w:r>
        <w:t xml:space="preserve"> </w:t>
      </w:r>
      <w:r>
        <w:t xml:space="preserve">zero-shot mutation-effect predictor. Meier et al. (2021) formalize this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masked-marginal</w:t>
      </w:r>
      <w:r>
        <w:t xml:space="preserve"> </w:t>
      </w:r>
      <w:r>
        <w:t xml:space="preserve">method: to score a substitution at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 wild-type residue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wt</m:t>
            </m:r>
          </m:sup>
        </m:sSubSup>
      </m:oMath>
      <w:r>
        <w:t xml:space="preserve"> </w:t>
      </w:r>
      <w:r>
        <w:t xml:space="preserve">to mutant residue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mut</m:t>
            </m:r>
          </m:sup>
        </m:sSubSup>
      </m:oMath>
      <w:r>
        <w:t xml:space="preserve">, mask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the wild-type sequence, run one</w:t>
      </w:r>
      <w:r>
        <w:t xml:space="preserve"> </w:t>
      </w:r>
      <w:r>
        <w:t xml:space="preserve">forward pass, and take the log-odds ratio between the model’s two</w:t>
      </w:r>
      <w:r>
        <w:t xml:space="preserve"> </w:t>
      </w:r>
      <w:r>
        <w:t xml:space="preserve">resulting log-probabilities,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nor/>
                  <m:sty m:val="p"/>
                </m:rPr>
                <m:t>mut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mut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wt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 positive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means the model finds the mutant residue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plausible than the wild-type one at that position, given everything</w:t>
      </w:r>
      <w:r>
        <w:t xml:space="preserve"> </w:t>
      </w:r>
      <w:r>
        <w:t xml:space="preserve">else in the sequence — evolutionary/structural plausibility, not a</w:t>
      </w:r>
      <w:r>
        <w:t xml:space="preserve"> </w:t>
      </w:r>
      <w:r>
        <w:t xml:space="preserve">direct physical measurement, but one Meier et al. (2021) show</w:t>
      </w:r>
      <w:r>
        <w:t xml:space="preserve"> </w:t>
      </w:r>
      <w:r>
        <w:t xml:space="preserve">correlates with real experimental effects (stability, binding,</w:t>
      </w:r>
      <w:r>
        <w:t xml:space="preserve"> </w:t>
      </w:r>
      <w:r>
        <w:t xml:space="preserve">catalytic activity — the</w:t>
      </w:r>
      <w:r>
        <w:t xml:space="preserve"> </w:t>
      </w:r>
      <w:r>
        <w:t xml:space="preserve">“function”</w:t>
      </w:r>
      <w:r>
        <w:t xml:space="preserve"> </w:t>
      </w:r>
      <w:r>
        <w:t xml:space="preserve">named in this chapter’s title)</w:t>
      </w:r>
      <w:r>
        <w:t xml:space="preserve"> </w:t>
      </w:r>
      <w:r>
        <w:t xml:space="preserve">across dozens of published deep mutational scanning (DMS) datasets,</w:t>
      </w:r>
      <w:r>
        <w:t xml:space="preserve"> </w:t>
      </w:r>
      <w:r>
        <w:t xml:space="preserve">with no per-dataset fine-tuning. Because every mutant at a given</w:t>
      </w:r>
      <w:r>
        <w:t xml:space="preserve"> </w:t>
      </w:r>
      <w:r>
        <w:t xml:space="preserve">position shares the exact same masked forward pass, scoring every</w:t>
      </w:r>
      <w:r>
        <w:t xml:space="preserve"> </w:t>
      </w:r>
      <w:r>
        <w:t xml:space="preserve">possible substitution at a position costs one forward pass, not one per</w:t>
      </w:r>
      <w:r>
        <w:t xml:space="preserve"> </w:t>
      </w:r>
      <w:r>
        <w:t xml:space="preserve">substitution — Section 8.4’s implementation makes this explicit.</w:t>
      </w:r>
    </w:p>
    <w:p>
      <w:pPr>
        <w:pStyle w:val="BodyText"/>
      </w:pPr>
      <w:r>
        <w:rPr>
          <w:b/>
          <w:bCs/>
        </w:rPr>
        <w:t xml:space="preserve">Embeddings as features.</w:t>
      </w:r>
      <w:r>
        <w:t xml:space="preserve"> </w:t>
      </w:r>
      <w:r>
        <w:t xml:space="preserve">The same forward pass also exposes each</w:t>
      </w:r>
      <w:r>
        <w:t xml:space="preserve"> </w:t>
      </w:r>
      <w:r>
        <w:t xml:space="preserve">layer’s per-residue hidden-state vectors — the model’s internal,</w:t>
      </w:r>
      <w:r>
        <w:t xml:space="preserve"> </w:t>
      </w:r>
      <w:r>
        <w:t xml:space="preserve">continuous representation of</w:t>
      </w:r>
      <w:r>
        <w:t xml:space="preserve"> </w:t>
      </w:r>
      <w:r>
        <w:t xml:space="preserve">“what this residue means in this</w:t>
      </w:r>
      <w:r>
        <w:t xml:space="preserve"> </w:t>
      </w:r>
      <w:r>
        <w:t xml:space="preserve">context,”</w:t>
      </w:r>
      <w:r>
        <w:t xml:space="preserve"> </w:t>
      </w:r>
      <w:r>
        <w:t xml:space="preserve">pooled (commonly by averaging across the sequence length,</w:t>
      </w:r>
      <w:r>
        <w:t xml:space="preserve"> </w:t>
      </w:r>
      <w:r>
        <w:t xml:space="preserve">Section 8.4’s choice) into one fixed-length vector per protein when a</w:t>
      </w:r>
      <w:r>
        <w:t xml:space="preserve"> </w:t>
      </w:r>
      <w:r>
        <w:t xml:space="preserve">single summary representation is wanted. Unlike masked-marginal</w:t>
      </w:r>
      <w:r>
        <w:t xml:space="preserve"> </w:t>
      </w:r>
      <w:r>
        <w:t xml:space="preserve">scoring, which requires no downstream training at all, embeddings are</w:t>
      </w:r>
      <w:r>
        <w:t xml:space="preserve"> </w:t>
      </w:r>
      <w:r>
        <w:t xml:space="preserve">typically consumed as</w:t>
      </w:r>
      <w:r>
        <w:t xml:space="preserve"> </w:t>
      </w:r>
      <w:r>
        <w:rPr>
          <w:i/>
          <w:iCs/>
        </w:rPr>
        <w:t xml:space="preserve">features</w:t>
      </w:r>
      <w:r>
        <w:t xml:space="preserve">: frozen or fine-tuned inputs to a</w:t>
      </w:r>
      <w:r>
        <w:t xml:space="preserve"> </w:t>
      </w:r>
      <w:r>
        <w:t xml:space="preserve">separately trained predictor (a small regression head, most commonly)</w:t>
      </w:r>
      <w:r>
        <w:t xml:space="preserve"> </w:t>
      </w:r>
      <w:r>
        <w:t xml:space="preserve">for a task the base pLM was never directly trained on. Section 8.4’s</w:t>
      </w:r>
      <w:r>
        <w:t xml:space="preserve"> </w:t>
      </w:r>
      <w:r>
        <w:t xml:space="preserve">project uses raw embedding distance itself, without a trained head, as</w:t>
      </w:r>
      <w:r>
        <w:t xml:space="preserve"> </w:t>
      </w:r>
      <w:r>
        <w:t xml:space="preserve">a second, independent zero-shot signal — does moving further from the</w:t>
      </w:r>
      <w:r>
        <w:t xml:space="preserve"> </w:t>
      </w:r>
      <w:r>
        <w:t xml:space="preserve">wild-type embedding, in the representation space the model learned,</w:t>
      </w:r>
      <w:r>
        <w:t xml:space="preserve"> </w:t>
      </w:r>
      <w:r>
        <w:t xml:space="preserve">track with a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functional effect, regardless of the effect’s</w:t>
      </w:r>
      <w:r>
        <w:t xml:space="preserve"> </w:t>
      </w:r>
      <w:r>
        <w:t xml:space="preserve">direction?</w:t>
      </w:r>
    </w:p>
    <w:p>
      <w:pPr>
        <w:pStyle w:val="BodyText"/>
      </w:pPr>
      <w:r>
        <w:t xml:space="preserve">Both angles generalize past the single case Section 8.4 runs end to</w:t>
      </w:r>
      <w:r>
        <w:t xml:space="preserve"> </w:t>
      </w:r>
      <w:r>
        <w:t xml:space="preserve">end. Meier et al.’s (2021) own benchmark spans binding, stability, and</w:t>
      </w:r>
      <w:r>
        <w:t xml:space="preserve"> </w:t>
      </w:r>
      <w:r>
        <w:t xml:space="preserve">fitness assays across dozens of proteins; Tsuboyama et al. (2023)</w:t>
      </w:r>
      <w:r>
        <w:t xml:space="preserve"> </w:t>
      </w:r>
      <w:r>
        <w:t xml:space="preserve">applied essentially the same masked-marginal principle at much larger</w:t>
      </w:r>
      <w:r>
        <w:t xml:space="preserve"> </w:t>
      </w:r>
      <w:r>
        <w:t xml:space="preserve">scale specifically for</w:t>
      </w:r>
      <w:r>
        <w:t xml:space="preserve"> </w:t>
      </w:r>
      <w:r>
        <w:rPr>
          <w:b/>
          <w:bCs/>
        </w:rPr>
        <w:t xml:space="preserve">thermal stability</w:t>
      </w:r>
      <w:r>
        <w:t xml:space="preserve"> </w:t>
      </w:r>
      <w:r>
        <w:t xml:space="preserve">(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folding, not binding), mega-scale-experimentally measuring over</w:t>
      </w:r>
      <w:r>
        <w:t xml:space="preserve"> </w:t>
      </w:r>
      <w:r>
        <w:t xml:space="preserve">775,000 folding stability values for small domains and their point</w:t>
      </w:r>
      <w:r>
        <w:t xml:space="preserve"> </w:t>
      </w:r>
      <w:r>
        <w:t xml:space="preserve">mutants — the natural larger-scale extension of the</w:t>
      </w:r>
      <w:r>
        <w:t xml:space="preserve"> </w:t>
      </w:r>
      <w:r>
        <w:t xml:space="preserve">“stability”</w:t>
      </w:r>
      <w:r>
        <w:t xml:space="preserve"> </w:t>
      </w:r>
      <w:r>
        <w:t xml:space="preserve">half</w:t>
      </w:r>
      <w:r>
        <w:t xml:space="preserve"> </w:t>
      </w:r>
      <w:r>
        <w:t xml:space="preserve">of this chapter’s title, cited here as a pointer for exactly that</w:t>
      </w:r>
      <w:r>
        <w:t xml:space="preserve"> </w:t>
      </w:r>
      <w:r>
        <w:t xml:space="preserve">reason rather than re-run in Section 8.4, whose scope stays fixed on</w:t>
      </w:r>
      <w:r>
        <w:t xml:space="preserve"> </w:t>
      </w:r>
      <w:r>
        <w:t xml:space="preserve">one complete, tractable mutant population end to end.</w:t>
      </w:r>
    </w:p>
    <w:p>
      <w:pPr>
        <w:pStyle w:val="BodyText"/>
      </w:pPr>
      <w:r>
        <w:t xml:space="preserve">Finally, embeddings are not confined to sequence-level tasks. Chapter 9</w:t>
      </w:r>
      <w:r>
        <w:t xml:space="preserve"> </w:t>
      </w:r>
      <w:r>
        <w:t xml:space="preserve">picks the same ESM-2 representations back up for a different purpose</w:t>
      </w:r>
      <w:r>
        <w:t xml:space="preserve"> </w:t>
      </w:r>
      <w:r>
        <w:t xml:space="preserve">entirely: ESMFold (Lin et al., 2023, introduced in Section 8.2) attaches</w:t>
      </w:r>
      <w:r>
        <w:t xml:space="preserve"> </w:t>
      </w:r>
      <w:r>
        <w:t xml:space="preserve">a structure-prediction head directly on top of them, producing 3D</w:t>
      </w:r>
      <w:r>
        <w:t xml:space="preserve"> </w:t>
      </w:r>
      <w:r>
        <w:t xml:space="preserve">coordinates from a single sequence with no MSA search step at all — the</w:t>
      </w:r>
      <w:r>
        <w:t xml:space="preserve"> </w:t>
      </w:r>
      <w:r>
        <w:t xml:space="preserve">structural payoff of Section 8.1’s</w:t>
      </w:r>
      <w:r>
        <w:t xml:space="preserve"> </w:t>
      </w:r>
      <w:r>
        <w:t xml:space="preserve">“no alignment required”</w:t>
      </w:r>
      <w:r>
        <w:t xml:space="preserve"> </w:t>
      </w:r>
      <w:r>
        <w:t xml:space="preserve">premise,</w:t>
      </w:r>
      <w:r>
        <w:t xml:space="preserve"> </w:t>
      </w:r>
      <w:r>
        <w:t xml:space="preserve">in contrast to AlphaFold2 (Jumper et al., 2021), which achieves its own</w:t>
      </w:r>
      <w:r>
        <w:t xml:space="preserve"> </w:t>
      </w:r>
      <w:r>
        <w:t xml:space="preserve">state-of-the-art accuracy by explicitly building and processing an MSA</w:t>
      </w:r>
      <w:r>
        <w:t xml:space="preserve"> </w:t>
      </w:r>
      <w:r>
        <w:t xml:space="preserve">inside the model (its Evoformer block), the architectural road this</w:t>
      </w:r>
      <w:r>
        <w:t xml:space="preserve"> </w:t>
      </w:r>
      <w:r>
        <w:t xml:space="preserve">chapter’s family of models chose not to take.</w:t>
      </w:r>
    </w:p>
    <w:bookmarkEnd w:id="11"/>
    <w:bookmarkStart w:id="21" w:name="X3a011061c0d9f7c53a87bf0b1f468ad8a0fdb10"/>
    <w:p>
      <w:pPr>
        <w:pStyle w:val="Heading2"/>
      </w:pPr>
      <w:r>
        <w:t xml:space="preserve">8.4 Hands-on Project: Zero-Shot Single-Point Mutation Effect Prediction with ESM-2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ch08_protein_language_models/</w:t>
      </w:r>
      <w:r>
        <w:t xml:space="preserve">) and puts Section 8.3’s two scoring</w:t>
      </w:r>
      <w:r>
        <w:t xml:space="preserve"> </w:t>
      </w:r>
      <w:r>
        <w:t xml:space="preserve">methods to a direct, real test: given only a pretrained ESM-2 checkpoint</w:t>
      </w:r>
      <w:r>
        <w:t xml:space="preserve"> </w:t>
      </w:r>
      <w:r>
        <w:t xml:space="preserve">and a wild-type sequence —</w:t>
      </w:r>
      <w:r>
        <w:t xml:space="preserve"> </w:t>
      </w:r>
      <w:r>
        <w:rPr>
          <w:b/>
          <w:bCs/>
        </w:rPr>
        <w:t xml:space="preserve">no GB1-specific training of any kind</w:t>
      </w:r>
      <w:r>
        <w:t xml:space="preserve"> </w:t>
      </w:r>
      <w:r>
        <w:t xml:space="preserve">—</w:t>
      </w:r>
      <w:r>
        <w:t xml:space="preserve"> </w:t>
      </w:r>
      <w:r>
        <w:t xml:space="preserve">how well do its zero-shot scores track real, experimentally measured</w:t>
      </w:r>
      <w:r>
        <w:t xml:space="preserve"> </w:t>
      </w:r>
      <w:r>
        <w:t xml:space="preserve">mutation effects?</w:t>
      </w:r>
    </w:p>
    <w:bookmarkStart w:id="13" w:name="Xb9d31fc1aa8501fee12e47df7c5b1ac9b94aedf"/>
    <w:p>
      <w:pPr>
        <w:pStyle w:val="Heading3"/>
      </w:pPr>
      <w:r>
        <w:t xml:space="preserve">Data: the complete GB1 single-mutant population</w:t>
      </w:r>
    </w:p>
    <w:p>
      <w:pPr>
        <w:pStyle w:val="FirstParagraph"/>
      </w:pPr>
      <w:r>
        <w:t xml:space="preserve">GB1, the B1 immunoglobulin-binding domain of Streptococcal protein G,</w:t>
      </w:r>
      <w:r>
        <w:t xml:space="preserve"> </w:t>
      </w:r>
      <w:r>
        <w:t xml:space="preserve">is a 56-residue domain whose binding to the Fc region of IgG is one of</w:t>
      </w:r>
      <w:r>
        <w:t xml:space="preserve"> </w:t>
      </w:r>
      <w:r>
        <w:t xml:space="preserve">the most extensively mutationally characterized protein interactions in</w:t>
      </w:r>
      <w:r>
        <w:t xml:space="preserve"> </w:t>
      </w:r>
      <w:r>
        <w:t xml:space="preserve">the literature. Olson et al. (2014) developed a yeast-display,</w:t>
      </w:r>
      <w:r>
        <w:t xml:space="preserve"> </w:t>
      </w:r>
      <w:r>
        <w:t xml:space="preserve">deep-sequencing assay to measure IgG-Fc binding fitness for variants at</w:t>
      </w:r>
      <w:r>
        <w:t xml:space="preserve"> </w:t>
      </w:r>
      <w:r>
        <w:t xml:space="preserve">four specific positions (39, 40, 41, 54); Wu et al. (2016) applied it</w:t>
      </w:r>
      <w:r>
        <w:t xml:space="preserve"> </w:t>
      </w:r>
      <w:r>
        <w:t xml:space="preserve">to the full combinatorial space of all 20 amino acids at all four</w:t>
      </w:r>
      <w:r>
        <w:t xml:space="preserve"> </w:t>
      </w:r>
      <w:r>
        <w:t xml:space="preserve">positions simultaneously —</w:t>
      </w:r>
      <w:r>
        <w:t xml:space="preserve"> </w:t>
      </w:r>
      <m:oMath>
        <m:sSup>
          <m:e>
            <m:r>
              <m:t>20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possible variants —</w:t>
      </w:r>
      <w:r>
        <w:t xml:space="preserve"> </w:t>
      </w:r>
      <w:r>
        <w:t xml:space="preserve">producing, among the double/triple/quadruple mutants their paper’s own</w:t>
      </w:r>
      <w:r>
        <w:t xml:space="preserve"> </w:t>
      </w:r>
      <w:r>
        <w:t xml:space="preserve">epistasis analysis focuses on, the complete population of every</w:t>
      </w:r>
      <w:r>
        <w:t xml:space="preserve"> </w:t>
      </w:r>
      <w:r>
        <w:t xml:space="preserve">possible</w:t>
      </w:r>
      <w:r>
        <w:t xml:space="preserve"> </w:t>
      </w:r>
      <w:r>
        <w:rPr>
          <w:b/>
          <w:bCs/>
        </w:rPr>
        <w:t xml:space="preserve">single</w:t>
      </w:r>
      <w:r>
        <w:t xml:space="preserve">-point mutant at these four positions: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19</m:t>
        </m:r>
        <m:r>
          <m:rPr>
            <m:sty m:val="p"/>
          </m:rPr>
          <m:t>=</m:t>
        </m:r>
        <m:r>
          <m:t>76</m:t>
        </m:r>
      </m:oMath>
      <w:r>
        <w:t xml:space="preserve"> </w:t>
      </w:r>
      <w:r>
        <w:t xml:space="preserve">variants, plus the wild type itself. That completeness matters</w:t>
      </w:r>
      <w:r>
        <w:t xml:space="preserve"> </w:t>
      </w:r>
      <w:r>
        <w:t xml:space="preserve">for this project specifically:</w:t>
      </w:r>
      <w:r>
        <w:t xml:space="preserve"> </w:t>
      </w:r>
      <w:r>
        <w:rPr>
          <w:rStyle w:val="VerbatimChar"/>
        </w:rPr>
        <w:t xml:space="preserve">esm_variant_effect.py</w:t>
      </w:r>
      <w:r>
        <w:t xml:space="preserve">’s hands-on</w:t>
      </w:r>
      <w:r>
        <w:t xml:space="preserve"> </w:t>
      </w:r>
      <w:r>
        <w:t xml:space="preserve">result below is not computed from a sample of single mutants, it is</w:t>
      </w:r>
      <w:r>
        <w:t xml:space="preserve"> </w:t>
      </w:r>
      <w:r>
        <w:t xml:space="preserve">computed from literally all of them, so there is no sampling variance</w:t>
      </w:r>
      <w:r>
        <w:t xml:space="preserve"> </w:t>
      </w:r>
      <w:r>
        <w:t xml:space="preserve">between</w:t>
      </w:r>
      <w:r>
        <w:t xml:space="preserve"> </w:t>
      </w:r>
      <w:r>
        <w:t xml:space="preserve">“the 76 mutants used here”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single-mutant population.”</w:t>
      </w:r>
    </w:p>
    <w:p>
      <w:pPr>
        <w:pStyle w:val="BodyText"/>
      </w:pPr>
      <w:hyperlink r:id="rId12">
        <w:r>
          <w:rPr>
            <w:rStyle w:val="VerbatimChar"/>
          </w:rPr>
          <w:t xml:space="preserve">esm_variant_effect.py</w:t>
        </w:r>
      </w:hyperlink>
      <w:r>
        <w:t xml:space="preserve"> </w:t>
      </w:r>
      <w:r>
        <w:t xml:space="preserve">downloads this dataset</w:t>
      </w:r>
      <w:r>
        <w:t xml:space="preserve"> </w:t>
      </w:r>
      <w:r>
        <w:t xml:space="preserve">from the FLIP benchmark’s public redistribution (Dallago et al., 2021)</w:t>
      </w:r>
      <w:r>
        <w:t xml:space="preserve"> </w:t>
      </w:r>
      <w:r>
        <w:t xml:space="preserve">of Wu et al.’s (2016) original data, parses each variant’s 4-letter</w:t>
      </w:r>
      <w:r>
        <w:t xml:space="preserve"> </w:t>
      </w:r>
      <w:r>
        <w:t xml:space="preserve">code against the wild-type code (</w:t>
      </w:r>
      <w:r>
        <w:rPr>
          <w:rStyle w:val="VerbatimChar"/>
        </w:rPr>
        <w:t xml:space="preserve">VDGV</w:t>
      </w:r>
      <w:r>
        <w:t xml:space="preserve">) to recover the mutated</w:t>
      </w:r>
      <w:r>
        <w:t xml:space="preserve"> </w:t>
      </w:r>
      <w:r>
        <w:t xml:space="preserve">position, wild-type residue, and mutant residue, and extracts the</w:t>
      </w:r>
      <w:r>
        <w:t xml:space="preserve"> </w:t>
      </w:r>
      <w:r>
        <w:t xml:space="preserve">56-residue GB1 domain sequence itself (the FLIP CSV’s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column</w:t>
      </w:r>
      <w:r>
        <w:t xml:space="preserve"> </w:t>
      </w:r>
      <w:r>
        <w:t xml:space="preserve">appends an unrelated ~200-residue yeast-display fusion tag after</w:t>
      </w:r>
      <w:r>
        <w:t xml:space="preserve"> </w:t>
      </w:r>
      <w:r>
        <w:t xml:space="preserve">position 56, stripped here since it plays no role in GB1’s own fold or</w:t>
      </w:r>
      <w:r>
        <w:t xml:space="preserve"> </w:t>
      </w:r>
      <w:r>
        <w:t xml:space="preserve">binding site).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_row_to_mutant(row: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SingleMutant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variant_code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"Variants"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variant_code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GB1_WT_VARIANT: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diffs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variant_code[i]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GB1_WT_VARIANT[i]]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GB1_MUTATED_POSITIONS[idx]</w:t>
      </w:r>
      <w:r>
        <w:br/>
      </w:r>
      <w:r>
        <w:rPr>
          <w:rStyle w:val="NormalTok"/>
        </w:rPr>
        <w:t xml:space="preserve">    ...</w:t>
      </w:r>
    </w:p>
    <w:bookmarkEnd w:id="13"/>
    <w:bookmarkStart w:id="14" w:name="X2081211e78b7441dcd5d2953c74b88e6bb32570"/>
    <w:p>
      <w:pPr>
        <w:pStyle w:val="Heading3"/>
      </w:pPr>
      <w:r>
        <w:t xml:space="preserve">Scoring: masked marginals and embedding distance</w:t>
      </w:r>
    </w:p>
    <w:p>
      <w:pPr>
        <w:pStyle w:val="FirstParagraph"/>
      </w:pPr>
      <w:r>
        <w:rPr>
          <w:rStyle w:val="VerbatimChar"/>
        </w:rPr>
        <w:t xml:space="preserve">ESM2VariantScorer</w:t>
      </w:r>
      <w:r>
        <w:t xml:space="preserve"> </w:t>
      </w:r>
      <w:r>
        <w:t xml:space="preserve">wraps a 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ESM-2 checkpoint</w:t>
      </w:r>
      <w:r>
        <w:t xml:space="preserve"> </w:t>
      </w:r>
      <w:r>
        <w:t xml:space="preserve">and implements both of Section 8.3’s methods. Masked-marginal scoring</w:t>
      </w:r>
      <w:r>
        <w:t xml:space="preserve"> </w:t>
      </w:r>
      <w:r>
        <w:t xml:space="preserve">exploits the position-sharing efficiency named there directly: GB1’s 76</w:t>
      </w:r>
      <w:r>
        <w:t xml:space="preserve"> </w:t>
      </w:r>
      <w:r>
        <w:t xml:space="preserve">single mutants touch only 4 distinct positions, so</w:t>
      </w:r>
      <w:r>
        <w:t xml:space="preserve"> </w:t>
      </w:r>
      <w:r>
        <w:rPr>
          <w:rStyle w:val="VerbatimChar"/>
        </w:rPr>
        <w:t xml:space="preserve">score_single_mutants</w:t>
      </w:r>
      <w:r>
        <w:t xml:space="preserve"> </w:t>
      </w:r>
      <w:r>
        <w:t xml:space="preserve">masks and scores each of those 4 positions exactly once — not once per</w:t>
      </w:r>
      <w:r>
        <w:t xml:space="preserve"> </w:t>
      </w:r>
      <w:r>
        <w:t xml:space="preserve">mutant — reusing each position’s resulting 20-amino-acid log-probability</w:t>
      </w:r>
      <w:r>
        <w:t xml:space="preserve"> </w:t>
      </w:r>
      <w:r>
        <w:t xml:space="preserve">distribution for every mutant that shares it.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score_single_mutants(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wt_sequence, mutants):</w:t>
      </w:r>
      <w:r>
        <w:br/>
      </w:r>
      <w:r>
        <w:rPr>
          <w:rStyle w:val="NormalTok"/>
        </w:rPr>
        <w:t xml:space="preserve">   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({m.position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mutants})</w:t>
      </w:r>
      <w:r>
        <w:br/>
      </w:r>
      <w:r>
        <w:rPr>
          <w:rStyle w:val="NormalTok"/>
        </w:rPr>
        <w:t xml:space="preserve">    log_probs_by_position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pos: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.masked_marginal_log_probs(wt_sequence, pos)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positions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log_probs_by_position[m.position][m.mut_aa]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log_probs_by_position[m.position][m.wt_aa]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mutants</w:t>
      </w:r>
      <w:r>
        <w:br/>
      </w:r>
      <w:r>
        <w:rPr>
          <w:rStyle w:val="NormalTok"/>
        </w:rPr>
        <w:t xml:space="preserve">    ])</w:t>
      </w:r>
    </w:p>
    <w:p>
      <w:pPr>
        <w:pStyle w:val="FirstParagraph"/>
      </w:pPr>
      <w:r>
        <w:rPr>
          <w:rStyle w:val="VerbatimChar"/>
        </w:rPr>
        <w:t xml:space="preserve">embed_sequences</w:t>
      </w:r>
      <w:r>
        <w:t xml:space="preserve"> </w:t>
      </w:r>
      <w:r>
        <w:t xml:space="preserve">runs one forward pass per full mutant sequence (76 of</w:t>
      </w:r>
      <w:r>
        <w:t xml:space="preserve"> </w:t>
      </w:r>
      <w:r>
        <w:t xml:space="preserve">them, plus wild type — mean-pooling excludes the</w:t>
      </w:r>
      <w:r>
        <w:t xml:space="preserve"> </w:t>
      </w:r>
      <w:r>
        <w:rPr>
          <w:rStyle w:val="VerbatimChar"/>
        </w:rPr>
        <w:t xml:space="preserve">&lt;cls&gt;</w:t>
      </w:r>
      <w:r>
        <w:t xml:space="preserve">/</w:t>
      </w:r>
      <w:r>
        <w:rPr>
          <w:rStyle w:val="VerbatimChar"/>
        </w:rPr>
        <w:t xml:space="preserve">&lt;eos&gt;</w:t>
      </w:r>
      <w:r>
        <w:t xml:space="preserve"> </w:t>
      </w:r>
      <w:r>
        <w:t xml:space="preserve">special</w:t>
      </w:r>
      <w:r>
        <w:t xml:space="preserve"> </w:t>
      </w:r>
      <w:r>
        <w:t xml:space="preserve">tokens explicitly rather than averaging over them) and</w:t>
      </w:r>
      <w:r>
        <w:t xml:space="preserve"> </w:t>
      </w:r>
      <w:r>
        <w:rPr>
          <w:rStyle w:val="VerbatimChar"/>
        </w:rPr>
        <w:t xml:space="preserve">evaluate_embedding_perturbation</w:t>
      </w:r>
      <w:r>
        <w:t xml:space="preserve"> </w:t>
      </w:r>
      <w:r>
        <w:t xml:space="preserve">compares each mutant’s cosine distance</w:t>
      </w:r>
      <w:r>
        <w:t xml:space="preserve"> </w:t>
      </w:r>
      <w:r>
        <w:t xml:space="preserve">from the wild-type embedding against its experimental fitness deviation</w:t>
      </w:r>
      <w:r>
        <w:t xml:space="preserve"> </w:t>
      </w:r>
      <w:r>
        <w:t xml:space="preserve">from 1.0 (wild-type-normalized fitness).</w:t>
      </w:r>
    </w:p>
    <w:bookmarkEnd w:id="14"/>
    <w:bookmarkStart w:id="15" w:name="running-it-and-reading-the-results"/>
    <w:p>
      <w:pPr>
        <w:pStyle w:val="Heading3"/>
      </w:pPr>
      <w:r>
        <w:t xml:space="preserve">Running it and reading the results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ch08_protein_language_models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esm_variant_effect.py </w:t>
      </w:r>
      <w:r>
        <w:rPr>
          <w:rStyle w:val="AttributeTok"/>
        </w:rPr>
        <w:t xml:space="preserve">--use-cached-raw</w:t>
      </w:r>
    </w:p>
    <w:p>
      <w:pPr>
        <w:pStyle w:val="FirstParagraph"/>
      </w:pPr>
      <w:r>
        <w:t xml:space="preserve">Run against three ESM-2 checkpoints spanning roughly a 20x parameter</w:t>
      </w:r>
      <w:r>
        <w:t xml:space="preserve"> </w:t>
      </w:r>
      <w:r>
        <w:t xml:space="preserve">range (8M / 35M / 150M), scoring all 76 single mutants with both</w:t>
      </w:r>
      <w:r>
        <w:t xml:space="preserve"> </w:t>
      </w:r>
      <w:r>
        <w:t xml:space="preserve">methods, Spearman rank correlation against real experimental fitness</w:t>
      </w:r>
      <w:r>
        <w:t xml:space="preserve"> </w:t>
      </w:r>
      <w:r>
        <w:t xml:space="preserve">came out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Masked-marginal ρ (n=76)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Embedding-distance ρ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ESM-2 8M</w:t>
            </w:r>
          </w:p>
        </w:tc>
        <w:tc>
          <w:tcPr/>
          <w:p>
            <w:pPr>
              <w:pStyle w:val="Compact"/>
            </w:pPr>
            <w:r>
              <w:t xml:space="preserve">7.5M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ESM-2 35M</w:t>
            </w:r>
          </w:p>
        </w:tc>
        <w:tc>
          <w:tcPr/>
          <w:p>
            <w:pPr>
              <w:pStyle w:val="Compact"/>
            </w:pPr>
            <w:r>
              <w:t xml:space="preserve">33.5M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ESM-2 150M</w:t>
            </w:r>
          </w:p>
        </w:tc>
        <w:tc>
          <w:tcPr/>
          <w:p>
            <w:pPr>
              <w:pStyle w:val="Compact"/>
            </w:pPr>
            <w:r>
              <w:t xml:space="preserve">148.1M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0.0057</w:t>
            </w:r>
          </w:p>
        </w:tc>
      </w:tr>
    </w:tbl>
    <w:p>
      <w:pPr>
        <w:pStyle w:val="BodyText"/>
      </w:pPr>
      <w:r>
        <w:t xml:space="preserve">Two things are worth reading precisely here, not just the top line.</w:t>
      </w:r>
      <w:r>
        <w:t xml:space="preserve"> </w:t>
      </w:r>
      <w:r>
        <w:t xml:space="preserve">First,</w:t>
      </w:r>
      <w:r>
        <w:t xml:space="preserve"> </w:t>
      </w:r>
      <w:r>
        <w:rPr>
          <w:b/>
          <w:bCs/>
        </w:rPr>
        <w:t xml:space="preserve">masked-marginal correlation increases monotonically with model</w:t>
      </w:r>
      <w:r>
        <w:rPr>
          <w:b/>
          <w:bCs/>
        </w:rP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(0.095 -&gt; 0.184 -&gt; 0.208) — directionally consistent with Lin et</w:t>
      </w:r>
      <w:r>
        <w:t xml:space="preserve"> </w:t>
      </w:r>
      <w:r>
        <w:t xml:space="preserve">al.’s (2023) scale-dependent accuracy trend (Section 8.2) — but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76</m:t>
        </m:r>
      </m:oMath>
      <w:r>
        <w:t xml:space="preserve">, none of the three individually clears the conventional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significance threshold; the 150M model comes closest (</w:t>
      </w:r>
      <m:oMath>
        <m:r>
          <m:t>p</m:t>
        </m:r>
        <m:r>
          <m:rPr>
            <m:sty m:val="p"/>
          </m:rPr>
          <m:t>=</m:t>
        </m:r>
        <m:r>
          <m:t>0.072</m:t>
        </m:r>
      </m:oMath>
      <w:r>
        <w:t xml:space="preserve">).</w:t>
      </w:r>
      <w:r>
        <w:t xml:space="preserve"> </w:t>
      </w:r>
      <w:r>
        <w:t xml:space="preserve">This is reported as what it is: a suggestive trend, not a statistically</w:t>
      </w:r>
      <w:r>
        <w:t xml:space="preserve"> </w:t>
      </w:r>
      <w:r>
        <w:t xml:space="preserve">confirmed one, at this sample size. Second, the</w:t>
      </w:r>
      <w:r>
        <w:t xml:space="preserve"> </w:t>
      </w:r>
      <w:r>
        <w:rPr>
          <w:b/>
          <w:bCs/>
        </w:rPr>
        <w:t xml:space="preserve">embedding-distance</w:t>
      </w:r>
      <w:r>
        <w:rPr>
          <w:b/>
          <w:bCs/>
        </w:rPr>
        <w:t xml:space="preserve"> </w:t>
      </w:r>
      <w:r>
        <w:rPr>
          <w:b/>
          <w:bCs/>
        </w:rPr>
        <w:t xml:space="preserve">method tells a sharper story at the largest scale tested</w:t>
      </w:r>
      <w:r>
        <w:t xml:space="preserve">: the 150M</w:t>
      </w:r>
      <w:r>
        <w:t xml:space="preserve"> </w:t>
      </w:r>
      <w:r>
        <w:t xml:space="preserve">model’s correlation between representational shift and functional</w:t>
      </w:r>
      <w:r>
        <w:t xml:space="preserve"> </w:t>
      </w:r>
      <w:r>
        <w:t xml:space="preserve">deviation (</w:t>
      </w:r>
      <m:oMath>
        <m:r>
          <m:t>ρ</m:t>
        </m:r>
        <m:r>
          <m:rPr>
            <m:sty m:val="p"/>
          </m:rPr>
          <m:t>=</m:t>
        </m:r>
        <m:r>
          <m:t>0.314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0.0057</m:t>
        </m:r>
      </m:oMath>
      <w:r>
        <w:t xml:space="preserve">) is the one result in this table</w:t>
      </w:r>
      <w:r>
        <w:t xml:space="preserve"> </w:t>
      </w:r>
      <w:r>
        <w:t xml:space="preserve">that clears significance outright, while the two smaller models do not</w:t>
      </w:r>
      <w:r>
        <w:t xml:space="preserve"> </w:t>
      </w:r>
      <w:r>
        <w:t xml:space="preserve">approach it. Restricting either analysis to the 27-mutant high-read-count</w:t>
      </w:r>
      <w:r>
        <w:t xml:space="preserve"> </w:t>
      </w:r>
      <w:r>
        <w:t xml:space="preserve">subset (</w:t>
      </w:r>
      <w:r>
        <w:rPr>
          <w:rStyle w:val="VerbatimChar"/>
        </w:rPr>
        <w:t xml:space="preserve">keep=True</w:t>
      </w:r>
      <w:r>
        <w:t xml:space="preserve"> </w:t>
      </w:r>
      <w:r>
        <w:t xml:space="preserve">in the source data, a sequencing-depth quality flag,</w:t>
      </w:r>
      <w:r>
        <w:t xml:space="preserve"> </w:t>
      </w:r>
      <w:r>
        <w:t xml:space="preserve">not a fitness-reliability one) produces correlations</w:t>
      </w:r>
      <w:r>
        <w:t xml:space="preserve"> </w:t>
      </w:r>
      <w:r>
        <w:t xml:space="preserve">scattered close to zero at every scale — an expected consequence of</w:t>
      </w:r>
      <w:r>
        <w:t xml:space="preserve"> </w:t>
      </w:r>
      <w:r>
        <w:t xml:space="preserve">cutting the sample size by nearly two-thirds, not a contradiction of</w:t>
      </w:r>
      <w:r>
        <w:t xml:space="preserve"> </w:t>
      </w:r>
      <w:r>
        <w:t xml:space="preserve">the full-population result above; it is not treated as a separate</w:t>
      </w:r>
      <w:r>
        <w:t xml:space="preserve"> </w:t>
      </w:r>
      <w:r>
        <w:t xml:space="preserve">finding here.</w:t>
      </w:r>
    </w:p>
    <w:p>
      <w:pPr>
        <w:pStyle w:val="BodyText"/>
      </w:pPr>
      <w:r>
        <w:t xml:space="preserve">As a single concrete example: mutant</w:t>
      </w:r>
      <w:r>
        <w:t xml:space="preserve"> </w:t>
      </w:r>
      <w:r>
        <w:rPr>
          <w:rStyle w:val="VerbatimChar"/>
        </w:rPr>
        <w:t xml:space="preserve">IDGV</w:t>
      </w:r>
      <w:r>
        <w:t xml:space="preserve"> </w:t>
      </w:r>
      <w:r>
        <w:t xml:space="preserve">(position 39, wild-type</w:t>
      </w:r>
      <w:r>
        <w:t xml:space="preserve"> </w:t>
      </w:r>
      <w:r>
        <w:t xml:space="preserve">valine to isoleucine) has real experimental fitness 1.446 — nearly 45%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binding than wild type — and the 150M model’s masked-marginal</w:t>
      </w:r>
      <w:r>
        <w:t xml:space="preserve"> </w:t>
      </w:r>
      <w:r>
        <w:t xml:space="preserve">score for V-&gt;I at position 39 is positive, correctly ranking it above</w:t>
      </w:r>
      <w:r>
        <w:t xml:space="preserve"> </w:t>
      </w:r>
      <w:r>
        <w:t xml:space="preserve">wild type; not every one of the 76 mutants is ranked this cleanly,</w:t>
      </w:r>
      <w:r>
        <w:t xml:space="preserve"> </w:t>
      </w:r>
      <w:r>
        <w:t xml:space="preserve">which is exactly what a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0.2</m:t>
        </m:r>
      </m:oMath>
      <w:r>
        <w:t xml:space="preserve"> </w:t>
      </w:r>
      <w:r>
        <w:t xml:space="preserve">correlation, rather than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1.0</m:t>
        </m:r>
      </m:oMath>
      <w:r>
        <w:t xml:space="preserve">, means in practice.</w:t>
      </w:r>
    </w:p>
    <w:p>
      <w:pPr>
        <w:pStyle w:val="BodyText"/>
      </w:pPr>
      <w:r>
        <w:t xml:space="preserve">Why is the correlation modest rather than strong? GB1’s assay measures</w:t>
      </w:r>
      <w:r>
        <w:t xml:space="preserve"> </w:t>
      </w:r>
      <w:r>
        <w:t xml:space="preserve">one specific, engineered property — IgG-Fc binding affinity — at four</w:t>
      </w:r>
      <w:r>
        <w:t xml:space="preserve"> </w:t>
      </w:r>
      <w:r>
        <w:t xml:space="preserve">co-varied positions chosen because mutating them tunes that specific</w:t>
      </w:r>
      <w:r>
        <w:t xml:space="preserve"> </w:t>
      </w:r>
      <w:r>
        <w:t xml:space="preserve">interface, not because they are representative of general sequence</w:t>
      </w:r>
      <w:r>
        <w:t xml:space="preserve"> </w:t>
      </w:r>
      <w:r>
        <w:t xml:space="preserve">conservation. A masked-marginal score reflects general evolutionary/</w:t>
      </w:r>
      <w:r>
        <w:t xml:space="preserve"> </w:t>
      </w:r>
      <w:r>
        <w:t xml:space="preserve">structural plausibility learned from the training corpus at large; it</w:t>
      </w:r>
      <w:r>
        <w:t xml:space="preserve"> </w:t>
      </w:r>
      <w:r>
        <w:t xml:space="preserve">is not specifically trained to predict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binding interaction, and</w:t>
      </w:r>
      <w:r>
        <w:t xml:space="preserve"> </w:t>
      </w:r>
      <w:r>
        <w:t xml:space="preserve">Meier et al. (2021) report exactly this kind of heterogeneity across</w:t>
      </w:r>
      <w:r>
        <w:t xml:space="preserve"> </w:t>
      </w:r>
      <w:r>
        <w:t xml:space="preserve">their own multi-assay benchmark — some DMS datasets correlate strongly</w:t>
      </w:r>
      <w:r>
        <w:t xml:space="preserve"> </w:t>
      </w:r>
      <w:r>
        <w:t xml:space="preserve">with zero-shot pLM scores, others, including affinity-tuning assays at</w:t>
      </w:r>
      <w:r>
        <w:t xml:space="preserve"> </w:t>
      </w:r>
      <w:r>
        <w:t xml:space="preserve">a small number of interface positions, considerably less so. The honest</w:t>
      </w:r>
      <w:r>
        <w:t xml:space="preserve"> </w:t>
      </w:r>
      <w:r>
        <w:t xml:space="preserve">lesson Section 8.4 is built to teach is this one: zero-shot pLM scoring</w:t>
      </w:r>
      <w:r>
        <w:t xml:space="preserve"> </w:t>
      </w:r>
      <w:r>
        <w:t xml:space="preserve">is a genuinely useful, free, no-training-required signal, but not a</w:t>
      </w:r>
      <w:r>
        <w:t xml:space="preserve"> </w:t>
      </w:r>
      <w:r>
        <w:t xml:space="preserve">universal oracle — validating it against real data for the specific</w:t>
      </w:r>
      <w:r>
        <w:t xml:space="preserve"> </w:t>
      </w:r>
      <w:r>
        <w:t xml:space="preserve">property at hand, as done here, is the point, not an afterthought.</w:t>
      </w:r>
    </w:p>
    <w:bookmarkEnd w:id="15"/>
    <w:bookmarkStart w:id="18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torch&gt;=2.2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transformers&gt;=4.40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scipy&gt;=1.10</w:t>
      </w:r>
      <w:r>
        <w:t xml:space="preserve"> </w:t>
      </w:r>
      <w:r>
        <w:t xml:space="preserve">in</w:t>
      </w:r>
      <w:r>
        <w:t xml:space="preserve"> </w:t>
      </w:r>
      <w:hyperlink r:id="rId16">
        <w:r>
          <w:rPr>
            <w:rStyle w:val="VerbatimChar"/>
          </w:rPr>
          <w:t xml:space="preserve">requirements.txt</w:t>
        </w:r>
      </w:hyperlink>
      <w:r>
        <w:t xml:space="preserve">, validated</w:t>
      </w:r>
      <w:r>
        <w:t xml:space="preserve"> </w:t>
      </w:r>
      <w:r>
        <w:t xml:space="preserve">against torch 2.13.0 and transformers 5.15.1 on Python 3.12).</w:t>
      </w:r>
      <w:r>
        <w:t xml:space="preserve"> </w:t>
      </w:r>
      <w:r>
        <w:rPr>
          <w:rStyle w:val="VerbatimChar"/>
        </w:rPr>
        <w:t xml:space="preserve">data/gb1_single_mutants_sample.csv</w:t>
      </w:r>
      <w:r>
        <w:t xml:space="preserve"> </w:t>
      </w:r>
      <w:r>
        <w:t xml:space="preserve">bundles the real, complete</w:t>
      </w:r>
      <w:r>
        <w:t xml:space="preserve"> </w:t>
      </w:r>
      <w:r>
        <w:t xml:space="preserve">wild-type + 76-single-mutant population (extracted from the live FLIP</w:t>
      </w:r>
      <w:r>
        <w:t xml:space="preserve"> </w:t>
      </w:r>
      <w:r>
        <w:t xml:space="preserve">download on 2026-08-20), so the pipeline runs offline and</w:t>
      </w:r>
      <w:r>
        <w:t xml:space="preserve"> </w:t>
      </w:r>
      <w:r>
        <w:t xml:space="preserve">deterministically with</w:t>
      </w:r>
      <w:r>
        <w:t xml:space="preserve"> </w:t>
      </w:r>
      <w:r>
        <w:rPr>
          <w:rStyle w:val="VerbatimChar"/>
        </w:rPr>
        <w:t xml:space="preserve">--use-cached-raw</w:t>
      </w:r>
      <w:r>
        <w:t xml:space="preserve"> </w:t>
      </w:r>
      <w:r>
        <w:t xml:space="preserve">— verified directly:</w:t>
      </w:r>
      <w:r>
        <w:t xml:space="preserve"> </w:t>
      </w:r>
      <w:r>
        <w:rPr>
          <w:rStyle w:val="VerbatimChar"/>
        </w:rPr>
        <w:t xml:space="preserve">--use-cached-raw</w:t>
      </w:r>
      <w:r>
        <w:t xml:space="preserve"> </w:t>
      </w:r>
      <w:r>
        <w:t xml:space="preserve">and a fresh live download of the full 149,361-row</w:t>
      </w:r>
      <w:r>
        <w:t xml:space="preserve"> </w:t>
      </w:r>
      <w:r>
        <w:t xml:space="preserve">dataset produce bit-identical Spearman correlations, since both extract</w:t>
      </w:r>
      <w:r>
        <w:t xml:space="preserve"> </w:t>
      </w:r>
      <w:r>
        <w:t xml:space="preserve">the same 77 rows. All three ESM-2 checkpoints total a few hundred MB on</w:t>
      </w:r>
      <w:r>
        <w:t xml:space="preserve"> </w:t>
      </w:r>
      <w:r>
        <w:t xml:space="preserve">first download from the Hugging Face Hub; with them cached, the full</w:t>
      </w:r>
      <w:r>
        <w:t xml:space="preserve"> </w:t>
      </w:r>
      <w:r>
        <w:t xml:space="preserve">run (3 models x 2 methods x 76 mutants) takes about a minute on a</w:t>
      </w:r>
      <w:r>
        <w:t xml:space="preserve"> </w:t>
      </w:r>
      <w:r>
        <w:t xml:space="preserve">single CPU core, no GPU required. The 16-test suite in</w:t>
      </w:r>
      <w:r>
        <w:t xml:space="preserve"> </w:t>
      </w:r>
      <w:hyperlink r:id="rId17">
        <w:r>
          <w:rPr>
            <w:rStyle w:val="VerbatimChar"/>
          </w:rPr>
          <w:t xml:space="preserve">tests/test_esm_variant_effect.py</w:t>
        </w:r>
      </w:hyperlink>
      <w:r>
        <w:t xml:space="preserve"> </w:t>
      </w:r>
      <w:r>
        <w:t xml:space="preserve">checks data parsing against the real bundled fixture (including one</w:t>
      </w:r>
      <w:r>
        <w:t xml:space="preserve"> </w:t>
      </w:r>
      <w:r>
        <w:t xml:space="preserve">spot-checked published fitness value), the download function against a</w:t>
      </w:r>
      <w:r>
        <w:t xml:space="preserve"> </w:t>
      </w:r>
      <w:r>
        <w:t xml:space="preserve">mocked in-memory zip, and both scoring methods’ mechanics — including</w:t>
      </w:r>
      <w:r>
        <w:t xml:space="preserve"> </w:t>
      </w:r>
      <w:r>
        <w:t xml:space="preserve">the position-sharing efficiency claim above, checked directly by</w:t>
      </w:r>
      <w:r>
        <w:t xml:space="preserve"> </w:t>
      </w:r>
      <w:r>
        <w:t xml:space="preserve">counting calls — against a tiny, untrained ESM architecture built from</w:t>
      </w:r>
      <w:r>
        <w:t xml:space="preserve"> </w:t>
      </w:r>
      <w:r>
        <w:t xml:space="preserve">the real ESM-2 tokenizer vocabulary, so the suite never downloads a</w:t>
      </w:r>
      <w:r>
        <w:t xml:space="preserve"> </w:t>
      </w:r>
      <w:r>
        <w:t xml:space="preserve">pretrained checkpoint and completes in under a minute, fully offline.</w:t>
      </w:r>
      <w:r>
        <w:t xml:space="preserve"> </w:t>
      </w:r>
      <w:r>
        <w:rPr>
          <w:rStyle w:val="VerbatimChar"/>
        </w:rPr>
        <w:t xml:space="preserve">pip install -r requirements-dev.txt &amp;&amp; pytest</w:t>
      </w:r>
      <w:r>
        <w:t xml:space="preserve"> </w:t>
      </w:r>
      <w:r>
        <w:t xml:space="preserve">reproduces all 16</w:t>
      </w:r>
      <w:r>
        <w:t xml:space="preserve"> </w:t>
      </w:r>
      <w:r>
        <w:t xml:space="preserve">results.</w:t>
      </w:r>
    </w:p>
    <w:bookmarkEnd w:id="18"/>
    <w:bookmarkStart w:id="19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This project deliberately stays inside the single-family, single-assay</w:t>
      </w:r>
      <w:r>
        <w:t xml:space="preserve"> </w:t>
      </w:r>
      <w:r>
        <w:t xml:space="preserve">case: one 56-residue domain, one binding readout, exhaustively</w:t>
      </w:r>
      <w:r>
        <w:t xml:space="preserve"> </w:t>
      </w:r>
      <w:r>
        <w:t xml:space="preserve">enumerated at only 4 positions. Extending it to genome-scale variant</w:t>
      </w:r>
      <w:r>
        <w:t xml:space="preserve"> </w:t>
      </w:r>
      <w:r>
        <w:t xml:space="preserve">effect prediction (Section 8.3’s forward reference to Tsuboyama et al.,</w:t>
      </w:r>
      <w:r>
        <w:t xml:space="preserve"> </w:t>
      </w:r>
      <w:r>
        <w:t xml:space="preserve">2023) or to positions outside this specific interface would need a</w:t>
      </w:r>
      <w:r>
        <w:t xml:space="preserve"> </w:t>
      </w:r>
      <w:r>
        <w:t xml:space="preserve">different DMS dataset entirely, not a code change — the pipeline’s</w:t>
      </w:r>
      <w:r>
        <w:t xml:space="preserve"> </w:t>
      </w:r>
      <w:r>
        <w:t xml:space="preserve">data-loading layer is specific to this CSV’s schema, again a deliberate</w:t>
      </w:r>
      <w:r>
        <w:t xml:space="preserve"> </w:t>
      </w:r>
      <w:r>
        <w:t xml:space="preserve">scope decision named here rather than left implicit. The</w:t>
      </w:r>
      <w:r>
        <w:t xml:space="preserve"> </w:t>
      </w:r>
      <w:r>
        <w:t xml:space="preserve">masked-marginal method also stays firmly zero-shot throughout: nothing in this</w:t>
      </w:r>
      <w:r>
        <w:t xml:space="preserve"> </w:t>
      </w:r>
      <w:r>
        <w:t xml:space="preserve">chapter fits a regression head on top of ESM-2 embeddings against</w:t>
      </w:r>
      <w:r>
        <w:t xml:space="preserve"> </w:t>
      </w:r>
      <w:r>
        <w:t xml:space="preserve">GB1 labels, which — per Section 8.3 — is the more common way embeddings</w:t>
      </w:r>
      <w:r>
        <w:t xml:space="preserve"> </w:t>
      </w:r>
      <w:r>
        <w:t xml:space="preserve">get used in practice and would very likely outperform the zero-shot</w:t>
      </w:r>
      <w:r>
        <w:t xml:space="preserve"> </w:t>
      </w:r>
      <w:r>
        <w:t xml:space="preserve">scores reported above, at the cost of needing labeled training data for</w:t>
      </w:r>
      <w:r>
        <w:t xml:space="preserve"> </w:t>
      </w:r>
      <w:r>
        <w:t xml:space="preserve">the specific property being predicted, which is exactly the dependency</w:t>
      </w:r>
      <w:r>
        <w:t xml:space="preserve"> </w:t>
      </w:r>
      <w:r>
        <w:t xml:space="preserve">zero-shot scoring is valuable for not requiring. Finally, everything in</w:t>
      </w:r>
      <w:r>
        <w:t xml:space="preserve"> </w:t>
      </w:r>
      <w:r>
        <w:t xml:space="preserve">this chapter operates on sequence alone; Chapter 9 picks these same</w:t>
      </w:r>
      <w:r>
        <w:t xml:space="preserve"> </w:t>
      </w:r>
      <w:r>
        <w:t xml:space="preserve">ESM-2 representations back up to predict the 3D structures those</w:t>
      </w:r>
      <w:r>
        <w:t xml:space="preserve"> </w:t>
      </w:r>
      <w:r>
        <w:t xml:space="preserve">sequences fold into.</w:t>
      </w:r>
    </w:p>
    <w:bookmarkEnd w:id="19"/>
    <w:bookmarkStart w:id="20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t xml:space="preserve">Colab’s default runtime preinstalls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!pip install transformers scipy</w:t>
      </w:r>
      <w:r>
        <w:t xml:space="preserve"> </w:t>
      </w:r>
      <w:r>
        <w:t xml:space="preserve">in the first cell. No</w:t>
      </w:r>
      <w:r>
        <w:t xml:space="preserve"> </w:t>
      </w:r>
      <w:r>
        <w:t xml:space="preserve">GPU is required for the model sizes used here (8M-150M parameters);</w:t>
      </w:r>
      <w:r>
        <w:t xml:space="preserve"> </w:t>
      </w:r>
      <w:r>
        <w:t xml:space="preserve">larger ESM-2 checkpoints (650M and up) would benefit from one.</w:t>
      </w:r>
    </w:p>
    <w:bookmarkEnd w:id="20"/>
    <w:bookmarkEnd w:id="21"/>
    <w:bookmarkStart w:id="2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Anfinsen, C. B. (1973). Principles that govern the folding of protein</w:t>
      </w:r>
      <w:r>
        <w:t xml:space="preserve"> </w:t>
      </w:r>
      <w:r>
        <w:t xml:space="preserve">chains.</w:t>
      </w:r>
      <w:r>
        <w:t xml:space="preserve"> </w:t>
      </w:r>
      <w:r>
        <w:rPr>
          <w:i/>
          <w:iCs/>
        </w:rPr>
        <w:t xml:space="preserve">Science</w:t>
      </w:r>
      <w:r>
        <w:t xml:space="preserve">, 181(4096), 223-230.</w:t>
      </w:r>
      <w:r>
        <w:t xml:space="preserve"> </w:t>
      </w:r>
      <w:r>
        <w:t xml:space="preserve">https://doi.org/10.1126/science.181.4096.223</w:t>
      </w:r>
    </w:p>
    <w:p>
      <w:pPr>
        <w:pStyle w:val="Compact"/>
        <w:numPr>
          <w:ilvl w:val="0"/>
          <w:numId w:val="1001"/>
        </w:numPr>
      </w:pPr>
      <w:r>
        <w:t xml:space="preserve">Devlin, J., Chang, M.-W., Lee, K., &amp; Toutanova, K. (2019). BERT:</w:t>
      </w:r>
      <w:r>
        <w:t xml:space="preserve"> </w:t>
      </w:r>
      <w:r>
        <w:t xml:space="preserve">Pre-training of deep bidirectional transformers for language</w:t>
      </w:r>
      <w:r>
        <w:t xml:space="preserve"> </w:t>
      </w:r>
      <w:r>
        <w:t xml:space="preserve">understanding.</w:t>
      </w:r>
      <w:r>
        <w:t xml:space="preserve"> </w:t>
      </w:r>
      <w:r>
        <w:rPr>
          <w:i/>
          <w:iCs/>
        </w:rPr>
        <w:t xml:space="preserve">Proceedings of the 2019 Conference of the North</w:t>
      </w:r>
      <w:r>
        <w:rPr>
          <w:i/>
          <w:iCs/>
        </w:rPr>
        <w:t xml:space="preserve"> </w:t>
      </w:r>
      <w:r>
        <w:rPr>
          <w:i/>
          <w:iCs/>
        </w:rPr>
        <w:t xml:space="preserve">American Chapter of the Association for Computational Linguistics:</w:t>
      </w:r>
      <w:r>
        <w:rPr>
          <w:i/>
          <w:iCs/>
        </w:rPr>
        <w:t xml:space="preserve"> </w:t>
      </w:r>
      <w:r>
        <w:rPr>
          <w:i/>
          <w:iCs/>
        </w:rPr>
        <w:t xml:space="preserve">Human Language Technologies</w:t>
      </w:r>
      <w:r>
        <w:t xml:space="preserve">, Volume 1, 4171-4186.</w:t>
      </w:r>
      <w:r>
        <w:t xml:space="preserve"> </w:t>
      </w:r>
      <w:r>
        <w:t xml:space="preserve">https://doi.org/10.18653/v1/N19-1423</w:t>
      </w:r>
    </w:p>
    <w:p>
      <w:pPr>
        <w:pStyle w:val="Compact"/>
        <w:numPr>
          <w:ilvl w:val="0"/>
          <w:numId w:val="1001"/>
        </w:numPr>
      </w:pPr>
      <w:r>
        <w:t xml:space="preserve">Riesselman, A. J., Ingraham, J. B., &amp; Marks, D. S. (2018). Deep</w:t>
      </w:r>
      <w:r>
        <w:t xml:space="preserve"> </w:t>
      </w:r>
      <w:r>
        <w:t xml:space="preserve">generative models of genetic variation capture the effects of</w:t>
      </w:r>
      <w:r>
        <w:t xml:space="preserve"> </w:t>
      </w:r>
      <w:r>
        <w:t xml:space="preserve">mutations.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, 15(10), 816-822.</w:t>
      </w:r>
      <w:r>
        <w:t xml:space="preserve"> </w:t>
      </w:r>
      <w:r>
        <w:t xml:space="preserve">https://doi.org/10.1038/s41592-018-0138-4</w:t>
      </w:r>
    </w:p>
    <w:p>
      <w:pPr>
        <w:pStyle w:val="Compact"/>
        <w:numPr>
          <w:ilvl w:val="0"/>
          <w:numId w:val="1001"/>
        </w:numPr>
      </w:pPr>
      <w:r>
        <w:t xml:space="preserve">Rives, A., Meier, J., Sercu, T., Goyal, S., Lin, Z., Liu, J., Guo,</w:t>
      </w:r>
      <w:r>
        <w:t xml:space="preserve"> </w:t>
      </w:r>
      <w:r>
        <w:t xml:space="preserve">D., Ott, M., Zitnick, C. L., Ma, J., &amp; Fergus, R. (2021). Biological</w:t>
      </w:r>
      <w:r>
        <w:t xml:space="preserve"> </w:t>
      </w:r>
      <w:r>
        <w:t xml:space="preserve">structure and function emerge from scaling unsupervised learning to</w:t>
      </w:r>
      <w:r>
        <w:t xml:space="preserve"> </w:t>
      </w:r>
      <w:r>
        <w:t xml:space="preserve">250 million protein sequences.</w:t>
      </w:r>
      <w:r>
        <w:t xml:space="preserve"> </w:t>
      </w:r>
      <w:r>
        <w:rPr>
          <w:i/>
          <w:iCs/>
        </w:rPr>
        <w:t xml:space="preserve">Proceedings of the National Academy</w:t>
      </w:r>
      <w:r>
        <w:rPr>
          <w:i/>
          <w:iCs/>
        </w:rPr>
        <w:t xml:space="preserve"> </w:t>
      </w:r>
      <w:r>
        <w:rPr>
          <w:i/>
          <w:iCs/>
        </w:rPr>
        <w:t xml:space="preserve">of Sciences</w:t>
      </w:r>
      <w:r>
        <w:t xml:space="preserve">, 118(15), e2016239118.</w:t>
      </w:r>
      <w:r>
        <w:t xml:space="preserve"> </w:t>
      </w:r>
      <w:r>
        <w:t xml:space="preserve">https://doi.org/10.1073/pnas.2016239118</w:t>
      </w:r>
    </w:p>
    <w:p>
      <w:pPr>
        <w:pStyle w:val="Compact"/>
        <w:numPr>
          <w:ilvl w:val="0"/>
          <w:numId w:val="1001"/>
        </w:numPr>
      </w:pPr>
      <w:r>
        <w:t xml:space="preserve">Lin, Z., Akin, H., Rao, R., Hie, B., Zhu, Z., Lu, W., Smetanin, N.,</w:t>
      </w:r>
      <w:r>
        <w:t xml:space="preserve"> </w:t>
      </w:r>
      <w:r>
        <w:t xml:space="preserve">Verkuil, R., Kabeli, O., Shmueli, Y., dos Santos Costa, A.,</w:t>
      </w:r>
      <w:r>
        <w:t xml:space="preserve"> </w:t>
      </w:r>
      <w:r>
        <w:t xml:space="preserve">Fazel-Zarandi, M., Sercu, T., Candido, S., &amp; Rives, A. (2023).</w:t>
      </w:r>
      <w:r>
        <w:t xml:space="preserve"> </w:t>
      </w:r>
      <w:r>
        <w:t xml:space="preserve">Evolutionary-scale prediction of atomic-level protein structure with</w:t>
      </w:r>
      <w:r>
        <w:t xml:space="preserve"> </w:t>
      </w:r>
      <w:r>
        <w:t xml:space="preserve">a language model.</w:t>
      </w:r>
      <w:r>
        <w:t xml:space="preserve"> </w:t>
      </w:r>
      <w:r>
        <w:rPr>
          <w:i/>
          <w:iCs/>
        </w:rPr>
        <w:t xml:space="preserve">Science</w:t>
      </w:r>
      <w:r>
        <w:t xml:space="preserve">, 379(6637), 1123-1130.</w:t>
      </w:r>
      <w:r>
        <w:t xml:space="preserve"> </w:t>
      </w:r>
      <w:r>
        <w:t xml:space="preserve">https://doi.org/10.1126/science.ade2574</w:t>
      </w:r>
    </w:p>
    <w:p>
      <w:pPr>
        <w:pStyle w:val="Compact"/>
        <w:numPr>
          <w:ilvl w:val="0"/>
          <w:numId w:val="1001"/>
        </w:numPr>
      </w:pPr>
      <w:r>
        <w:t xml:space="preserve">Elnaggar, A., Heinzinger, M., Dallago, C., Rehawi, G., Wang, Y.,</w:t>
      </w:r>
      <w:r>
        <w:t xml:space="preserve"> </w:t>
      </w:r>
      <w:r>
        <w:t xml:space="preserve">Jones, L., Gibbs, T., Feher, T., Angerer, C., Steinegger, M., Bhowmik,</w:t>
      </w:r>
      <w:r>
        <w:t xml:space="preserve"> </w:t>
      </w:r>
      <w:r>
        <w:t xml:space="preserve">D., &amp; Rost, B. (2022). ProtTrans: Toward understanding the language of</w:t>
      </w:r>
      <w:r>
        <w:t xml:space="preserve"> </w:t>
      </w:r>
      <w:r>
        <w:t xml:space="preserve">life through self-supervised learning.</w:t>
      </w:r>
      <w:r>
        <w:t xml:space="preserve"> </w:t>
      </w:r>
      <w:r>
        <w:rPr>
          <w:i/>
          <w:iCs/>
        </w:rPr>
        <w:t xml:space="preserve">IEEE Transactions on Pattern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and Machine Intelligence</w:t>
      </w:r>
      <w:r>
        <w:t xml:space="preserve">, 44(10), 7112-7127.</w:t>
      </w:r>
      <w:r>
        <w:t xml:space="preserve"> </w:t>
      </w:r>
      <w:r>
        <w:t xml:space="preserve">https://doi.org/10.1109/tpami.2021.3095381</w:t>
      </w:r>
    </w:p>
    <w:p>
      <w:pPr>
        <w:pStyle w:val="Compact"/>
        <w:numPr>
          <w:ilvl w:val="0"/>
          <w:numId w:val="1001"/>
        </w:numPr>
      </w:pPr>
      <w:r>
        <w:t xml:space="preserve">Meier, J., Rao, R., Verkuil, R., Liu, J., Sercu, T., &amp; Rives, A.</w:t>
      </w:r>
      <w:r>
        <w:t xml:space="preserve"> </w:t>
      </w:r>
      <w:r>
        <w:t xml:space="preserve">(2021). Language models enable zero-shot prediction of the effects of</w:t>
      </w:r>
      <w:r>
        <w:t xml:space="preserve"> </w:t>
      </w:r>
      <w:r>
        <w:t xml:space="preserve">mutations on protein function.</w:t>
      </w:r>
      <w:r>
        <w:t xml:space="preserve"> </w:t>
      </w:r>
      <w:r>
        <w:rPr>
          <w:i/>
          <w:iCs/>
        </w:rPr>
        <w:t xml:space="preserve">Advances in Neural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Processing Systems</w:t>
      </w:r>
      <w:r>
        <w:t xml:space="preserve">, 34 (NeurIPS 2021). Preprint:</w:t>
      </w:r>
      <w:r>
        <w:t xml:space="preserve"> </w:t>
      </w:r>
      <w:r>
        <w:t xml:space="preserve">https://doi.org/10.1101/2021.07.09.450648 (no separate NeurIPS</w:t>
      </w:r>
      <w:r>
        <w:t xml:space="preserve"> </w:t>
      </w:r>
      <w:r>
        <w:t xml:space="preserve">proceedings DOI was found for this paper as of this writing, verified</w:t>
      </w:r>
      <w:r>
        <w:t xml:space="preserve"> </w:t>
      </w:r>
      <w:r>
        <w:t xml:space="preserve">directly against Crossref rather than assumed; the bioRxiv preprint</w:t>
      </w:r>
      <w:r>
        <w:t xml:space="preserve"> </w:t>
      </w:r>
      <w:r>
        <w:t xml:space="preserve">DOI is cited instead, its status disclosed here rather than implied</w:t>
      </w:r>
      <w:r>
        <w:t xml:space="preserve"> </w:t>
      </w:r>
      <w:r>
        <w:t xml:space="preserve">otherwise).</w:t>
      </w:r>
    </w:p>
    <w:p>
      <w:pPr>
        <w:pStyle w:val="Compact"/>
        <w:numPr>
          <w:ilvl w:val="0"/>
          <w:numId w:val="1001"/>
        </w:numPr>
      </w:pPr>
      <w:r>
        <w:t xml:space="preserve">Tsuboyama, K., Dauparas, J., Chen, J., Laine, E., Mohseni Behbahani,</w:t>
      </w:r>
      <w:r>
        <w:t xml:space="preserve"> </w:t>
      </w:r>
      <w:r>
        <w:t xml:space="preserve">Y., Weinstein, J. J., Mangan, N. M., Ovchinnikov, S., &amp; Rocklin, G. J.</w:t>
      </w:r>
      <w:r>
        <w:t xml:space="preserve"> </w:t>
      </w:r>
      <w:r>
        <w:t xml:space="preserve">(2023). Mega-scale experimental analysis of protein folding stability</w:t>
      </w:r>
      <w:r>
        <w:t xml:space="preserve"> </w:t>
      </w:r>
      <w:r>
        <w:t xml:space="preserve">in biology and design.</w:t>
      </w:r>
      <w:r>
        <w:t xml:space="preserve"> </w:t>
      </w:r>
      <w:r>
        <w:rPr>
          <w:i/>
          <w:iCs/>
        </w:rPr>
        <w:t xml:space="preserve">Nature</w:t>
      </w:r>
      <w:r>
        <w:t xml:space="preserve">, 620(7973), 434-444.</w:t>
      </w:r>
      <w:r>
        <w:t xml:space="preserve"> </w:t>
      </w:r>
      <w:r>
        <w:t xml:space="preserve">https://doi.org/10.1038/s41586-023-06328-6</w:t>
      </w:r>
    </w:p>
    <w:p>
      <w:pPr>
        <w:pStyle w:val="Compact"/>
        <w:numPr>
          <w:ilvl w:val="0"/>
          <w:numId w:val="1001"/>
        </w:numPr>
      </w:pPr>
      <w:r>
        <w:t xml:space="preserve">Jumper, J., Evans, R., Pritzel, A., Green, T., Figurnov, M.,</w:t>
      </w:r>
      <w:r>
        <w:t xml:space="preserve"> </w:t>
      </w:r>
      <w:r>
        <w:t xml:space="preserve">Ronneberger, O., Tunyasuvunakool, K., Bates, R., Zidek, A., Potapenko,</w:t>
      </w:r>
      <w:r>
        <w:t xml:space="preserve"> </w:t>
      </w:r>
      <w:r>
        <w:t xml:space="preserve">A., Bridgland, A., Meyer, C., Kohl, S. A. A., Ballard, A. J., Cowie,</w:t>
      </w:r>
      <w:r>
        <w:t xml:space="preserve"> </w:t>
      </w:r>
      <w:r>
        <w:t xml:space="preserve">A., Romera-Paredes, B., Nikolov, S., Jain, R., Adler, J., … Hassabis,</w:t>
      </w:r>
      <w:r>
        <w:t xml:space="preserve"> </w:t>
      </w:r>
      <w:r>
        <w:t xml:space="preserve">D. (2021). Highly accurate protein structure prediction with</w:t>
      </w:r>
      <w:r>
        <w:t xml:space="preserve"> </w:t>
      </w:r>
      <w:r>
        <w:t xml:space="preserve">AlphaFold.</w:t>
      </w:r>
      <w:r>
        <w:t xml:space="preserve"> </w:t>
      </w:r>
      <w:r>
        <w:rPr>
          <w:i/>
          <w:iCs/>
        </w:rPr>
        <w:t xml:space="preserve">Nature</w:t>
      </w:r>
      <w:r>
        <w:t xml:space="preserve">, 596(7873), 583-589.</w:t>
      </w:r>
      <w:r>
        <w:t xml:space="preserve"> </w:t>
      </w:r>
      <w:r>
        <w:t xml:space="preserve">https://doi.org/10.1038/s41586-021-03819-2 — introduced here only as</w:t>
      </w:r>
      <w:r>
        <w:t xml:space="preserve"> </w:t>
      </w:r>
      <w:r>
        <w:t xml:space="preserve">a forward reference and architectural contrast; covered in full in</w:t>
      </w:r>
      <w:r>
        <w:t xml:space="preserve"> </w:t>
      </w:r>
      <w:r>
        <w:t xml:space="preserve">Chapter 9.</w:t>
      </w:r>
    </w:p>
    <w:p>
      <w:pPr>
        <w:pStyle w:val="Compact"/>
        <w:numPr>
          <w:ilvl w:val="0"/>
          <w:numId w:val="1001"/>
        </w:numPr>
      </w:pPr>
      <w:r>
        <w:t xml:space="preserve">Olson, C. A., Wu, N. C., &amp; Sun, R. (2014). A comprehensive biophysical</w:t>
      </w:r>
      <w:r>
        <w:t xml:space="preserve"> </w:t>
      </w:r>
      <w:r>
        <w:t xml:space="preserve">description of pairwise epistasis throughout an entire protein</w:t>
      </w:r>
      <w:r>
        <w:t xml:space="preserve"> </w:t>
      </w:r>
      <w:r>
        <w:t xml:space="preserve">domain.</w:t>
      </w:r>
      <w:r>
        <w:t xml:space="preserve"> </w:t>
      </w:r>
      <w:r>
        <w:rPr>
          <w:i/>
          <w:iCs/>
        </w:rPr>
        <w:t xml:space="preserve">Current Biology</w:t>
      </w:r>
      <w:r>
        <w:t xml:space="preserve">, 24(22), 2643-2651.</w:t>
      </w:r>
      <w:r>
        <w:t xml:space="preserve"> </w:t>
      </w:r>
      <w:r>
        <w:t xml:space="preserve">https://doi.org/10.1016/j.cub.2014.09.072</w:t>
      </w:r>
    </w:p>
    <w:p>
      <w:pPr>
        <w:pStyle w:val="Compact"/>
        <w:numPr>
          <w:ilvl w:val="0"/>
          <w:numId w:val="1001"/>
        </w:numPr>
      </w:pPr>
      <w:r>
        <w:t xml:space="preserve">Wu, N. C., Dai, L., Olson, C. A., Lloyd-Smith, J. O., &amp; Sun, R.</w:t>
      </w:r>
      <w:r>
        <w:t xml:space="preserve"> </w:t>
      </w:r>
      <w:r>
        <w:t xml:space="preserve">(2016). Adaptation in protein fitness landscapes is facilitated by</w:t>
      </w:r>
      <w:r>
        <w:t xml:space="preserve"> </w:t>
      </w:r>
      <w:r>
        <w:t xml:space="preserve">indirect paths.</w:t>
      </w:r>
      <w:r>
        <w:t xml:space="preserve"> </w:t>
      </w:r>
      <w:r>
        <w:rPr>
          <w:i/>
          <w:iCs/>
        </w:rPr>
        <w:t xml:space="preserve">eLife</w:t>
      </w:r>
      <w:r>
        <w:t xml:space="preserve">, 5, e16965.</w:t>
      </w:r>
      <w:r>
        <w:t xml:space="preserve"> </w:t>
      </w:r>
      <w:r>
        <w:t xml:space="preserve">https://doi.org/10.7554/eLife.16965</w:t>
      </w:r>
    </w:p>
    <w:p>
      <w:pPr>
        <w:pStyle w:val="Compact"/>
        <w:numPr>
          <w:ilvl w:val="0"/>
          <w:numId w:val="1001"/>
        </w:numPr>
      </w:pPr>
      <w:r>
        <w:t xml:space="preserve">Dallago, C., Mou, J., Johnston, K. E., Wittmann, B. J., Bhatnagar,</w:t>
      </w:r>
      <w:r>
        <w:t xml:space="preserve"> </w:t>
      </w:r>
      <w:r>
        <w:t xml:space="preserve">N., Yang, J., Amini, A., Kim, P. M., &amp; Yang, K. K. (2021). FLIP:</w:t>
      </w:r>
      <w:r>
        <w:t xml:space="preserve"> </w:t>
      </w:r>
      <w:r>
        <w:t xml:space="preserve">Benchmark tasks in fitness landscape inference for proteins.</w:t>
      </w:r>
      <w:r>
        <w:t xml:space="preserve"> </w:t>
      </w:r>
      <w:r>
        <w:t xml:space="preserve">Preprint: https://doi.org/10.1101/2021.11.09.467890 (no separate</w:t>
      </w:r>
      <w:r>
        <w:t xml:space="preserve"> </w:t>
      </w:r>
      <w:r>
        <w:t xml:space="preserve">peer-reviewed-venue DOI was found for this paper as of this writing;</w:t>
      </w:r>
      <w:r>
        <w:t xml:space="preserve"> </w:t>
      </w:r>
      <w:r>
        <w:t xml:space="preserve">its bioRxiv preprint DOI is cited, status disclosed as above).</w:t>
      </w:r>
    </w:p>
    <w:p>
      <w:pPr>
        <w:pStyle w:val="FirstParagraph"/>
      </w:pPr>
      <w:r>
        <w:t xml:space="preserve">See Chapter 7’s references for Vaswani et al. (2017, the Transformer</w:t>
      </w:r>
      <w:r>
        <w:t xml:space="preserve"> </w:t>
      </w:r>
      <w:r>
        <w:t xml:space="preserve">architecture underlying every pLM in this chapter). RDKit, DeepChem,</w:t>
      </w:r>
      <w:r>
        <w:t xml:space="preserve"> </w:t>
      </w:r>
      <w:r>
        <w:t xml:space="preserve">and the ChEMBL/PDB APIs used in Chapters 1-7 play no role in this</w:t>
      </w:r>
      <w:r>
        <w:t xml:space="preserve"> </w:t>
      </w:r>
      <w:r>
        <w:t xml:space="preserve">chapter; ESM-2’s model weights and tokenizer are distributed through</w:t>
      </w:r>
      <w:r>
        <w:t xml:space="preserve"> </w:t>
      </w:r>
      <w:r>
        <w:t xml:space="preserve">the Hugging Face Hub (</w:t>
      </w:r>
      <w:r>
        <w:rPr>
          <w:rStyle w:val="VerbatimChar"/>
        </w:rPr>
        <w:t xml:space="preserve">facebook/esm2_t6_8M_UR50D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facebook/esm2_t12_35M_UR50D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facebook/esm2_t30_150M_UR50D</w:t>
      </w:r>
      <w:r>
        <w:t xml:space="preserve">), and the</w:t>
      </w:r>
      <w:r>
        <w:t xml:space="preserve"> </w:t>
      </w:r>
      <w:r>
        <w:t xml:space="preserve">GB1 dataset is redistributed by the FLIP benchmark under an AFL-3</w:t>
      </w:r>
      <w:r>
        <w:t xml:space="preserve"> </w:t>
      </w:r>
      <w:r>
        <w:t xml:space="preserve">license (original data CC BY 4.0 via eLife), both confirmed directly</w:t>
      </w:r>
      <w:r>
        <w:t xml:space="preserve"> </w:t>
      </w:r>
      <w:r>
        <w:t xml:space="preserve">from their respective repositories rather than assumed.</w:t>
      </w:r>
    </w:p>
    <w:p>
      <w:pPr>
        <w:pStyle w:val="BodyText"/>
      </w:pPr>
      <w:r>
        <w:t xml:space="preserve">All correlations, p-values, and the worked</w:t>
      </w:r>
      <w:r>
        <w:t xml:space="preserve"> </w:t>
      </w:r>
      <w:r>
        <w:rPr>
          <w:rStyle w:val="VerbatimChar"/>
        </w:rPr>
        <w:t xml:space="preserve">IDGV</w:t>
      </w:r>
      <w:r>
        <w:t xml:space="preserve"> </w:t>
      </w:r>
      <w:r>
        <w:t xml:space="preserve">example cited in</w:t>
      </w:r>
      <w:r>
        <w:t xml:space="preserve"> </w:t>
      </w:r>
      <w:r>
        <w:t xml:space="preserve">Section 8.4 were computed directly by running</w:t>
      </w:r>
      <w:r>
        <w:t xml:space="preserve"> </w:t>
      </w:r>
      <w:r>
        <w:rPr>
          <w:rStyle w:val="VerbatimChar"/>
        </w:rPr>
        <w:t xml:space="preserve">esm_variant_effect.py</w:t>
      </w:r>
      <w:r>
        <w:t xml:space="preserve"> </w:t>
      </w:r>
      <w:r>
        <w:t xml:space="preserve">against the live-downloaded GB1 dataset on 2026-08-20, not taken from a</w:t>
      </w:r>
      <w:r>
        <w:t xml:space="preserve"> </w:t>
      </w:r>
      <w:r>
        <w:t xml:space="preserve">secondary source, and independently reproduced against the bundled</w:t>
      </w:r>
      <w:r>
        <w:t xml:space="preserve"> </w:t>
      </w:r>
      <w:r>
        <w:t xml:space="preserve">offline fixture — see</w:t>
      </w:r>
      <w:r>
        <w:t xml:space="preserve"> </w:t>
      </w:r>
      <w:r>
        <w:rPr>
          <w:rStyle w:val="VerbatimChar"/>
        </w:rPr>
        <w:t xml:space="preserve">data/gb1_single_mutants_sample.csv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results/esm2_gb1_results.json</w:t>
      </w:r>
      <w:r>
        <w:t xml:space="preserve"> </w:t>
      </w:r>
      <w:r>
        <w:t xml:space="preserve">to reproduce.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esm_variant_effect.py" TargetMode="External" /><Relationship Type="http://schemas.openxmlformats.org/officeDocument/2006/relationships/hyperlink" Id="rId16" Target="requirements.txt" TargetMode="External" /><Relationship Type="http://schemas.openxmlformats.org/officeDocument/2006/relationships/hyperlink" Id="rId17" Target="tests/test_esm_variant_effect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sm_variant_effect.py" TargetMode="External" /><Relationship Type="http://schemas.openxmlformats.org/officeDocument/2006/relationships/hyperlink" Id="rId16" Target="requirements.txt" TargetMode="External" /><Relationship Type="http://schemas.openxmlformats.org/officeDocument/2006/relationships/hyperlink" Id="rId17" Target="tests/test_esm_variant_effect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2026-08-20T10:31:46Z</dcterms:created>
  <dcterms:modified xsi:type="dcterms:W3CDTF">2026-08-20T10:31:46Z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