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f34045a6d0d9eb21aa01d8616e5dcff3313891"/>
    <w:p>
      <w:pPr>
        <w:pStyle w:val="Heading1"/>
      </w:pPr>
      <w:r>
        <w:t xml:space="preserve">Chapter 9: The 3D Structure Prediction Revolution</w:t>
      </w:r>
    </w:p>
    <w:p>
      <w:pPr>
        <w:pStyle w:val="FirstParagraph"/>
      </w:pPr>
      <w:r>
        <w:t xml:space="preserve">Chapter 8 asked what a protein language model’s internal representations</w:t>
      </w:r>
      <w:r>
        <w:t xml:space="preserve"> </w:t>
      </w:r>
      <w:r>
        <w:t xml:space="preserve">are worth on their own — zero-shot mutation scoring, no 3D coordinates</w:t>
      </w:r>
      <w:r>
        <w:t xml:space="preserve"> </w:t>
      </w:r>
      <w:r>
        <w:t xml:space="preserve">anywhere in sight. This chapter asks the question those representations</w:t>
      </w:r>
      <w:r>
        <w:t xml:space="preserve"> </w:t>
      </w:r>
      <w:r>
        <w:t xml:space="preserve">were, historically, built toward: given only a sequence, can a model</w:t>
      </w:r>
      <w:r>
        <w:t xml:space="preserve"> </w:t>
      </w:r>
      <w:r>
        <w:t xml:space="preserve">output the actual 3D structure that sequence folds into, at experimental</w:t>
      </w:r>
      <w:r>
        <w:t xml:space="preserve"> </w:t>
      </w:r>
      <w:r>
        <w:t xml:space="preserve">accuracy? Since 2020, the answer has gone from</w:t>
      </w:r>
      <w:r>
        <w:t xml:space="preserve"> </w:t>
      </w:r>
      <w:r>
        <w:t xml:space="preserve">“not usefully”</w:t>
      </w:r>
      <w:r>
        <w:t xml:space="preserve"> </w:t>
      </w:r>
      <w:r>
        <w:t xml:space="preserve">to</w:t>
      </w:r>
      <w:r>
        <w:t xml:space="preserve"> </w:t>
      </w:r>
      <w:r>
        <w:t xml:space="preserve">“often,</w:t>
      </w:r>
      <w:r>
        <w:t xml:space="preserve"> </w:t>
      </w:r>
      <w:r>
        <w:t xml:space="preserve">yes”</w:t>
      </w:r>
      <w:r>
        <w:t xml:space="preserve"> </w:t>
      </w:r>
      <w:r>
        <w:t xml:space="preserve">— the single largest discontinuity in this book’s subject matter,</w:t>
      </w:r>
      <w:r>
        <w:t xml:space="preserve"> </w:t>
      </w:r>
      <w:r>
        <w:t xml:space="preserve">and the reason Part III exists as three chapters (9, 10, 11) rather than</w:t>
      </w:r>
      <w:r>
        <w:t xml:space="preserve"> </w:t>
      </w:r>
      <w:r>
        <w:t xml:space="preserve">one. This chapter covers the mechanics of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that became possible</w:t>
      </w:r>
      <w:r>
        <w:t xml:space="preserve"> </w:t>
      </w:r>
      <w:r>
        <w:t xml:space="preserve">(Sections 9.1–9.3) and puts real programmatic structure prediction to</w:t>
      </w:r>
      <w:r>
        <w:t xml:space="preserve"> </w:t>
      </w:r>
      <w:r>
        <w:t xml:space="preserve">work end to end (Section 9.4): folding two real proteins, validating one</w:t>
      </w:r>
      <w:r>
        <w:t xml:space="preserve"> </w:t>
      </w:r>
      <w:r>
        <w:t xml:space="preserve">against its real crystal structure, and testing whether the model’s own</w:t>
      </w:r>
      <w:r>
        <w:t xml:space="preserve"> </w:t>
      </w:r>
      <w:r>
        <w:t xml:space="preserve">confidence score means what it claims to.</w:t>
      </w:r>
    </w:p>
    <w:bookmarkStart w:id="9" w:name="alphafold2-alphafold3-mechanics"/>
    <w:p>
      <w:pPr>
        <w:pStyle w:val="Heading2"/>
      </w:pPr>
      <w:r>
        <w:t xml:space="preserve">9.1 AlphaFold2 &amp; AlphaFold3 Mechanics</w:t>
      </w:r>
    </w:p>
    <w:p>
      <w:pPr>
        <w:pStyle w:val="FirstParagraph"/>
      </w:pPr>
      <w:r>
        <w:t xml:space="preserve">AlphaFold2 (Jumper et al., 2021 — introduced in Chapter 3 §3.2 as a</w:t>
      </w:r>
      <w:r>
        <w:t xml:space="preserve"> </w:t>
      </w:r>
      <w:r>
        <w:t xml:space="preserve">forward reference, and cited by Chapter 8 §8.3 as the architectural</w:t>
      </w:r>
      <w:r>
        <w:t xml:space="preserve"> </w:t>
      </w:r>
      <w:r>
        <w:t xml:space="preserve">contrast to ESM-2’s alignment-free design; both threads converge here)</w:t>
      </w:r>
      <w:r>
        <w:t xml:space="preserve"> </w:t>
      </w:r>
      <w:r>
        <w:t xml:space="preserve">reformulated structure prediction as two coupled problems solved</w:t>
      </w:r>
      <w:r>
        <w:t xml:space="preserve"> </w:t>
      </w:r>
      <w:r>
        <w:t xml:space="preserve">jointly: extracting evolutionary and geometric signal from a multiple</w:t>
      </w:r>
      <w:r>
        <w:t xml:space="preserve"> </w:t>
      </w:r>
      <w:r>
        <w:t xml:space="preserve">sequence alignment (Chapter 8 §8.1’s classical starting point), and</w:t>
      </w:r>
      <w:r>
        <w:t xml:space="preserve"> </w:t>
      </w:r>
      <w:r>
        <w:t xml:space="preserve">using that signal to directly output 3D atomic coordinates, with no</w:t>
      </w:r>
      <w:r>
        <w:t xml:space="preserve"> </w:t>
      </w:r>
      <w:r>
        <w:t xml:space="preserve">intermediate contact-map-then-fold pipeline of the kind that dominated</w:t>
      </w:r>
      <w:r>
        <w:t xml:space="preserve"> </w:t>
      </w:r>
      <w:r>
        <w:t xml:space="preserve">the field before it.</w:t>
      </w:r>
    </w:p>
    <w:p>
      <w:pPr>
        <w:pStyle w:val="BodyText"/>
      </w:pPr>
      <w:r>
        <w:rPr>
          <w:b/>
          <w:bCs/>
        </w:rPr>
        <w:t xml:space="preserve">The Evoformer.</w:t>
      </w:r>
      <w:r>
        <w:t xml:space="preserve"> </w:t>
      </w:r>
      <w:r>
        <w:t xml:space="preserve">Given a query sequence, AlphaFold2 first builds an</w:t>
      </w:r>
      <w:r>
        <w:t xml:space="preserve"> </w:t>
      </w:r>
      <w:r>
        <w:t xml:space="preserve">MSA the ordinary way (Chapter 3 §3.1’s tool) and initializes two</w:t>
      </w:r>
      <w:r>
        <w:t xml:space="preserve"> </w:t>
      </w:r>
      <w:r>
        <w:t xml:space="preserve">representations from it: an</w:t>
      </w:r>
      <w:r>
        <w:t xml:space="preserve"> </w:t>
      </w:r>
      <w:r>
        <w:rPr>
          <w:b/>
          <w:bCs/>
        </w:rPr>
        <w:t xml:space="preserve">MSA representation</w:t>
      </w:r>
      <w:r>
        <w:t xml:space="preserve"> </w:t>
      </w:r>
      <w:r>
        <w:t xml:space="preserve">(one row per</w:t>
      </w:r>
      <w:r>
        <w:t xml:space="preserve"> </w:t>
      </w:r>
      <w:r>
        <w:t xml:space="preserve">homologous sequence, one column per alignment position) and a</w:t>
      </w:r>
      <w:r>
        <w:t xml:space="preserve"> </w:t>
      </w:r>
      <w:r>
        <w:rPr>
          <w:b/>
          <w:bCs/>
        </w:rPr>
        <w:t xml:space="preserve">pair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</w:t>
      </w:r>
      <w:r>
        <w:t xml:space="preserve"> </w:t>
      </w:r>
      <w:r>
        <w:t xml:space="preserve">(one entry per residue-residue pair of the query,</w:t>
      </w:r>
      <w:r>
        <w:t xml:space="preserve"> </w:t>
      </w:r>
      <w:r>
        <w:t xml:space="preserve">initialized from pairwise sequence features). The Evoformer is a stack</w:t>
      </w:r>
      <w:r>
        <w:t xml:space="preserve"> </w:t>
      </w:r>
      <w:r>
        <w:t xml:space="preserve">of blocks that repeatedly updates both representations and exchanges</w:t>
      </w:r>
      <w:r>
        <w:t xml:space="preserve"> </w:t>
      </w:r>
      <w:r>
        <w:t xml:space="preserve">information between them: row-wise and column-wise self-attention over</w:t>
      </w:r>
      <w:r>
        <w:t xml:space="preserve"> </w:t>
      </w:r>
      <w:r>
        <w:t xml:space="preserve">the MSA representation extract co-evolutionary signal (the same</w:t>
      </w:r>
      <w:r>
        <w:t xml:space="preserve"> </w:t>
      </w:r>
      <w:r>
        <w:t xml:space="preserve">conserved-position and co-evolving-pair patterns named in Chapter 8</w:t>
      </w:r>
      <w:r>
        <w:t xml:space="preserve"> </w:t>
      </w:r>
      <w:r>
        <w:t xml:space="preserve">§8.1, extracted here explicitly from an alignment rather than learned</w:t>
      </w:r>
      <w:r>
        <w:t xml:space="preserve"> </w:t>
      </w:r>
      <w:r>
        <w:t xml:space="preserve">implicitly from a pretraining corpus); an outer-product-mean operation</w:t>
      </w:r>
      <w:r>
        <w:t xml:space="preserve"> </w:t>
      </w:r>
      <w:r>
        <w:t xml:space="preserve">folds updated MSA information into the pair representation; and a set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triangular update</w:t>
      </w:r>
      <w:r>
        <w:t xml:space="preserve"> </w:t>
      </w:r>
      <w:r>
        <w:t xml:space="preserve">operations act on the pair representation</w:t>
      </w:r>
      <w:r>
        <w:t xml:space="preserve"> </w:t>
      </w:r>
      <w:r>
        <w:t xml:space="preserve">alone, updating the edge between residues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using information</w:t>
      </w:r>
      <w:r>
        <w:t xml:space="preserve"> </w:t>
      </w:r>
      <w:r>
        <w:t xml:space="preserve">from a third residue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structured so the three edges of every</w:t>
      </w:r>
      <w:r>
        <w:t xml:space="preserve"> </w:t>
      </w:r>
      <w:r>
        <w:t xml:space="preserve">residue triple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are updated consistently with each other,</w:t>
      </w:r>
      <w:r>
        <w:t xml:space="preserve"> </w:t>
      </w:r>
      <w:r>
        <w:t xml:space="preserve">which Jumper et al. (2021) motivate as encoding something close to a</w:t>
      </w:r>
      <w:r>
        <w:t xml:space="preserve"> </w:t>
      </w:r>
      <w:r>
        <w:t xml:space="preserve">geometric triangle inequality directly into the pair representation’s</w:t>
      </w:r>
      <w:r>
        <w:t xml:space="preserve"> </w:t>
      </w:r>
      <w:r>
        <w:t xml:space="preserve">learned updates. After 48 such blocks, the pair representation carries</w:t>
      </w:r>
      <w:r>
        <w:t xml:space="preserve"> </w:t>
      </w:r>
      <w:r>
        <w:t xml:space="preserve">a rich, geometrically consistent residue-residue relationship map — not</w:t>
      </w:r>
      <w:r>
        <w:t xml:space="preserve"> </w:t>
      </w:r>
      <w:r>
        <w:t xml:space="preserve">yet 3D coordinates, but the information a 3D structure would need to be</w:t>
      </w:r>
      <w:r>
        <w:t xml:space="preserve"> </w:t>
      </w:r>
      <w:r>
        <w:t xml:space="preserve">consistent with.</w:t>
      </w:r>
    </w:p>
    <w:p>
      <w:pPr>
        <w:pStyle w:val="BodyText"/>
      </w:pPr>
      <w:r>
        <w:rPr>
          <w:b/>
          <w:bCs/>
        </w:rPr>
        <w:t xml:space="preserve">Invariant Point Attention (IPA).</w:t>
      </w:r>
      <w:r>
        <w:t xml:space="preserve"> </w:t>
      </w:r>
      <w:r>
        <w:t xml:space="preserve">Converting that pair representation</w:t>
      </w:r>
      <w:r>
        <w:t xml:space="preserve"> </w:t>
      </w:r>
      <w:r>
        <w:t xml:space="preserve">into actual atomic coordinates is the</w:t>
      </w:r>
      <w:r>
        <w:t xml:space="preserve"> </w:t>
      </w:r>
      <w:r>
        <w:rPr>
          <w:b/>
          <w:bCs/>
        </w:rPr>
        <w:t xml:space="preserve">structure module</w:t>
      </w:r>
      <w:r>
        <w:t xml:space="preserve">’s job, and</w:t>
      </w:r>
      <w:r>
        <w:t xml:space="preserve"> </w:t>
      </w:r>
      <w:r>
        <w:t xml:space="preserve">IPA is its core operation. Every residue carries a local reference frame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— a rotation and translation</w:t>
      </w:r>
      <w:r>
        <w:t xml:space="preserve"> </w:t>
      </w:r>
      <w:r>
        <w:t xml:space="preserve">placing that residue’s idealized local backbone geometry into the</w:t>
      </w:r>
      <w:r>
        <w:t xml:space="preserve"> </w:t>
      </w:r>
      <w:r>
        <w:t xml:space="preserve">structure’s global coordinate frame, initialized identically for every</w:t>
      </w:r>
      <w:r>
        <w:t xml:space="preserve"> </w:t>
      </w:r>
      <w:r>
        <w:t xml:space="preserve">residue (a</w:t>
      </w:r>
      <w:r>
        <w:t xml:space="preserve"> </w:t>
      </w:r>
      <w:r>
        <w:t xml:space="preserve">“black hole”</w:t>
      </w:r>
      <w:r>
        <w:t xml:space="preserve"> </w:t>
      </w:r>
      <w:r>
        <w:t xml:space="preserve">starting guess with no structure yet) and</w:t>
      </w:r>
      <w:r>
        <w:t xml:space="preserve"> </w:t>
      </w:r>
      <w:r>
        <w:t xml:space="preserve">iteratively refined block by block. IPA computes attention not just over</w:t>
      </w:r>
      <w:r>
        <w:t xml:space="preserve"> </w:t>
      </w:r>
      <w:r>
        <w:t xml:space="preserve">the usual scalar query/key features, but also over</w:t>
      </w:r>
      <w:r>
        <w:t xml:space="preserve"> </w:t>
      </w:r>
      <w:r>
        <w:rPr>
          <w:b/>
          <w:bCs/>
        </w:rPr>
        <w:t xml:space="preserve">3D query and key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 </w:t>
      </w:r>
      <w:r>
        <w:t xml:space="preserve">— vectors predicted in each residue’s own local frame, mapped</w:t>
      </w:r>
      <w:r>
        <w:t xml:space="preserve"> </w:t>
      </w:r>
      <w:r>
        <w:t xml:space="preserve">into the shared global frame via each residue’s current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w:r>
        <w:t xml:space="preserve">their pairwise distances are computed. An attention logit between</w:t>
      </w:r>
      <w:r>
        <w:t xml:space="preserve"> </w:t>
      </w:r>
      <w:r>
        <w:t xml:space="preserve">residues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combines three terms: an ordinary scalar dot</w:t>
      </w:r>
      <w:r>
        <w:t xml:space="preserve"> </w:t>
      </w:r>
      <w:r>
        <w:t xml:space="preserve">product, a bias read directly from the Evoformer’s pair representation</w:t>
      </w:r>
      <w:r>
        <w:t xml:space="preserve"> </w:t>
      </w:r>
      <w:r>
        <w:t xml:space="preserve">(the geometric information computed in the previous paragraph, now</w:t>
      </w:r>
      <w:r>
        <w:t xml:space="preserve"> </w:t>
      </w:r>
      <w:r>
        <w:t xml:space="preserve">consumed rather than produced), and a penalty growing with the distance</w:t>
      </w:r>
      <w:r>
        <w:t xml:space="preserve"> </w:t>
      </w:r>
      <w:r>
        <w:t xml:space="preserve">between residue</w:t>
      </w:r>
      <w:r>
        <w:t xml:space="preserve"> </w:t>
      </w:r>
      <m:oMath>
        <m:r>
          <m:t>i</m:t>
        </m:r>
      </m:oMath>
      <w:r>
        <w:t xml:space="preserve">’s and</w:t>
      </w:r>
      <w:r>
        <w:t xml:space="preserve"> </w:t>
      </w:r>
      <m:oMath>
        <m:r>
          <m:t>j</m:t>
        </m:r>
      </m:oMath>
      <w:r>
        <w:t xml:space="preserve">’s 3D query/key points once both are placed</w:t>
      </w:r>
      <w:r>
        <w:t xml:space="preserve"> </w:t>
      </w:r>
      <w:r>
        <w:t xml:space="preserve">in the global frame. Because every point is generated in a local frame</w:t>
      </w:r>
      <w:r>
        <w:t xml:space="preserve"> </w:t>
      </w:r>
      <w:r>
        <w:t xml:space="preserve">and only ever compared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applying the residues’ own current</w:t>
      </w:r>
      <w:r>
        <w:t xml:space="preserve"> </w:t>
      </w:r>
      <w:r>
        <w:t xml:space="preserve">rigid-body transforms, IPA’s output is provably invariant to any global</w:t>
      </w:r>
      <w:r>
        <w:t xml:space="preserve"> </w:t>
      </w:r>
      <w:r>
        <w:t xml:space="preserve">rotation or translation applied to the whole structure — the network</w:t>
      </w:r>
      <w:r>
        <w:t xml:space="preserve"> </w:t>
      </w:r>
      <w:r>
        <w:t xml:space="preserve">never has to learn</w:t>
      </w:r>
      <w:r>
        <w:t xml:space="preserve"> </w:t>
      </w:r>
      <w:r>
        <w:t xml:space="preserve">“north”</w:t>
      </w:r>
      <w:r>
        <w:t xml:space="preserve"> </w:t>
      </w:r>
      <w:r>
        <w:t xml:space="preserve">is meaningless, that invariance is built into</w:t>
      </w:r>
      <w:r>
        <w:t xml:space="preserve"> </w:t>
      </w:r>
      <w:r>
        <w:t xml:space="preserve">the operation itself. Each IPA block updates every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little further</w:t>
      </w:r>
      <w:r>
        <w:t xml:space="preserve"> </w:t>
      </w:r>
      <w:r>
        <w:t xml:space="preserve">toward self-consistency; after enough blocks, applying the final frames</w:t>
      </w:r>
      <w:r>
        <w:t xml:space="preserve"> </w:t>
      </w:r>
      <w:r>
        <w:t xml:space="preserve">to a fixed set of idealized atomic coordinates per residue produces the</w:t>
      </w:r>
      <w:r>
        <w:t xml:space="preserve"> </w:t>
      </w:r>
      <w:r>
        <w:t xml:space="preserve">predicted structure.</w:t>
      </w:r>
    </w:p>
    <w:p>
      <w:pPr>
        <w:pStyle w:val="BodyText"/>
      </w:pPr>
      <w:r>
        <w:rPr>
          <w:b/>
          <w:bCs/>
        </w:rPr>
        <w:t xml:space="preserve">AlphaFold3.</w:t>
      </w:r>
      <w:r>
        <w:t xml:space="preserve"> </w:t>
      </w:r>
      <w:r>
        <w:t xml:space="preserve">Abramson et al. (2024) replace the structure module</w:t>
      </w:r>
      <w:r>
        <w:t xml:space="preserve"> </w:t>
      </w:r>
      <w:r>
        <w:t xml:space="preserve">described above with a</w:t>
      </w:r>
      <w:r>
        <w:t xml:space="preserve"> </w:t>
      </w:r>
      <w:r>
        <w:rPr>
          <w:b/>
          <w:bCs/>
        </w:rPr>
        <w:t xml:space="preserve">diffusion model</w:t>
      </w:r>
      <w:r>
        <w:t xml:space="preserve">: rather than iteratively</w:t>
      </w:r>
      <w:r>
        <w:t xml:space="preserve"> </w:t>
      </w:r>
      <w:r>
        <w:t xml:space="preserve">refining rigid per-residue frames, AlphaFold3 starts from atomic</w:t>
      </w:r>
      <w:r>
        <w:t xml:space="preserve"> </w:t>
      </w:r>
      <w:r>
        <w:t xml:space="preserve">coordinates corrupted with Gaussian noise and learns to iteratively</w:t>
      </w:r>
      <w:r>
        <w:t xml:space="preserve"> </w:t>
      </w:r>
      <w:r>
        <w:t xml:space="preserve">denoise them back to a physically valid structure, conditioned on a</w:t>
      </w:r>
      <w:r>
        <w:t xml:space="preserve"> </w:t>
      </w:r>
      <w:r>
        <w:t xml:space="preserve">simplified Evoformer-style trunk (renamed the</w:t>
      </w:r>
      <w:r>
        <w:t xml:space="preserve"> </w:t>
      </w:r>
      <w:r>
        <w:t xml:space="preserve">“Pairformer,”</w:t>
      </w:r>
      <w:r>
        <w:t xml:space="preserve"> </w:t>
      </w:r>
      <w:r>
        <w:t xml:space="preserve">with the MSA</w:t>
      </w:r>
      <w:r>
        <w:t xml:space="preserve"> </w:t>
      </w:r>
      <w:r>
        <w:t xml:space="preserve">processing trimmed down). The practical payoff of that architectural</w:t>
      </w:r>
      <w:r>
        <w:t xml:space="preserve"> </w:t>
      </w:r>
      <w:r>
        <w:t xml:space="preserve">change is generality: because diffusion over raw atom coordinates does</w:t>
      </w:r>
      <w:r>
        <w:t xml:space="preserve"> </w:t>
      </w:r>
      <w:r>
        <w:t xml:space="preserve">not depend on the twenty-amino-acid-specific idealized backbone geometry</w:t>
      </w:r>
      <w:r>
        <w:t xml:space="preserve"> </w:t>
      </w:r>
      <w:r>
        <w:t xml:space="preserve">IPA’s frame-and-fixed-atoms construction assumes, the same model</w:t>
      </w:r>
      <w:r>
        <w:t xml:space="preserve"> </w:t>
      </w:r>
      <w:r>
        <w:t xml:space="preserve">architecture natively handles nucleic acids, ligands, ions, and covalent</w:t>
      </w:r>
      <w:r>
        <w:t xml:space="preserve"> </w:t>
      </w:r>
      <w:r>
        <w:t xml:space="preserve">modifications as first-class inputs, alongside protein chains — Section</w:t>
      </w:r>
      <w:r>
        <w:t xml:space="preserve"> </w:t>
      </w:r>
      <w:r>
        <w:t xml:space="preserve">9.3 returns to exactly this capability. AlphaFold3 is discussed here for</w:t>
      </w:r>
      <w:r>
        <w:t xml:space="preserve"> </w:t>
      </w:r>
      <w:r>
        <w:t xml:space="preserve">architectural contrast only; nothing in this chapter’s hands-on project</w:t>
      </w:r>
      <w:r>
        <w:t xml:space="preserve"> </w:t>
      </w:r>
      <w:r>
        <w:t xml:space="preserve">runs it.</w:t>
      </w:r>
    </w:p>
    <w:bookmarkEnd w:id="9"/>
    <w:bookmarkStart w:id="10" w:name="esmfold-rosettafold"/>
    <w:p>
      <w:pPr>
        <w:pStyle w:val="Heading2"/>
      </w:pPr>
      <w:r>
        <w:t xml:space="preserve">9.2 ESMFold &amp; RoseTTAFold</w:t>
      </w:r>
    </w:p>
    <w:p>
      <w:pPr>
        <w:pStyle w:val="FirstParagraph"/>
      </w:pPr>
      <w:r>
        <w:t xml:space="preserve">Both models below solve the same coordinate-prediction problem as</w:t>
      </w:r>
      <w:r>
        <w:t xml:space="preserve"> </w:t>
      </w:r>
      <w:r>
        <w:t xml:space="preserve">Section 9.1, with one shared, consequential difference: neither performs</w:t>
      </w:r>
      <w:r>
        <w:t xml:space="preserve"> </w:t>
      </w:r>
      <w:r>
        <w:t xml:space="preserve">an MSA search at inference time.</w:t>
      </w:r>
    </w:p>
    <w:p>
      <w:pPr>
        <w:pStyle w:val="BodyText"/>
      </w:pPr>
      <w:r>
        <w:rPr>
          <w:b/>
          <w:bCs/>
        </w:rPr>
        <w:t xml:space="preserve">RoseTTAFold</w:t>
      </w:r>
      <w:r>
        <w:t xml:space="preserve"> </w:t>
      </w:r>
      <w:r>
        <w:t xml:space="preserve">(Baek et al., 2021) predates the specific architecture</w:t>
      </w:r>
      <w:r>
        <w:t xml:space="preserve"> </w:t>
      </w:r>
      <w:r>
        <w:t xml:space="preserve">above but shares its core insight of coupling multiple representations: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three-track network</w:t>
      </w:r>
      <w:r>
        <w:t xml:space="preserve"> </w:t>
      </w:r>
      <w:r>
        <w:t xml:space="preserve">that processes 1D (sequence), 2D (pairwise</w:t>
      </w:r>
      <w:r>
        <w:t xml:space="preserve"> </w:t>
      </w:r>
      <w:r>
        <w:t xml:space="preserve">distance/orientation), and 3D (explicit atomic coordinate) information</w:t>
      </w:r>
      <w:r>
        <w:t xml:space="preserve"> </w:t>
      </w:r>
      <w:r>
        <w:t xml:space="preserve">simultaneously, with information exchanged between all three tracks at</w:t>
      </w:r>
      <w:r>
        <w:t xml:space="preserve"> </w:t>
      </w:r>
      <w:r>
        <w:t xml:space="preserve">every block, rather than a strictly sequential embed-then-fold pipeline.</w:t>
      </w:r>
      <w:r>
        <w:t xml:space="preserve"> </w:t>
      </w:r>
      <w:r>
        <w:t xml:space="preserve">Like AlphaFold2, its original form still consumes an MSA, so it is</w:t>
      </w:r>
      <w:r>
        <w:t xml:space="preserve"> </w:t>
      </w:r>
      <w:r>
        <w:t xml:space="preserve">introduced here for architectural contrast — a second, independently</w:t>
      </w:r>
      <w:r>
        <w:t xml:space="preserve"> </w:t>
      </w:r>
      <w:r>
        <w:t xml:space="preserve">developed confirmation that coupled multi-representation processing is</w:t>
      </w:r>
      <w:r>
        <w:t xml:space="preserve"> </w:t>
      </w:r>
      <w:r>
        <w:t xml:space="preserve">the right shape for this problem — rather than run in this chapter’s</w:t>
      </w:r>
      <w:r>
        <w:t xml:space="preserve"> </w:t>
      </w:r>
      <w:r>
        <w:t xml:space="preserve">hands-on project; Section 9.3 returns to a very different,</w:t>
      </w:r>
      <w:r>
        <w:t xml:space="preserve"> </w:t>
      </w:r>
      <w:r>
        <w:t xml:space="preserve">alignment-free descendant of this same codebase.</w:t>
      </w:r>
    </w:p>
    <w:p>
      <w:pPr>
        <w:pStyle w:val="BodyText"/>
      </w:pPr>
      <w:r>
        <w:rPr>
          <w:b/>
          <w:bCs/>
        </w:rPr>
        <w:t xml:space="preserve">ESMFold</w:t>
      </w:r>
      <w:r>
        <w:t xml:space="preserve"> </w:t>
      </w:r>
      <w:r>
        <w:t xml:space="preserve">(Lin et al., 2023, introduced in Chapter 8 §8.2) is this</w:t>
      </w:r>
      <w:r>
        <w:t xml:space="preserve"> </w:t>
      </w:r>
      <w:r>
        <w:t xml:space="preserve">chapter’s hands-on model, and its defining move is to delete the MSA</w:t>
      </w:r>
      <w:r>
        <w:t xml:space="preserve"> </w:t>
      </w:r>
      <w:r>
        <w:t xml:space="preserve">step entirely. Recall Chapter 8’s own framing: ESM-2’s</w:t>
      </w:r>
      <w:r>
        <w:t xml:space="preserve"> </w:t>
      </w:r>
      <w:r>
        <w:t xml:space="preserve">masked-language-model pretraining, run once at enormous scale across the observed</w:t>
      </w:r>
      <w:r>
        <w:t xml:space="preserve"> </w:t>
      </w:r>
      <w:r>
        <w:t xml:space="preserve">protein universe, causes evolutionary and structural information to</w:t>
      </w:r>
      <w:r>
        <w:t xml:space="preserve"> </w:t>
      </w:r>
      <w:r>
        <w:t xml:space="preserve">emerge as a side effect and get baked directly into the model’s</w:t>
      </w:r>
      <w:r>
        <w:t xml:space="preserve"> </w:t>
      </w:r>
      <w:r>
        <w:t xml:space="preserve">learned weights — no per-query alignment required, because the</w:t>
      </w:r>
      <w:r>
        <w:t xml:space="preserve"> </w:t>
      </w:r>
      <w:r>
        <w:t xml:space="preserve">alignment-derived signal a structure predictor would otherwise need is</w:t>
      </w:r>
      <w:r>
        <w:t xml:space="preserve"> </w:t>
      </w:r>
      <w:r>
        <w:t xml:space="preserve">already implicit in ESM-2’s pretrained representations. ESMFold exploits</w:t>
      </w:r>
      <w:r>
        <w:t xml:space="preserve"> </w:t>
      </w:r>
      <w:r>
        <w:t xml:space="preserve">this directly: it attaches a structure-prediction</w:t>
      </w:r>
      <w:r>
        <w:t xml:space="preserve"> </w:t>
      </w:r>
      <w:r>
        <w:t xml:space="preserve">“folding trunk”</w:t>
      </w:r>
      <w:r>
        <w:t xml:space="preserve"> </w:t>
      </w:r>
      <w:r>
        <w:t xml:space="preserve">and</w:t>
      </w:r>
      <w:r>
        <w:t xml:space="preserve"> </w:t>
      </w:r>
      <w:r>
        <w:t xml:space="preserve">IPA-based structure module (architecturally descended from AlphaFold2’s,</w:t>
      </w:r>
      <w:r>
        <w:t xml:space="preserve"> </w:t>
      </w:r>
      <w:r>
        <w:t xml:space="preserve">per Section 9.1) directly on top of a frozen-then-fine-tuned ESM-2</w:t>
      </w:r>
      <w:r>
        <w:t xml:space="preserve"> </w:t>
      </w:r>
      <w:r>
        <w:t xml:space="preserve">representation of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query sequence, with no MSA search step at</w:t>
      </w:r>
      <w:r>
        <w:t xml:space="preserve"> </w:t>
      </w:r>
      <w:r>
        <w:t xml:space="preserve">inference time at all. Lin et al. (2023) report this trades some raw</w:t>
      </w:r>
      <w:r>
        <w:t xml:space="preserve"> </w:t>
      </w:r>
      <w:r>
        <w:t xml:space="preserve">accuracy against AlphaFold2 on hard cases (correlated, as expected, with</w:t>
      </w:r>
      <w:r>
        <w:t xml:space="preserve"> </w:t>
      </w:r>
      <w:r>
        <w:t xml:space="preserve">how much a target actually benefits from cross-sequence evolutionary</w:t>
      </w:r>
      <w:r>
        <w:t xml:space="preserve"> </w:t>
      </w:r>
      <w:r>
        <w:t xml:space="preserve">information an MSA would supply) for roughly 60x faster inference — the</w:t>
      </w:r>
      <w:r>
        <w:t xml:space="preserve"> </w:t>
      </w:r>
      <w:r>
        <w:t xml:space="preserve">practical property this chapter’s hands-on project exploits directly,</w:t>
      </w:r>
      <w:r>
        <w:t xml:space="preserve"> </w:t>
      </w:r>
      <w:r>
        <w:t xml:space="preserve">predicting real structures in a couple of seconds each rather than the</w:t>
      </w:r>
      <w:r>
        <w:t xml:space="preserve"> </w:t>
      </w:r>
      <w:r>
        <w:t xml:space="preserve">minutes-to-hours an MSA search against a full sequence database would</w:t>
      </w:r>
      <w:r>
        <w:t xml:space="preserve"> </w:t>
      </w:r>
      <w:r>
        <w:t xml:space="preserve">otherwise cost. AlphaFold2’s own alignment-free variant (a</w:t>
      </w:r>
      <w:r>
        <w:t xml:space="preserve"> </w:t>
      </w:r>
      <w:r>
        <w:t xml:space="preserve">single-sequence input to the ordinary Evoformer, with no MSA) has also been</w:t>
      </w:r>
      <w:r>
        <w:t xml:space="preserve"> </w:t>
      </w:r>
      <w:r>
        <w:t xml:space="preserve">reported to be viable in restricted settings, but ESMFold —</w:t>
      </w:r>
      <w:r>
        <w:t xml:space="preserve"> </w:t>
      </w:r>
      <w:r>
        <w:t xml:space="preserve">purpose-built for this mode rather than adapted to it — is this chapter’s more</w:t>
      </w:r>
      <w:r>
        <w:t xml:space="preserve"> </w:t>
      </w:r>
      <w:r>
        <w:t xml:space="preserve">direct example.</w:t>
      </w:r>
    </w:p>
    <w:bookmarkEnd w:id="10"/>
    <w:bookmarkStart w:id="11" w:name="macromolecular-complexes"/>
    <w:p>
      <w:pPr>
        <w:pStyle w:val="Heading2"/>
      </w:pPr>
      <w:r>
        <w:t xml:space="preserve">9.3 Macromolecular Complexes</w:t>
      </w:r>
    </w:p>
    <w:p>
      <w:pPr>
        <w:pStyle w:val="FirstParagraph"/>
      </w:pPr>
      <w:r>
        <w:t xml:space="preserve">Every prediction discussed so far is a single chain, folding on its own.</w:t>
      </w:r>
      <w:r>
        <w:t xml:space="preserve"> </w:t>
      </w:r>
      <w:r>
        <w:t xml:space="preserve">Most of biology, and most drug targets, are not: multi-subunit</w:t>
      </w:r>
      <w:r>
        <w:t xml:space="preserve"> </w:t>
      </w:r>
      <w:r>
        <w:t xml:space="preserve">complexes, and single proteins in complex with the small molecules or</w:t>
      </w:r>
      <w:r>
        <w:t xml:space="preserve"> </w:t>
      </w:r>
      <w:r>
        <w:t xml:space="preserve">other biomolecules the rest of this book concerns itself with.</w:t>
      </w:r>
    </w:p>
    <w:p>
      <w:pPr>
        <w:pStyle w:val="BodyText"/>
      </w:pPr>
      <w:r>
        <w:rPr>
          <w:b/>
          <w:bCs/>
        </w:rPr>
        <w:t xml:space="preserve">AlphaFold-Multimer</w:t>
      </w:r>
      <w:r>
        <w:t xml:space="preserve"> </w:t>
      </w:r>
      <w:r>
        <w:t xml:space="preserve">(Evans et al., 2021) extends AlphaFold2 to</w:t>
      </w:r>
      <w:r>
        <w:t xml:space="preserve"> </w:t>
      </w:r>
      <w:r>
        <w:t xml:space="preserve">multiple chains with two concrete changes: the MSA search is run per</w:t>
      </w:r>
      <w:r>
        <w:t xml:space="preserve"> </w:t>
      </w:r>
      <w:r>
        <w:t xml:space="preserve">chain and then the per-chain MSAs and pair representations are</w:t>
      </w:r>
      <w:r>
        <w:t xml:space="preserve"> </w:t>
      </w:r>
      <w:r>
        <w:t xml:space="preserve">concatenated (with a modified positional-encoding scheme that resets</w:t>
      </w:r>
      <w:r>
        <w:t xml:space="preserve"> </w:t>
      </w:r>
      <w:r>
        <w:t xml:space="preserve">per chain, so the model can tell</w:t>
      </w:r>
      <w:r>
        <w:t xml:space="preserve"> </w:t>
      </w:r>
      <w:r>
        <w:t xml:space="preserve">“residue 12 of chain A”</w:t>
      </w:r>
      <w:r>
        <w:t xml:space="preserve"> </w:t>
      </w:r>
      <w:r>
        <w:t xml:space="preserve">apart from</w:t>
      </w:r>
      <w:r>
        <w:t xml:space="preserve"> </w:t>
      </w:r>
      <w:r>
        <w:t xml:space="preserve">“residue 12 of chain B”</w:t>
      </w:r>
      <w:r>
        <w:t xml:space="preserve">), and training incorporates a loss term</w:t>
      </w:r>
      <w:r>
        <w:t xml:space="preserve"> </w:t>
      </w:r>
      <w:r>
        <w:t xml:space="preserve">specifically rewarding correct inter-chain contacts, not just correct</w:t>
      </w:r>
      <w:r>
        <w:t xml:space="preserve"> </w:t>
      </w:r>
      <w:r>
        <w:t xml:space="preserve">per-chain folds. As of this writing, Evans et al. (2021) remains a</w:t>
      </w:r>
      <w:r>
        <w:t xml:space="preserve"> </w:t>
      </w:r>
      <w:r>
        <w:t xml:space="preserve">bioRxiv preprint with no separate peer-reviewed-venue publication,</w:t>
      </w:r>
      <w:r>
        <w:t xml:space="preserve"> </w:t>
      </w:r>
      <w:r>
        <w:t xml:space="preserve">verified directly against Crossref rather than assumed; its findings are</w:t>
      </w:r>
      <w:r>
        <w:t xml:space="preserve"> </w:t>
      </w:r>
      <w:r>
        <w:t xml:space="preserve">nonetheless the field’s standard reference point for multimeric</w:t>
      </w:r>
      <w:r>
        <w:t xml:space="preserve"> </w:t>
      </w:r>
      <w:r>
        <w:t xml:space="preserve">AlphaFold2-family prediction.</w:t>
      </w:r>
    </w:p>
    <w:p>
      <w:pPr>
        <w:pStyle w:val="BodyText"/>
      </w:pPr>
      <w:r>
        <w:rPr>
          <w:b/>
          <w:bCs/>
        </w:rPr>
        <w:t xml:space="preserve">Protein-ligand co-structure prediction</w:t>
      </w:r>
      <w:r>
        <w:t xml:space="preserve"> </w:t>
      </w:r>
      <w:r>
        <w:t xml:space="preserve">is a different extension of</w:t>
      </w:r>
      <w:r>
        <w:t xml:space="preserve"> </w:t>
      </w:r>
      <w:r>
        <w:t xml:space="preserve">the same underlying problem: given a protein sequence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small-molecule graph (Chapter 2’s representation), predict their bound</w:t>
      </w:r>
      <w:r>
        <w:t xml:space="preserve"> </w:t>
      </w:r>
      <w:r>
        <w:t xml:space="preserve">complex directly, rather than predicting the protein structure alone</w:t>
      </w:r>
      <w:r>
        <w:t xml:space="preserve"> </w:t>
      </w:r>
      <w:r>
        <w:t xml:space="preserve">and docking a ligand into it afterward (Chapter 11’s subject).</w:t>
      </w:r>
      <w:r>
        <w:t xml:space="preserve"> </w:t>
      </w:r>
      <w:r>
        <w:t xml:space="preserve">AlphaFold3’s diffusion-based structure module (Section 9.1) was built</w:t>
      </w:r>
      <w:r>
        <w:t xml:space="preserve"> </w:t>
      </w:r>
      <w:r>
        <w:t xml:space="preserve">specifically to make this tractable — because it denoises raw atomic</w:t>
      </w:r>
      <w:r>
        <w:t xml:space="preserve"> </w:t>
      </w:r>
      <w:r>
        <w:t xml:space="preserve">coordinates rather than applying per-residue rigid backbone frames, a</w:t>
      </w:r>
      <w:r>
        <w:t xml:space="preserve"> </w:t>
      </w:r>
      <w:r>
        <w:t xml:space="preserve">bound ligand’s atoms are just more atoms to denoise, subject to the same</w:t>
      </w:r>
      <w:r>
        <w:t xml:space="preserve"> </w:t>
      </w:r>
      <w:r>
        <w:t xml:space="preserve">process as the protein chain, rather than a fundamentally different kind</w:t>
      </w:r>
      <w:r>
        <w:t xml:space="preserve"> </w:t>
      </w:r>
      <w:r>
        <w:t xml:space="preserve">of input needing a separate mechanism. RoseTTAFold All-Atom (Krishna et</w:t>
      </w:r>
      <w:r>
        <w:t xml:space="preserve"> </w:t>
      </w:r>
      <w:r>
        <w:t xml:space="preserve">al., 2024) generalizes RoseTTAFold’s three-track architecture (Section</w:t>
      </w:r>
      <w:r>
        <w:t xml:space="preserve"> </w:t>
      </w:r>
      <w:r>
        <w:t xml:space="preserve">9.2) in the same direction, for the same reason: broadening the</w:t>
      </w:r>
      <w:r>
        <w:t xml:space="preserve"> </w:t>
      </w:r>
      <w:r>
        <w:t xml:space="preserve">“atomic”</w:t>
      </w:r>
      <w:r>
        <w:t xml:space="preserve"> </w:t>
      </w:r>
      <w:r>
        <w:t xml:space="preserve">track to represent arbitrary chemistry, not just the twenty standard</w:t>
      </w:r>
      <w:r>
        <w:t xml:space="preserve"> </w:t>
      </w:r>
      <w:r>
        <w:t xml:space="preserve">amino acids, so proteins, nucleic acids, and small molecules share one</w:t>
      </w:r>
      <w:r>
        <w:t xml:space="preserve"> </w:t>
      </w:r>
      <w:r>
        <w:t xml:space="preserve">network rather than requiring separate specialized models bolted</w:t>
      </w:r>
      <w:r>
        <w:t xml:space="preserve"> </w:t>
      </w:r>
      <w:r>
        <w:t xml:space="preserve">together. Both are introduced here as the architectural bridge between</w:t>
      </w:r>
      <w:r>
        <w:t xml:space="preserve"> </w:t>
      </w:r>
      <w:r>
        <w:t xml:space="preserve">this chapter’s single-chain structure prediction and Chapter 11’s</w:t>
      </w:r>
      <w:r>
        <w:t xml:space="preserve"> </w:t>
      </w:r>
      <w:r>
        <w:t xml:space="preserve">docking methods, and are not run in this chapter’s hands-on project.</w:t>
      </w:r>
    </w:p>
    <w:bookmarkEnd w:id="11"/>
    <w:bookmarkStart w:id="24" w:name="Xb50f4b51fff7caa8eef0b6863d5ba2433444fe1"/>
    <w:p>
      <w:pPr>
        <w:pStyle w:val="Heading2"/>
      </w:pPr>
      <w:r>
        <w:t xml:space="preserve">9.4 Hands-on Project: ESMFold Structure Prediction &amp; pLDDT Validation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ch09_structure_prediction/</w:t>
      </w:r>
      <w:r>
        <w:t xml:space="preserve">). It puts two real, contrasting protein</w:t>
      </w:r>
      <w:r>
        <w:t xml:space="preserve"> </w:t>
      </w:r>
      <w:r>
        <w:t xml:space="preserve">sequences through ESMFold, run programmatically rather than by hand, and</w:t>
      </w:r>
      <w:r>
        <w:t xml:space="preserve"> </w:t>
      </w:r>
      <w:r>
        <w:t xml:space="preserve">asks whether the model’s self-reported confidence —</w:t>
      </w:r>
      <w:r>
        <w:t xml:space="preserve"> </w:t>
      </w:r>
      <w:r>
        <w:rPr>
          <w:b/>
          <w:bCs/>
        </w:rPr>
        <w:t xml:space="preserve">pLDDT</w:t>
      </w:r>
      <w:r>
        <w:t xml:space="preserve"> </w:t>
      </w:r>
      <w:r>
        <w:t xml:space="preserve">(predicted Local Distance Difference Test, a per-residue score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t xml:space="preserve">in the original papers, estimating how well the predicted</w:t>
      </w:r>
      <w:r>
        <w:t xml:space="preserve"> </w:t>
      </w:r>
      <w:r>
        <w:t xml:space="preserve">local backbone geometry would agree with a hypothetical true structure)</w:t>
      </w:r>
      <w:r>
        <w:t xml:space="preserve"> </w:t>
      </w:r>
      <w:r>
        <w:t xml:space="preserve">— means what it claims to, against two different, real kinds of ground</w:t>
      </w:r>
      <w:r>
        <w:t xml:space="preserve"> </w:t>
      </w:r>
      <w:r>
        <w:t xml:space="preserve">truth.</w:t>
      </w:r>
    </w:p>
    <w:bookmarkStart w:id="12" w:name="a-feasibility-decision-made-explicit"/>
    <w:p>
      <w:pPr>
        <w:pStyle w:val="Heading3"/>
      </w:pPr>
      <w:r>
        <w:t xml:space="preserve">A feasibility decision, made explicit</w:t>
      </w:r>
    </w:p>
    <w:p>
      <w:pPr>
        <w:pStyle w:val="FirstParagraph"/>
      </w:pPr>
      <w:r>
        <w:t xml:space="preserve">The most direct way to</w:t>
      </w:r>
      <w:r>
        <w:t xml:space="preserve"> </w:t>
      </w:r>
      <w:r>
        <w:t xml:space="preserve">“run ESMFold programmatically”</w:t>
      </w:r>
      <w:r>
        <w:t xml:space="preserve"> </w:t>
      </w:r>
      <w:r>
        <w:t xml:space="preserve">is to load</w:t>
      </w:r>
      <w:r>
        <w:t xml:space="preserve"> </w:t>
      </w:r>
      <w:r>
        <w:rPr>
          <w:rStyle w:val="VerbatimChar"/>
        </w:rPr>
        <w:t xml:space="preserve">facebook/esmfold_v1</w:t>
      </w:r>
      <w:r>
        <w:t xml:space="preserve"> </w:t>
      </w:r>
      <w:r>
        <w:t xml:space="preserve">locally (available via 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’</w:t>
      </w:r>
      <w:r>
        <w:t xml:space="preserve"> </w:t>
      </w:r>
      <w:r>
        <w:rPr>
          <w:rStyle w:val="VerbatimChar"/>
        </w:rPr>
        <w:t xml:space="preserve">EsmForProteinFolding</w:t>
      </w:r>
      <w:r>
        <w:t xml:space="preserve">, confirmed importable in this</w:t>
      </w:r>
      <w:r>
        <w:t xml:space="preserve"> </w:t>
      </w:r>
      <w:r>
        <w:t xml:space="preserve">project’s environment). That checkpoint is real, but large: its weights</w:t>
      </w:r>
      <w:r>
        <w:t xml:space="preserve"> </w:t>
      </w:r>
      <w:r>
        <w:t xml:space="preserve">file is approximately 8.4 GB, because</w:t>
      </w:r>
      <w:r>
        <w:t xml:space="preserve"> </w:t>
      </w:r>
      <w:r>
        <w:rPr>
          <w:rStyle w:val="VerbatimChar"/>
        </w:rPr>
        <w:t xml:space="preserve">esmfold_v1</w:t>
      </w:r>
      <w:r>
        <w:t xml:space="preserve"> </w:t>
      </w:r>
      <w:r>
        <w:t xml:space="preserve">is built on ESM-2’s</w:t>
      </w:r>
      <w:r>
        <w:t xml:space="preserve"> </w:t>
      </w:r>
      <w:r>
        <w:t xml:space="preserve">3-billion-parameter backbone (Chapter 8 §8.2’s scale sweep, at its</w:t>
      </w:r>
      <w:r>
        <w:t xml:space="preserve"> </w:t>
      </w:r>
      <w:r>
        <w:t xml:space="preserve">largest tested size), not the 8-150M-parameter checkpoints Chapter 8’s</w:t>
      </w:r>
      <w:r>
        <w:t xml:space="preserve"> </w:t>
      </w:r>
      <w:r>
        <w:t xml:space="preserve">project used. This project’s development machine has 16 GB of total RAM</w:t>
      </w:r>
      <w:r>
        <w:t xml:space="preserve"> </w:t>
      </w:r>
      <w:r>
        <w:t xml:space="preserve">with roughly 7 GB free under normal load and no CUDA GPU; loading an</w:t>
      </w:r>
      <w:r>
        <w:t xml:space="preserve"> </w:t>
      </w:r>
      <w:r>
        <w:t xml:space="preserve">8.4 GB checkpoint (before accounting for activation memory during</w:t>
      </w:r>
      <w:r>
        <w:t xml:space="preserve"> </w:t>
      </w:r>
      <w:r>
        <w:t xml:space="preserve">inference) risks exhausting available memory outright, and CPU</w:t>
      </w:r>
      <w:r>
        <w:t xml:space="preserve"> </w:t>
      </w:r>
      <w:r>
        <w:t xml:space="preserve">inference through a 3B-parameter transformer trunk for even one query</w:t>
      </w:r>
      <w:r>
        <w:t xml:space="preserve"> </w:t>
      </w:r>
      <w:r>
        <w:t xml:space="preserve">sequence would likely take on the order of tens of minutes per</w:t>
      </w:r>
      <w:r>
        <w:t xml:space="preserve"> </w:t>
      </w:r>
      <w:r>
        <w:t xml:space="preserve">prediction. Rather than attempt that and risk an unreliable, possibly</w:t>
      </w:r>
      <w:r>
        <w:t xml:space="preserve"> </w:t>
      </w:r>
      <w:r>
        <w:t xml:space="preserve">unreproducible run, this project uses the real, GPU-hosted</w:t>
      </w:r>
      <w:r>
        <w:t xml:space="preserve"> </w:t>
      </w:r>
      <w:r>
        <w:rPr>
          <w:rStyle w:val="VerbatimChar"/>
        </w:rPr>
        <w:t xml:space="preserve">esmfold_v1</w:t>
      </w:r>
      <w:r>
        <w:t xml:space="preserve"> </w:t>
      </w:r>
      <w:r>
        <w:t xml:space="preserve">model via Meta’s public</w:t>
      </w:r>
      <w:r>
        <w:t xml:space="preserve"> </w:t>
      </w:r>
      <w:r>
        <w:rPr>
          <w:b/>
          <w:bCs/>
        </w:rPr>
        <w:t xml:space="preserve">ESM Metagenomic Atlas</w:t>
      </w:r>
      <w:r>
        <w:t xml:space="preserve"> </w:t>
      </w:r>
      <w:r>
        <w:t xml:space="preserve">inference API — the</w:t>
      </w:r>
      <w:r>
        <w:t xml:space="preserve"> </w:t>
      </w:r>
      <w:r>
        <w:t xml:space="preserve">same weights, called over HTTPS, documented as the Atlas’s live folding</w:t>
      </w:r>
      <w:r>
        <w:t xml:space="preserve"> </w:t>
      </w:r>
      <w:r>
        <w:t xml:space="preserve">endpoint in Meta’s own</w:t>
      </w:r>
      <w:r>
        <w:t xml:space="preserve"> </w:t>
      </w:r>
      <w:r>
        <w:rPr>
          <w:rStyle w:val="VerbatimChar"/>
        </w:rPr>
        <w:t xml:space="preserve">esm</w:t>
      </w:r>
      <w:r>
        <w:t xml:space="preserve"> </w:t>
      </w:r>
      <w:r>
        <w:t xml:space="preserve">GitHub repository. This is a genuine</w:t>
      </w:r>
      <w:r>
        <w:t xml:space="preserve"> </w:t>
      </w:r>
      <w:r>
        <w:t xml:space="preserve">instance of</w:t>
      </w:r>
      <w:r>
        <w:t xml:space="preserve"> </w:t>
      </w:r>
      <w:r>
        <w:t xml:space="preserve">“running ESMFold programmatically”</w:t>
      </w:r>
      <w:r>
        <w:t xml:space="preserve">: a real Python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call, real model inference on Meta’s infrastructure, and real 3D</w:t>
      </w:r>
      <w:r>
        <w:t xml:space="preserve"> </w:t>
      </w:r>
      <w:r>
        <w:t xml:space="preserve">coordinates back, without a local download this project’s hardware</w:t>
      </w:r>
      <w:r>
        <w:t xml:space="preserve"> </w:t>
      </w:r>
      <w:r>
        <w:t xml:space="preserve">cannot safely absorb — and, being free-tier-friendly with no GPU</w:t>
      </w:r>
      <w:r>
        <w:t xml:space="preserve"> </w:t>
      </w:r>
      <w:r>
        <w:t xml:space="preserve">requirement, closer in spirit to the</w:t>
      </w:r>
      <w:r>
        <w:t xml:space="preserve"> </w:t>
      </w:r>
      <w:r>
        <w:t xml:space="preserve">“free-tier Google Colab”</w:t>
      </w:r>
      <w:r>
        <w:t xml:space="preserve"> </w:t>
      </w:r>
      <w:r>
        <w:t xml:space="preserve">target</w:t>
      </w:r>
      <w:r>
        <w:t xml:space="preserve"> </w:t>
      </w:r>
      <w:r>
        <w:t xml:space="preserve">environment this book’s tech stack commits to than a local 3B-parameter</w:t>
      </w:r>
      <w:r>
        <w:t xml:space="preserve"> </w:t>
      </w:r>
      <w:r>
        <w:t xml:space="preserve">model would be.</w:t>
      </w:r>
    </w:p>
    <w:p>
      <w:pPr>
        <w:pStyle w:val="BodyText"/>
      </w:pPr>
      <w:r>
        <w:t xml:space="preserve">That choice has a real, measured cost, reported here rather than</w:t>
      </w:r>
      <w:r>
        <w:t xml:space="preserve"> </w:t>
      </w:r>
      <w:r>
        <w:t xml:space="preserve">glossed over. The API enforces a hard request timeout; repeated,</w:t>
      </w:r>
      <w:r>
        <w:t xml:space="preserve"> </w:t>
      </w:r>
      <w:r>
        <w:t xml:space="preserve">directly measured trials (</w:t>
      </w:r>
      <w:r>
        <w:rPr>
          <w:rStyle w:val="VerbatimChar"/>
        </w:rPr>
        <w:t xml:space="preserve">curl</w:t>
      </w:r>
      <w:r>
        <w:t xml:space="preserve">, timed) found it reliably folds real</w:t>
      </w:r>
      <w:r>
        <w:t xml:space="preserve"> </w:t>
      </w:r>
      <w:r>
        <w:t xml:space="preserve">sequences up to at least 140 residues in 1-3 seconds, but two different</w:t>
      </w:r>
      <w:r>
        <w:t xml:space="preserve"> </w:t>
      </w:r>
      <w:r>
        <w:t xml:space="preserve">293-residue and disordered-91-residue real sequences tested during this</w:t>
      </w:r>
      <w:r>
        <w:t xml:space="preserve"> </w:t>
      </w:r>
      <w:r>
        <w:t xml:space="preserve">project’s development both timed out at a consistent ~30 seconds,</w:t>
      </w:r>
      <w:r>
        <w:t xml:space="preserve"> </w:t>
      </w:r>
      <w:r>
        <w:t xml:space="preserve">regardless of retry. This determined which real sequences the</w:t>
      </w:r>
      <w:r>
        <w:t xml:space="preserve"> </w:t>
      </w:r>
      <w:r>
        <w:t xml:space="preserve">experiment below uses — both well under the length where timeouts were</w:t>
      </w:r>
      <w:r>
        <w:t xml:space="preserve"> </w:t>
      </w:r>
      <w:r>
        <w:t xml:space="preserve">observed — rather than the two-chain EGFR kinase domain (Chapter 1/3’s</w:t>
      </w:r>
      <w:r>
        <w:t xml:space="preserve"> </w:t>
      </w:r>
      <w:r>
        <w:t xml:space="preserve">293-residue running example) originally considered for this section.</w:t>
      </w:r>
    </w:p>
    <w:bookmarkEnd w:id="12"/>
    <w:bookmarkStart w:id="13" w:name="X4a2b2b336419387fa5b059de5895002fc5d4d75"/>
    <w:p>
      <w:pPr>
        <w:pStyle w:val="Heading3"/>
      </w:pPr>
      <w:r>
        <w:t xml:space="preserve">Real data: one ordered protein, one disordered protein</w:t>
      </w:r>
    </w:p>
    <w:p>
      <w:pPr>
        <w:pStyle w:val="FirstParagraph"/>
      </w:pPr>
      <w:r>
        <w:rPr>
          <w:b/>
          <w:bCs/>
        </w:rPr>
        <w:t xml:space="preserve">Ubiquitin</w:t>
      </w:r>
      <w:r>
        <w:t xml:space="preserve"> </w:t>
      </w:r>
      <w:r>
        <w:t xml:space="preserve">(UniProt P0CG47, the 76-residue repeat unit of human</w:t>
      </w:r>
      <w:r>
        <w:t xml:space="preserve"> </w:t>
      </w:r>
      <w:r>
        <w:t xml:space="preserve">polyubiquitin-B) is a compact, single-domain, extremely</w:t>
      </w:r>
      <w:r>
        <w:t xml:space="preserve"> </w:t>
      </w:r>
      <w:r>
        <w:t xml:space="preserve">well-characterized protein with an ultra-high-resolution (1.8 Å) crystal</w:t>
      </w:r>
      <w:r>
        <w:t xml:space="preserve"> </w:t>
      </w:r>
      <w:r>
        <w:t xml:space="preserve">structure, PDB</w:t>
      </w:r>
      <w:r>
        <w:t xml:space="preserve"> </w:t>
      </w:r>
      <w:r>
        <w:rPr>
          <w:rStyle w:val="VerbatimChar"/>
        </w:rPr>
        <w:t xml:space="preserve">1UBQ</w:t>
      </w:r>
      <w:r>
        <w:t xml:space="preserve"> </w:t>
      </w:r>
      <w:r>
        <w:t xml:space="preserve">(Vijay-Kumar et al., 1987) — bundled directly in</w:t>
      </w:r>
      <w:r>
        <w:t xml:space="preserve"> </w:t>
      </w:r>
      <w:r>
        <w:t xml:space="preserve">this project (</w:t>
      </w:r>
      <w:r>
        <w:rPr>
          <w:rStyle w:val="VerbatimChar"/>
        </w:rPr>
        <w:t xml:space="preserve">data/1UBQ.pdb</w:t>
      </w:r>
      <w:r>
        <w:t xml:space="preserve">) the same way Chapter 3 bundles</w:t>
      </w:r>
      <w:r>
        <w:t xml:space="preserve"> </w:t>
      </w:r>
      <w:r>
        <w:rPr>
          <w:rStyle w:val="VerbatimChar"/>
        </w:rPr>
        <w:t xml:space="preserve">1M17.pdb</w:t>
      </w:r>
      <w:r>
        <w:t xml:space="preserve">.</w:t>
      </w:r>
      <w:r>
        <w:t xml:space="preserve"> </w:t>
      </w:r>
      <w:r>
        <w:t xml:space="preserve">Its real, experimentally determined structure is the ground truth</w:t>
      </w:r>
      <w:r>
        <w:t xml:space="preserve"> </w:t>
      </w:r>
      <w:r>
        <w:t xml:space="preserve">Section 9.4’s first evaluation validates against.</w:t>
      </w:r>
    </w:p>
    <w:p>
      <w:pPr>
        <w:pStyle w:val="BodyText"/>
      </w:pPr>
      <w:r>
        <w:rPr>
          <w:b/>
          <w:bCs/>
        </w:rPr>
        <w:t xml:space="preserve">Alpha-synuclein</w:t>
      </w:r>
      <w:r>
        <w:t xml:space="preserve"> </w:t>
      </w:r>
      <w:r>
        <w:t xml:space="preserve">(UniProt P37840, 140 residues, full canonical</w:t>
      </w:r>
      <w:r>
        <w:t xml:space="preserve"> </w:t>
      </w:r>
      <w:r>
        <w:t xml:space="preserve">sequence) is the contrasting case: DisProt (Aspromonte et al., 2024),</w:t>
      </w:r>
      <w:r>
        <w:t xml:space="preserve"> </w:t>
      </w:r>
      <w:r>
        <w:t xml:space="preserve">the manually curated database of experimentally characterized</w:t>
      </w:r>
      <w:r>
        <w:t xml:space="preserve"> </w:t>
      </w:r>
      <w:r>
        <w:t xml:space="preserve">intrinsically disordered regions, annotates its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length as</w:t>
      </w:r>
      <w:r>
        <w:t xml:space="preserve"> </w:t>
      </w:r>
      <w:r>
        <w:t xml:space="preserve">disordered (entry DP00070), independently supported by NMR, far-UV</w:t>
      </w:r>
      <w:r>
        <w:t xml:space="preserve"> </w:t>
      </w:r>
      <w:r>
        <w:t xml:space="preserve">circular dichroism, and SDS-PAGE evidence — not a computational</w:t>
      </w:r>
      <w:r>
        <w:t xml:space="preserve"> </w:t>
      </w:r>
      <w:r>
        <w:t xml:space="preserve">prediction, a directly observed experimental property. Unlike ubiquitin,</w:t>
      </w:r>
      <w:r>
        <w:t xml:space="preserve"> </w:t>
      </w:r>
      <w:r>
        <w:t xml:space="preserve">there is no single native fold for a predicted structure to be</w:t>
      </w:r>
      <w:r>
        <w:t xml:space="preserve"> </w:t>
      </w:r>
      <w:r>
        <w:t xml:space="preserve">“right”</w:t>
      </w:r>
      <w:r>
        <w:t xml:space="preserve"> </w:t>
      </w:r>
      <w:r>
        <w:t xml:space="preserve">or</w:t>
      </w:r>
      <w:r>
        <w:t xml:space="preserve"> </w:t>
      </w:r>
      <w:r>
        <w:t xml:space="preserve">“wrong”</w:t>
      </w:r>
      <w:r>
        <w:t xml:space="preserve"> </w:t>
      </w:r>
      <w:r>
        <w:t xml:space="preserve">against; the honest test here is whether ESMFold’s confidence</w:t>
      </w:r>
      <w:r>
        <w:t xml:space="preserve"> </w:t>
      </w:r>
      <w:r>
        <w:t xml:space="preserve">score correctly reports low confidence rather than confidently</w:t>
      </w:r>
      <w:r>
        <w:t xml:space="preserve"> </w:t>
      </w:r>
      <w:r>
        <w:t xml:space="preserve">hallucinating a fold that does not exist.</w:t>
      </w:r>
    </w:p>
    <w:p>
      <w:pPr>
        <w:pStyle w:val="SourceCode"/>
      </w:pPr>
      <w:r>
        <w:rPr>
          <w:rStyle w:val="NormalTok"/>
        </w:rPr>
        <w:t xml:space="preserve">UBIQUITIN_SEQUENCE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"MQIFVKTLTGKTITLEVEPSDTIENVKAKIQDKEGIPPDQQRLIFAGKQLEDGRTLSDYNIQKESTLHLVLRLRGG"</w:t>
      </w:r>
      <w:r>
        <w:br/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UniProt P0CG47, 76 aa</w:t>
      </w:r>
      <w:r>
        <w:br/>
      </w:r>
      <w:r>
        <w:rPr>
          <w:rStyle w:val="NormalTok"/>
        </w:rPr>
        <w:t xml:space="preserve">ALPHA_SYNUCLEIN_SEQUENCE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"MDVFMKGLSKAKEGVVAAAEKTKQGVAEAAGKTKEGVLYVGSKTKEGVVHGVATVAEKTKEQVTNVGGAVVTGVTA"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"VAQKTVEGAGSIAAATGFVKKDQLGKNEEGAPQEGILEDMPVDPDNEAYEMPSEEGYQDYEPEA"</w:t>
      </w:r>
      <w:r>
        <w:br/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UniProt P37840, 140 aa</w:t>
      </w:r>
    </w:p>
    <w:bookmarkEnd w:id="13"/>
    <w:bookmarkStart w:id="15" w:name="predicting-and-reading-plddt-correctly"/>
    <w:p>
      <w:pPr>
        <w:pStyle w:val="Heading3"/>
      </w:pPr>
      <w:r>
        <w:t xml:space="preserve">Predicting, and reading pLDDT correctly</w:t>
      </w:r>
    </w:p>
    <w:p>
      <w:pPr>
        <w:pStyle w:val="FirstParagraph"/>
      </w:pPr>
      <w:hyperlink r:id="rId14">
        <w:r>
          <w:rPr>
            <w:rStyle w:val="VerbatimChar"/>
          </w:rPr>
          <w:t xml:space="preserve">esmfold_structure_prediction.py</w:t>
        </w:r>
      </w:hyperlink>
      <w:r>
        <w:t xml:space="preserve">‘s</w:t>
      </w:r>
      <w:r>
        <w:t xml:space="preserve"> </w:t>
      </w:r>
      <w:r>
        <w:rPr>
          <w:rStyle w:val="VerbatimChar"/>
        </w:rPr>
        <w:t xml:space="preserve">fold_sequence</w:t>
      </w:r>
      <w:r>
        <w:t xml:space="preserve"> </w:t>
      </w:r>
      <w:r>
        <w:t xml:space="preserve">POSTs a raw sequence to the Atlas API and returns the</w:t>
      </w:r>
      <w:r>
        <w:t xml:space="preserve"> </w:t>
      </w:r>
      <w:r>
        <w:t xml:space="preserve">predicted structure as PDB text. One real, verified detail matters for</w:t>
      </w:r>
      <w:r>
        <w:t xml:space="preserve"> </w:t>
      </w:r>
      <w:r>
        <w:t xml:space="preserve">everything downstream: this API reports pLDDT already normalized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not the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t xml:space="preserve">scale the original papers use — confirmed</w:t>
      </w:r>
      <w:r>
        <w:t xml:space="preserve"> </w:t>
      </w:r>
      <w:r>
        <w:t xml:space="preserve">directly by inspecting the returned B-factor column’s value range</w:t>
      </w:r>
      <w:r>
        <w:t xml:space="preserve"> </w:t>
      </w:r>
      <w:r>
        <w:t xml:space="preserve">across every sequence used in this project, not assumed from the</w:t>
      </w:r>
      <w:r>
        <w:t xml:space="preserve"> </w:t>
      </w:r>
      <w:r>
        <w:t xml:space="preserve">papers’</w:t>
      </w:r>
      <w:r>
        <w:t xml:space="preserve"> </w:t>
      </w:r>
      <w:r>
        <w:t xml:space="preserve">convention. A second, equally verified detail: pLDDT here varies</w:t>
      </w:r>
      <w:r>
        <w:t xml:space="preserve"> </w:t>
      </w:r>
      <w:r>
        <w:rPr>
          <w:i/>
          <w:iCs/>
        </w:rPr>
        <w:t xml:space="preserve">per atom</w:t>
      </w:r>
      <w:r>
        <w:t xml:space="preserve"> </w:t>
      </w:r>
      <w:r>
        <w:t xml:space="preserve">within a residue’s B-factor column, not as one value repeated</w:t>
      </w:r>
      <w:r>
        <w:t xml:space="preserve"> </w:t>
      </w:r>
      <w:r>
        <w:t xml:space="preserve">across all of a residue’s atoms (AlphaFold’s own reference</w:t>
      </w:r>
      <w:r>
        <w:t xml:space="preserve"> </w:t>
      </w:r>
      <w:r>
        <w:t xml:space="preserve">implementation’s convention).</w:t>
      </w:r>
      <w:r>
        <w:t xml:space="preserve"> </w:t>
      </w:r>
      <w:r>
        <w:rPr>
          <w:rStyle w:val="VerbatimChar"/>
        </w:rPr>
        <w:t xml:space="preserve">per_residue_plddt</w:t>
      </w:r>
      <w:r>
        <w:t xml:space="preserve"> </w:t>
      </w:r>
      <w:r>
        <w:t xml:space="preserve">accounts for both,</w:t>
      </w:r>
      <w:r>
        <w:t xml:space="preserve"> </w:t>
      </w:r>
      <w:r>
        <w:t xml:space="preserve">averaging each residue’s per-atom values into one summary confidence</w:t>
      </w:r>
      <w:r>
        <w:t xml:space="preserve"> </w:t>
      </w:r>
      <w:r>
        <w:t xml:space="preserve">per residue.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per_residue_plddt(pdb_text: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[ResidueConfidence]: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PDBParser(QUIET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parser.get_structure(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StringIO(pdb_text))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residue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residue.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atom_plddts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[atom.get_bfactor()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residue]</w:t>
      </w:r>
      <w:r>
        <w:br/>
      </w:r>
      <w:r>
        <w:rPr>
          <w:rStyle w:val="NormalTok"/>
        </w:rPr>
        <w:t xml:space="preserve">        result.append(ResidueConfidence(residue_number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residue.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plddt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(np.mean(atom_plddts))))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5"/>
    <w:bookmarkStart w:id="16" w:name="evaluating-against-real-ground-truth"/>
    <w:p>
      <w:pPr>
        <w:pStyle w:val="Heading3"/>
      </w:pPr>
      <w:r>
        <w:t xml:space="preserve">Evaluating against real ground truth</w:t>
      </w:r>
    </w:p>
    <w:p>
      <w:pPr>
        <w:pStyle w:val="FirstParagraph"/>
      </w:pPr>
      <w:r>
        <w:rPr>
          <w:rStyle w:val="VerbatimChar"/>
        </w:rPr>
        <w:t xml:space="preserve">compute_ca_accuracy</w:t>
      </w:r>
      <w:r>
        <w:t xml:space="preserve"> </w:t>
      </w:r>
      <w:r>
        <w:t xml:space="preserve">superimposes the predicted ubiquitin structure</w:t>
      </w:r>
      <w:r>
        <w:t xml:space="preserve"> </w:t>
      </w:r>
      <w:r>
        <w:t xml:space="preserve">onto the real</w:t>
      </w:r>
      <w:r>
        <w:t xml:space="preserve"> </w:t>
      </w:r>
      <w:r>
        <w:rPr>
          <w:rStyle w:val="VerbatimChar"/>
        </w:rPr>
        <w:t xml:space="preserve">1UBQ</w:t>
      </w:r>
      <w:r>
        <w:t xml:space="preserve"> </w:t>
      </w:r>
      <w:r>
        <w:t xml:space="preserve">crystal structure using BioPython’s</w:t>
      </w:r>
      <w:r>
        <w:t xml:space="preserve"> </w:t>
      </w:r>
      <w:r>
        <w:rPr>
          <w:rStyle w:val="VerbatimChar"/>
        </w:rPr>
        <w:t xml:space="preserve">Superimposer</w:t>
      </w:r>
      <w:r>
        <w:t xml:space="preserve">,</w:t>
      </w:r>
      <w:r>
        <w:t xml:space="preserve"> </w:t>
      </w:r>
      <w:r>
        <w:t xml:space="preserve">matching C-alpha atoms 1:1 by residue number (both the prediction and</w:t>
      </w:r>
      <w:r>
        <w:t xml:space="preserve"> </w:t>
      </w:r>
      <w:r>
        <w:t xml:space="preserve">the crystal structure use identical 1-76 numbering, confirmed directly</w:t>
      </w:r>
      <w:r>
        <w:t xml:space="preserve"> </w:t>
      </w:r>
      <w:r>
        <w:t xml:space="preserve">rather than assumed) to obtain the global RMSD, and each residue’s</w:t>
      </w:r>
      <w:r>
        <w:t xml:space="preserve"> </w:t>
      </w:r>
      <w:r>
        <w:t xml:space="preserve">individual post-alignment deviation:</w:t>
      </w:r>
    </w:p>
    <w:p>
      <w:pPr>
        <w:pStyle w:val="SourceCode"/>
      </w:pPr>
      <w:r>
        <w:rPr>
          <w:rStyle w:val="NormalTok"/>
        </w:rPr>
        <w:t xml:space="preserve">sup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Superimposer()</w:t>
      </w:r>
      <w:r>
        <w:br/>
      </w:r>
      <w:r>
        <w:rPr>
          <w:rStyle w:val="NormalTok"/>
        </w:rPr>
        <w:t xml:space="preserve">sup.set_atoms(ref_ca, pred_ca)  </w:t>
      </w:r>
      <w:r>
        <w:rPr>
          <w:rStyle w:val="CommentTok"/>
        </w:rPr>
        <w:t xml:space="preserve"># fit predicted onto reference</w:t>
      </w:r>
      <w:r>
        <w:br/>
      </w:r>
      <w:r>
        <w:rPr>
          <w:rStyle w:val="NormalTok"/>
        </w:rPr>
        <w:t xml:space="preserve">sup.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(pred_ca)</w:t>
      </w:r>
      <w:r>
        <w:br/>
      </w:r>
      <w:r>
        <w:rPr>
          <w:rStyle w:val="NormalTok"/>
        </w:rPr>
        <w:t xml:space="preserve">per_residue_deviation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resnum: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(np.linalg.norm(pred_atom.coord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ref_atom.coord))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resnum, pred_atom, ref_atom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(shared_resnums, pred_ca, ref_ca)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evaluate_confidence_vs_accuracy</w:t>
      </w:r>
      <w:r>
        <w:t xml:space="preserve"> </w:t>
      </w:r>
      <w:r>
        <w:t xml:space="preserve">then computes the Spearman correlation</w:t>
      </w:r>
      <w:r>
        <w:t xml:space="preserve"> </w:t>
      </w:r>
      <w:r>
        <w:t xml:space="preserve">between each residue’s pLDDT and its post-alignment deviation from the</w:t>
      </w:r>
      <w:r>
        <w:t xml:space="preserve"> </w:t>
      </w:r>
      <w:r>
        <w:t xml:space="preserve">real structure;</w:t>
      </w:r>
      <w:r>
        <w:t xml:space="preserve"> </w:t>
      </w:r>
      <w:r>
        <w:rPr>
          <w:rStyle w:val="VerbatimChar"/>
        </w:rPr>
        <w:t xml:space="preserve">evaluate_disorder_signal</w:t>
      </w:r>
      <w:r>
        <w:t xml:space="preserve"> </w:t>
      </w:r>
      <w:r>
        <w:t xml:space="preserve">runs a Mann-Whitney U test</w:t>
      </w:r>
      <w:r>
        <w:t xml:space="preserve"> </w:t>
      </w:r>
      <w:r>
        <w:t xml:space="preserve">comparing ubiquitin’s and alpha-synuclein’s full per-residue pLDDT</w:t>
      </w:r>
      <w:r>
        <w:t xml:space="preserve"> </w:t>
      </w:r>
      <w:r>
        <w:t xml:space="preserve">distributions.</w:t>
      </w:r>
    </w:p>
    <w:bookmarkEnd w:id="16"/>
    <w:bookmarkStart w:id="17" w:name="running-it-and-reading-the-results"/>
    <w:p>
      <w:pPr>
        <w:pStyle w:val="Heading3"/>
      </w:pPr>
      <w:r>
        <w:t xml:space="preserve">Running it and reading the results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esmfold_structure_prediction.py </w:t>
      </w:r>
      <w:r>
        <w:rPr>
          <w:rStyle w:val="AttributeTok"/>
        </w:rPr>
        <w:t xml:space="preserve">--use-cached-raw</w:t>
      </w:r>
    </w:p>
    <w:p>
      <w:pPr>
        <w:pStyle w:val="FirstParagraph"/>
      </w:pPr>
      <w:r>
        <w:t xml:space="preserve">Run against the real ESMFold predictions (live API results, verified</w:t>
      </w:r>
      <w:r>
        <w:t xml:space="preserve"> </w:t>
      </w:r>
      <w:r>
        <w:t xml:space="preserve">bit-identical to the bundled offline fixture before either number below</w:t>
      </w:r>
      <w:r>
        <w:t xml:space="preserve"> </w:t>
      </w:r>
      <w:r>
        <w:t xml:space="preserve">was taken from either source):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Ubiquitin vs. real crystal structure (</w:t>
            </w:r>
            <w:r>
              <w:rPr>
                <w:rStyle w:val="VerbatimChar"/>
              </w:rPr>
              <w:t xml:space="preserve">1UBQ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Global C-alpha RMSD =</w:t>
            </w:r>
            <w:r>
              <w:t xml:space="preserve"> </w:t>
            </w:r>
            <w:r>
              <w:rPr>
                <w:b/>
                <w:bCs/>
              </w:rPr>
              <w:t xml:space="preserve">0.827 Å</w:t>
            </w:r>
            <w:r>
              <w:t xml:space="preserve"> </w:t>
            </w:r>
            <w:r>
              <w:t xml:space="preserve">(n=76 residues)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pLDDT vs. per-residue C-alpha deviation</w:t>
            </w:r>
          </w:p>
        </w:tc>
        <w:tc>
          <w:tcPr/>
          <w:p>
            <w:pPr>
              <w:pStyle w:val="Compact"/>
            </w:pPr>
            <w:r>
              <w:t xml:space="preserve">Spearman ρ =</w:t>
            </w:r>
            <w:r>
              <w:t xml:space="preserve"> </w:t>
            </w:r>
            <w:r>
              <w:rPr>
                <w:b/>
                <w:bCs/>
              </w:rPr>
              <w:t xml:space="preserve">-0.530</w:t>
            </w:r>
            <w:r>
              <w:t xml:space="preserve"> </w:t>
            </w:r>
            <w:r>
              <w:t xml:space="preserve">(p = 8.68e-07)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pLDDT: ubiquitin (ordered)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pLDDT: alpha-synuclein (disordered)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Mann-Whitney U (ordered &gt; disordered)</w:t>
            </w:r>
          </w:p>
        </w:tc>
        <w:tc>
          <w:tcPr/>
          <w:p>
            <w:pPr>
              <w:pStyle w:val="Compact"/>
            </w:pPr>
            <w:r>
              <w:t xml:space="preserve">U = 10629.0, p = 5.14e-34</w:t>
            </w:r>
          </w:p>
        </w:tc>
      </w:tr>
    </w:tbl>
    <w:p>
      <w:pPr>
        <w:pStyle w:val="BodyText"/>
      </w:pPr>
      <w:r>
        <w:t xml:space="preserve">Three things are worth reading precisely. First, a sub-angstrom global</w:t>
      </w:r>
      <w:r>
        <w:t xml:space="preserve"> </w:t>
      </w:r>
      <w:r>
        <w:t xml:space="preserve">C-alpha RMSD against a real, independently determined 1.8 Å crystal</w:t>
      </w:r>
      <w:r>
        <w:t xml:space="preserve"> </w:t>
      </w:r>
      <w:r>
        <w:t xml:space="preserve">structure, from a single sequence with zero MSA search and zero</w:t>
      </w:r>
      <w:r>
        <w:t xml:space="preserve"> </w:t>
      </w:r>
      <w:r>
        <w:t xml:space="preserve">knowledge of that structure, is a genuinely strong result — not a</w:t>
      </w:r>
      <w:r>
        <w:t xml:space="preserve"> </w:t>
      </w:r>
      <w:r>
        <w:t xml:space="preserve">cherry-picked one; ubiquitin is exactly the kind of compact,</w:t>
      </w:r>
      <w:r>
        <w:t xml:space="preserve"> </w:t>
      </w:r>
      <w:r>
        <w:t xml:space="preserve">abundant-in-training-data, single-domain fold ESMFold performs best on, and</w:t>
      </w:r>
      <w:r>
        <w:t xml:space="preserve"> </w:t>
      </w:r>
      <w:r>
        <w:t xml:space="preserve">Section 9.2’s</w:t>
      </w:r>
      <w:r>
        <w:t xml:space="preserve"> </w:t>
      </w:r>
      <w:r>
        <w:t xml:space="preserve">“60x faster, some accuracy cost”</w:t>
      </w:r>
      <w:r>
        <w:t xml:space="preserve"> </w:t>
      </w:r>
      <w:r>
        <w:t xml:space="preserve">framing describes</w:t>
      </w:r>
      <w:r>
        <w:t xml:space="preserve"> </w:t>
      </w:r>
      <w:r>
        <w:rPr>
          <w:i/>
          <w:iCs/>
        </w:rPr>
        <w:t xml:space="preserve">harder</w:t>
      </w:r>
      <w:r>
        <w:t xml:space="preserve"> </w:t>
      </w:r>
      <w:r>
        <w:t xml:space="preserve">targets than this one, not this one. Second, the correlation between</w:t>
      </w:r>
      <w:r>
        <w:t xml:space="preserve"> </w:t>
      </w:r>
      <w:r>
        <w:t xml:space="preserve">pLDDT and real structural error is negative and highly significant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0.530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 — confidence really does track accuracy</w:t>
      </w:r>
      <w:r>
        <w:t xml:space="preserve"> </w:t>
      </w:r>
      <w:r>
        <w:t xml:space="preserve">here, more cleanly than Chapter 8’s zero-shot mutation scores tracked</w:t>
      </w:r>
      <w:r>
        <w:t xml:space="preserve"> </w:t>
      </w:r>
      <w:r>
        <w:t xml:space="preserve">experimental fitness (</w:t>
      </w:r>
      <m:oMath>
        <m:r>
          <m:t>ρ</m:t>
        </m:r>
        <m:r>
          <m:rPr>
            <m:sty m:val="p"/>
          </m:rPr>
          <m:t>≈</m:t>
        </m:r>
        <m:r>
          <m:t>0.2</m:t>
        </m:r>
      </m:oMath>
      <w:r>
        <w:t xml:space="preserve">–</w:t>
      </w:r>
      <m:oMath>
        <m:r>
          <m:t>0.3</m:t>
        </m:r>
      </m:oMath>
      <w:r>
        <w:t xml:space="preserve"> </w:t>
      </w:r>
      <w:r>
        <w:t xml:space="preserve">at best), consistent with</w:t>
      </w:r>
      <w:r>
        <w:t xml:space="preserve"> </w:t>
      </w:r>
      <w:r>
        <w:t xml:space="preserve">pLDDT being trained with a direct, structure-specific supervision signal</w:t>
      </w:r>
      <w:r>
        <w:t xml:space="preserve"> </w:t>
      </w:r>
      <w:r>
        <w:t xml:space="preserve">rather than repurposed from an unrelated pretraining objective the way</w:t>
      </w:r>
      <w:r>
        <w:t xml:space="preserve"> </w:t>
      </w:r>
      <w:r>
        <w:t xml:space="preserve">Chapter 8’s masked-marginal scores were. Third, the pLDDT gap between</w:t>
      </w:r>
      <w:r>
        <w:t xml:space="preserve"> </w:t>
      </w:r>
      <w:r>
        <w:t xml:space="preserve">the ordered and disordered protein is large (0.858 vs. 0.315) and the</w:t>
      </w:r>
      <w:r>
        <w:t xml:space="preserve"> </w:t>
      </w:r>
      <w:r>
        <w:t xml:space="preserve">Mann-Whitney test is unambiguous (</w:t>
      </w:r>
      <m:oMath>
        <m:r>
          <m:t>p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t xml:space="preserve">vs. </w:t>
      </w:r>
      <m:oMath>
        <m:r>
          <m:t>n</m:t>
        </m:r>
        <m:r>
          <m:rPr>
            <m:sty m:val="p"/>
          </m:rPr>
          <m:t>=</m:t>
        </m:r>
        <m:r>
          <m:t>140</m:t>
        </m:r>
      </m:oMath>
      <w:r>
        <w:t xml:space="preserve"> </w:t>
      </w:r>
      <w:r>
        <w:t xml:space="preserve">residues): ESMFold does not confidently hallucinate a</w:t>
      </w:r>
      <w:r>
        <w:t xml:space="preserve"> </w:t>
      </w:r>
      <w:r>
        <w:t xml:space="preserve">fold for alpha-synuclein, it reports low confidence across essentially</w:t>
      </w:r>
      <w:r>
        <w:t xml:space="preserve"> </w:t>
      </w:r>
      <w:r>
        <w:t xml:space="preserve">its entire length — the correct, honest behavior for a protein DisProt</w:t>
      </w:r>
      <w:r>
        <w:t xml:space="preserve"> </w:t>
      </w:r>
      <w:r>
        <w:t xml:space="preserve">independently confirms has no single native fold, and a</w:t>
      </w:r>
      <w:r>
        <w:t xml:space="preserve"> </w:t>
      </w:r>
      <w:r>
        <w:t xml:space="preserve">direct, small-scale replication of the pLDDT-disorder association Wilson et al. (2022)</w:t>
      </w:r>
      <w:r>
        <w:t xml:space="preserve"> </w:t>
      </w:r>
      <w:r>
        <w:t xml:space="preserve">report at larger scale.</w:t>
      </w:r>
    </w:p>
    <w:bookmarkEnd w:id="17"/>
    <w:bookmarkStart w:id="18" w:name="why-not-pae"/>
    <w:p>
      <w:pPr>
        <w:pStyle w:val="Heading3"/>
      </w:pPr>
      <w:r>
        <w:t xml:space="preserve">Why not PAE?</w:t>
      </w:r>
    </w:p>
    <w:p>
      <w:pPr>
        <w:pStyle w:val="FirstParagraph"/>
      </w:pPr>
      <w:r>
        <w:t xml:space="preserve">The outline for this section names both pLDDT and</w:t>
      </w:r>
      <w:r>
        <w:t xml:space="preserve"> </w:t>
      </w:r>
      <w:r>
        <w:rPr>
          <w:b/>
          <w:bCs/>
        </w:rPr>
        <w:t xml:space="preserve">PAE</w:t>
      </w:r>
      <w:r>
        <w:t xml:space="preserve"> </w:t>
      </w:r>
      <w:r>
        <w:t xml:space="preserve">(Predicted</w:t>
      </w:r>
      <w:r>
        <w:t xml:space="preserve"> </w:t>
      </w:r>
      <w:r>
        <w:t xml:space="preserve">Aligned Error — a pairwise, not per-residue, confidence estimate: for</w:t>
      </w:r>
      <w:r>
        <w:t xml:space="preserve"> </w:t>
      </w:r>
      <w:r>
        <w:t xml:space="preserve">every residue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the expected position error of residue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if the structure were instead aligned on residue</w:t>
      </w:r>
      <w:r>
        <w:t xml:space="preserve"> </w:t>
      </w:r>
      <m:oMath>
        <m:r>
          <m:t>i</m:t>
        </m:r>
      </m:oMath>
      <w:r>
        <w:t xml:space="preserve">’s local frame).</w:t>
      </w:r>
      <w:r>
        <w:t xml:space="preserve"> </w:t>
      </w:r>
      <w:r>
        <w:t xml:space="preserve">Two real reasons, not one, kept it out of this section’s actual</w:t>
      </w:r>
      <w:r>
        <w:t xml:space="preserve"> </w:t>
      </w:r>
      <w:r>
        <w:t xml:space="preserve">computation. Practically, the lightweight public API used here — chosen</w:t>
      </w:r>
      <w:r>
        <w:t xml:space="preserve"> </w:t>
      </w:r>
      <w:r>
        <w:t xml:space="preserve">over a local 8.4 GB, 3B-parameter checkpoint for the feasibility reasons</w:t>
      </w:r>
      <w:r>
        <w:t xml:space="preserve"> </w:t>
      </w:r>
      <w:r>
        <w:t xml:space="preserve">given above — returns only a PDB structure with pLDDT in the B-factor</w:t>
      </w:r>
      <w:r>
        <w:t xml:space="preserve"> </w:t>
      </w:r>
      <w:r>
        <w:t xml:space="preserve">column; obtaining PAE requires the local Python inference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model.infer(...)</w:t>
      </w:r>
      <w:r>
        <w:t xml:space="preserve">’s full output dictionary), which was the specific</w:t>
      </w:r>
      <w:r>
        <w:t xml:space="preserve"> </w:t>
      </w:r>
      <w:r>
        <w:t xml:space="preserve">option this project’s hardware ruled out. Scientifically, PAE is most</w:t>
      </w:r>
      <w:r>
        <w:t xml:space="preserve"> </w:t>
      </w:r>
      <w:r>
        <w:t xml:space="preserve">informative exactly where Section 9.3’s multimeric and multi-domain</w:t>
      </w:r>
      <w:r>
        <w:t xml:space="preserve"> </w:t>
      </w:r>
      <w:r>
        <w:t xml:space="preserve">cases apply — assessing how confidently two chains, or two loosely</w:t>
      </w:r>
      <w:r>
        <w:t xml:space="preserve"> </w:t>
      </w:r>
      <w:r>
        <w:t xml:space="preserve">connected domains, are placed</w:t>
      </w:r>
      <w:r>
        <w:t xml:space="preserve"> </w:t>
      </w:r>
      <w:r>
        <w:rPr>
          <w:i/>
          <w:iCs/>
        </w:rPr>
        <w:t xml:space="preserve">relative to each other</w:t>
      </w:r>
      <w:r>
        <w:t xml:space="preserve"> </w:t>
      </w:r>
      <w:r>
        <w:t xml:space="preserve">— a question</w:t>
      </w:r>
      <w:r>
        <w:t xml:space="preserve"> </w:t>
      </w:r>
      <w:r>
        <w:t xml:space="preserve">that does not meaningfully arise for a single small ordered domain like</w:t>
      </w:r>
      <w:r>
        <w:t xml:space="preserve"> </w:t>
      </w:r>
      <w:r>
        <w:t xml:space="preserve">ubiquitin evaluated here, whose one compact fold makes intra-chain</w:t>
      </w:r>
      <w:r>
        <w:t xml:space="preserve"> </w:t>
      </w:r>
      <w:r>
        <w:t xml:space="preserve">relative placement unambiguous once pLDDT is already high throughout.</w:t>
      </w:r>
      <w:r>
        <w:t xml:space="preserve"> </w:t>
      </w:r>
      <w:r>
        <w:t xml:space="preserve">Section 9.4 stays scoped to what it can validate rigorously against real</w:t>
      </w:r>
      <w:r>
        <w:t xml:space="preserve"> </w:t>
      </w:r>
      <w:r>
        <w:t xml:space="preserve">ground truth; PAE’s natural evaluation belongs with Chapter 10’s</w:t>
      </w:r>
      <w:r>
        <w:t xml:space="preserve"> </w:t>
      </w:r>
      <w:r>
        <w:t xml:space="preserve">multi-part designed structures.</w:t>
      </w:r>
    </w:p>
    <w:bookmarkEnd w:id="18"/>
    <w:bookmarkStart w:id="21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biopython&gt;=1.81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requests&gt;=2.28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scipy&gt;=1.10</w:t>
      </w:r>
      <w:r>
        <w:t xml:space="preserve"> </w:t>
      </w:r>
      <w:r>
        <w:t xml:space="preserve">in</w:t>
      </w:r>
      <w:r>
        <w:t xml:space="preserve"> </w:t>
      </w:r>
      <w:hyperlink r:id="rId19">
        <w:r>
          <w:rPr>
            <w:rStyle w:val="VerbatimChar"/>
          </w:rPr>
          <w:t xml:space="preserve">requirements.txt</w:t>
        </w:r>
      </w:hyperlink>
      <w:r>
        <w:t xml:space="preserve">, validated</w:t>
      </w:r>
      <w:r>
        <w:t xml:space="preserve"> </w:t>
      </w:r>
      <w:r>
        <w:t xml:space="preserve">against biopython 1.88, requests 2.34.2, and scipy 1.18.0 on Python</w:t>
      </w:r>
      <w:r>
        <w:t xml:space="preserve"> </w:t>
      </w:r>
      <w:r>
        <w:t xml:space="preserve">3.12).</w:t>
      </w:r>
      <w:r>
        <w:t xml:space="preserve"> </w:t>
      </w:r>
      <w:r>
        <w:rPr>
          <w:rStyle w:val="VerbatimChar"/>
        </w:rPr>
        <w:t xml:space="preserve">data/ubiquitin_esmfold_prediction.pdb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data/alpha_synuclein_esmfold_prediction.pdb</w:t>
      </w:r>
      <w:r>
        <w:t xml:space="preserve"> </w:t>
      </w:r>
      <w:r>
        <w:t xml:space="preserve">bundle the real API</w:t>
      </w:r>
      <w:r>
        <w:t xml:space="preserve"> </w:t>
      </w:r>
      <w:r>
        <w:t xml:space="preserve">responses (fetched 2026-08-20), so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 </w:t>
      </w:r>
      <w:r>
        <w:t xml:space="preserve">runs the full</w:t>
      </w:r>
      <w:r>
        <w:t xml:space="preserve"> </w:t>
      </w:r>
      <w:r>
        <w:t xml:space="preserve">pipeline offline and deterministically;</w:t>
      </w:r>
      <w:r>
        <w:t xml:space="preserve"> </w:t>
      </w:r>
      <w:r>
        <w:rPr>
          <w:rStyle w:val="VerbatimChar"/>
        </w:rPr>
        <w:t xml:space="preserve">data/1UBQ.pdb</w:t>
      </w:r>
      <w:r>
        <w:t xml:space="preserve"> </w:t>
      </w:r>
      <w:r>
        <w:t xml:space="preserve">bundles the real</w:t>
      </w:r>
      <w:r>
        <w:t xml:space="preserve"> </w:t>
      </w:r>
      <w:r>
        <w:t xml:space="preserve">RCSB crystal structure. Both were verified directly: a fresh live call</w:t>
      </w:r>
      <w:r>
        <w:t xml:space="preserve"> </w:t>
      </w:r>
      <w:r>
        <w:t xml:space="preserve">to the API for each sequence, made independently of the bundled files,</w:t>
      </w:r>
      <w:r>
        <w:t xml:space="preserve"> </w:t>
      </w:r>
      <w:r>
        <w:t xml:space="preserve">produced byte-identical PDB text, confirming ESMFold’s inference is</w:t>
      </w:r>
      <w:r>
        <w:t xml:space="preserve"> </w:t>
      </w:r>
      <w:r>
        <w:t xml:space="preserve">deterministic for a fixed sequence and that the bundled fixtures are not</w:t>
      </w:r>
      <w:r>
        <w:t xml:space="preserve"> </w:t>
      </w:r>
      <w:r>
        <w:t xml:space="preserve">stale. The 14-test suite in</w:t>
      </w:r>
      <w:r>
        <w:t xml:space="preserve"> </w:t>
      </w:r>
      <w:hyperlink r:id="rId20">
        <w:r>
          <w:rPr>
            <w:rStyle w:val="VerbatimChar"/>
          </w:rPr>
          <w:t xml:space="preserve">tests/test_esmfold_structure_prediction.py</w:t>
        </w:r>
      </w:hyperlink>
      <w:r>
        <w:t xml:space="preserve"> </w:t>
      </w:r>
      <w:r>
        <w:t xml:space="preserve">runs against these same real fixtures (parsing, superposition</w:t>
      </w:r>
      <w:r>
        <w:t xml:space="preserve"> </w:t>
      </w:r>
      <w:r>
        <w:t xml:space="preserve">correctness — including a self-alignment sanity check that must produce</w:t>
      </w:r>
      <w:r>
        <w:t xml:space="preserve"> </w:t>
      </w:r>
      <w:r>
        <w:t xml:space="preserve">~0 RMSD — and both evaluation functions’ statistical sign and shape),</w:t>
      </w:r>
      <w:r>
        <w:t xml:space="preserve"> </w:t>
      </w:r>
      <w:r>
        <w:t xml:space="preserve">with exactly one test calling the live API directly.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14 results.</w:t>
      </w:r>
    </w:p>
    <w:bookmarkEnd w:id="21"/>
    <w:bookmarkStart w:id="22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section validates exactly two real proteins in detail, chosen for</w:t>
      </w:r>
      <w:r>
        <w:t xml:space="preserve"> </w:t>
      </w:r>
      <w:r>
        <w:t xml:space="preserve">what they could rigorously demonstrate (one against real crystallographic</w:t>
      </w:r>
      <w:r>
        <w:t xml:space="preserve"> </w:t>
      </w:r>
      <w:r>
        <w:t xml:space="preserve">ground truth, one against a real experimental disorder annotation) within</w:t>
      </w:r>
      <w:r>
        <w:t xml:space="preserve"> </w:t>
      </w:r>
      <w:r>
        <w:t xml:space="preserve">this project’s measured API constraints — not a general accuracy</w:t>
      </w:r>
      <w:r>
        <w:t xml:space="preserve"> </w:t>
      </w:r>
      <w:r>
        <w:t xml:space="preserve">benchmark across many folds, which would need the kind of large curated</w:t>
      </w:r>
      <w:r>
        <w:t xml:space="preserve"> </w:t>
      </w:r>
      <w:r>
        <w:t xml:space="preserve">test set Section 9.1’s cited papers themselves report against. It</w:t>
      </w:r>
      <w:r>
        <w:t xml:space="preserve"> </w:t>
      </w:r>
      <w:r>
        <w:t xml:space="preserve">evaluates monomeric, single-chain structure prediction only; Section</w:t>
      </w:r>
      <w:r>
        <w:t xml:space="preserve"> </w:t>
      </w:r>
      <w:r>
        <w:t xml:space="preserve">9.3’s multimeric and co-structure extensions are covered as theory, not</w:t>
      </w:r>
      <w:r>
        <w:t xml:space="preserve"> </w:t>
      </w:r>
      <w:r>
        <w:t xml:space="preserve">run here. And, as detailed above, it uses pLDDT exclusively, not PAE,</w:t>
      </w:r>
      <w:r>
        <w:t xml:space="preserve"> </w:t>
      </w:r>
      <w:r>
        <w:t xml:space="preserve">for reasons that are architectural-scope decisions as much as hardware</w:t>
      </w:r>
      <w:r>
        <w:t xml:space="preserve"> </w:t>
      </w:r>
      <w:r>
        <w:t xml:space="preserve">ones. Chapter 10 picks up directly from here: given a reliable way to</w:t>
      </w:r>
      <w:r>
        <w:t xml:space="preserve"> </w:t>
      </w:r>
      <w:r>
        <w:t xml:space="preserve">predict and confidence-score a structure from sequence (this chapter),</w:t>
      </w:r>
      <w:r>
        <w:t xml:space="preserve"> </w:t>
      </w:r>
      <w:r>
        <w:t xml:space="preserve">how does one instead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a novel sequence, or even a novel</w:t>
      </w:r>
      <w:r>
        <w:t xml:space="preserve"> </w:t>
      </w:r>
      <w:r>
        <w:t xml:space="preserve">backbone, meant to fold into a desired structure or bind a desired</w:t>
      </w:r>
      <w:r>
        <w:t xml:space="preserve"> </w:t>
      </w:r>
      <w:r>
        <w:t xml:space="preserve">target in the first place?</w:t>
      </w:r>
    </w:p>
    <w:bookmarkEnd w:id="22"/>
    <w:bookmarkStart w:id="23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are preinstalled on Colab’s default</w:t>
      </w:r>
      <w:r>
        <w:t xml:space="preserve"> </w:t>
      </w:r>
      <w:r>
        <w:t xml:space="preserve">runtime; only</w:t>
      </w:r>
      <w:r>
        <w:t xml:space="preserve"> </w:t>
      </w:r>
      <w:r>
        <w:rPr>
          <w:rStyle w:val="VerbatimChar"/>
        </w:rPr>
        <w:t xml:space="preserve">biopython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!pip install biopython</w:t>
      </w:r>
      <w:r>
        <w:t xml:space="preserve">. No GPU is</w:t>
      </w:r>
      <w:r>
        <w:t xml:space="preserve"> </w:t>
      </w:r>
      <w:r>
        <w:t xml:space="preserve">required — this project calls a hosted API rather than running any</w:t>
      </w:r>
      <w:r>
        <w:t xml:space="preserve"> </w:t>
      </w:r>
      <w:r>
        <w:t xml:space="preserve">model locally, so it runs identically on Colab’s free CPU-only tier.</w:t>
      </w:r>
    </w:p>
    <w:bookmarkEnd w:id="23"/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Jumper, J., Evans, R., Pritzel, A., Green, T., Figurnov, M.,</w:t>
      </w:r>
      <w:r>
        <w:t xml:space="preserve"> </w:t>
      </w:r>
      <w:r>
        <w:t xml:space="preserve">Ronneberger, O., Tunyasuvunakool, K., Bates, R., Zidek, A., Potapenko,</w:t>
      </w:r>
      <w:r>
        <w:t xml:space="preserve"> </w:t>
      </w:r>
      <w:r>
        <w:t xml:space="preserve">A., Bridgland, A., Meyer, C., Kohl, S. A. A., Ballard, A. J., Cowie,</w:t>
      </w:r>
      <w:r>
        <w:t xml:space="preserve"> </w:t>
      </w:r>
      <w:r>
        <w:t xml:space="preserve">A., Romera-Paredes, B., Nikolov, S., Jain, R., Adler, J., … Hassabis,</w:t>
      </w:r>
      <w:r>
        <w:t xml:space="preserve"> </w:t>
      </w:r>
      <w:r>
        <w:t xml:space="preserve">D. (2021). Highly accurate protein structure prediction with</w:t>
      </w:r>
      <w:r>
        <w:t xml:space="preserve"> </w:t>
      </w:r>
      <w:r>
        <w:t xml:space="preserve">AlphaFold.</w:t>
      </w:r>
      <w:r>
        <w:t xml:space="preserve"> </w:t>
      </w:r>
      <w:r>
        <w:rPr>
          <w:i/>
          <w:iCs/>
        </w:rPr>
        <w:t xml:space="preserve">Nature</w:t>
      </w:r>
      <w:r>
        <w:t xml:space="preserve">, 596(7873), 583-589.</w:t>
      </w:r>
      <w:r>
        <w:t xml:space="preserve"> </w:t>
      </w:r>
      <w:r>
        <w:t xml:space="preserve">https://doi.org/10.1038/s41586-021-03819-2</w:t>
      </w:r>
    </w:p>
    <w:p>
      <w:pPr>
        <w:pStyle w:val="Compact"/>
        <w:numPr>
          <w:ilvl w:val="0"/>
          <w:numId w:val="1001"/>
        </w:numPr>
      </w:pPr>
      <w:r>
        <w:t xml:space="preserve">Abramson, J., Adler, J., Dunger, J., Evans, R., Green, T., Pritzel,</w:t>
      </w:r>
      <w:r>
        <w:t xml:space="preserve"> </w:t>
      </w:r>
      <w:r>
        <w:t xml:space="preserve">A., Ronneberger, O., Willmore, L., Ballard, A. J., Bambrick, J.,</w:t>
      </w:r>
      <w:r>
        <w:t xml:space="preserve"> </w:t>
      </w:r>
      <w:r>
        <w:t xml:space="preserve">Bodenstein, S. W., Evans, D. A., Hung, C.-C., O’Neill, M., Reiman, D.,</w:t>
      </w:r>
      <w:r>
        <w:t xml:space="preserve"> </w:t>
      </w:r>
      <w:r>
        <w:t xml:space="preserve">Tunyasuvunakool, K., Wu, Z., Zemgulyte, A., Arvaniti, E., … Jumper,</w:t>
      </w:r>
      <w:r>
        <w:t xml:space="preserve"> </w:t>
      </w:r>
      <w:r>
        <w:t xml:space="preserve">J. M. (2024). Accurate structure prediction of biomolecular</w:t>
      </w:r>
      <w:r>
        <w:t xml:space="preserve"> </w:t>
      </w:r>
      <w:r>
        <w:t xml:space="preserve">interactions with AlphaFold3.</w:t>
      </w:r>
      <w:r>
        <w:t xml:space="preserve"> </w:t>
      </w:r>
      <w:r>
        <w:rPr>
          <w:i/>
          <w:iCs/>
        </w:rPr>
        <w:t xml:space="preserve">Nature</w:t>
      </w:r>
      <w:r>
        <w:t xml:space="preserve">, 630(8016), 493-500.</w:t>
      </w:r>
      <w:r>
        <w:t xml:space="preserve"> </w:t>
      </w:r>
      <w:r>
        <w:t xml:space="preserve">https://doi.org/10.1038/s41586-024-07487-w</w:t>
      </w:r>
    </w:p>
    <w:p>
      <w:pPr>
        <w:pStyle w:val="Compact"/>
        <w:numPr>
          <w:ilvl w:val="0"/>
          <w:numId w:val="1001"/>
        </w:numPr>
      </w:pPr>
      <w:r>
        <w:t xml:space="preserve">Baek, M., DiMaio, F., Anishchenko, I., Dauparas, J., Ovchinnikov, S.,</w:t>
      </w:r>
      <w:r>
        <w:t xml:space="preserve"> </w:t>
      </w:r>
      <w:r>
        <w:t xml:space="preserve">Lee, G. R., Wang, J., Cong, Q., Kinch, L. N., Schaeffer, R. D.,</w:t>
      </w:r>
      <w:r>
        <w:t xml:space="preserve"> </w:t>
      </w:r>
      <w:r>
        <w:t xml:space="preserve">Millan, C., Park, H., Adams, C., Glassman, C. R., DeGiovanni, A.,</w:t>
      </w:r>
      <w:r>
        <w:t xml:space="preserve"> </w:t>
      </w:r>
      <w:r>
        <w:t xml:space="preserve">Pereira, J. H., Rodrigues, A. V., van Dijk, A. A., … Baker, D.</w:t>
      </w:r>
      <w:r>
        <w:t xml:space="preserve"> </w:t>
      </w:r>
      <w:r>
        <w:t xml:space="preserve">(2021). Accurate prediction of protein structures and interactions</w:t>
      </w:r>
      <w:r>
        <w:t xml:space="preserve"> </w:t>
      </w:r>
      <w:r>
        <w:t xml:space="preserve">using a three-track neural network.</w:t>
      </w:r>
      <w:r>
        <w:t xml:space="preserve"> </w:t>
      </w:r>
      <w:r>
        <w:rPr>
          <w:i/>
          <w:iCs/>
        </w:rPr>
        <w:t xml:space="preserve">Science</w:t>
      </w:r>
      <w:r>
        <w:t xml:space="preserve">, 373(6557), 871-876.</w:t>
      </w:r>
      <w:r>
        <w:t xml:space="preserve"> </w:t>
      </w:r>
      <w:r>
        <w:t xml:space="preserve">https://doi.org/10.1126/science.abj8754</w:t>
      </w:r>
    </w:p>
    <w:p>
      <w:pPr>
        <w:pStyle w:val="Compact"/>
        <w:numPr>
          <w:ilvl w:val="0"/>
          <w:numId w:val="1001"/>
        </w:numPr>
      </w:pPr>
      <w:r>
        <w:t xml:space="preserve">Krishna, R., Wang, J., Ahern, W., Sturmfels, P., Venkatesh, P., Kalvet,</w:t>
      </w:r>
      <w:r>
        <w:t xml:space="preserve"> </w:t>
      </w:r>
      <w:r>
        <w:t xml:space="preserve">I., Lee, G. R., Morey-Burrows, F. S., Anishchenko, I., Humphreys,</w:t>
      </w:r>
      <w:r>
        <w:t xml:space="preserve"> </w:t>
      </w:r>
      <w:r>
        <w:t xml:space="preserve">I. R., McHugh, R., Vafeados, D., Li, X., Sutherland, G. A., Hitchcock,</w:t>
      </w:r>
      <w:r>
        <w:t xml:space="preserve"> </w:t>
      </w:r>
      <w:r>
        <w:t xml:space="preserve">A., Hutchinson, C. N., Kang, A., Endelman, B., … Baker, D. (2024).</w:t>
      </w:r>
      <w:r>
        <w:t xml:space="preserve"> </w:t>
      </w:r>
      <w:r>
        <w:t xml:space="preserve">Generalized biomolecular modeling and design with RoseTTAFold</w:t>
      </w:r>
      <w:r>
        <w:t xml:space="preserve"> </w:t>
      </w:r>
      <w:r>
        <w:t xml:space="preserve">All-Atom.</w:t>
      </w:r>
      <w:r>
        <w:t xml:space="preserve"> </w:t>
      </w:r>
      <w:r>
        <w:rPr>
          <w:i/>
          <w:iCs/>
        </w:rPr>
        <w:t xml:space="preserve">Science</w:t>
      </w:r>
      <w:r>
        <w:t xml:space="preserve">, 384(6693), eadl2528.</w:t>
      </w:r>
      <w:r>
        <w:t xml:space="preserve"> </w:t>
      </w:r>
      <w:r>
        <w:t xml:space="preserve">https://doi.org/10.1126/science.adl2528</w:t>
      </w:r>
    </w:p>
    <w:p>
      <w:pPr>
        <w:pStyle w:val="Compact"/>
        <w:numPr>
          <w:ilvl w:val="0"/>
          <w:numId w:val="1001"/>
        </w:numPr>
      </w:pPr>
      <w:r>
        <w:t xml:space="preserve">Evans, R., O’Neill, M., Pritzel, A., Antropova, N., Senior, A., Green,</w:t>
      </w:r>
      <w:r>
        <w:t xml:space="preserve"> </w:t>
      </w:r>
      <w:r>
        <w:t xml:space="preserve">T., Zidek, A., Bates, R., Blackwell, S., Yim, J., Ronneberger, O.,</w:t>
      </w:r>
      <w:r>
        <w:t xml:space="preserve"> </w:t>
      </w:r>
      <w:r>
        <w:t xml:space="preserve">Bodenstein, S., Zielinski, M., Bridgland, A., Potapenko, A., Cowie,</w:t>
      </w:r>
      <w:r>
        <w:t xml:space="preserve"> </w:t>
      </w:r>
      <w:r>
        <w:t xml:space="preserve">A., Tunyasuvunakool, K., Jain, R., … Hassabis, D. (2021). Protein</w:t>
      </w:r>
      <w:r>
        <w:t xml:space="preserve"> </w:t>
      </w:r>
      <w:r>
        <w:t xml:space="preserve">complex prediction with AlphaFold-Multimer.</w:t>
      </w:r>
      <w:r>
        <w:t xml:space="preserve"> </w:t>
      </w:r>
      <w:r>
        <w:rPr>
          <w:i/>
          <w:iCs/>
        </w:rPr>
        <w:t xml:space="preserve">bioRxiv</w:t>
      </w:r>
      <w:r>
        <w:t xml:space="preserve">.</w:t>
      </w:r>
      <w:r>
        <w:t xml:space="preserve"> </w:t>
      </w:r>
      <w:r>
        <w:t xml:space="preserve">https://doi.org/10.1101/2021.10.04.463034 (no separate</w:t>
      </w:r>
      <w:r>
        <w:t xml:space="preserve"> </w:t>
      </w:r>
      <w:r>
        <w:t xml:space="preserve">peer-reviewed-venue DOI was found for this paper as of this writing, verified</w:t>
      </w:r>
      <w:r>
        <w:t xml:space="preserve"> </w:t>
      </w:r>
      <w:r>
        <w:t xml:space="preserve">directly against Crossref rather than assumed; the bioRxiv preprint</w:t>
      </w:r>
      <w:r>
        <w:t xml:space="preserve"> </w:t>
      </w:r>
      <w:r>
        <w:t xml:space="preserve">DOI is cited instead, its status disclosed here rather than implied</w:t>
      </w:r>
      <w:r>
        <w:t xml:space="preserve"> </w:t>
      </w:r>
      <w:r>
        <w:t xml:space="preserve">otherwise).</w:t>
      </w:r>
    </w:p>
    <w:p>
      <w:pPr>
        <w:pStyle w:val="Compact"/>
        <w:numPr>
          <w:ilvl w:val="0"/>
          <w:numId w:val="1001"/>
        </w:numPr>
      </w:pPr>
      <w:r>
        <w:t xml:space="preserve">Wilson, C. J., Choy, W.-Y., &amp; Karttunen, M. (2022). AlphaFold2: A Role</w:t>
      </w:r>
      <w:r>
        <w:t xml:space="preserve"> </w:t>
      </w:r>
      <w:r>
        <w:t xml:space="preserve">for Disordered Protein/Region Prediction?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Molecular Sciences</w:t>
      </w:r>
      <w:r>
        <w:t xml:space="preserve">, 23(9), 4591.</w:t>
      </w:r>
      <w:r>
        <w:t xml:space="preserve"> </w:t>
      </w:r>
      <w:r>
        <w:t xml:space="preserve">https://doi.org/10.3390/ijms23094591</w:t>
      </w:r>
    </w:p>
    <w:p>
      <w:pPr>
        <w:pStyle w:val="Compact"/>
        <w:numPr>
          <w:ilvl w:val="0"/>
          <w:numId w:val="1001"/>
        </w:numPr>
      </w:pPr>
      <w:r>
        <w:t xml:space="preserve">Aspromonte, M. C., Nugnes, M. V., Quaglia, F., Bouharoua, A., DisProt</w:t>
      </w:r>
      <w:r>
        <w:t xml:space="preserve"> </w:t>
      </w:r>
      <w:r>
        <w:t xml:space="preserve">Consortium, &amp; Tosatto, S. C. E. (2024). DisProt in 2024: improving</w:t>
      </w:r>
      <w:r>
        <w:t xml:space="preserve"> </w:t>
      </w:r>
      <w:r>
        <w:t xml:space="preserve">function annotation of intrinsically disordered proteins.</w:t>
      </w:r>
      <w:r>
        <w:t xml:space="preserve"> </w:t>
      </w:r>
      <w:r>
        <w:rPr>
          <w:i/>
          <w:iCs/>
        </w:rPr>
        <w:t xml:space="preserve">Nucleic</w:t>
      </w:r>
      <w:r>
        <w:rPr>
          <w:i/>
          <w:iCs/>
        </w:rPr>
        <w:t xml:space="preserve"> </w:t>
      </w:r>
      <w:r>
        <w:rPr>
          <w:i/>
          <w:iCs/>
        </w:rPr>
        <w:t xml:space="preserve">Acids Research</w:t>
      </w:r>
      <w:r>
        <w:t xml:space="preserve">, 52(D1), D434-D441.</w:t>
      </w:r>
      <w:r>
        <w:t xml:space="preserve"> </w:t>
      </w:r>
      <w:r>
        <w:t xml:space="preserve">https://doi.org/10.1093/nar/gkad928</w:t>
      </w:r>
    </w:p>
    <w:p>
      <w:pPr>
        <w:pStyle w:val="Compact"/>
        <w:numPr>
          <w:ilvl w:val="0"/>
          <w:numId w:val="1001"/>
        </w:numPr>
      </w:pPr>
      <w:r>
        <w:t xml:space="preserve">Vijay-Kumar, S., Bugg, C. E., &amp; Cook, W. J. (1987). Structure of</w:t>
      </w:r>
      <w:r>
        <w:t xml:space="preserve"> </w:t>
      </w:r>
      <w:r>
        <w:t xml:space="preserve">ubiquitin refined at 1.8 Å resolution.</w:t>
      </w:r>
      <w:r>
        <w:t xml:space="preserve"> </w:t>
      </w:r>
      <w:r>
        <w:rPr>
          <w:i/>
          <w:iCs/>
        </w:rPr>
        <w:t xml:space="preserve">Journal of Molecular Biology</w:t>
      </w:r>
      <w:r>
        <w:t xml:space="preserve">,</w:t>
      </w:r>
      <w:r>
        <w:t xml:space="preserve"> </w:t>
      </w:r>
      <w:r>
        <w:t xml:space="preserve">194(3), 531-544. https://doi.org/10.1016/0022-2836(87)90679-6</w:t>
      </w:r>
    </w:p>
    <w:p>
      <w:pPr>
        <w:pStyle w:val="FirstParagraph"/>
      </w:pPr>
      <w:r>
        <w:t xml:space="preserve">See Chapter 1’s references for the wwPDB consortium (2019) PDB/mmCIF</w:t>
      </w:r>
      <w:r>
        <w:t xml:space="preserve"> </w:t>
      </w:r>
      <w:r>
        <w:t xml:space="preserve">database citation, reused here rather than re-listed. See Chapter 8’s</w:t>
      </w:r>
      <w:r>
        <w:t xml:space="preserve"> </w:t>
      </w:r>
      <w:r>
        <w:t xml:space="preserve">references for Lin et al. (2023, ESMFold/ESM-2), reused here as this</w:t>
      </w:r>
      <w:r>
        <w:t xml:space="preserve"> </w:t>
      </w:r>
      <w:r>
        <w:t xml:space="preserve">chapter’s primary hands-on model. RDKit, DeepChem, XGBoost, and PyTorch</w:t>
      </w:r>
      <w:r>
        <w:t xml:space="preserve"> </w:t>
      </w:r>
      <w:r>
        <w:t xml:space="preserve">Geometric, used throughout Chapters 1-7, play no direct role in this</w:t>
      </w:r>
      <w:r>
        <w:t xml:space="preserve"> </w:t>
      </w:r>
      <w:r>
        <w:t xml:space="preserve">chapter’s hands-on code; ESMFold predictions were obtained from Meta’s</w:t>
      </w:r>
      <w:r>
        <w:t xml:space="preserve"> </w:t>
      </w:r>
      <w:r>
        <w:t xml:space="preserve">public ESM Metagenomic Atlas API (</w:t>
      </w:r>
      <w:r>
        <w:rPr>
          <w:rStyle w:val="VerbatimChar"/>
        </w:rPr>
        <w:t xml:space="preserve">api.esmatlas.com</w:t>
      </w:r>
      <w:r>
        <w:t xml:space="preserve">), documented in the</w:t>
      </w:r>
      <w:r>
        <w:t xml:space="preserve"> </w:t>
      </w:r>
      <w:r>
        <w:rPr>
          <w:rStyle w:val="VerbatimChar"/>
        </w:rPr>
        <w:t xml:space="preserve">facebookresearch/esm</w:t>
      </w:r>
      <w:r>
        <w:t xml:space="preserve"> </w:t>
      </w:r>
      <w:r>
        <w:t xml:space="preserve">GitHub repository, and the real UniProt sequences</w:t>
      </w:r>
      <w:r>
        <w:t xml:space="preserve"> </w:t>
      </w:r>
      <w:r>
        <w:t xml:space="preserve">and DisProt disorder annotations used here were fetched directly from</w:t>
      </w:r>
      <w:r>
        <w:t xml:space="preserve"> </w:t>
      </w:r>
      <w:r>
        <w:rPr>
          <w:rStyle w:val="VerbatimChar"/>
        </w:rPr>
        <w:t xml:space="preserve">rest.uniprot.org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disprot.org</w:t>
      </w:r>
      <w:r>
        <w:t xml:space="preserve"> </w:t>
      </w:r>
      <w:r>
        <w:t xml:space="preserve">rather than transcribed from a</w:t>
      </w:r>
      <w:r>
        <w:t xml:space="preserve"> </w:t>
      </w:r>
      <w:r>
        <w:t xml:space="preserve">secondary source.</w:t>
      </w:r>
    </w:p>
    <w:p>
      <w:pPr>
        <w:pStyle w:val="BodyText"/>
      </w:pPr>
      <w:r>
        <w:t xml:space="preserve">All RMSD, correlation, and p-values cited in Section 9.4 were computed</w:t>
      </w:r>
      <w:r>
        <w:t xml:space="preserve"> </w:t>
      </w:r>
      <w:r>
        <w:t xml:space="preserve">directly by running</w:t>
      </w:r>
      <w:r>
        <w:t xml:space="preserve"> </w:t>
      </w:r>
      <w:r>
        <w:rPr>
          <w:rStyle w:val="VerbatimChar"/>
        </w:rPr>
        <w:t xml:space="preserve">esmfold_structure_prediction.py</w:t>
      </w:r>
      <w:r>
        <w:t xml:space="preserve"> </w:t>
      </w:r>
      <w:r>
        <w:t xml:space="preserve">against the live</w:t>
      </w:r>
      <w:r>
        <w:t xml:space="preserve"> </w:t>
      </w:r>
      <w:r>
        <w:t xml:space="preserve">ESM Metagenomic Atlas API on 2026-08-20, not taken from a secondary</w:t>
      </w:r>
      <w:r>
        <w:t xml:space="preserve"> </w:t>
      </w:r>
      <w:r>
        <w:t xml:space="preserve">source, and independently reproduced against the bundled offline</w:t>
      </w:r>
      <w:r>
        <w:t xml:space="preserve"> </w:t>
      </w:r>
      <w:r>
        <w:t xml:space="preserve">fixtures — see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results/esmfold_structure_results.json</w:t>
      </w:r>
      <w:r>
        <w:t xml:space="preserve"> </w:t>
      </w:r>
      <w:r>
        <w:t xml:space="preserve">to</w:t>
      </w:r>
      <w:r>
        <w:t xml:space="preserve"> </w:t>
      </w:r>
      <w:r>
        <w:t xml:space="preserve">reproduce.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esmfold_structure_prediction.py" TargetMode="External" /><Relationship Type="http://schemas.openxmlformats.org/officeDocument/2006/relationships/hyperlink" Id="rId19" Target="requirements.txt" TargetMode="External" /><Relationship Type="http://schemas.openxmlformats.org/officeDocument/2006/relationships/hyperlink" Id="rId20" Target="tests/test_esmfold_structure_predictio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esmfold_structure_prediction.py" TargetMode="External" /><Relationship Type="http://schemas.openxmlformats.org/officeDocument/2006/relationships/hyperlink" Id="rId19" Target="requirements.txt" TargetMode="External" /><Relationship Type="http://schemas.openxmlformats.org/officeDocument/2006/relationships/hyperlink" Id="rId20" Target="tests/test_esmfold_structure_predictio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2026-08-20T15:35:44Z</dcterms:created>
  <dcterms:modified xsi:type="dcterms:W3CDTF">2026-08-20T15:35:44Z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