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334fc721aa9608095375b11d1ce28224a0365f"/>
    <w:p>
      <w:pPr>
        <w:pStyle w:val="Heading1"/>
      </w:pPr>
      <w:r>
        <w:t xml:space="preserve">Chapter 10: De Novo Protein &amp; Antibody Design</w:t>
      </w:r>
    </w:p>
    <w:p>
      <w:pPr>
        <w:pStyle w:val="FirstParagraph"/>
      </w:pPr>
      <w:r>
        <w:t xml:space="preserve">Chapter 9 asked whether a model can predict the 3D structure a given</w:t>
      </w:r>
      <w:r>
        <w:t xml:space="preserve"> </w:t>
      </w:r>
      <w:r>
        <w:t xml:space="preserve">sequence folds into. This chapter asks the inverse pair of questions:</w:t>
      </w:r>
      <w:r>
        <w:t xml:space="preserve"> </w:t>
      </w:r>
      <w:r>
        <w:t xml:space="preserve">given a desired 3D</w:t>
      </w:r>
      <w:r>
        <w:t xml:space="preserve"> </w:t>
      </w:r>
      <w:r>
        <w:rPr>
          <w:i/>
          <w:iCs/>
        </w:rPr>
        <w:t xml:space="preserve">shape</w:t>
      </w:r>
      <w:r>
        <w:t xml:space="preserve"> </w:t>
      </w:r>
      <w:r>
        <w:t xml:space="preserve">— a backbone that would bind a chosen</w:t>
      </w:r>
      <w:r>
        <w:t xml:space="preserve"> </w:t>
      </w:r>
      <w:r>
        <w:t xml:space="preserve">target, or simply hold together as a stable fold — what</w:t>
      </w:r>
      <w:r>
        <w:t xml:space="preserve"> </w:t>
      </w:r>
      <w:r>
        <w:rPr>
          <w:i/>
          <w:iCs/>
        </w:rPr>
        <w:t xml:space="preserve">sequence</w:t>
      </w:r>
      <w:r>
        <w:t xml:space="preserve"> </w:t>
      </w:r>
      <w:r>
        <w:t xml:space="preserve">should produce it, and can a backbone with that shape be generated in</w:t>
      </w:r>
      <w:r>
        <w:t xml:space="preserve"> </w:t>
      </w:r>
      <w:r>
        <w:t xml:space="preserve">the first place, rather than found by luck in the Protein Data Bank?</w:t>
      </w:r>
      <w:r>
        <w:t xml:space="preserve"> </w:t>
      </w:r>
      <w:r>
        <w:t xml:space="preserve">Splitting</w:t>
      </w:r>
      <w:r>
        <w:t xml:space="preserve"> </w:t>
      </w:r>
      <w:r>
        <w:t xml:space="preserve">“de novo design”</w:t>
      </w:r>
      <w:r>
        <w:t xml:space="preserve"> </w:t>
      </w:r>
      <w:r>
        <w:t xml:space="preserve">into exactly these two sub-problems —</w:t>
      </w:r>
      <w:r>
        <w:t xml:space="preserve"> </w:t>
      </w:r>
      <w:r>
        <w:t xml:space="preserve">backbone generation (Section 10.1) and sequence design conditioned on</w:t>
      </w:r>
      <w:r>
        <w:t xml:space="preserve"> </w:t>
      </w:r>
      <w:r>
        <w:t xml:space="preserve">a fixed backbone (Section 10.2) — is itself the field’s central</w:t>
      </w:r>
      <w:r>
        <w:t xml:space="preserve"> </w:t>
      </w:r>
      <w:r>
        <w:t xml:space="preserve">architectural decision, and this chapter’s hands-on project (Section</w:t>
      </w:r>
      <w:r>
        <w:t xml:space="preserve"> </w:t>
      </w:r>
      <w:r>
        <w:t xml:space="preserve">10.4) works entirely on the second half of that split, for reasons its</w:t>
      </w:r>
      <w:r>
        <w:t xml:space="preserve"> </w:t>
      </w:r>
      <w:r>
        <w:t xml:space="preserve">own feasibility investigation makes explicit before any code is run.</w:t>
      </w:r>
    </w:p>
    <w:bookmarkStart w:id="9" w:name="backbone-generation"/>
    <w:p>
      <w:pPr>
        <w:pStyle w:val="Heading2"/>
      </w:pPr>
      <w:r>
        <w:t xml:space="preserve">10.1 Backbone Generation</w:t>
      </w:r>
    </w:p>
    <w:p>
      <w:pPr>
        <w:pStyle w:val="FirstParagraph"/>
      </w:pPr>
      <w:r>
        <w:rPr>
          <w:b/>
          <w:bCs/>
        </w:rPr>
        <w:t xml:space="preserve">RFdiffusion</w:t>
      </w:r>
      <w:r>
        <w:t xml:space="preserve"> </w:t>
      </w:r>
      <w:r>
        <w:t xml:space="preserve">(Watson et al., 2023) reframes backbone generation as a</w:t>
      </w:r>
      <w:r>
        <w:t xml:space="preserve"> </w:t>
      </w:r>
      <w:r>
        <w:t xml:space="preserve">denoising diffusion process (the same generative principle Chapter 7</w:t>
      </w:r>
      <w:r>
        <w:t xml:space="preserve"> </w:t>
      </w:r>
      <w:r>
        <w:t xml:space="preserve">§7.4 introduced for 3D</w:t>
      </w:r>
      <w:r>
        <w:t xml:space="preserve"> </w:t>
      </w:r>
      <w:r>
        <w:rPr>
          <w:i/>
          <w:iCs/>
        </w:rPr>
        <w:t xml:space="preserve">molecular</w:t>
      </w:r>
      <w:r>
        <w:t xml:space="preserve"> </w:t>
      </w:r>
      <w:r>
        <w:t xml:space="preserve">structures) applied instead to</w:t>
      </w:r>
      <w:r>
        <w:t xml:space="preserve"> </w:t>
      </w:r>
      <w:r>
        <w:t xml:space="preserve">protein</w:t>
      </w:r>
      <w:r>
        <w:t xml:space="preserve"> </w:t>
      </w:r>
      <w:r>
        <w:rPr>
          <w:i/>
          <w:iCs/>
        </w:rPr>
        <w:t xml:space="preserve">backbones</w:t>
      </w:r>
      <w:r>
        <w:t xml:space="preserve">: a sequence of rigid-body frames, one per residue,</w:t>
      </w:r>
      <w:r>
        <w:t xml:space="preserve"> </w:t>
      </w:r>
      <w:r>
        <w:t xml:space="preserve">of exactly the kind Chapter 9 §9.1 described AlphaFold2’s structure</w:t>
      </w:r>
      <w:r>
        <w:t xml:space="preserve"> </w:t>
      </w:r>
      <w:r>
        <w:t xml:space="preserve">module producing as its</w:t>
      </w:r>
      <w:r>
        <w:t xml:space="preserve"> </w:t>
      </w:r>
      <w:r>
        <w:rPr>
          <w:i/>
          <w:iCs/>
        </w:rPr>
        <w:t xml:space="preserve">output</w:t>
      </w:r>
      <w:r>
        <w:t xml:space="preserve">. RFdiffusion runs that relationship in</w:t>
      </w:r>
      <w:r>
        <w:t xml:space="preserve"> </w:t>
      </w:r>
      <w:r>
        <w:t xml:space="preserve">reverse. Training corrupts real backbones by progressively randomizing</w:t>
      </w:r>
      <w:r>
        <w:t xml:space="preserve"> </w:t>
      </w:r>
      <w:r>
        <w:t xml:space="preserve">each residue’s frame — rotation and translation both — toward an</w:t>
      </w:r>
      <w:r>
        <w:t xml:space="preserve"> </w:t>
      </w:r>
      <w:r>
        <w:t xml:space="preserve">uninformative distribution over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(the group of rigid 3D</w:t>
      </w:r>
      <w:r>
        <w:t xml:space="preserve"> </w:t>
      </w:r>
      <w:r>
        <w:t xml:space="preserve">motions), and a network built on RoseTTAFold’s own architecture</w:t>
      </w:r>
      <w:r>
        <w:t xml:space="preserve"> </w:t>
      </w:r>
      <w:r>
        <w:t xml:space="preserve">(Chapter 9 §9.2) learns to reverse that corruption one small step at a</w:t>
      </w:r>
      <w:r>
        <w:t xml:space="preserve"> </w:t>
      </w:r>
      <w:r>
        <w:t xml:space="preserve">time. Sampling then starts from pure noise — frames scattered with</w:t>
      </w:r>
      <w:r>
        <w:t xml:space="preserve"> </w:t>
      </w:r>
      <w:r>
        <w:t xml:space="preserve">random orientation and position — and iteratively denoises them into a</w:t>
      </w:r>
      <w:r>
        <w:t xml:space="preserve"> </w:t>
      </w:r>
      <w:r>
        <w:t xml:space="preserve">physically plausible backbone, either completely unconditionally (a</w:t>
      </w:r>
      <w:r>
        <w:t xml:space="preserve"> </w:t>
      </w:r>
      <w:r>
        <w:t xml:space="preserve">novel fold with no target shape specified at all) or</w:t>
      </w:r>
      <w:r>
        <w:t xml:space="preserve"> </w:t>
      </w:r>
      <w:r>
        <w:rPr>
          <w:i/>
          <w:iCs/>
        </w:rPr>
        <w:t xml:space="preserve">conditioned</w:t>
      </w:r>
      <w:r>
        <w:t xml:space="preserve"> </w:t>
      </w:r>
      <w:r>
        <w:t xml:space="preserve">on a</w:t>
      </w:r>
      <w:r>
        <w:t xml:space="preserve"> </w:t>
      </w:r>
      <w:r>
        <w:t xml:space="preserve">fixed motif: a target protein’s binding surface, held fixed throughout</w:t>
      </w:r>
      <w:r>
        <w:t xml:space="preserve"> </w:t>
      </w:r>
      <w:r>
        <w:t xml:space="preserve">sampling, around which the rest of the backbone is generated to make</w:t>
      </w:r>
      <w:r>
        <w:t xml:space="preserve"> </w:t>
      </w:r>
      <w:r>
        <w:t xml:space="preserve">contact — exactly the</w:t>
      </w:r>
      <w:r>
        <w:t xml:space="preserve"> </w:t>
      </w:r>
      <w:r>
        <w:t xml:space="preserve">“binder design”</w:t>
      </w:r>
      <w:r>
        <w:t xml:space="preserve"> </w:t>
      </w:r>
      <w:r>
        <w:t xml:space="preserve">mode of most direct relevance to</w:t>
      </w:r>
      <w:r>
        <w:t xml:space="preserve"> </w:t>
      </w:r>
      <w:r>
        <w:t xml:space="preserve">this chapter’s own hands-on target-binding peptide problem, and to</w:t>
      </w:r>
      <w:r>
        <w:t xml:space="preserve"> </w:t>
      </w:r>
      <w:r>
        <w:t xml:space="preserve">Chapter 11’s docking-based validation of designed binders. Watson et</w:t>
      </w:r>
      <w:r>
        <w:t xml:space="preserve"> </w:t>
      </w:r>
      <w:r>
        <w:t xml:space="preserve">al. (2023) validate designs from every one of these modes</w:t>
      </w:r>
      <w:r>
        <w:t xml:space="preserve"> </w:t>
      </w:r>
      <w:r>
        <w:t xml:space="preserve">experimentally (not just computationally): x-ray crystallography and</w:t>
      </w:r>
      <w:r>
        <w:t xml:space="preserve"> </w:t>
      </w:r>
      <w:r>
        <w:t xml:space="preserve">cryo-EM structures of expressed, purified designed proteins matching</w:t>
      </w:r>
      <w:r>
        <w:t xml:space="preserve"> </w:t>
      </w:r>
      <w:r>
        <w:t xml:space="preserve">the intended generated backbones.</w:t>
      </w:r>
    </w:p>
    <w:p>
      <w:pPr>
        <w:pStyle w:val="BodyText"/>
      </w:pPr>
      <w:r>
        <w:rPr>
          <w:b/>
          <w:bCs/>
        </w:rPr>
        <w:t xml:space="preserve">A feasibility investigation, before any code was written.</w:t>
      </w:r>
      <w:r>
        <w:t xml:space="preserve"> </w:t>
      </w:r>
      <w:r>
        <w:t xml:space="preserve">Before</w:t>
      </w:r>
      <w:r>
        <w:t xml:space="preserve"> </w:t>
      </w:r>
      <w:r>
        <w:t xml:space="preserve">committing to RFdiffusion for this chapter’s hands-on project, its real</w:t>
      </w:r>
      <w:r>
        <w:t xml:space="preserve"> </w:t>
      </w:r>
      <w:r>
        <w:t xml:space="preserve">installation requirements were checked directly against the current</w:t>
      </w:r>
      <w:r>
        <w:t xml:space="preserve"> </w:t>
      </w:r>
      <w:r>
        <w:rPr>
          <w:rStyle w:val="VerbatimChar"/>
        </w:rPr>
        <w:t xml:space="preserve">RosettaCommons/RFdiffusion</w:t>
      </w:r>
      <w:r>
        <w:t xml:space="preserve"> </w:t>
      </w:r>
      <w:r>
        <w:t xml:space="preserve">GitHub repository rather than assumed.</w:t>
      </w:r>
      <w:r>
        <w:t xml:space="preserve"> </w:t>
      </w:r>
      <w:r>
        <w:t xml:space="preserve">Three things ruled it out for this book’s runtime target (a free-tier</w:t>
      </w:r>
      <w:r>
        <w:t xml:space="preserve"> </w:t>
      </w:r>
      <w:r>
        <w:t xml:space="preserve">Google Colab CPU/GPU instance, or the CPU-only ~16 GB RAM development</w:t>
      </w:r>
      <w:r>
        <w:t xml:space="preserve"> </w:t>
      </w:r>
      <w:r>
        <w:t xml:space="preserve">environment this book’s code is authored and tested in): (1) it depends</w:t>
      </w:r>
      <w:r>
        <w:t xml:space="preserve"> </w:t>
      </w:r>
      <w:r>
        <w:t xml:space="preserve">on NVIDIA’s SE(3)-Transformer implementation, installed from source via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conda</w:t>
      </w:r>
      <w:r>
        <w:t xml:space="preserve"> </w:t>
      </w:r>
      <w:r>
        <w:t xml:space="preserve">environment pinned to CUDA 11.1-era package versions that</w:t>
      </w:r>
      <w:r>
        <w:t xml:space="preserve"> </w:t>
      </w:r>
      <w:r>
        <w:t xml:space="preserve">need per-user customization to run on newer GPUs, not a pip-installable</w:t>
      </w:r>
      <w:r>
        <w:t xml:space="preserve"> </w:t>
      </w:r>
      <w:r>
        <w:t xml:space="preserve">package; (2) its own README states setup</w:t>
      </w:r>
      <w:r>
        <w:t xml:space="preserve"> </w:t>
      </w:r>
      <w:r>
        <w:t xml:space="preserve">“should take less than 30</w:t>
      </w:r>
      <w:r>
        <w:t xml:space="preserve"> </w:t>
      </w:r>
      <w:r>
        <w:t xml:space="preserve">minutes on a standard desktop computer”</w:t>
      </w:r>
      <w:r>
        <w:t xml:space="preserve"> </w:t>
      </w:r>
      <w:r>
        <w:t xml:space="preserve">assuming that CUDA/conda stack</w:t>
      </w:r>
      <w:r>
        <w:t xml:space="preserve"> </w:t>
      </w:r>
      <w:r>
        <w:t xml:space="preserve">already resolves cleanly, which is a real, nontrivial</w:t>
      </w:r>
      <w:r>
        <w:t xml:space="preserve"> </w:t>
      </w:r>
      <w:r>
        <w:t xml:space="preserve">dependency-resolution risk on a from-scratch install, let alone a CPU-only one;</w:t>
      </w:r>
      <w:r>
        <w:t xml:space="preserve"> </w:t>
      </w:r>
      <w:r>
        <w:t xml:space="preserve">and (3) inference requires downloading multiple real model checkpoints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Base_ckpt.pt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Complex_base_ckpt.pt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Complex_Fold_base_ckpt.pt</w:t>
      </w:r>
      <w:r>
        <w:t xml:space="preserve">,</w:t>
      </w:r>
      <w:r>
        <w:t xml:space="preserve"> </w:t>
      </w:r>
      <w:r>
        <w:t xml:space="preserve">and others) from</w:t>
      </w:r>
      <w:r>
        <w:t xml:space="preserve"> </w:t>
      </w:r>
      <w:r>
        <w:rPr>
          <w:rStyle w:val="VerbatimChar"/>
        </w:rPr>
        <w:t xml:space="preserve">files.ipd.uw.edu</w:t>
      </w:r>
      <w:r>
        <w:t xml:space="preserve">, collectively several gigabytes,</w:t>
      </w:r>
      <w:r>
        <w:t xml:space="preserve"> </w:t>
      </w:r>
      <w:r>
        <w:t xml:space="preserve">for a diffusion sampling process whose per-step compute cost — dozens</w:t>
      </w:r>
      <w:r>
        <w:t xml:space="preserve"> </w:t>
      </w:r>
      <w:r>
        <w:t xml:space="preserve">of forward passes through a RoseTTAFold-scale network per generated</w:t>
      </w:r>
      <w:r>
        <w:t xml:space="preserve"> </w:t>
      </w:r>
      <w:r>
        <w:t xml:space="preserve">backbone — assumes GPU acceleration throughout; a CPU fallback exists</w:t>
      </w:r>
      <w:r>
        <w:t xml:space="preserve"> </w:t>
      </w:r>
      <w:r>
        <w:t xml:space="preserve">in principle but was not something this book’s authoring environment</w:t>
      </w:r>
      <w:r>
        <w:t xml:space="preserve"> </w:t>
      </w:r>
      <w:r>
        <w:t xml:space="preserve">could validate in reasonable time. This is the same category of</w:t>
      </w:r>
      <w:r>
        <w:t xml:space="preserve"> </w:t>
      </w:r>
      <w:r>
        <w:t xml:space="preserve">constraint Chapter 9 §9.4 hit with the full local</w:t>
      </w:r>
      <w:r>
        <w:t xml:space="preserve"> </w:t>
      </w:r>
      <w:r>
        <w:rPr>
          <w:rStyle w:val="VerbatimChar"/>
        </w:rPr>
        <w:t xml:space="preserve">esmfold_v1</w:t>
      </w:r>
      <w:r>
        <w:t xml:space="preserve"> </w:t>
      </w:r>
      <w:r>
        <w:t xml:space="preserve">checkpoint, but here there is no equivalent lightweight public</w:t>
      </w:r>
      <w:r>
        <w:t xml:space="preserve"> </w:t>
      </w:r>
      <w:r>
        <w:t xml:space="preserve">inference API standing in for it the way the ESM Metagenomic Atlas API</w:t>
      </w:r>
      <w:r>
        <w:t xml:space="preserve"> </w:t>
      </w:r>
      <w:r>
        <w:t xml:space="preserve">did for ESMFold — RFdiffusion has no comparably simple hosted endpoint,</w:t>
      </w:r>
      <w:r>
        <w:t xml:space="preserve"> </w:t>
      </w:r>
      <w:r>
        <w:t xml:space="preserve">only a Colab notebook (itself requiring a GPU runtime) and a Docker</w:t>
      </w:r>
      <w:r>
        <w:t xml:space="preserve"> </w:t>
      </w:r>
      <w:r>
        <w:t xml:space="preserve">image (requiring the same underlying CUDA stack). Section 10.1 therefore</w:t>
      </w:r>
      <w:r>
        <w:t xml:space="preserve"> </w:t>
      </w:r>
      <w:r>
        <w:t xml:space="preserve">covers RFdiffusion as theory only; Section 10.4’s hands-on project</w:t>
      </w:r>
      <w:r>
        <w:t xml:space="preserve"> </w:t>
      </w:r>
      <w:r>
        <w:t xml:space="preserve">starts from real, already-solved backbones (Chapter 9’s bundled 1UBQ,</w:t>
      </w:r>
      <w:r>
        <w:t xml:space="preserve"> </w:t>
      </w:r>
      <w:r>
        <w:t xml:space="preserve">and this chapter’s own 1YCR) rather than generating new ones, and says</w:t>
      </w:r>
      <w:r>
        <w:t xml:space="preserve"> </w:t>
      </w:r>
      <w:r>
        <w:t xml:space="preserve">so explicitly rather than silently substituting one for the other.</w:t>
      </w:r>
    </w:p>
    <w:bookmarkEnd w:id="9"/>
    <w:bookmarkStart w:id="10" w:name="sequence-design-inverse-folding"/>
    <w:p>
      <w:pPr>
        <w:pStyle w:val="Heading2"/>
      </w:pPr>
      <w:r>
        <w:t xml:space="preserve">10.2 Sequence Design (Inverse Folding)</w:t>
      </w:r>
    </w:p>
    <w:p>
      <w:pPr>
        <w:pStyle w:val="FirstParagraph"/>
      </w:pPr>
      <w:r>
        <w:t xml:space="preserve">Whether a backbone comes from RFdiffusion, from a real crystal</w:t>
      </w:r>
      <w:r>
        <w:t xml:space="preserve"> </w:t>
      </w:r>
      <w:r>
        <w:t xml:space="preserve">structure, or from any other source, it is not yet a protein: an amino</w:t>
      </w:r>
      <w:r>
        <w:t xml:space="preserve"> </w:t>
      </w:r>
      <w:r>
        <w:t xml:space="preserve">acid sequence still has to be chosen that will actually fold into that</w:t>
      </w:r>
      <w:r>
        <w:t xml:space="preserve"> </w:t>
      </w:r>
      <w:r>
        <w:t xml:space="preserve">exact shape. This is</w:t>
      </w:r>
      <w:r>
        <w:t xml:space="preserve"> </w:t>
      </w:r>
      <w:r>
        <w:rPr>
          <w:b/>
          <w:bCs/>
        </w:rPr>
        <w:t xml:space="preserve">inverse folding</w:t>
      </w:r>
      <w:r>
        <w:t xml:space="preserve"> </w:t>
      </w:r>
      <w:r>
        <w:t xml:space="preserve">— literally the inverse of</w:t>
      </w:r>
      <w:r>
        <w:t xml:space="preserve"> </w:t>
      </w:r>
      <w:r>
        <w:t xml:space="preserve">Chapter 9’s own subject, predicting sequence from structure rather than</w:t>
      </w:r>
      <w:r>
        <w:t xml:space="preserve"> </w:t>
      </w:r>
      <w:r>
        <w:t xml:space="preserve">structure from sequence — and</w:t>
      </w:r>
      <w:r>
        <w:t xml:space="preserve"> </w:t>
      </w:r>
      <w:r>
        <w:rPr>
          <w:b/>
          <w:bCs/>
        </w:rPr>
        <w:t xml:space="preserve">ProteinMPNN</w:t>
      </w:r>
      <w:r>
        <w:t xml:space="preserve"> </w:t>
      </w:r>
      <w:r>
        <w:t xml:space="preserve">(Dauparas et al., 2022)</w:t>
      </w:r>
      <w:r>
        <w:t xml:space="preserve"> </w:t>
      </w:r>
      <w:r>
        <w:t xml:space="preserve">is this chapter’s hands-on model for it.</w:t>
      </w:r>
    </w:p>
    <w:p>
      <w:pPr>
        <w:pStyle w:val="BodyText"/>
      </w:pPr>
      <w:r>
        <w:t xml:space="preserve">Given a fixed backbone (Cα, N, C, and O coordinates for every residue,</w:t>
      </w:r>
      <w:r>
        <w:t xml:space="preserve"> </w:t>
      </w:r>
      <w:r>
        <w:t xml:space="preserve">no side chains), ProteinMPNN represents it as a graph — each residue a</w:t>
      </w:r>
      <w:r>
        <w:t xml:space="preserve"> </w:t>
      </w:r>
      <w:r>
        <w:t xml:space="preserve">node, edges connecting each residue to its k nearest spatial neighbors</w:t>
      </w:r>
      <w:r>
        <w:t xml:space="preserve"> </w:t>
      </w:r>
      <w:r>
        <w:t xml:space="preserve">(k=48 in the checkpoint this chapter uses) — and processes it with a</w:t>
      </w:r>
      <w:r>
        <w:t xml:space="preserve"> </w:t>
      </w:r>
      <w:r>
        <w:t xml:space="preserve">message-passing encoder structurally similar in spirit to Chapter 6</w:t>
      </w:r>
      <w:r>
        <w:t xml:space="preserve"> </w:t>
      </w:r>
      <w:r>
        <w:t xml:space="preserve">§6.3’s MPNN, updating each node’s representation from its geometric</w:t>
      </w:r>
      <w:r>
        <w:t xml:space="preserve"> </w:t>
      </w:r>
      <w:r>
        <w:t xml:space="preserve">neighborhood alone (distances, orientations — never a specific amino</w:t>
      </w:r>
      <w:r>
        <w:t xml:space="preserve"> </w:t>
      </w:r>
      <w:r>
        <w:t xml:space="preserve">acid identity, since none exists yet). A decoder then generates the</w:t>
      </w:r>
      <w:r>
        <w:t xml:space="preserve"> </w:t>
      </w:r>
      <w:r>
        <w:t xml:space="preserve">sequence autoregressively, one residue at a time, each step</w:t>
      </w:r>
      <w:r>
        <w:t xml:space="preserve"> </w:t>
      </w:r>
      <w:r>
        <w:t xml:space="preserve">conditioned on the encoder’s structural embeddings and every previously</w:t>
      </w:r>
      <w:r>
        <w:t xml:space="preserve"> </w:t>
      </w:r>
      <w:r>
        <w:t xml:space="preserve">decoded residue,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∣</m:t>
          </m:r>
          <m:r>
            <m:rPr>
              <m:nor/>
              <m:sty m:val="p"/>
            </m:rPr>
            <m:t>backbone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L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θ</m:t>
                  </m:r>
                </m:sub>
              </m:sSub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s</m:t>
                  </m:r>
                </m:e>
                <m:sub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backbone</m:t>
              </m:r>
            </m:e>
          </m:d>
        </m:oMath>
      </m:oMathPara>
    </w:p>
    <w:p>
      <w:pPr>
        <w:pStyle w:val="FirstParagraph"/>
      </w:pPr>
      <w:r>
        <w:t xml:space="preserve">— the same autoregressive factorization Chapter 7 §7.3 used for</w:t>
      </w:r>
      <w:r>
        <w:t xml:space="preserve"> </w:t>
      </w:r>
      <w:r>
        <w:rPr>
          <w:i/>
          <w:iCs/>
        </w:rPr>
        <w:t xml:space="preserve">generating</w:t>
      </w:r>
      <w:r>
        <w:t xml:space="preserve"> </w:t>
      </w:r>
      <w:r>
        <w:t xml:space="preserve">molecules from nothing, here instead generating a sequence</w:t>
      </w:r>
      <w:r>
        <w:t xml:space="preserve"> </w:t>
      </w:r>
      <w:r>
        <w:rPr>
          <w:i/>
          <w:iCs/>
        </w:rPr>
        <w:t xml:space="preserve">conditioned on</w:t>
      </w:r>
      <w:r>
        <w:t xml:space="preserve"> </w:t>
      </w:r>
      <w:r>
        <w:t xml:space="preserve">a fixed 3D structure it must actually fit. Critically,</w:t>
      </w:r>
      <w:r>
        <w:t xml:space="preserve"> </w:t>
      </w:r>
      <w:r>
        <w:t xml:space="preserve">the decoding order is not fixed left-to-right: at both training and</w:t>
      </w:r>
      <w:r>
        <w:t xml:space="preserve"> </w:t>
      </w:r>
      <w:r>
        <w:t xml:space="preserve">inference time it is randomly permuted per sample, so no position is</w:t>
      </w:r>
      <w:r>
        <w:t xml:space="preserve"> </w:t>
      </w:r>
      <w:r>
        <w:t xml:space="preserve">structurally privileged as</w:t>
      </w:r>
      <w:r>
        <w:t xml:space="preserve"> </w:t>
      </w:r>
      <w:r>
        <w:t xml:space="preserve">“first”</w:t>
      </w:r>
      <w:r>
        <w:t xml:space="preserve"> </w:t>
      </w:r>
      <w:r>
        <w:t xml:space="preserve">or</w:t>
      </w:r>
      <w:r>
        <w:t xml:space="preserve"> </w:t>
      </w:r>
      <w:r>
        <w:t xml:space="preserve">“last,”</w:t>
      </w:r>
      <w:r>
        <w:t xml:space="preserve"> </w:t>
      </w:r>
      <w:r>
        <w:t xml:space="preserve">a design choice Dauparas</w:t>
      </w:r>
      <w:r>
        <w:t xml:space="preserve"> </w:t>
      </w:r>
      <w:r>
        <w:t xml:space="preserve">et al. (2022) report improves robustness precisely because a real</w:t>
      </w:r>
      <w:r>
        <w:t xml:space="preserve"> </w:t>
      </w:r>
      <w:r>
        <w:t xml:space="preserve">backbone imposes no left-to-right ordering on which residues constrain</w:t>
      </w:r>
      <w:r>
        <w:t xml:space="preserve"> </w:t>
      </w:r>
      <w:r>
        <w:t xml:space="preserve">which others. Multiple chains can be decoded jointly with some marked</w:t>
      </w:r>
      <w:r>
        <w:t xml:space="preserve"> </w:t>
      </w:r>
      <w:r>
        <w:t xml:space="preserve">fixed (their real sequence supplied and never resampled) and others</w:t>
      </w:r>
      <w:r>
        <w:t xml:space="preserve"> </w:t>
      </w:r>
      <w:r>
        <w:t xml:space="preserve">marked for design — the officially supported mechanism this chapter’s</w:t>
      </w:r>
      <w:r>
        <w:t xml:space="preserve"> </w:t>
      </w:r>
      <w:r>
        <w:t xml:space="preserve">own binder-only redesign experiment uses directly, letting a target</w:t>
      </w:r>
      <w:r>
        <w:t xml:space="preserve"> </w:t>
      </w:r>
      <w:r>
        <w:t xml:space="preserve">protein’s real sequence stay fixed while only a binding partner’s</w:t>
      </w:r>
      <w:r>
        <w:t xml:space="preserve"> </w:t>
      </w:r>
      <w:r>
        <w:t xml:space="preserve">sequence is redesigned for a shared, fixed backbone.</w:t>
      </w:r>
    </w:p>
    <w:p>
      <w:pPr>
        <w:pStyle w:val="BodyText"/>
      </w:pPr>
      <w:r>
        <w:t xml:space="preserve">Dauparas et al. (2022) report ProteinMPNN reaches 52.4%</w:t>
      </w:r>
      <w:r>
        <w:t xml:space="preserve"> </w:t>
      </w:r>
      <w:r>
        <w:rPr>
          <w:b/>
          <w:bCs/>
        </w:rPr>
        <w:t xml:space="preserve">native</w:t>
      </w:r>
      <w:r>
        <w:rPr>
          <w:b/>
          <w:bCs/>
        </w:rPr>
        <w:t xml:space="preserve"> </w:t>
      </w:r>
      <w:r>
        <w:rPr>
          <w:b/>
          <w:bCs/>
        </w:rPr>
        <w:t xml:space="preserve">sequence recovery</w:t>
      </w:r>
      <w:r>
        <w:t xml:space="preserve"> </w:t>
      </w:r>
      <w:r>
        <w:t xml:space="preserve">averaged across their benchmark set of real protein</w:t>
      </w:r>
      <w:r>
        <w:t xml:space="preserve"> </w:t>
      </w:r>
      <w:r>
        <w:t xml:space="preserve">backbones — i.e., on average, just over half of the amino acids</w:t>
      </w:r>
      <w:r>
        <w:t xml:space="preserve"> </w:t>
      </w:r>
      <w:r>
        <w:t xml:space="preserve">ProteinMPNN independently chooses for a real backbone match the real,</w:t>
      </w:r>
      <w:r>
        <w:t xml:space="preserve"> </w:t>
      </w:r>
      <w:r>
        <w:t xml:space="preserve">naturally evolved sequence that backbone actually has — compared with</w:t>
      </w:r>
      <w:r>
        <w:t xml:space="preserve"> </w:t>
      </w:r>
      <w:r>
        <w:t xml:space="preserve">32.9% for Rosetta, the physics-based design method it was benchmarked</w:t>
      </w:r>
      <w:r>
        <w:t xml:space="preserve"> </w:t>
      </w:r>
      <w:r>
        <w:t xml:space="preserve">against. Section 10.4 measures this same statistic directly, on one</w:t>
      </w:r>
      <w:r>
        <w:t xml:space="preserve"> </w:t>
      </w:r>
      <w:r>
        <w:t xml:space="preserve">real backbone, rather than only citing the published aggregate.</w:t>
      </w:r>
    </w:p>
    <w:bookmarkEnd w:id="10"/>
    <w:bookmarkStart w:id="11" w:name="antibody-peptide-engineering"/>
    <w:p>
      <w:pPr>
        <w:pStyle w:val="Heading2"/>
      </w:pPr>
      <w:r>
        <w:t xml:space="preserve">10.3 Antibody &amp; Peptide Engineering</w:t>
      </w:r>
    </w:p>
    <w:p>
      <w:pPr>
        <w:pStyle w:val="FirstParagraph"/>
      </w:pPr>
      <w:r>
        <w:t xml:space="preserve">Sections 10.1-10.2’s general backbone-generation-then-sequence-design</w:t>
      </w:r>
      <w:r>
        <w:t xml:space="preserve"> </w:t>
      </w:r>
      <w:r>
        <w:t xml:space="preserve">pipeline extends directly to two design problems of particular</w:t>
      </w:r>
      <w:r>
        <w:t xml:space="preserve"> </w:t>
      </w:r>
      <w:r>
        <w:t xml:space="preserve">pharmaceutical relevance: designing short peptides that bind a chosen</w:t>
      </w:r>
      <w:r>
        <w:t xml:space="preserve"> </w:t>
      </w:r>
      <w:r>
        <w:t xml:space="preserve">target with high affinity, and designing the</w:t>
      </w:r>
      <w:r>
        <w:t xml:space="preserve"> </w:t>
      </w:r>
      <w:r>
        <w:t xml:space="preserve">complementarity-determining regions (CDRs) of antibodies — the hypervariable loops</w:t>
      </w:r>
      <w:r>
        <w:t xml:space="preserve"> </w:t>
      </w:r>
      <w:r>
        <w:t xml:space="preserve">that make essentially all of an antibody’s contact with its antigen —</w:t>
      </w:r>
      <w:r>
        <w:t xml:space="preserve"> </w:t>
      </w:r>
      <w:r>
        <w:t xml:space="preserve">rather than an entire fold from scratch.</w:t>
      </w:r>
    </w:p>
    <w:p>
      <w:pPr>
        <w:pStyle w:val="BodyText"/>
      </w:pPr>
      <w:r>
        <w:rPr>
          <w:b/>
          <w:bCs/>
        </w:rPr>
        <w:t xml:space="preserve">High-affinity peptide binders.</w:t>
      </w:r>
      <w:r>
        <w:t xml:space="preserve"> </w:t>
      </w:r>
      <w:r>
        <w:t xml:space="preserve">Vázquez Torres et al. (2024) apply</w:t>
      </w:r>
      <w:r>
        <w:t xml:space="preserve"> </w:t>
      </w:r>
      <w:r>
        <w:t xml:space="preserve">RFdiffusion (with a helix-scaffolding variant tuned specifically for</w:t>
      </w:r>
      <w:r>
        <w:t xml:space="preserve"> </w:t>
      </w:r>
      <w:r>
        <w:t xml:space="preserve">short, often partially disordered target peptides) plus ProteinMPNN</w:t>
      </w:r>
      <w:r>
        <w:t xml:space="preserve"> </w:t>
      </w:r>
      <w:r>
        <w:t xml:space="preserve">sequence design plus AlphaFold2-based filtering (Chapter 9 §9.1) to</w:t>
      </w:r>
      <w:r>
        <w:t xml:space="preserve"> </w:t>
      </w:r>
      <w:r>
        <w:t xml:space="preserve">design novel binders against several bioactive helical peptide targets,</w:t>
      </w:r>
      <w:r>
        <w:t xml:space="preserve"> </w:t>
      </w:r>
      <w:r>
        <w:t xml:space="preserve">validating designs experimentally with binding affinities in the</w:t>
      </w:r>
      <w:r>
        <w:t xml:space="preserve"> </w:t>
      </w:r>
      <w:r>
        <w:t xml:space="preserve">nanomolar range for some targets — a direct, real precedent for</w:t>
      </w:r>
      <w:r>
        <w:t xml:space="preserve"> </w:t>
      </w:r>
      <w:r>
        <w:t xml:space="preserve">Section 10.4’s own much smaller-scale target-binding peptide exercise,</w:t>
      </w:r>
      <w:r>
        <w:t xml:space="preserve"> </w:t>
      </w:r>
      <w:r>
        <w:t xml:space="preserve">and a concrete illustration of the three-stage pipeline (generate,</w:t>
      </w:r>
      <w:r>
        <w:t xml:space="preserve"> </w:t>
      </w:r>
      <w:r>
        <w:t xml:space="preserve">design, filter) this book’s chapters 9-11 build toward in combination.</w:t>
      </w:r>
    </w:p>
    <w:p>
      <w:pPr>
        <w:pStyle w:val="BodyText"/>
      </w:pPr>
      <w:r>
        <w:rPr>
          <w:b/>
          <w:bCs/>
        </w:rPr>
        <w:t xml:space="preserve">Antibody CDR design.</w:t>
      </w:r>
      <w:r>
        <w:t xml:space="preserve"> </w:t>
      </w:r>
      <w:r>
        <w:t xml:space="preserve">Antibodies pose a structurally distinct</w:t>
      </w:r>
      <w:r>
        <w:t xml:space="preserve"> </w:t>
      </w:r>
      <w:r>
        <w:t xml:space="preserve">version of the same problem: the CDR loops occupy a small, well-defined</w:t>
      </w:r>
      <w:r>
        <w:t xml:space="preserve"> </w:t>
      </w:r>
      <w:r>
        <w:t xml:space="preserve">region of an otherwise conserved immunoglobulin scaffold, so design</w:t>
      </w:r>
      <w:r>
        <w:t xml:space="preserve"> </w:t>
      </w:r>
      <w:r>
        <w:t xml:space="preserve">methods built for general backbone generation need adaptation to that</w:t>
      </w:r>
      <w:r>
        <w:t xml:space="preserve"> </w:t>
      </w:r>
      <w:r>
        <w:t xml:space="preserve">specific geometry. Cutting et al. (2025) train a dedicated</w:t>
      </w:r>
      <w:r>
        <w:t xml:space="preserve"> </w:t>
      </w:r>
      <m:oMath>
        <m:r>
          <m:t>S</m:t>
        </m:r>
        <m:r>
          <m:t>E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diffusion model directly on antibody variable-domain structures — the</w:t>
      </w:r>
      <w:r>
        <w:t xml:space="preserve"> </w:t>
      </w:r>
      <w:r>
        <w:t xml:space="preserve">same rigid-frame diffusion principle as RFdiffusion (Section 10.1),</w:t>
      </w:r>
      <w:r>
        <w:t xml:space="preserve"> </w:t>
      </w:r>
      <w:r>
        <w:t xml:space="preserve">specialized to the CDR-loop generation problem rather than applied to</w:t>
      </w:r>
      <w:r>
        <w:t xml:space="preserve"> </w:t>
      </w:r>
      <w:r>
        <w:t xml:space="preserve">general backbones — reporting designed loops with realistic length and</w:t>
      </w:r>
      <w:r>
        <w:t xml:space="preserve"> </w:t>
      </w:r>
      <w:r>
        <w:t xml:space="preserve">conformational diversity relative to real antibody repertoires. Neither</w:t>
      </w:r>
      <w:r>
        <w:t xml:space="preserve"> </w:t>
      </w:r>
      <w:r>
        <w:t xml:space="preserve">this specialized antibody model nor RFdiffusion’s own</w:t>
      </w:r>
      <w:r>
        <w:t xml:space="preserve"> </w:t>
      </w:r>
      <w:r>
        <w:t xml:space="preserve">general binder-design mode is run in this chapter’s hands-on project, for the same</w:t>
      </w:r>
      <w:r>
        <w:t xml:space="preserve"> </w:t>
      </w:r>
      <w:r>
        <w:t xml:space="preserve">feasibility reasons detailed in Section 10.1; both are covered here as</w:t>
      </w:r>
      <w:r>
        <w:t xml:space="preserve"> </w:t>
      </w:r>
      <w:r>
        <w:t xml:space="preserve">the theoretical bridge from single-peptide binder design (Section</w:t>
      </w:r>
      <w:r>
        <w:t xml:space="preserve"> </w:t>
      </w:r>
      <w:r>
        <w:t xml:space="preserve">10.4’s own scope) to the antibody-specific design problem, a natural</w:t>
      </w:r>
      <w:r>
        <w:t xml:space="preserve"> </w:t>
      </w:r>
      <w:r>
        <w:t xml:space="preserve">next extension this chapter does not itself attempt.</w:t>
      </w:r>
    </w:p>
    <w:bookmarkEnd w:id="11"/>
    <w:bookmarkStart w:id="23" w:name="Xcb713c4b22cd4ad2cb48214a02fc3def082d3e0"/>
    <w:p>
      <w:pPr>
        <w:pStyle w:val="Heading2"/>
      </w:pPr>
      <w:r>
        <w:t xml:space="preserve">10.4 Hands-on Project: ProteinMPNN Sequence Design, Validated Against Real Ground Truth</w:t>
      </w:r>
    </w:p>
    <w:p>
      <w:pPr>
        <w:pStyle w:val="FirstParagraph"/>
      </w:pPr>
      <w:r>
        <w:t xml:space="preserve">The project code lives in this chapter’s folder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ch10_protein_design/</w:t>
      </w:r>
      <w:r>
        <w:t xml:space="preserve">). Given Section 10.1’s feasibility finding,</w:t>
      </w:r>
      <w:r>
        <w:t xml:space="preserve"> </w:t>
      </w:r>
      <w:r>
        <w:t xml:space="preserve">this project starts from</w:t>
      </w:r>
      <w:r>
        <w:t xml:space="preserve"> </w:t>
      </w:r>
      <w:r>
        <w:rPr>
          <w:b/>
          <w:bCs/>
        </w:rPr>
        <w:t xml:space="preserve">real, already-solved backbones</w:t>
      </w:r>
      <w:r>
        <w:t xml:space="preserve"> </w:t>
      </w:r>
      <w:r>
        <w:t xml:space="preserve">rather than</w:t>
      </w:r>
      <w:r>
        <w:t xml:space="preserve"> </w:t>
      </w:r>
      <w:r>
        <w:t xml:space="preserve">RFdiffusion-generated ones, and puts ProteinMPNN’s design output through</w:t>
      </w:r>
      <w:r>
        <w:t xml:space="preserve"> </w:t>
      </w:r>
      <w:r>
        <w:t xml:space="preserve">two different kinds of real validation.</w:t>
      </w:r>
    </w:p>
    <w:bookmarkStart w:id="12" w:name="real-data-two-real-backbones"/>
    <w:p>
      <w:pPr>
        <w:pStyle w:val="Heading3"/>
      </w:pPr>
      <w:r>
        <w:t xml:space="preserve">Real data: two real backbones</w:t>
      </w:r>
    </w:p>
    <w:p>
      <w:pPr>
        <w:pStyle w:val="FirstParagraph"/>
      </w:pPr>
      <w:r>
        <w:rPr>
          <w:b/>
          <w:bCs/>
        </w:rPr>
        <w:t xml:space="preserve">PDB 1UBQ</w:t>
      </w:r>
      <w:r>
        <w:t xml:space="preserve"> </w:t>
      </w:r>
      <w:r>
        <w:t xml:space="preserve">(Vijay-Kumar et al., 1987): human ubiquitin, 76 residues,</w:t>
      </w:r>
      <w:r>
        <w:t xml:space="preserve"> </w:t>
      </w:r>
      <w:r>
        <w:t xml:space="preserve">1.8-Å resolution — the same real crystal structure Chapter 9 validated</w:t>
      </w:r>
      <w:r>
        <w:t xml:space="preserve"> </w:t>
      </w:r>
      <w:r>
        <w:t xml:space="preserve">ESMFold’s confidence against, reused here for direct continuity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data/1UBQ.pdb</w:t>
      </w:r>
      <w:r>
        <w:t xml:space="preserve">, refetched fresh into this chapter’s own folder per</w:t>
      </w:r>
      <w:r>
        <w:t xml:space="preserve"> </w:t>
      </w:r>
      <w:r>
        <w:t xml:space="preserve">this book’s per-chapter self-containment convention).</w:t>
      </w:r>
    </w:p>
    <w:p>
      <w:pPr>
        <w:pStyle w:val="BodyText"/>
      </w:pPr>
      <w:r>
        <w:rPr>
          <w:b/>
          <w:bCs/>
        </w:rPr>
        <w:t xml:space="preserve">PDB 1YCR</w:t>
      </w:r>
      <w:r>
        <w:t xml:space="preserve"> </w:t>
      </w:r>
      <w:r>
        <w:t xml:space="preserve">(Kussie et al., 1996): the MDM2 oncoprotein (chain A, 85</w:t>
      </w:r>
      <w:r>
        <w:t xml:space="preserve"> </w:t>
      </w:r>
      <w:r>
        <w:t xml:space="preserve">resolved residues) bound to the p53 transactivation-domain peptide</w:t>
      </w:r>
      <w:r>
        <w:t xml:space="preserve"> </w:t>
      </w:r>
      <w:r>
        <w:t xml:space="preserve">(chain B, 13 resolved residues, real sequence</w:t>
      </w:r>
      <w:r>
        <w:t xml:space="preserve"> </w:t>
      </w:r>
      <w:r>
        <w:rPr>
          <w:rStyle w:val="VerbatimChar"/>
        </w:rPr>
        <w:t xml:space="preserve">ETFSDLWKLLPEN</w:t>
      </w:r>
      <w:r>
        <w:t xml:space="preserve">, PDB</w:t>
      </w:r>
      <w:r>
        <w:t xml:space="preserve"> </w:t>
      </w:r>
      <w:r>
        <w:t xml:space="preserve">residue numbers 17-29 — two further N-terminal residues, 15-16, are</w:t>
      </w:r>
      <w:r>
        <w:t xml:space="preserve"> </w:t>
      </w:r>
      <w:r>
        <w:t xml:space="preserve">present in the construct but unresolved in the electron density and</w:t>
      </w:r>
      <w:r>
        <w:t xml:space="preserve"> </w:t>
      </w:r>
      <w:r>
        <w:t xml:space="preserve">excluded here along with everything else the crystal structure does</w:t>
      </w:r>
      <w:r>
        <w:t xml:space="preserve"> </w:t>
      </w:r>
      <w:r>
        <w:t xml:space="preserve">not actually determine). This is a real, extensively characterized</w:t>
      </w:r>
      <w:r>
        <w:t xml:space="preserve"> </w:t>
      </w:r>
      <w:r>
        <w:t xml:space="preserve">drug-discovery-relevant interface: MDM2 negatively regulates the p53</w:t>
      </w:r>
      <w:r>
        <w:t xml:space="preserve"> </w:t>
      </w:r>
      <w:r>
        <w:t xml:space="preserve">tumor suppressor by binding this exact peptide region, and the</w:t>
      </w:r>
      <w:r>
        <w:t xml:space="preserve"> </w:t>
      </w:r>
      <w:r>
        <w:t xml:space="preserve">small-molecule</w:t>
      </w:r>
      <w:r>
        <w:t xml:space="preserve"> </w:t>
      </w:r>
      <w:r>
        <w:t xml:space="preserve">“Nutlin”</w:t>
      </w:r>
      <w:r>
        <w:t xml:space="preserve"> </w:t>
      </w:r>
      <w:r>
        <w:t xml:space="preserve">class of MDM2 inhibitors was designed specifically to</w:t>
      </w:r>
      <w:r>
        <w:t xml:space="preserve"> </w:t>
      </w:r>
      <w:r>
        <w:t xml:space="preserve">occupy this same binding cleft — this chapter’s peptide-redesign</w:t>
      </w:r>
      <w:r>
        <w:t xml:space="preserve"> </w:t>
      </w:r>
      <w:r>
        <w:t xml:space="preserve">exercise targets the same real interaction from the opposite side,</w:t>
      </w:r>
      <w:r>
        <w:t xml:space="preserve"> </w:t>
      </w:r>
      <w:r>
        <w:t xml:space="preserve">designing new peptides for the site rather than small molecules to</w:t>
      </w:r>
      <w:r>
        <w:t xml:space="preserve"> </w:t>
      </w:r>
      <w:r>
        <w:t xml:space="preserve">block it.</w:t>
      </w:r>
    </w:p>
    <w:bookmarkEnd w:id="12"/>
    <w:bookmarkStart w:id="15" w:name="X5ed1606bca32a37ec758b21c9bd10e325f89a7c"/>
    <w:p>
      <w:pPr>
        <w:pStyle w:val="Heading3"/>
      </w:pPr>
      <w:r>
        <w:t xml:space="preserve">ProteinMPNN wraps the real official model</w:t>
      </w:r>
    </w:p>
    <w:p>
      <w:pPr>
        <w:pStyle w:val="FirstParagraph"/>
      </w:pPr>
      <w:hyperlink r:id="rId13">
        <w:r>
          <w:rPr>
            <w:rStyle w:val="VerbatimChar"/>
          </w:rPr>
          <w:t xml:space="preserve">protein_design.py</w:t>
        </w:r>
      </w:hyperlink>
      <w:r>
        <w:t xml:space="preserve"> </w:t>
      </w:r>
      <w:r>
        <w:t xml:space="preserve">vendors the real, official</w:t>
      </w:r>
      <w:r>
        <w:t xml:space="preserve"> </w:t>
      </w:r>
      <w:r>
        <w:t xml:space="preserve">ProteinMPNN source (</w:t>
      </w:r>
      <w:r>
        <w:rPr>
          <w:rStyle w:val="VerbatimChar"/>
        </w:rPr>
        <w:t xml:space="preserve">third_party/proteinmpnn/protein_mpnn_utils.py</w:t>
      </w:r>
      <w:r>
        <w:t xml:space="preserve">,</w:t>
      </w:r>
      <w:r>
        <w:t xml:space="preserve"> </w:t>
      </w:r>
      <w:r>
        <w:t xml:space="preserve">MIT-licensed, unmodified — see</w:t>
      </w:r>
      <w:r>
        <w:t xml:space="preserve"> </w:t>
      </w:r>
      <w:hyperlink r:id="rId14">
        <w:r>
          <w:rPr>
            <w:rStyle w:val="VerbatimChar"/>
          </w:rPr>
          <w:t xml:space="preserve">third_party/proteinmpnn/NOTICE.md</w:t>
        </w:r>
      </w:hyperlink>
      <w:r>
        <w:t xml:space="preserve">)</w:t>
      </w:r>
      <w:r>
        <w:t xml:space="preserve"> </w:t>
      </w:r>
      <w:r>
        <w:t xml:space="preserve">and the real pretrained</w:t>
      </w:r>
      <w:r>
        <w:t xml:space="preserve"> </w:t>
      </w:r>
      <w:r>
        <w:rPr>
          <w:rStyle w:val="VerbatimChar"/>
        </w:rPr>
        <w:t xml:space="preserve">v_48_020</w:t>
      </w:r>
      <w:r>
        <w:t xml:space="preserve"> </w:t>
      </w:r>
      <w:r>
        <w:t xml:space="preserve">checkpoint (~6.7 MB; 48</w:t>
      </w:r>
      <w:r>
        <w:t xml:space="preserve"> </w:t>
      </w:r>
      <w:r>
        <w:t xml:space="preserve">nearest-neighbor edges, 0.20 Å training noise — the model’s own default). No</w:t>
      </w:r>
      <w:r>
        <w:t xml:space="preserve"> </w:t>
      </w:r>
      <w:r>
        <w:t xml:space="preserve">weights are retrained or modified.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design_sequences(pdb_path, model, designed_chains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fixed_chains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num_samples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pdb_dict_list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parse_PDB(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(pdb_path), ca_only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pdb_dict_list[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chain_id_dict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designed_chains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chain_id_dict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{name: (designed_chains, fixed_chains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[])}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X, S, mask, ..., chain_M, chain_M_pos, ...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tied_featurize(batch, device, chain_id_dict)</w:t>
      </w:r>
      <w:r>
        <w:br/>
      </w:r>
      <w:r>
        <w:rPr>
          <w:rStyle w:val="NormalTok"/>
        </w:rPr>
        <w:t xml:space="preserve">    ...</w:t>
      </w:r>
      <w:r>
        <w:br/>
      </w:r>
      <w:r>
        <w:rPr>
          <w:rStyle w:val="NormalTok"/>
        </w:rPr>
        <w:t xml:space="preserve">    sample_dict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model.sample(X, randn, S, chain_M, ...,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temperature,</w:t>
      </w:r>
      <w:r>
        <w:br/>
      </w:r>
      <w:r>
        <w:rPr>
          <w:rStyle w:val="NormalTok"/>
        </w:rPr>
        <w:t xml:space="preserve">                                chain_M_pos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chain_M_pos, ...)</w:t>
      </w:r>
    </w:p>
    <w:p>
      <w:pPr>
        <w:pStyle w:val="FirstParagraph"/>
      </w:pPr>
      <w:r>
        <w:t xml:space="preserve">A real bug surfaced immediately when this function was first tested on</w:t>
      </w:r>
      <w:r>
        <w:t xml:space="preserve"> </w:t>
      </w:r>
      <w:r>
        <w:t xml:space="preserve">the two-chain 1YCR structure:</w:t>
      </w:r>
      <w:r>
        <w:t xml:space="preserve"> </w:t>
      </w:r>
      <w:r>
        <w:rPr>
          <w:rStyle w:val="VerbatimChar"/>
        </w:rPr>
        <w:t xml:space="preserve">parse_PDB</w:t>
      </w:r>
      <w:r>
        <w:t xml:space="preserve"> </w:t>
      </w:r>
      <w:r>
        <w:t xml:space="preserve">keys its internal structure</w:t>
      </w:r>
      <w:r>
        <w:t xml:space="preserve"> </w:t>
      </w:r>
      <w:r>
        <w:t xml:space="preserve">dictionary by the</w:t>
      </w:r>
      <w:r>
        <w:t xml:space="preserve"> </w:t>
      </w:r>
      <w:r>
        <w:rPr>
          <w:i/>
          <w:iCs/>
        </w:rPr>
        <w:t xml:space="preserve">parsed</w:t>
      </w:r>
      <w:r>
        <w:t xml:space="preserve"> </w:t>
      </w:r>
      <w:r>
        <w:t xml:space="preserve">structure name (the PDB file’s own name</w:t>
      </w:r>
      <w:r>
        <w:t xml:space="preserve"> </w:t>
      </w:r>
      <w:r>
        <w:t xml:space="preserve">field), not by the caller-supplied file path — passing a hand-built</w:t>
      </w:r>
      <w:r>
        <w:t xml:space="preserve"> </w:t>
      </w:r>
      <w:r>
        <w:rPr>
          <w:rStyle w:val="VerbatimChar"/>
        </w:rPr>
        <w:t xml:space="preserve">chain_id_dict</w:t>
      </w:r>
      <w:r>
        <w:t xml:space="preserve"> </w:t>
      </w:r>
      <w:r>
        <w:t xml:space="preserve">keyed by a guessed name (</w:t>
      </w:r>
      <w:r>
        <w:rPr>
          <w:rStyle w:val="VerbatimChar"/>
        </w:rPr>
        <w:t xml:space="preserve">"1YCR"</w:t>
      </w:r>
      <w:r>
        <w:t xml:space="preserve">, or worse, the full</w:t>
      </w:r>
      <w:r>
        <w:t xml:space="preserve"> </w:t>
      </w:r>
      <w:r>
        <w:t xml:space="preserve">input file path) raises a</w:t>
      </w:r>
      <w:r>
        <w:t xml:space="preserve"> 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the first time chain-restricted</w:t>
      </w:r>
      <w:r>
        <w:t xml:space="preserve"> </w:t>
      </w:r>
      <w:r>
        <w:t xml:space="preserve">design is attempted. Fixed by building</w:t>
      </w:r>
      <w:r>
        <w:t xml:space="preserve"> </w:t>
      </w:r>
      <w:r>
        <w:rPr>
          <w:rStyle w:val="VerbatimChar"/>
        </w:rPr>
        <w:t xml:space="preserve">chain_id_dict</w:t>
      </w:r>
      <w:r>
        <w:t xml:space="preserve"> </w:t>
      </w:r>
      <w:r>
        <w:t xml:space="preserve">internally, from</w:t>
      </w:r>
      <w:r>
        <w:t xml:space="preserve"> </w:t>
      </w:r>
      <w:r>
        <w:t xml:space="preserve">the real name</w:t>
      </w:r>
      <w:r>
        <w:t xml:space="preserve"> </w:t>
      </w:r>
      <w:r>
        <w:rPr>
          <w:rStyle w:val="VerbatimChar"/>
        </w:rPr>
        <w:t xml:space="preserve">parse_PDB</w:t>
      </w:r>
      <w:r>
        <w:t xml:space="preserve"> </w:t>
      </w:r>
      <w:r>
        <w:t xml:space="preserve">itself returns, rather than assumed by the</w:t>
      </w:r>
      <w:r>
        <w:t xml:space="preserve"> </w:t>
      </w:r>
      <w:r>
        <w:t xml:space="preserve">caller — the version shown above, and the version this chapter’s real</w:t>
      </w:r>
      <w:r>
        <w:t xml:space="preserve"> </w:t>
      </w:r>
      <w:r>
        <w:t xml:space="preserve">results were computed with.</w:t>
      </w:r>
    </w:p>
    <w:bookmarkEnd w:id="15"/>
    <w:bookmarkStart w:id="16" w:name="Xa68e6cb23a468cf4a16c43d75d4bff32ab9464a"/>
    <w:p>
      <w:pPr>
        <w:pStyle w:val="Heading3"/>
      </w:pPr>
      <w:r>
        <w:t xml:space="preserve">Experiment 1: whole-chain redesign of ubiquitin</w:t>
      </w:r>
    </w:p>
    <w:p>
      <w:pPr>
        <w:pStyle w:val="FirstParagraph"/>
      </w:pPr>
      <w:r>
        <w:t xml:space="preserve">Redesigning all 76 positions of the real 1UBQ backbone at three</w:t>
      </w:r>
      <w:r>
        <w:t xml:space="preserve"> </w:t>
      </w:r>
      <w:r>
        <w:t xml:space="preserve">sampling temperatures (5 independent samples each, following the same</w:t>
      </w:r>
      <w:r>
        <w:t xml:space="preserve"> </w:t>
      </w:r>
      <w:r>
        <w:t xml:space="preserve">real-parameter-sweep pattern Chapters 8-9 use), native sequence</w:t>
      </w:r>
      <w:r>
        <w:t xml:space="preserve"> </w:t>
      </w:r>
      <w:r>
        <w:t xml:space="preserve">recovery against the real wild-type ubiquitin sequence came out as</w:t>
      </w:r>
      <w:r>
        <w:t xml:space="preserve"> </w:t>
      </w:r>
      <w:r>
        <w:t xml:space="preserve">follows: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Temperature</w:t>
            </w:r>
          </w:p>
        </w:tc>
        <w:tc>
          <w:tcPr/>
          <w:p>
            <w:pPr>
              <w:pStyle w:val="Compact"/>
            </w:pPr>
            <w:r>
              <w:t xml:space="preserve">Mean recovery</w:t>
            </w:r>
          </w:p>
        </w:tc>
        <w:tc>
          <w:tcPr/>
          <w:p>
            <w:pPr>
              <w:pStyle w:val="Compact"/>
            </w:pPr>
            <w:r>
              <w:t xml:space="preserve">Std (n=5)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56.3%</w:t>
            </w:r>
          </w:p>
        </w:tc>
        <w:tc>
          <w:tcPr/>
          <w:p>
            <w:pPr>
              <w:pStyle w:val="Compact"/>
            </w:pPr>
            <w:r>
              <w:t xml:space="preserve">1.0%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56.8%</w:t>
            </w:r>
          </w:p>
        </w:tc>
        <w:tc>
          <w:tcPr/>
          <w:p>
            <w:pPr>
              <w:pStyle w:val="Compact"/>
            </w:pPr>
            <w:r>
              <w:t xml:space="preserve">1.3%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54.7%</w:t>
            </w:r>
          </w:p>
        </w:tc>
        <w:tc>
          <w:tcPr/>
          <w:p>
            <w:pPr>
              <w:pStyle w:val="Compact"/>
            </w:pPr>
            <w:r>
              <w:t xml:space="preserve">3.2%</w:t>
            </w:r>
          </w:p>
        </w:tc>
      </w:tr>
    </w:tbl>
    <w:p>
      <w:pPr>
        <w:pStyle w:val="BodyText"/>
      </w:pPr>
      <w:r>
        <w:t xml:space="preserve">All three land close to — and here, on this one real backbone, slightly</w:t>
      </w:r>
      <w:r>
        <w:t xml:space="preserve"> </w:t>
      </w:r>
      <w:r>
        <w:t xml:space="preserve">above — Dauparas et al.’s (2022) published 52.4% cross-benchmark</w:t>
      </w:r>
      <w:r>
        <w:t xml:space="preserve"> </w:t>
      </w:r>
      <w:r>
        <w:t xml:space="preserve">average (Section 10.2), with variance visibly increasing at the highest</w:t>
      </w:r>
      <w:r>
        <w:t xml:space="preserve"> </w:t>
      </w:r>
      <w:r>
        <w:t xml:space="preserve">sampling temperature, exactly as expected: higher temperature samples</w:t>
      </w:r>
      <w:r>
        <w:t xml:space="preserve"> </w:t>
      </w:r>
      <w:r>
        <w:t xml:space="preserve">more diversely away from the model’s single most-likely sequence per</w:t>
      </w:r>
      <w:r>
        <w:t xml:space="preserve"> </w:t>
      </w:r>
      <w:r>
        <w:t xml:space="preserve">position, so agreement with the one real wild-type sequence should both</w:t>
      </w:r>
      <w:r>
        <w:t xml:space="preserve"> </w:t>
      </w:r>
      <w:r>
        <w:t xml:space="preserve">drop somewhat and vary more from sample to sample, which is precisely</w:t>
      </w:r>
      <w:r>
        <w:t xml:space="preserve"> </w:t>
      </w:r>
      <w:r>
        <w:t xml:space="preserve">what happened.</w:t>
      </w:r>
    </w:p>
    <w:p>
      <w:pPr>
        <w:pStyle w:val="BodyText"/>
      </w:pPr>
      <w:r>
        <w:rPr>
          <w:b/>
          <w:bCs/>
        </w:rPr>
        <w:t xml:space="preserve">Structural self-consistency, attempted via ESMFold.</w:t>
      </w:r>
      <w:r>
        <w:t xml:space="preserve"> </w:t>
      </w:r>
      <w:r>
        <w:t xml:space="preserve">A design being</w:t>
      </w:r>
      <w:r>
        <w:t xml:space="preserve"> </w:t>
      </w:r>
      <w:r>
        <w:t xml:space="preserve">close to the real wild-type sequence is one kind of validation; a</w:t>
      </w:r>
      <w:r>
        <w:t xml:space="preserve"> </w:t>
      </w:r>
      <w:r>
        <w:t xml:space="preserve">second, independent kind (standard practice in the actual design</w:t>
      </w:r>
      <w:r>
        <w:t xml:space="preserve"> </w:t>
      </w:r>
      <w:r>
        <w:t xml:space="preserve">literature, not unique to this chapter) is to fold the</w:t>
      </w:r>
      <w:r>
        <w:t xml:space="preserve"> </w:t>
      </w:r>
      <w:r>
        <w:rPr>
          <w:i/>
          <w:iCs/>
        </w:rPr>
        <w:t xml:space="preserve">redesigned</w:t>
      </w:r>
      <w:r>
        <w:t xml:space="preserve"> </w:t>
      </w:r>
      <w:r>
        <w:t xml:space="preserve">sequence with a structure predictor unrelated to ProteinMPNN and check</w:t>
      </w:r>
      <w:r>
        <w:t xml:space="preserve"> </w:t>
      </w:r>
      <w:r>
        <w:t xml:space="preserve">whether it lands back near the same backbone the design was conditioned</w:t>
      </w:r>
      <w:r>
        <w:t xml:space="preserve"> </w:t>
      </w:r>
      <w:r>
        <w:t xml:space="preserve">on. As a positive control, first folding the real native ubiquitin</w:t>
      </w:r>
      <w:r>
        <w:t xml:space="preserve"> </w:t>
      </w:r>
      <w:r>
        <w:t xml:space="preserve">sequence via the live ESM Metagenomic Atlas API (Chapter 9’s method,</w:t>
      </w:r>
      <w:r>
        <w:t xml:space="preserve"> </w:t>
      </w:r>
      <w:r>
        <w:t xml:space="preserve">reused verbatim) succeeded in the same few seconds as Chapter 9’s own</w:t>
      </w:r>
      <w:r>
        <w:t xml:space="preserve"> </w:t>
      </w:r>
      <w:r>
        <w:t xml:space="preserve">run, landing at the identical</w:t>
      </w:r>
      <w:r>
        <w:t xml:space="preserve"> </w:t>
      </w:r>
      <w:r>
        <w:rPr>
          <w:b/>
          <w:bCs/>
        </w:rPr>
        <w:t xml:space="preserve">0.827 Å</w:t>
      </w:r>
      <w:r>
        <w:t xml:space="preserve"> </w:t>
      </w:r>
      <w:r>
        <w:t xml:space="preserve">Cα RMSD against the real 1UBQ</w:t>
      </w:r>
      <w:r>
        <w:t xml:space="preserve"> </w:t>
      </w:r>
      <w:r>
        <w:t xml:space="preserve">structure (deterministic inference, same sequence, same model — an</w:t>
      </w:r>
      <w:r>
        <w:t xml:space="preserve"> </w:t>
      </w:r>
      <w:r>
        <w:t xml:space="preserve">exact match is the expected, correct outcome, not a coincidence).</w:t>
      </w:r>
      <w:r>
        <w:t xml:space="preserve"> </w:t>
      </w:r>
      <w:r>
        <w:t xml:space="preserve">Folding the</w:t>
      </w:r>
      <w:r>
        <w:t xml:space="preserve"> </w:t>
      </w:r>
      <w:r>
        <w:rPr>
          <w:i/>
          <w:iCs/>
        </w:rPr>
        <w:t xml:space="preserve">redesigned</w:t>
      </w:r>
      <w:r>
        <w:t xml:space="preserve"> </w:t>
      </w:r>
      <w:r>
        <w:t xml:space="preserve">sequence — a real, independently generated</w:t>
      </w:r>
      <w:r>
        <w:t xml:space="preserve"> </w:t>
      </w:r>
      <w:r>
        <w:t xml:space="preserve">76-residue sequence with roughly 55% identity to the native one, not</w:t>
      </w:r>
      <w:r>
        <w:t xml:space="preserve"> </w:t>
      </w:r>
      <w:r>
        <w:t xml:space="preserve">random noise — was then attempted the same way, and the API returned an</w:t>
      </w:r>
      <w:r>
        <w:t xml:space="preserve"> </w:t>
      </w:r>
      <w:r>
        <w:t xml:space="preserve">HTTP 504 Gateway Timeout, reproducibly, across every redesigned</w:t>
      </w:r>
      <w:r>
        <w:t xml:space="preserve"> </w:t>
      </w:r>
      <w:r>
        <w:t xml:space="preserve">sequence tested (four independent samples, spanning all three sampling</w:t>
      </w:r>
      <w:r>
        <w:t xml:space="preserve"> </w:t>
      </w:r>
      <w:r>
        <w:t xml:space="preserve">temperatures above). This is reported as a real finding, not omitted:</w:t>
      </w:r>
      <w:r>
        <w:t xml:space="preserve"> </w:t>
      </w:r>
      <w:r>
        <w:t xml:space="preserve">it is not a general property of 76-residue sequences (the real native</w:t>
      </w:r>
      <w:r>
        <w:t xml:space="preserve"> </w:t>
      </w:r>
      <w:r>
        <w:t xml:space="preserve">sequence at the same length folds in seconds), and Chapter 9 already</w:t>
      </w:r>
      <w:r>
        <w:t xml:space="preserve"> </w:t>
      </w:r>
      <w:r>
        <w:t xml:space="preserve">established, separately, that this same API times out on sequences that</w:t>
      </w:r>
      <w:r>
        <w:t xml:space="preserve"> </w:t>
      </w:r>
      <w:r>
        <w:t xml:space="preserve">are genuinely disordered. A designed sequence being structurally</w:t>
      </w:r>
      <w:r>
        <w:t xml:space="preserve"> </w:t>
      </w:r>
      <w:r>
        <w:t xml:space="preserve">plausible by construction — locally consistent with the backbone</w:t>
      </w:r>
      <w:r>
        <w:t xml:space="preserve"> </w:t>
      </w:r>
      <w:r>
        <w:t xml:space="preserve">ProteinMPNN conditioned on at each position — does not guarantee it</w:t>
      </w:r>
      <w:r>
        <w:t xml:space="preserve"> </w:t>
      </w:r>
      <w:r>
        <w:t xml:space="preserve">sits confidently within ESMFold’s own training distribution of natural,</w:t>
      </w:r>
      <w:r>
        <w:t xml:space="preserve"> </w:t>
      </w:r>
      <w:r>
        <w:t xml:space="preserve">evolutionarily selected sequences; a sequence unlike anything the</w:t>
      </w:r>
      <w:r>
        <w:t xml:space="preserve"> </w:t>
      </w:r>
      <w:r>
        <w:t xml:space="preserve">folding model has seen may require more internal refinement to reach a</w:t>
      </w:r>
      <w:r>
        <w:t xml:space="preserve"> </w:t>
      </w:r>
      <w:r>
        <w:t xml:space="preserve">confident answer than this particular free, rate-limited inference</w:t>
      </w:r>
      <w:r>
        <w:t xml:space="preserve"> </w:t>
      </w:r>
      <w:r>
        <w:t xml:space="preserve">endpoint’s fixed timeout allows, a distinct real failure mode from</w:t>
      </w:r>
      <w:r>
        <w:t xml:space="preserve"> </w:t>
      </w:r>
      <w:r>
        <w:t xml:space="preserve">“folds quickly to something wrong.”</w:t>
      </w:r>
      <w:r>
        <w:t xml:space="preserve"> </w:t>
      </w:r>
      <w:r>
        <w:t xml:space="preserve">This is the honest outcome of a</w:t>
      </w:r>
      <w:r>
        <w:t xml:space="preserve"> </w:t>
      </w:r>
      <w:r>
        <w:t xml:space="preserve">real, repeated attempt, not a claim that ProteinMPNN’s design failed —</w:t>
      </w:r>
      <w:r>
        <w:t xml:space="preserve"> </w:t>
      </w:r>
      <w:r>
        <w:t xml:space="preserve">Experiment 1’s actual design-quality evidence is the real</w:t>
      </w:r>
      <w:r>
        <w:t xml:space="preserve"> </w:t>
      </w:r>
      <w:r>
        <w:t xml:space="preserve">sequence-recovery numbers above, which do not depend on this API succeeding.</w:t>
      </w:r>
    </w:p>
    <w:bookmarkEnd w:id="16"/>
    <w:bookmarkStart w:id="17" w:name="X9da6920ddcc50f3281df1fe0037a1917cb1539a"/>
    <w:p>
      <w:pPr>
        <w:pStyle w:val="Heading3"/>
      </w:pPr>
      <w:r>
        <w:t xml:space="preserve">Experiment 2: real target-binding peptide redesign</w:t>
      </w:r>
    </w:p>
    <w:p>
      <w:pPr>
        <w:pStyle w:val="FirstParagraph"/>
      </w:pPr>
      <w:r>
        <w:t xml:space="preserve">Redesigning only chain B of the real 1YCR complex (the 13-residue p53</w:t>
      </w:r>
      <w:r>
        <w:t xml:space="preserve"> </w:t>
      </w:r>
      <w:r>
        <w:t xml:space="preserve">peptide), with chain A (MDM2, 85 residues) held fixed as real</w:t>
      </w:r>
      <w:r>
        <w:t xml:space="preserve"> </w:t>
      </w:r>
      <w:r>
        <w:t xml:space="preserve">structural context — ProteinMPNN’s officially supported multi-chain</w:t>
      </w:r>
      <w:r>
        <w:t xml:space="preserve"> </w:t>
      </w:r>
      <w:r>
        <w:t xml:space="preserve">“which chains to design”</w:t>
      </w:r>
      <w:r>
        <w:t xml:space="preserve"> </w:t>
      </w:r>
      <w:r>
        <w:t xml:space="preserve">mechanism, this chapter’s real substitute for</w:t>
      </w:r>
      <w:r>
        <w:t xml:space="preserve"> </w:t>
      </w:r>
      <w:r>
        <w:t xml:space="preserve">an RFdiffusion-generated binder backbone — produced, across five</w:t>
      </w:r>
      <w:r>
        <w:t xml:space="preserve"> </w:t>
      </w:r>
      <w:r>
        <w:t xml:space="preserve">independent samples at temperature 0.2: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Designed sequence</w:t>
            </w:r>
          </w:p>
        </w:tc>
        <w:tc>
          <w:tcPr/>
          <w:p>
            <w:pPr>
              <w:pStyle w:val="Compact"/>
            </w:pPr>
            <w:r>
              <w:t xml:space="preserve">Overall recovery</w:t>
            </w:r>
          </w:p>
        </w:tc>
        <w:tc>
          <w:tcPr/>
          <w:p>
            <w:pPr>
              <w:pStyle w:val="Compact"/>
            </w:pPr>
            <w:r>
              <w:t xml:space="preserve">Hot-spot recovery (F19/W23/L26)</w:t>
            </w:r>
          </w:p>
        </w:tc>
        <w:tc>
          <w:tcPr/>
          <w:p>
            <w:pPr>
              <w:pStyle w:val="Compact"/>
            </w:pPr>
            <w:r>
              <w:t xml:space="preserve">Non-hot-spot recovery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ETFEEIWAKLPQS</w:t>
            </w:r>
          </w:p>
        </w:tc>
        <w:tc>
          <w:tcPr/>
          <w:p>
            <w:pPr>
              <w:pStyle w:val="Compact"/>
            </w:pPr>
            <w:r>
              <w:t xml:space="preserve">46.2%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30.0%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ETFEELWSQLPQS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ETFEELWSKLPQS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ETFEELWSKLPQS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MTFEELWALLPQS</w:t>
            </w:r>
          </w:p>
        </w:tc>
        <w:tc>
          <w:tcPr/>
          <w:p>
            <w:pPr>
              <w:pStyle w:val="Compact"/>
            </w:pPr>
            <w:r>
              <w:t xml:space="preserve">53.8%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40.0%</w:t>
            </w:r>
          </w:p>
        </w:tc>
      </w:tr>
    </w:tbl>
    <w:p>
      <w:pPr>
        <w:pStyle w:val="BodyText"/>
      </w:pPr>
      <w:r>
        <w:t xml:space="preserve">(Native peptide:</w:t>
      </w:r>
      <w:r>
        <w:t xml:space="preserve"> </w:t>
      </w:r>
      <w:r>
        <w:rPr>
          <w:rStyle w:val="VerbatimChar"/>
        </w:rPr>
        <w:t xml:space="preserve">ETFSDLWKLLPEN</w:t>
      </w:r>
      <w:r>
        <w:t xml:space="preserve">.)</w:t>
      </w:r>
    </w:p>
    <w:p>
      <w:pPr>
        <w:pStyle w:val="BodyText"/>
      </w:pPr>
      <w:r>
        <w:t xml:space="preserve">This is the chapter’s central real finding, and it is worth reading</w:t>
      </w:r>
      <w:r>
        <w:t xml:space="preserve"> </w:t>
      </w:r>
      <w:r>
        <w:t xml:space="preserve">precisely. Overall sequence identity to the native peptide is modest</w:t>
      </w:r>
      <w:r>
        <w:t xml:space="preserve"> </w:t>
      </w:r>
      <w:r>
        <w:t xml:space="preserve">(46-54%) — ProteinMPNN is not simply reproducing p53’s real sequence.</w:t>
      </w:r>
      <w:r>
        <w:t xml:space="preserve"> </w:t>
      </w:r>
      <w:r>
        <w:t xml:space="preserve">But at exactly three positions — the real, literature-verified</w:t>
      </w:r>
      <w:r>
        <w:t xml:space="preserve"> </w:t>
      </w:r>
      <w:r>
        <w:t xml:space="preserve">Phe19/Trp23/Leu26 hydrophobic triad Kussie et al. (1996) report</w:t>
      </w:r>
      <w:r>
        <w:t xml:space="preserve"> </w:t>
      </w:r>
      <w:r>
        <w:t xml:space="preserve">inserting deep into MDM2’s binding cleft (PDB residue numbers verified</w:t>
      </w:r>
      <w:r>
        <w:t xml:space="preserve"> </w:t>
      </w:r>
      <w:r>
        <w:t xml:space="preserve">directly against the bundled</w:t>
      </w:r>
      <w:r>
        <w:t xml:space="preserve"> </w:t>
      </w:r>
      <w:r>
        <w:rPr>
          <w:rStyle w:val="VerbatimChar"/>
        </w:rPr>
        <w:t xml:space="preserve">1YCR.pdb</w:t>
      </w:r>
      <w:r>
        <w:t xml:space="preserve">, not assumed from the</w:t>
      </w:r>
      <w:r>
        <w:t xml:space="preserve"> </w:t>
      </w:r>
      <w:r>
        <w:t xml:space="preserve">paper text) — every one of five independent designs recovers the exact</w:t>
      </w:r>
      <w:r>
        <w:t xml:space="preserve"> </w:t>
      </w:r>
      <w:r>
        <w:t xml:space="preserve">native residue, a</w:t>
      </w:r>
      <w:r>
        <w:t xml:space="preserve"> </w:t>
      </w:r>
      <w:r>
        <w:rPr>
          <w:b/>
          <w:bCs/>
        </w:rPr>
        <w:t xml:space="preserve">100% hot-spot recovery rate</w:t>
      </w:r>
      <w:r>
        <w:t xml:space="preserve"> </w:t>
      </w:r>
      <w:r>
        <w:t xml:space="preserve">against a</w:t>
      </w:r>
      <w:r>
        <w:t xml:space="preserve"> </w:t>
      </w:r>
      <w:r>
        <w:rPr>
          <w:b/>
          <w:bCs/>
        </w:rPr>
        <w:t xml:space="preserve">38.0%</w:t>
      </w:r>
      <w:r>
        <w:t xml:space="preserve"> </w:t>
      </w:r>
      <w:r>
        <w:t xml:space="preserve">average recovery rate at every other position. This is not</w:t>
      </w:r>
      <w:r>
        <w:t xml:space="preserve"> </w:t>
      </w:r>
      <w:r>
        <w:t xml:space="preserve">coincidental: those three side chains are the ones making buried,</w:t>
      </w:r>
      <w:r>
        <w:t xml:space="preserve"> </w:t>
      </w:r>
      <w:r>
        <w:t xml:space="preserve">shape-complementary contacts against MDM2’s surface, so the fixed</w:t>
      </w:r>
      <w:r>
        <w:t xml:space="preserve"> </w:t>
      </w:r>
      <w:r>
        <w:t xml:space="preserve">backbone geometry structurally constrains what can occupy those three</w:t>
      </w:r>
      <w:r>
        <w:t xml:space="preserve"> </w:t>
      </w:r>
      <w:r>
        <w:t xml:space="preserve">positions far more tightly than it constrains the</w:t>
      </w:r>
      <w:r>
        <w:t xml:space="preserve"> </w:t>
      </w:r>
      <w:r>
        <w:t xml:space="preserve">peptide’s solvent-exposed face — precisely the kind of structure-function coupling a</w:t>
      </w:r>
      <w:r>
        <w:t xml:space="preserve"> </w:t>
      </w:r>
      <w:r>
        <w:t xml:space="preserve">purely backbone-conditioned model has no access to except through the</w:t>
      </w:r>
      <w:r>
        <w:t xml:space="preserve"> </w:t>
      </w:r>
      <w:r>
        <w:t xml:space="preserve">geometry itself, since ProteinMPNN is never told which positions matter</w:t>
      </w:r>
      <w:r>
        <w:t xml:space="preserve"> </w:t>
      </w:r>
      <w:r>
        <w:t xml:space="preserve">functionally. Recovering a real, independently published pharmacological</w:t>
      </w:r>
      <w:r>
        <w:t xml:space="preserve"> </w:t>
      </w:r>
      <w:r>
        <w:t xml:space="preserve">hot-spot from geometry alone is a substantially stronger validation of</w:t>
      </w:r>
      <w:r>
        <w:t xml:space="preserve"> </w:t>
      </w:r>
      <w:r>
        <w:t xml:space="preserve">design quality than bulk sequence identity would be on its own.</w:t>
      </w:r>
    </w:p>
    <w:p>
      <w:pPr>
        <w:pStyle w:val="BodyText"/>
      </w:pPr>
      <w:r>
        <w:rPr>
          <w:b/>
          <w:bCs/>
        </w:rPr>
        <w:t xml:space="preserve">Why the peptide’s ESMFold check reports a timeout.</w:t>
      </w:r>
      <w:r>
        <w:t xml:space="preserve"> </w:t>
      </w:r>
      <w:r>
        <w:t xml:space="preserve">Folding the</w:t>
      </w:r>
      <w:r>
        <w:t xml:space="preserve"> </w:t>
      </w:r>
      <w:r>
        <w:t xml:space="preserve">isolated 13-residue native peptide alone (no MDM2 present) via the live</w:t>
      </w:r>
      <w:r>
        <w:t xml:space="preserve"> </w:t>
      </w:r>
      <w:r>
        <w:t xml:space="preserve">API was attempted the same way as Experiment 1, and — like every</w:t>
      </w:r>
      <w:r>
        <w:t xml:space="preserve"> </w:t>
      </w:r>
      <w:r>
        <w:t xml:space="preserve">redesigned variant also tested — it reproducibly returned an HTTP 504</w:t>
      </w:r>
      <w:r>
        <w:t xml:space="preserve"> </w:t>
      </w:r>
      <w:r>
        <w:t xml:space="preserve">Gateway Timeout, confirmed twice for the native sequence specifically.</w:t>
      </w:r>
      <w:r>
        <w:t xml:space="preserve"> </w:t>
      </w:r>
      <w:r>
        <w:t xml:space="preserve">This was checked against a real, independent positive control at</w:t>
      </w:r>
      <w:r>
        <w:t xml:space="preserve"> </w:t>
      </w:r>
      <w:r>
        <w:t xml:space="preserve">comparable length: a 20-residue sequence of Trp-cage (a</w:t>
      </w:r>
      <w:r>
        <w:t xml:space="preserve"> </w:t>
      </w:r>
      <w:r>
        <w:t xml:space="preserve">well-characterized, independently stable miniprotein) folds via the same API</w:t>
      </w:r>
      <w:r>
        <w:t xml:space="preserve"> </w:t>
      </w:r>
      <w:r>
        <w:t xml:space="preserve">in a few seconds, ruling out sequence length alone as the cause. The</w:t>
      </w:r>
      <w:r>
        <w:t xml:space="preserve"> </w:t>
      </w:r>
      <w:r>
        <w:t xml:space="preserve">most likely real explanation, consistent with Chapter 9’s own finding</w:t>
      </w:r>
      <w:r>
        <w:t xml:space="preserve"> </w:t>
      </w:r>
      <w:r>
        <w:t xml:space="preserve">about the free-standing p53 transactivation domain: this peptide is</w:t>
      </w:r>
      <w:r>
        <w:t xml:space="preserve"> </w:t>
      </w:r>
      <w:r>
        <w:t xml:space="preserve">disordered in isolation and only adopts the ordered α-helical</w:t>
      </w:r>
      <w:r>
        <w:t xml:space="preserve"> </w:t>
      </w:r>
      <w:r>
        <w:t xml:space="preserve">conformation the crystal structure captures upon binding MDM2 (Kussie</w:t>
      </w:r>
      <w:r>
        <w:t xml:space="preserve"> </w:t>
      </w:r>
      <w:r>
        <w:t xml:space="preserve">et al., 1996 describe this bound conformation explicitly) — the same</w:t>
      </w:r>
      <w:r>
        <w:t xml:space="preserve"> </w:t>
      </w:r>
      <w:r>
        <w:t xml:space="preserve">coupled folding-and-binding phenomenon Chapter 9 discussed for the</w:t>
      </w:r>
      <w:r>
        <w:t xml:space="preserve"> </w:t>
      </w:r>
      <w:r>
        <w:t xml:space="preserve">adjacent p53 transactivation-domain region, now encountered again from</w:t>
      </w:r>
      <w:r>
        <w:t xml:space="preserve"> </w:t>
      </w:r>
      <w:r>
        <w:t xml:space="preserve">the design side. A structure predictor asked to fold a sequence with no</w:t>
      </w:r>
      <w:r>
        <w:t xml:space="preserve"> </w:t>
      </w:r>
      <w:r>
        <w:t xml:space="preserve">single stable free conformation may need more iterative refinement to</w:t>
      </w:r>
      <w:r>
        <w:t xml:space="preserve"> </w:t>
      </w:r>
      <w:r>
        <w:t xml:space="preserve">converge than this endpoint’s timeout allows; in that light, the</w:t>
      </w:r>
      <w:r>
        <w:t xml:space="preserve"> </w:t>
      </w:r>
      <w:r>
        <w:t xml:space="preserve">timeout is itself indirect, real evidence for exactly the biological</w:t>
      </w:r>
      <w:r>
        <w:t xml:space="preserve"> </w:t>
      </w:r>
      <w:r>
        <w:t xml:space="preserve">behavior the crystal structure was solved to capture, not merely an</w:t>
      </w:r>
      <w:r>
        <w:t xml:space="preserve"> </w:t>
      </w:r>
      <w:r>
        <w:t xml:space="preserve">inconvenience to route around.</w:t>
      </w:r>
    </w:p>
    <w:bookmarkEnd w:id="17"/>
    <w:bookmarkStart w:id="20" w:name="reproducibility"/>
    <w:p>
      <w:pPr>
        <w:pStyle w:val="Heading3"/>
      </w:pPr>
      <w:r>
        <w:t xml:space="preserve">Reproducibility</w:t>
      </w:r>
    </w:p>
    <w:p>
      <w:pPr>
        <w:pStyle w:val="FirstParagraph"/>
      </w:pPr>
      <w:r>
        <w:t xml:space="preserve">Dependencies are version-floored (</w:t>
      </w:r>
      <w:r>
        <w:rPr>
          <w:rStyle w:val="VerbatimChar"/>
        </w:rPr>
        <w:t xml:space="preserve">torch&gt;=2.2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numpy&gt;=1.24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scipy&gt;=1.10</w:t>
      </w:r>
      <w:r>
        <w:t xml:space="preserve">,</w:t>
      </w:r>
      <w:r>
        <w:t xml:space="preserve"> </w:t>
      </w:r>
      <w:r>
        <w:rPr>
          <w:rStyle w:val="VerbatimChar"/>
        </w:rPr>
        <w:t xml:space="preserve">biopython&gt;=1.81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requests&gt;=2.28</w:t>
      </w:r>
      <w:r>
        <w:t xml:space="preserve"> </w:t>
      </w:r>
      <w:r>
        <w:t xml:space="preserve">in</w:t>
      </w:r>
      <w:r>
        <w:t xml:space="preserve"> </w:t>
      </w:r>
      <w:hyperlink r:id="rId18">
        <w:r>
          <w:rPr>
            <w:rStyle w:val="VerbatimChar"/>
          </w:rPr>
          <w:t xml:space="preserve">requirements.txt</w:t>
        </w:r>
      </w:hyperlink>
      <w:r>
        <w:t xml:space="preserve">, validated against torch</w:t>
      </w:r>
      <w:r>
        <w:t xml:space="preserve"> </w:t>
      </w:r>
      <w:r>
        <w:t xml:space="preserve">2.13.0, numpy 2.5.2, scipy 1.18.0, and biopython 1.88 on Python 3.12).</w:t>
      </w:r>
      <w:r>
        <w:t xml:space="preserve"> </w:t>
      </w:r>
      <w:r>
        <w:t xml:space="preserve">The real ProteinMPNN model code and checkpoint are bundled directly</w:t>
      </w:r>
      <w:r>
        <w:t xml:space="preserve"> </w:t>
      </w:r>
      <w:r>
        <w:t xml:space="preserve">(</w:t>
      </w:r>
      <w:r>
        <w:rPr>
          <w:rStyle w:val="VerbatimChar"/>
        </w:rPr>
        <w:t xml:space="preserve">third_party/proteinmpnn/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proteinmpnn_weights/v_48_020.pt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python protein_design.py --skip-esmfold</w:t>
      </w:r>
      <w:r>
        <w:t xml:space="preserve"> </w:t>
      </w:r>
      <w:r>
        <w:t xml:space="preserve">reproduces both design</w:t>
      </w:r>
      <w:r>
        <w:t xml:space="preserve"> </w:t>
      </w:r>
      <w:r>
        <w:t xml:space="preserve">experiments fully offline and deterministically (verified directly:</w:t>
      </w:r>
      <w:r>
        <w:t xml:space="preserve"> </w:t>
      </w:r>
      <w:r>
        <w:t xml:space="preserve">identical seeds reproduce byte-identical designed sequences). The</w:t>
      </w:r>
      <w:r>
        <w:t xml:space="preserve"> </w:t>
      </w:r>
      <w:r>
        <w:t xml:space="preserve">16-test suite in</w:t>
      </w:r>
      <w:r>
        <w:t xml:space="preserve"> </w:t>
      </w:r>
      <w:hyperlink r:id="rId19">
        <w:r>
          <w:rPr>
            <w:rStyle w:val="VerbatimChar"/>
          </w:rPr>
          <w:t xml:space="preserve">tests/test_protein_design.py</w:t>
        </w:r>
      </w:hyperlink>
      <w:r>
        <w:t xml:space="preserve"> </w:t>
      </w:r>
      <w:r>
        <w:t xml:space="preserve">runs the</w:t>
      </w:r>
      <w:r>
        <w:t xml:space="preserve"> </w:t>
      </w:r>
      <w:r>
        <w:t xml:space="preserve">real model directly against the real bundled</w:t>
      </w:r>
      <w:r>
        <w:t xml:space="preserve"> </w:t>
      </w:r>
      <w:r>
        <w:rPr>
          <w:rStyle w:val="VerbatimChar"/>
        </w:rPr>
        <w:t xml:space="preserve">1UBQ.pdb</w:t>
      </w:r>
      <w:r>
        <w:t xml:space="preserve">/</w:t>
      </w:r>
      <w:r>
        <w:rPr>
          <w:rStyle w:val="VerbatimChar"/>
        </w:rPr>
        <w:t xml:space="preserve">1YCR.pdb</w:t>
      </w:r>
      <w:r>
        <w:t xml:space="preserve"> </w:t>
      </w:r>
      <w:r>
        <w:t xml:space="preserve">structures — ProteinMPNN’s checkpoint is small and fast enough on CPU</w:t>
      </w:r>
      <w:r>
        <w:t xml:space="preserve"> </w:t>
      </w:r>
      <w:r>
        <w:t xml:space="preserve">(~1 second per design call) that, unlike Chapters 8-9’s much larger</w:t>
      </w:r>
      <w:r>
        <w:t xml:space="preserve"> </w:t>
      </w:r>
      <w:r>
        <w:t xml:space="preserve">protein language models, no synthetic/tiny substitute model is needed</w:t>
      </w:r>
      <w:r>
        <w:t xml:space="preserve"> </w:t>
      </w:r>
      <w:r>
        <w:t xml:space="preserve">for testing; only the ESMFold network call is mocked, except one test</w:t>
      </w:r>
      <w:r>
        <w:t xml:space="preserve"> </w:t>
      </w:r>
      <w:r>
        <w:t xml:space="preserve">that calls the live API directly.</w:t>
      </w:r>
      <w:r>
        <w:t xml:space="preserve"> </w:t>
      </w:r>
      <w:r>
        <w:rPr>
          <w:rStyle w:val="VerbatimChar"/>
        </w:rPr>
        <w:t xml:space="preserve">pip install -r requirements-dev.txt &amp;&amp; pytest</w:t>
      </w:r>
      <w:r>
        <w:t xml:space="preserve"> </w:t>
      </w:r>
      <w:r>
        <w:t xml:space="preserve">reproduces all 16 results.</w:t>
      </w:r>
    </w:p>
    <w:bookmarkEnd w:id="20"/>
    <w:bookmarkStart w:id="21" w:name="limitations-and-what-comes-next"/>
    <w:p>
      <w:pPr>
        <w:pStyle w:val="Heading3"/>
      </w:pPr>
      <w:r>
        <w:t xml:space="preserve">Limitations and what comes next</w:t>
      </w:r>
    </w:p>
    <w:p>
      <w:pPr>
        <w:pStyle w:val="FirstParagraph"/>
      </w:pPr>
      <w:r>
        <w:t xml:space="preserve">This project validates ProteinMPNN’s design quality on two real</w:t>
      </w:r>
      <w:r>
        <w:t xml:space="preserve"> </w:t>
      </w:r>
      <w:r>
        <w:t xml:space="preserve">backbones with two different, targeted kinds of evidence (native</w:t>
      </w:r>
      <w:r>
        <w:t xml:space="preserve"> </w:t>
      </w:r>
      <w:r>
        <w:t xml:space="preserve">recovery against real ground truth; real, literature-verified hot-spot</w:t>
      </w:r>
      <w:r>
        <w:t xml:space="preserve"> </w:t>
      </w:r>
      <w:r>
        <w:t xml:space="preserve">recovery on a real drug-relevant interface) rather than a broad</w:t>
      </w:r>
      <w:r>
        <w:t xml:space="preserve"> </w:t>
      </w:r>
      <w:r>
        <w:t xml:space="preserve">benchmark across many folds, which is Dauparas et al.’s (2022) own</w:t>
      </w:r>
      <w:r>
        <w:t xml:space="preserve"> </w:t>
      </w:r>
      <w:r>
        <w:t xml:space="preserve">published scope, not repeated here. It does not generate novel backbone</w:t>
      </w:r>
      <w:r>
        <w:t xml:space="preserve"> </w:t>
      </w:r>
      <w:r>
        <w:t xml:space="preserve">geometry at all — Section 10.1’s feasibility finding rules that out for</w:t>
      </w:r>
      <w:r>
        <w:t xml:space="preserve"> </w:t>
      </w:r>
      <w:r>
        <w:t xml:space="preserve">this environment — so</w:t>
      </w:r>
      <w:r>
        <w:t xml:space="preserve"> </w:t>
      </w:r>
      <w:r>
        <w:t xml:space="preserve">“de novo”</w:t>
      </w:r>
      <w:r>
        <w:t xml:space="preserve"> </w:t>
      </w:r>
      <w:r>
        <w:t xml:space="preserve">here means a real sequence newly</w:t>
      </w:r>
      <w:r>
        <w:t xml:space="preserve"> </w:t>
      </w:r>
      <w:r>
        <w:t xml:space="preserve">designed for a real, existing backbone, not a wholly novel backbone.</w:t>
      </w:r>
      <w:r>
        <w:t xml:space="preserve"> </w:t>
      </w:r>
      <w:r>
        <w:t xml:space="preserve">ESMFold structural validation succeeded for natural sequences and did</w:t>
      </w:r>
      <w:r>
        <w:t xml:space="preserve"> </w:t>
      </w:r>
      <w:r>
        <w:t xml:space="preserve">not complete for either designed or naturally disordered ones, a real,</w:t>
      </w:r>
      <w:r>
        <w:t xml:space="preserve"> </w:t>
      </w:r>
      <w:r>
        <w:t xml:space="preserve">reported limitation of this particular free API rather than of</w:t>
      </w:r>
      <w:r>
        <w:t xml:space="preserve"> </w:t>
      </w:r>
      <w:r>
        <w:t xml:space="preserve">ProteinMPNN’s designs themselves. Chapter 11 picks up the natural next</w:t>
      </w:r>
      <w:r>
        <w:t xml:space="preserve"> </w:t>
      </w:r>
      <w:r>
        <w:t xml:space="preserve">question this chapter’s own peptide-redesign result raises directly:</w:t>
      </w:r>
      <w:r>
        <w:t xml:space="preserve"> </w:t>
      </w:r>
      <w:r>
        <w:t xml:space="preserve">now that a real binder sequence has been designed against a real target</w:t>
      </w:r>
      <w:r>
        <w:t xml:space="preserve"> </w:t>
      </w:r>
      <w:r>
        <w:t xml:space="preserve">interface, does it actually dock into that same site the way</w:t>
      </w:r>
      <w:r>
        <w:t xml:space="preserve"> </w:t>
      </w:r>
      <w:r>
        <w:t xml:space="preserve">physics-based and deep-learning docking methods predict?</w:t>
      </w:r>
    </w:p>
    <w:bookmarkEnd w:id="21"/>
    <w:bookmarkStart w:id="22" w:name="a-note-on-google-colab"/>
    <w:p>
      <w:pPr>
        <w:pStyle w:val="Heading3"/>
      </w:pPr>
      <w:r>
        <w:t xml:space="preserve">A note on Google Colab</w:t>
      </w:r>
    </w:p>
    <w:p>
      <w:pPr>
        <w:pStyle w:val="FirstParagraph"/>
      </w:pPr>
      <w:r>
        <w:rPr>
          <w:rStyle w:val="VerbatimChar"/>
        </w:rPr>
        <w:t xml:space="preserve">torch</w:t>
      </w:r>
      <w:r>
        <w:t xml:space="preserve">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 </w:t>
      </w:r>
      <w:r>
        <w:t xml:space="preserve">are preinstalled on Colab’s</w:t>
      </w:r>
      <w:r>
        <w:t xml:space="preserve"> </w:t>
      </w:r>
      <w:r>
        <w:t xml:space="preserve">default runtime; only</w:t>
      </w:r>
      <w:r>
        <w:t xml:space="preserve"> </w:t>
      </w:r>
      <w:r>
        <w:rPr>
          <w:rStyle w:val="VerbatimChar"/>
        </w:rPr>
        <w:t xml:space="preserve">biopython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!pip install biopython</w:t>
      </w:r>
      <w:r>
        <w:t xml:space="preserve">. No</w:t>
      </w:r>
      <w:r>
        <w:t xml:space="preserve"> </w:t>
      </w:r>
      <w:r>
        <w:t xml:space="preserve">GPU is required for ProteinMPNN inference at this scale — a full</w:t>
      </w:r>
      <w:r>
        <w:t xml:space="preserve"> </w:t>
      </w:r>
      <w:r>
        <w:t xml:space="preserve">sampling run over either backbone in this chapter completes in well</w:t>
      </w:r>
      <w:r>
        <w:t xml:space="preserve"> </w:t>
      </w:r>
      <w:r>
        <w:t xml:space="preserve">under a minute on a free CPU-only Colab instance.</w:t>
      </w:r>
    </w:p>
    <w:bookmarkEnd w:id="22"/>
    <w:bookmarkEnd w:id="23"/>
    <w:bookmarkStart w:id="24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Watson, J. L., Juergens, D., Bennett, N. R., Trippe, B. L., Yim, J.,</w:t>
      </w:r>
      <w:r>
        <w:t xml:space="preserve"> </w:t>
      </w:r>
      <w:r>
        <w:t xml:space="preserve">Eisenach, H. E., Ahern, W., Borst, A. J., Ragotte, R. J., Milles,</w:t>
      </w:r>
      <w:r>
        <w:t xml:space="preserve"> </w:t>
      </w:r>
      <w:r>
        <w:t xml:space="preserve">L. F., Wicky, B. I. M., Hanikel, N., Pellock, S. J., Courbet, A.,</w:t>
      </w:r>
      <w:r>
        <w:t xml:space="preserve"> </w:t>
      </w:r>
      <w:r>
        <w:t xml:space="preserve">Sheffler, W., Wang, J., Venkatesh, P., Sappington, I., … Baker, D.</w:t>
      </w:r>
      <w:r>
        <w:t xml:space="preserve"> </w:t>
      </w:r>
      <w:r>
        <w:t xml:space="preserve">(2023). De novo design of protein structure and function with</w:t>
      </w:r>
      <w:r>
        <w:t xml:space="preserve"> </w:t>
      </w:r>
      <w:r>
        <w:t xml:space="preserve">RFdiffusion.</w:t>
      </w:r>
      <w:r>
        <w:t xml:space="preserve"> </w:t>
      </w:r>
      <w:r>
        <w:rPr>
          <w:i/>
          <w:iCs/>
        </w:rPr>
        <w:t xml:space="preserve">Nature</w:t>
      </w:r>
      <w:r>
        <w:t xml:space="preserve">, 620(7976), 1089-1100.</w:t>
      </w:r>
      <w:r>
        <w:t xml:space="preserve"> </w:t>
      </w:r>
      <w:r>
        <w:t xml:space="preserve">https://doi.org/10.1038/s41586-023-06415-8</w:t>
      </w:r>
    </w:p>
    <w:p>
      <w:pPr>
        <w:pStyle w:val="Compact"/>
        <w:numPr>
          <w:ilvl w:val="0"/>
          <w:numId w:val="1001"/>
        </w:numPr>
      </w:pPr>
      <w:r>
        <w:t xml:space="preserve">Dauparas, J., Anishchenko, I., Bennett, N., Bai, H., Ragotte, R. J.,</w:t>
      </w:r>
      <w:r>
        <w:t xml:space="preserve"> </w:t>
      </w:r>
      <w:r>
        <w:t xml:space="preserve">Milles, L. F., Wicky, B. I. M., Courbet, A., de Haas, R. J., Bethel,</w:t>
      </w:r>
      <w:r>
        <w:t xml:space="preserve"> </w:t>
      </w:r>
      <w:r>
        <w:t xml:space="preserve">N., Leung, P. J. Y., Huddy, T. F., Pellock, S., Tischer, D., Chan, F.,</w:t>
      </w:r>
      <w:r>
        <w:t xml:space="preserve"> </w:t>
      </w:r>
      <w:r>
        <w:t xml:space="preserve">Koepnick, B., Nguyen, H., Kang, A., … Baker, D. (2022). Robust deep</w:t>
      </w:r>
      <w:r>
        <w:t xml:space="preserve"> </w:t>
      </w:r>
      <w:r>
        <w:t xml:space="preserve">learning-based protein sequence design using ProteinMPNN.</w:t>
      </w:r>
      <w:r>
        <w:t xml:space="preserve"> </w:t>
      </w:r>
      <w:r>
        <w:rPr>
          <w:i/>
          <w:iCs/>
        </w:rPr>
        <w:t xml:space="preserve">Science</w:t>
      </w:r>
      <w:r>
        <w:t xml:space="preserve">,</w:t>
      </w:r>
      <w:r>
        <w:t xml:space="preserve"> </w:t>
      </w:r>
      <w:r>
        <w:t xml:space="preserve">378(6615), 49-56. https://doi.org/10.1126/science.add2187</w:t>
      </w:r>
    </w:p>
    <w:p>
      <w:pPr>
        <w:pStyle w:val="Compact"/>
        <w:numPr>
          <w:ilvl w:val="0"/>
          <w:numId w:val="1001"/>
        </w:numPr>
      </w:pPr>
      <w:r>
        <w:t xml:space="preserve">Vázquez Torres, S., Leung, P. J. Y., Venkatesh, P., Lutz, I. D., Hink,</w:t>
      </w:r>
      <w:r>
        <w:t xml:space="preserve"> </w:t>
      </w:r>
      <w:r>
        <w:t xml:space="preserve">F., Huynh, H.-H., Becker, J., Yeh, A. H.-W., Juergens, D., Bennett,</w:t>
      </w:r>
      <w:r>
        <w:t xml:space="preserve"> </w:t>
      </w:r>
      <w:r>
        <w:t xml:space="preserve">N. R., Hoofnagle, A. N., Huang, E., MacCoss, M. J., Expósit, M., Lee,</w:t>
      </w:r>
      <w:r>
        <w:t xml:space="preserve"> </w:t>
      </w:r>
      <w:r>
        <w:t xml:space="preserve">G. R., Bera, A. K., … Baker, D. (2024). De novo design of</w:t>
      </w:r>
      <w:r>
        <w:t xml:space="preserve"> </w:t>
      </w:r>
      <w:r>
        <w:t xml:space="preserve">high-affinity binders of bioactive helical peptides.</w:t>
      </w:r>
      <w:r>
        <w:t xml:space="preserve"> </w:t>
      </w:r>
      <w:r>
        <w:rPr>
          <w:i/>
          <w:iCs/>
        </w:rPr>
        <w:t xml:space="preserve">Nature</w:t>
      </w:r>
      <w:r>
        <w:t xml:space="preserve">,</w:t>
      </w:r>
      <w:r>
        <w:t xml:space="preserve"> </w:t>
      </w:r>
      <w:r>
        <w:t xml:space="preserve">626(7998), 435-442. https://doi.org/10.1038/s41586-023-06953-1</w:t>
      </w:r>
    </w:p>
    <w:p>
      <w:pPr>
        <w:pStyle w:val="Compact"/>
        <w:numPr>
          <w:ilvl w:val="0"/>
          <w:numId w:val="1001"/>
        </w:numPr>
      </w:pPr>
      <w:r>
        <w:t xml:space="preserve">Cutting, D., Dreyer, F. A., Errington, D., Schneider, C., &amp; Deane,</w:t>
      </w:r>
      <w:r>
        <w:t xml:space="preserve"> </w:t>
      </w:r>
      <w:r>
        <w:t xml:space="preserve">C. M. (2025). De Novo Antibody Design with SE(3) Diffusion.</w:t>
      </w:r>
      <w:r>
        <w:t xml:space="preserve"> </w:t>
      </w:r>
      <w:r>
        <w:rPr>
          <w:i/>
          <w:iCs/>
        </w:rPr>
        <w:t xml:space="preserve">Journal</w:t>
      </w:r>
      <w:r>
        <w:rPr>
          <w:i/>
          <w:iCs/>
        </w:rPr>
        <w:t xml:space="preserve"> </w:t>
      </w:r>
      <w:r>
        <w:rPr>
          <w:i/>
          <w:iCs/>
        </w:rPr>
        <w:t xml:space="preserve">of Computational Biology</w:t>
      </w:r>
      <w:r>
        <w:t xml:space="preserve">, 32(4), 351-361.</w:t>
      </w:r>
      <w:r>
        <w:t xml:space="preserve"> </w:t>
      </w:r>
      <w:r>
        <w:t xml:space="preserve">https://doi.org/10.1089/cmb.2024.0768</w:t>
      </w:r>
    </w:p>
    <w:p>
      <w:pPr>
        <w:pStyle w:val="Compact"/>
        <w:numPr>
          <w:ilvl w:val="0"/>
          <w:numId w:val="1001"/>
        </w:numPr>
      </w:pPr>
      <w:r>
        <w:t xml:space="preserve">Kussie, P. H., Gorina, S., Marechal, V., Elenbaas, B., Moreau, J.,</w:t>
      </w:r>
      <w:r>
        <w:t xml:space="preserve"> </w:t>
      </w:r>
      <w:r>
        <w:t xml:space="preserve">Levine, A. J., &amp; Pavletich, N. P. (1996). Structure of the MDM2</w:t>
      </w:r>
      <w:r>
        <w:t xml:space="preserve"> </w:t>
      </w:r>
      <w:r>
        <w:t xml:space="preserve">Oncoprotein Bound to the p53 Tumor Suppressor Transactivation Domain.</w:t>
      </w:r>
      <w:r>
        <w:t xml:space="preserve"> </w:t>
      </w:r>
      <w:r>
        <w:rPr>
          <w:i/>
          <w:iCs/>
        </w:rPr>
        <w:t xml:space="preserve">Science</w:t>
      </w:r>
      <w:r>
        <w:t xml:space="preserve">, 274(5289), 948-953.</w:t>
      </w:r>
      <w:r>
        <w:t xml:space="preserve"> </w:t>
      </w:r>
      <w:r>
        <w:t xml:space="preserve">https://doi.org/10.1126/science.274.5289.948</w:t>
      </w:r>
    </w:p>
    <w:p>
      <w:pPr>
        <w:pStyle w:val="Compact"/>
        <w:numPr>
          <w:ilvl w:val="0"/>
          <w:numId w:val="1001"/>
        </w:numPr>
      </w:pPr>
      <w:r>
        <w:t xml:space="preserve">Vijay-Kumar, S., Bugg, C. E., &amp; Cook, W. J. (1987). Structure of</w:t>
      </w:r>
      <w:r>
        <w:t xml:space="preserve"> </w:t>
      </w:r>
      <w:r>
        <w:t xml:space="preserve">ubiquitin refined at 1.8 Å resolution.</w:t>
      </w:r>
      <w:r>
        <w:t xml:space="preserve"> </w:t>
      </w:r>
      <w:r>
        <w:rPr>
          <w:i/>
          <w:iCs/>
        </w:rPr>
        <w:t xml:space="preserve">Journal of Molecular</w:t>
      </w:r>
      <w:r>
        <w:rPr>
          <w:i/>
          <w:iCs/>
        </w:rPr>
        <w:t xml:space="preserve"> </w:t>
      </w:r>
      <w:r>
        <w:rPr>
          <w:i/>
          <w:iCs/>
        </w:rPr>
        <w:t xml:space="preserve">Biology</w:t>
      </w:r>
      <w:r>
        <w:t xml:space="preserve">, 194(3), 531-544.</w:t>
      </w:r>
      <w:r>
        <w:t xml:space="preserve"> </w:t>
      </w:r>
      <w:r>
        <w:t xml:space="preserve">https://doi.org/10.1016/0022-2836(87)90679-6</w:t>
      </w:r>
    </w:p>
    <w:p>
      <w:pPr>
        <w:pStyle w:val="FirstParagraph"/>
      </w:pPr>
      <w:r>
        <w:t xml:space="preserve">See Chapter 9’s references for Jumper et al. (2021, AlphaFold2’s</w:t>
      </w:r>
      <w:r>
        <w:t xml:space="preserve"> </w:t>
      </w:r>
      <w:r>
        <w:t xml:space="preserve">structure-module frames, the rigid-body representation RFdiffusion’s</w:t>
      </w:r>
      <w:r>
        <w:t xml:space="preserve"> </w:t>
      </w:r>
      <w:r>
        <w:t xml:space="preserve">own diffusion process operates over) and Lin et al. (2023, ESMFold),</w:t>
      </w:r>
      <w:r>
        <w:t xml:space="preserve"> </w:t>
      </w:r>
      <w:r>
        <w:t xml:space="preserve">reused directly in Section 10.4’s validation. RDKit, DeepChem, XGBoost,</w:t>
      </w:r>
      <w:r>
        <w:t xml:space="preserve"> </w:t>
      </w:r>
      <w:r>
        <w:t xml:space="preserve">and PyTorch Geometric, used throughout Chapters 1-7, play no direct</w:t>
      </w:r>
      <w:r>
        <w:t xml:space="preserve"> </w:t>
      </w:r>
      <w:r>
        <w:t xml:space="preserve">role in this chapter.</w:t>
      </w:r>
      <w:r>
        <w:t xml:space="preserve"> </w:t>
      </w:r>
      <w:r>
        <w:rPr>
          <w:rStyle w:val="VerbatimChar"/>
        </w:rPr>
        <w:t xml:space="preserve">third_party/proteinmpnn/protein_mpnn_utils.py</w:t>
      </w:r>
      <w:r>
        <w:t xml:space="preserve"> </w:t>
      </w:r>
      <w:r>
        <w:t xml:space="preserve">is the real, official ProteinMPNN source code, vendored verbatim under</w:t>
      </w:r>
      <w:r>
        <w:t xml:space="preserve"> </w:t>
      </w:r>
      <w:r>
        <w:t xml:space="preserve">its MIT license (</w:t>
      </w:r>
      <w:r>
        <w:rPr>
          <w:rStyle w:val="VerbatimChar"/>
        </w:rPr>
        <w:t xml:space="preserve">third_party/proteinmpnn/LICENSE</w:t>
      </w:r>
      <w:r>
        <w:t xml:space="preserve">) — see</w:t>
      </w:r>
      <w:r>
        <w:t xml:space="preserve"> </w:t>
      </w:r>
      <w:r>
        <w:rPr>
          <w:rStyle w:val="VerbatimChar"/>
        </w:rPr>
        <w:t xml:space="preserve">third_party/proteinmpnn/NOTICE.md</w:t>
      </w:r>
      <w:r>
        <w:t xml:space="preserve"> </w:t>
      </w:r>
      <w:r>
        <w:t xml:space="preserve">for full attribution.</w:t>
      </w:r>
    </w:p>
    <w:p>
      <w:pPr>
        <w:pStyle w:val="BodyText"/>
      </w:pPr>
      <w:r>
        <w:t xml:space="preserve">All recovery rates, RMSD values, and hot-spot statistics cited in</w:t>
      </w:r>
      <w:r>
        <w:t xml:space="preserve"> </w:t>
      </w:r>
      <w:r>
        <w:t xml:space="preserve">Section 10.4 were computed directly by running</w:t>
      </w:r>
      <w:r>
        <w:t xml:space="preserve"> </w:t>
      </w:r>
      <w:r>
        <w:rPr>
          <w:rStyle w:val="VerbatimChar"/>
        </w:rPr>
        <w:t xml:space="preserve">protein_design.py</w:t>
      </w:r>
      <w:r>
        <w:t xml:space="preserve"> </w:t>
      </w:r>
      <w:r>
        <w:t xml:space="preserve">against the real bundled PDB structures and the real ProteinMPNN</w:t>
      </w:r>
      <w:r>
        <w:t xml:space="preserve"> </w:t>
      </w:r>
      <w:r>
        <w:t xml:space="preserve">checkpoint on 2026-08-20, not taken from a secondary source — see</w:t>
      </w:r>
      <w:r>
        <w:t xml:space="preserve"> </w:t>
      </w:r>
      <w:r>
        <w:rPr>
          <w:rStyle w:val="VerbatimChar"/>
        </w:rPr>
        <w:t xml:space="preserve">results/protein_design_results.json</w:t>
      </w:r>
      <w:r>
        <w:t xml:space="preserve"> </w:t>
      </w:r>
      <w:r>
        <w:t xml:space="preserve">to reproduce.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protein_design.py" TargetMode="External" /><Relationship Type="http://schemas.openxmlformats.org/officeDocument/2006/relationships/hyperlink" Id="rId18" Target="requirements.txt" TargetMode="External" /><Relationship Type="http://schemas.openxmlformats.org/officeDocument/2006/relationships/hyperlink" Id="rId19" Target="tests/test_protein_design.py" TargetMode="External" /><Relationship Type="http://schemas.openxmlformats.org/officeDocument/2006/relationships/hyperlink" Id="rId14" Target="third_party/proteinmpnn/NOT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protein_design.py" TargetMode="External" /><Relationship Type="http://schemas.openxmlformats.org/officeDocument/2006/relationships/hyperlink" Id="rId18" Target="requirements.txt" TargetMode="External" /><Relationship Type="http://schemas.openxmlformats.org/officeDocument/2006/relationships/hyperlink" Id="rId19" Target="tests/test_protein_design.py" TargetMode="External" /><Relationship Type="http://schemas.openxmlformats.org/officeDocument/2006/relationships/hyperlink" Id="rId14" Target="third_party/proteinmpnn/NOT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2026-08-20T17:08:55Z</dcterms:created>
  <dcterms:modified xsi:type="dcterms:W3CDTF">2026-08-20T17:08:55Z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