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11-ai-driven-molecular-docking"/>
    <w:p>
      <w:pPr>
        <w:pStyle w:val="Heading1"/>
      </w:pPr>
      <w:r>
        <w:t xml:space="preserve">Chapter 11: AI-Driven Molecular Docking</w:t>
      </w:r>
    </w:p>
    <w:p>
      <w:pPr>
        <w:pStyle w:val="FirstParagraph"/>
      </w:pPr>
      <w:r>
        <w:t xml:space="preserve">Chapter 10 closed by designing a real peptide sequence —</w:t>
      </w:r>
      <w:r>
        <w:t xml:space="preserve"> </w:t>
      </w:r>
      <w:r>
        <w:rPr>
          <w:rStyle w:val="VerbatimChar"/>
        </w:rPr>
        <w:t xml:space="preserve">ETFEEIWAKLPQS</w:t>
      </w:r>
      <w:r>
        <w:t xml:space="preserve"> </w:t>
      </w:r>
      <w:r>
        <w:t xml:space="preserve">and four close variants — for a real, fixed backbone conditioned on a</w:t>
      </w:r>
      <w:r>
        <w:t xml:space="preserve"> </w:t>
      </w:r>
      <w:r>
        <w:t xml:space="preserve">real target interface (the MDM2-p53 cleft, PDB 1YCR), and asked the</w:t>
      </w:r>
      <w:r>
        <w:t xml:space="preserve"> </w:t>
      </w:r>
      <w:r>
        <w:t xml:space="preserve">question that naturally follows: does a designed or selected binder</w:t>
      </w:r>
      <w:r>
        <w:t xml:space="preserve"> </w:t>
      </w:r>
      <w:r>
        <w:t xml:space="preserve">actually</w:t>
      </w:r>
      <w:r>
        <w:t xml:space="preserve"> </w:t>
      </w:r>
      <w:r>
        <w:rPr>
          <w:i/>
          <w:iCs/>
        </w:rPr>
        <w:t xml:space="preserve">dock</w:t>
      </w:r>
      <w:r>
        <w:t xml:space="preserve"> </w:t>
      </w:r>
      <w:r>
        <w:t xml:space="preserve">into the site it was built or chosen for, in a way a</w:t>
      </w:r>
      <w:r>
        <w:t xml:space="preserve"> </w:t>
      </w:r>
      <w:r>
        <w:t xml:space="preserve">computational method can predict before anything is synthesized? Part</w:t>
      </w:r>
      <w:r>
        <w:t xml:space="preserve"> </w:t>
      </w:r>
      <w:r>
        <w:t xml:space="preserve">III (Chapters 8-10) was about producing 3D structure — of a single</w:t>
      </w:r>
      <w:r>
        <w:t xml:space="preserve"> </w:t>
      </w:r>
      <w:r>
        <w:t xml:space="preserve">protein, or of a newly designed one. Part IV, which this chapter opens,</w:t>
      </w:r>
      <w:r>
        <w:t xml:space="preserve"> </w:t>
      </w:r>
      <w:r>
        <w:t xml:space="preserve">is about the geometric relationship</w:t>
      </w:r>
      <w:r>
        <w:t xml:space="preserve"> </w:t>
      </w:r>
      <w:r>
        <w:rPr>
          <w:i/>
          <w:iCs/>
        </w:rPr>
        <w:t xml:space="preserve">between two</w:t>
      </w:r>
      <w:r>
        <w:t xml:space="preserve"> </w:t>
      </w:r>
      <w:r>
        <w:t xml:space="preserve">structures: a small</w:t>
      </w:r>
      <w:r>
        <w:t xml:space="preserve"> </w:t>
      </w:r>
      <w:r>
        <w:t xml:space="preserve">molecule and the protein it may or may not bind, and where and how well</w:t>
      </w:r>
      <w:r>
        <w:t xml:space="preserve"> </w:t>
      </w:r>
      <w:r>
        <w:t xml:space="preserve">it fits. That problem is</w:t>
      </w:r>
      <w:r>
        <w:t xml:space="preserve"> </w:t>
      </w:r>
      <w:r>
        <w:rPr>
          <w:b/>
          <w:bCs/>
        </w:rPr>
        <w:t xml:space="preserve">molecular docking</w:t>
      </w:r>
      <w:r>
        <w:t xml:space="preserve">, and it has two</w:t>
      </w:r>
      <w:r>
        <w:t xml:space="preserve"> </w:t>
      </w:r>
      <w:r>
        <w:t xml:space="preserve">methodologically distinct families of solution — a decades-old</w:t>
      </w:r>
      <w:r>
        <w:t xml:space="preserve"> </w:t>
      </w:r>
      <w:r>
        <w:t xml:space="preserve">physics-based search paradigm (Section 11.1) and a recent generative</w:t>
      </w:r>
      <w:r>
        <w:t xml:space="preserve"> </w:t>
      </w:r>
      <w:r>
        <w:t xml:space="preserve">deep-learning paradigm (Section 11.2) — that this chapter compares</w:t>
      </w:r>
      <w:r>
        <w:t xml:space="preserve"> </w:t>
      </w:r>
      <w:r>
        <w:t xml:space="preserve">directly, both in what the literature reports (Section 11.3) and in</w:t>
      </w:r>
      <w:r>
        <w:t xml:space="preserve"> </w:t>
      </w:r>
      <w:r>
        <w:t xml:space="preserve">what this chapter’s own hands-on project measures firsthand (Section</w:t>
      </w:r>
      <w:r>
        <w:t xml:space="preserve"> </w:t>
      </w:r>
      <w:r>
        <w:t xml:space="preserve">11.4) by docking dozens of real, potency-labeled compounds against a</w:t>
      </w:r>
      <w:r>
        <w:t xml:space="preserve"> </w:t>
      </w:r>
      <w:r>
        <w:t xml:space="preserve">real oncology target.</w:t>
      </w:r>
    </w:p>
    <w:bookmarkStart w:id="9" w:name="physics-based-docking"/>
    <w:p>
      <w:pPr>
        <w:pStyle w:val="Heading2"/>
      </w:pPr>
      <w:r>
        <w:t xml:space="preserve">11.1 Physics-Based Docking</w:t>
      </w:r>
    </w:p>
    <w:p>
      <w:pPr>
        <w:pStyle w:val="FirstParagraph"/>
      </w:pPr>
      <w:r>
        <w:t xml:space="preserve">Given a receptor structure and a candidate ligand, docking answers two</w:t>
      </w:r>
      <w:r>
        <w:t xml:space="preserve"> </w:t>
      </w:r>
      <w:r>
        <w:t xml:space="preserve">coupled questions at once: what 3D pose (position, orientation, and</w:t>
      </w:r>
      <w:r>
        <w:t xml:space="preserve"> </w:t>
      </w:r>
      <w:r>
        <w:t xml:space="preserve">internal conformation) should the ligand adopt relative to the</w:t>
      </w:r>
      <w:r>
        <w:t xml:space="preserve"> </w:t>
      </w:r>
      <w:r>
        <w:t xml:space="preserve">receptor, and how favorable is that pose energetically?</w:t>
      </w:r>
      <w:r>
        <w:t xml:space="preserve"> </w:t>
      </w:r>
      <w:r>
        <w:rPr>
          <w:b/>
          <w:bCs/>
        </w:rPr>
        <w:t xml:space="preserve">AutoDock</w:t>
      </w:r>
      <w:r>
        <w:rPr>
          <w:b/>
          <w:bCs/>
        </w:rPr>
        <w:t xml:space="preserve"> </w:t>
      </w:r>
      <w:r>
        <w:rPr>
          <w:b/>
          <w:bCs/>
        </w:rPr>
        <w:t xml:space="preserve">Vina</w:t>
      </w:r>
      <w:r>
        <w:t xml:space="preserve"> </w:t>
      </w:r>
      <w:r>
        <w:t xml:space="preserve">(Trott &amp; Olson, 2010; Eberhardt et al., 2021) is the field’s most</w:t>
      </w:r>
      <w:r>
        <w:t xml:space="preserve"> </w:t>
      </w:r>
      <w:r>
        <w:t xml:space="preserve">widely used open-source answer to both, and this chapter’s own hands-on</w:t>
      </w:r>
      <w:r>
        <w:t xml:space="preserve"> </w:t>
      </w:r>
      <w:r>
        <w:t xml:space="preserve">project runs it directly, not just describes it.</w:t>
      </w:r>
    </w:p>
    <w:p>
      <w:pPr>
        <w:pStyle w:val="BodyText"/>
      </w:pPr>
      <w:r>
        <w:rPr>
          <w:b/>
          <w:bCs/>
        </w:rPr>
        <w:t xml:space="preserve">The scoring function.</w:t>
      </w:r>
      <w:r>
        <w:t xml:space="preserve"> </w:t>
      </w:r>
      <w:r>
        <w:t xml:space="preserve">Vina scores a pose with an empirical function</w:t>
      </w:r>
      <w:r>
        <w:t xml:space="preserve"> </w:t>
      </w:r>
      <w:r>
        <w:t xml:space="preserve">built from pairwise atom-type interaction terms, summed over every pair</w:t>
      </w:r>
      <w:r>
        <w:t xml:space="preserve"> </w:t>
      </w:r>
      <w:r>
        <w:t xml:space="preserve">of atoms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(receptor) 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(ligand) closer than a distance cutoff,</w:t>
      </w:r>
      <w:r>
        <w:t xml:space="preserve"> </w:t>
      </w:r>
      <w:r>
        <w:t xml:space="preserve">as a function of the</w:t>
      </w:r>
      <w:r>
        <w:t xml:space="preserve"> </w:t>
      </w:r>
      <w:r>
        <w:rPr>
          <w:i/>
          <w:iCs/>
        </w:rPr>
        <w:t xml:space="preserve">surface</w:t>
      </w:r>
      <w:r>
        <w:t xml:space="preserve"> </w:t>
      </w:r>
      <w:r>
        <w:t xml:space="preserve">distance between them,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(center-to-center distance minus the two</w:t>
      </w:r>
      <w:r>
        <w:t xml:space="preserve"> </w:t>
      </w:r>
      <w:r>
        <w:t xml:space="preserve">atoms’ van der Waals radii — a physically motivated choice, since it is</w:t>
      </w:r>
      <w:r>
        <w:t xml:space="preserve"> </w:t>
      </w:r>
      <w:r>
        <w:t xml:space="preserve">surface proximity, not nuclear distance, that governs steric and</w:t>
      </w:r>
      <w:r>
        <w:t xml:space="preserve"> </w:t>
      </w:r>
      <w:r>
        <w:t xml:space="preserve">electrostatic contact):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gauss1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gauss2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repulsion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hydrophobic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Hbond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simple, smooth function of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alone (two</w:t>
      </w:r>
      <w:r>
        <w:t xml:space="preserve"> </w:t>
      </w:r>
      <w:r>
        <w:t xml:space="preserve">Gaussians of different widths favoring close steric contact at two</w:t>
      </w:r>
      <w:r>
        <w:t xml:space="preserve"> </w:t>
      </w:r>
      <w:r>
        <w:t xml:space="preserve">characteristic distances, a quadratic penalty for any overlap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and two linear step functions rewarding hydrophobic contact</w:t>
      </w:r>
      <w:r>
        <w:t xml:space="preserve"> </w:t>
      </w:r>
      <w:r>
        <w:t xml:space="preserve">and directional hydrogen bonding within their own characteristic</w:t>
      </w:r>
      <w:r>
        <w:t xml:space="preserve"> </w:t>
      </w:r>
      <w:r>
        <w:t xml:space="preserve">distance ranges) and</w:t>
      </w:r>
      <w:r>
        <w:t xml:space="preserve"> </w:t>
      </w:r>
      <m:oMath>
        <m:sSub>
          <m:e>
            <m:r>
              <m:t>w</m:t>
            </m:r>
          </m:e>
          <m:sub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a per-atom-type-pair weight fit</w:t>
      </w:r>
      <w:r>
        <w:t xml:space="preserve"> </w:t>
      </w:r>
      <w:r>
        <w:t xml:space="preserve">once, globally, against a large set of experimentally measured</w:t>
      </w:r>
      <w:r>
        <w:t xml:space="preserve"> </w:t>
      </w:r>
      <w:r>
        <w:t xml:space="preserve">protein-ligand complexes — not fit per target. The intermolecular score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then converted to a predicted binding affinity via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rot</m:t>
                  </m:r>
                </m:sub>
              </m:sSub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rot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rot</m:t>
            </m:r>
          </m:sub>
        </m:sSub>
      </m:oMath>
      <w:r>
        <w:t xml:space="preserve"> </w:t>
      </w:r>
      <w:r>
        <w:t xml:space="preserve">is the number of the ligand’s active rotatable</w:t>
      </w:r>
      <w:r>
        <w:t xml:space="preserve"> </w:t>
      </w:r>
      <w:r>
        <w:t xml:space="preserve">bonds and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rot</m:t>
            </m:r>
          </m:sub>
        </m:sSub>
      </m:oMath>
      <w:r>
        <w:t xml:space="preserve"> </w:t>
      </w:r>
      <w:r>
        <w:t xml:space="preserve">(also globally fit) penalizes flexible</w:t>
      </w:r>
      <w:r>
        <w:t xml:space="preserve"> </w:t>
      </w:r>
      <w:r>
        <w:t xml:space="preserve">ligands for the conformational entropy they lose on binding — a coarse</w:t>
      </w:r>
      <w:r>
        <w:t xml:space="preserve"> </w:t>
      </w:r>
      <w:r>
        <w:t xml:space="preserve">but real physical correction: two ligands with an identical raw contact</w:t>
      </w:r>
      <w:r>
        <w:t xml:space="preserve"> </w:t>
      </w:r>
      <w:r>
        <w:t xml:space="preserve">score are not equally favorable to bind if one must freeze far more</w:t>
      </w:r>
      <w:r>
        <w:t xml:space="preserve"> </w:t>
      </w:r>
      <w:r>
        <w:t xml:space="preserve">internal rotational freedom to do so.</w:t>
      </w:r>
    </w:p>
    <w:p>
      <w:pPr>
        <w:pStyle w:val="BodyText"/>
      </w:pPr>
      <w:r>
        <w:rPr>
          <w:b/>
          <w:bCs/>
        </w:rPr>
        <w:t xml:space="preserve">Conformational search.</w:t>
      </w:r>
      <w:r>
        <w:t xml:space="preserve"> </w:t>
      </w:r>
      <w:r>
        <w:t xml:space="preserve">Scoring one pose is cheap; finding the</w:t>
      </w:r>
      <w:r>
        <w:t xml:space="preserve"> </w:t>
      </w:r>
      <w:r>
        <w:t xml:space="preserve">best one is the actual computational problem. A drug-like ligand’s pose</w:t>
      </w:r>
      <w:r>
        <w:t xml:space="preserve"> </w:t>
      </w:r>
      <w:r>
        <w:t xml:space="preserve">space includes 3 translational, 3 rotational,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rot</m:t>
            </m:r>
          </m:sub>
        </m:sSub>
      </m:oMath>
      <w:r>
        <w:t xml:space="preserve"> </w:t>
      </w:r>
      <w:r>
        <w:t xml:space="preserve">torsional degrees of freedom — a continuous space with no closed-form</w:t>
      </w:r>
      <w:r>
        <w:t xml:space="preserve"> </w:t>
      </w:r>
      <w:r>
        <w:t xml:space="preserve">optimum and many local minima. Vina searches it with an iterated</w:t>
      </w:r>
      <w:r>
        <w:t xml:space="preserve"> </w:t>
      </w:r>
      <w:r>
        <w:t xml:space="preserve">local-search strategy: repeatedly perturb the current pose at random</w:t>
      </w:r>
      <w:r>
        <w:t xml:space="preserve"> </w:t>
      </w:r>
      <w:r>
        <w:t xml:space="preserve">(a Monte-Carlo-style step), locally optimize the perturbed pose with the</w:t>
      </w:r>
      <w:r>
        <w:t xml:space="preserve"> </w:t>
      </w:r>
      <w:r>
        <w:t xml:space="preserve">Broyden-Fletcher-Goldfarb-Shanno (BFGS) quasi-Newton method (using the</w:t>
      </w:r>
      <w:r>
        <w:t xml:space="preserve"> </w:t>
      </w:r>
      <w:r>
        <w:t xml:space="preserve">scoring function’s analytically computed gradient, which its smooth,</w:t>
      </w:r>
      <w:r>
        <w:t xml:space="preserve"> </w:t>
      </w:r>
      <w:r>
        <w:t xml:space="preserve">piecewise-simple terms make cheap), and accept or reject the new local</w:t>
      </w:r>
      <w:r>
        <w:t xml:space="preserve"> </w:t>
      </w:r>
      <w:r>
        <w:t xml:space="preserve">optimum with a Metropolis-style criterion, repeating for a number of</w:t>
      </w:r>
      <w:r>
        <w:t xml:space="preserve"> </w:t>
      </w:r>
      <w:r>
        <w:t xml:space="preserve">independent runs controlled by the</w:t>
      </w:r>
      <w:r>
        <w:t xml:space="preserve"> </w:t>
      </w:r>
      <w:r>
        <w:rPr>
          <w:b/>
          <w:bCs/>
        </w:rPr>
        <w:t xml:space="preserve">exhaustiveness</w:t>
      </w:r>
      <w:r>
        <w:t xml:space="preserve"> </w:t>
      </w:r>
      <w:r>
        <w:t xml:space="preserve">parameter —</w:t>
      </w:r>
      <w:r>
        <w:t xml:space="preserve"> </w:t>
      </w:r>
      <w:r>
        <w:t xml:space="preserve">directly trading wall-clock time for a higher chance of finding the</w:t>
      </w:r>
      <w:r>
        <w:t xml:space="preserve"> </w:t>
      </w:r>
      <w:r>
        <w:t xml:space="preserve">true global optimum rather than a nearby local one. This chapter’s</w:t>
      </w:r>
      <w:r>
        <w:t xml:space="preserve"> </w:t>
      </w:r>
      <w:r>
        <w:t xml:space="preserve">hands-on project uses Vina’s own documented default,</w:t>
      </w:r>
      <w:r>
        <w:t xml:space="preserve"> </w:t>
      </w:r>
      <w:r>
        <w:t xml:space="preserve">exhaustiveness</w:t>
      </w:r>
      <w:r>
        <w:t xml:space="preserve"> </w:t>
      </w:r>
      <m:oMath>
        <m:r>
          <m:rPr>
            <m:sty m:val="p"/>
          </m:rPr>
          <m:t>=</m:t>
        </m:r>
        <m:r>
          <m:t>8</m:t>
        </m:r>
      </m:oMath>
      <w:r>
        <w:t xml:space="preserve">, and reports the real wall-clock cost that choice</w:t>
      </w:r>
      <w:r>
        <w:t xml:space="preserve"> </w:t>
      </w:r>
      <w:r>
        <w:t xml:space="preserve">carries (Section 11.4).</w:t>
      </w:r>
    </w:p>
    <w:p>
      <w:pPr>
        <w:pStyle w:val="BodyText"/>
      </w:pPr>
      <w:r>
        <w:rPr>
          <w:b/>
          <w:bCs/>
        </w:rPr>
        <w:t xml:space="preserve">Pocket-informed vs. blind search.</w:t>
      </w:r>
      <w:r>
        <w:t xml:space="preserve"> </w:t>
      </w:r>
      <w:r>
        <w:t xml:space="preserve">Vina always searches inside an</w:t>
      </w:r>
      <w:r>
        <w:t xml:space="preserve"> </w:t>
      </w:r>
      <w:r>
        <w:t xml:space="preserve">axis-aligned rectangular box the user supplies — it has no built-in</w:t>
      </w:r>
      <w:r>
        <w:t xml:space="preserve"> </w:t>
      </w:r>
      <w:r>
        <w:t xml:space="preserve">notion of</w:t>
      </w:r>
      <w:r>
        <w:t xml:space="preserve"> </w:t>
      </w:r>
      <w:r>
        <w:t xml:space="preserve">“the binding site”</w:t>
      </w:r>
      <w:r>
        <w:t xml:space="preserve"> </w:t>
      </w:r>
      <w:r>
        <w:t xml:space="preserve">beyond that box. When a binding pocket is</w:t>
      </w:r>
      <w:r>
        <w:t xml:space="preserve"> </w:t>
      </w:r>
      <w:r>
        <w:t xml:space="preserve">already known (from a co-crystallized ligand, a homologous structure,</w:t>
      </w:r>
      <w:r>
        <w:t xml:space="preserve"> </w:t>
      </w:r>
      <w:r>
        <w:t xml:space="preserve">or a cavity-detection tool), the box can be centered tightly on it — a</w:t>
      </w:r>
      <w:r>
        <w:t xml:space="preserve"> </w:t>
      </w:r>
      <w:r>
        <w:t xml:space="preserve">few thousand cubic angstroms, a</w:t>
      </w:r>
      <w:r>
        <w:t xml:space="preserve"> </w:t>
      </w:r>
      <w:r>
        <w:rPr>
          <w:b/>
          <w:bCs/>
        </w:rPr>
        <w:t xml:space="preserve">focused</w:t>
      </w:r>
      <w:r>
        <w:t xml:space="preserve"> </w:t>
      </w:r>
      <w:r>
        <w:t xml:space="preserve">search. When it is not, the</w:t>
      </w:r>
      <w:r>
        <w:t xml:space="preserve"> </w:t>
      </w:r>
      <w:r>
        <w:t xml:space="preserve">only physically honest option is a box large enough to cover the</w:t>
      </w:r>
      <w:r>
        <w:t xml:space="preserve"> </w:t>
      </w:r>
      <w:r>
        <w:t xml:space="preserve">receptor’s entire solvent-accessible surface — a</w:t>
      </w:r>
      <w:r>
        <w:t xml:space="preserve"> </w:t>
      </w:r>
      <w:r>
        <w:rPr>
          <w:b/>
          <w:bCs/>
        </w:rPr>
        <w:t xml:space="preserve">blind</w:t>
      </w:r>
      <w:r>
        <w:t xml:space="preserve"> </w:t>
      </w:r>
      <w:r>
        <w:t xml:space="preserve">search,</w:t>
      </w:r>
      <w:r>
        <w:t xml:space="preserve"> </w:t>
      </w:r>
      <w:r>
        <w:t xml:space="preserve">often tens of thousands of cubic angstroms, which Vina’s own runtime</w:t>
      </w:r>
      <w:r>
        <w:t xml:space="preserve"> </w:t>
      </w:r>
      <w:r>
        <w:t xml:space="preserve">output explicitly flags as exceeding its recommended volume (Section</w:t>
      </w:r>
      <w:r>
        <w:t xml:space="preserve"> </w:t>
      </w:r>
      <w:r>
        <w:t xml:space="preserve">11.4 reports this warning firsthand). The same scoring function and</w:t>
      </w:r>
      <w:r>
        <w:t xml:space="preserve"> </w:t>
      </w:r>
      <w:r>
        <w:t xml:space="preserve">search algorithm run in both cases; only the volume the search has to</w:t>
      </w:r>
      <w:r>
        <w:t xml:space="preserve"> </w:t>
      </w:r>
      <w:r>
        <w:t xml:space="preserve">cover changes, and Section 11.3 quantifies what that costs.</w:t>
      </w:r>
    </w:p>
    <w:bookmarkEnd w:id="9"/>
    <w:bookmarkStart w:id="10" w:name="deep-learning-docking"/>
    <w:p>
      <w:pPr>
        <w:pStyle w:val="Heading2"/>
      </w:pPr>
      <w:r>
        <w:t xml:space="preserve">11.2 Deep Learning Docking</w:t>
      </w:r>
    </w:p>
    <w:p>
      <w:pPr>
        <w:pStyle w:val="FirstParagraph"/>
      </w:pPr>
      <w:r>
        <w:t xml:space="preserve">Physics-based search treats every new ligand-receptor pair as a fresh</w:t>
      </w:r>
      <w:r>
        <w:t xml:space="preserve"> </w:t>
      </w:r>
      <w:r>
        <w:t xml:space="preserve">optimization problem, with no memory of any pose it has scored before.</w:t>
      </w:r>
      <w:r>
        <w:t xml:space="preserve"> </w:t>
      </w:r>
      <w:r>
        <w:t xml:space="preserve">A second family of methods instead trains a neural network, once, on a</w:t>
      </w:r>
      <w:r>
        <w:t xml:space="preserve"> </w:t>
      </w:r>
      <w:r>
        <w:t xml:space="preserve">large set of experimentally solved protein-ligand complexes, and asks</w:t>
      </w:r>
      <w:r>
        <w:t xml:space="preserve"> </w:t>
      </w:r>
      <w:r>
        <w:t xml:space="preserve">it to output a pose directly — trading Vina’s per-complex search cost</w:t>
      </w:r>
      <w:r>
        <w:t xml:space="preserve"> </w:t>
      </w:r>
      <w:r>
        <w:t xml:space="preserve">for a single learned forward (or iterative denoising) pass.</w:t>
      </w:r>
    </w:p>
    <w:p>
      <w:pPr>
        <w:pStyle w:val="BodyText"/>
      </w:pPr>
      <w:r>
        <w:rPr>
          <w:b/>
          <w:bCs/>
        </w:rPr>
        <w:t xml:space="preserve">EquiBind</w:t>
      </w:r>
      <w:r>
        <w:t xml:space="preserve"> </w:t>
      </w:r>
      <w:r>
        <w:t xml:space="preserve">(Stärk et al., 2022) frames docking as one-shot geometric</w:t>
      </w:r>
      <w:r>
        <w:t xml:space="preserve"> </w:t>
      </w:r>
      <w:r>
        <w:rPr>
          <w:i/>
          <w:iCs/>
        </w:rPr>
        <w:t xml:space="preserve">regression</w:t>
      </w:r>
      <w:r>
        <w:t xml:space="preserve">: an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-equivariant graph neural network — a network</w:t>
      </w:r>
      <w:r>
        <w:t xml:space="preserve"> </w:t>
      </w:r>
      <w:r>
        <w:t xml:space="preserve">whose predictions rotate and translate exactly as its input coordinates</w:t>
      </w:r>
      <w:r>
        <w:t xml:space="preserve"> </w:t>
      </w:r>
      <w:r>
        <w:t xml:space="preserve">do, the same equivariance principle Chapter 6 §6.4 introduced for</w:t>
      </w:r>
      <w:r>
        <w:t xml:space="preserve"> </w:t>
      </w:r>
      <w:r>
        <w:t xml:space="preserve">property prediction, here applied to pose generation directly — jointly</w:t>
      </w:r>
      <w:r>
        <w:t xml:space="preserve"> </w:t>
      </w:r>
      <w:r>
        <w:t xml:space="preserve">predicts a set of ligand and receptor</w:t>
      </w:r>
      <w:r>
        <w:t xml:space="preserve"> </w:t>
      </w:r>
      <w:r>
        <w:t xml:space="preserve">“keypoints”</w:t>
      </w:r>
      <w:r>
        <w:t xml:space="preserve"> </w:t>
      </w:r>
      <w:r>
        <w:t xml:space="preserve">and the optimal rigid</w:t>
      </w:r>
      <w:r>
        <w:t xml:space="preserve"> </w:t>
      </w:r>
      <w:r>
        <w:t xml:space="preserve">transformation (rotation and translation) aligning one point set to the</w:t>
      </w:r>
      <w:r>
        <w:t xml:space="preserve"> </w:t>
      </w:r>
      <w:r>
        <w:t xml:space="preserve">other, then relaxes the ligand’s internal torsion angles to resolve</w:t>
      </w:r>
      <w:r>
        <w:t xml:space="preserve"> </w:t>
      </w:r>
      <w:r>
        <w:t xml:space="preserve">steric clashes. Being a single deterministic forward pass, EquiBind is</w:t>
      </w:r>
      <w:r>
        <w:t xml:space="preserve"> </w:t>
      </w:r>
      <w:r>
        <w:t xml:space="preserve">extremely fast, but a regression model must commit to one geometric</w:t>
      </w:r>
      <w:r>
        <w:t xml:space="preserve"> </w:t>
      </w:r>
      <w:r>
        <w:t xml:space="preserve">answer per input — it has no native mechanism for expressing</w:t>
      </w:r>
      <w:r>
        <w:t xml:space="preserve"> </w:t>
      </w:r>
      <w:r>
        <w:t xml:space="preserve">“there are</w:t>
      </w:r>
      <w:r>
        <w:t xml:space="preserve"> </w:t>
      </w:r>
      <w:r>
        <w:t xml:space="preserve">two comparably plausible binding modes here,”</w:t>
      </w:r>
      <w:r>
        <w:t xml:space="preserve"> </w:t>
      </w:r>
      <w:r>
        <w:t xml:space="preserve">a limitation the next two</w:t>
      </w:r>
      <w:r>
        <w:t xml:space="preserve"> </w:t>
      </w:r>
      <w:r>
        <w:t xml:space="preserve">methods address by construction, from opposite directions.</w:t>
      </w:r>
    </w:p>
    <w:p>
      <w:pPr>
        <w:pStyle w:val="BodyText"/>
      </w:pPr>
      <w:r>
        <w:rPr>
          <w:b/>
          <w:bCs/>
        </w:rPr>
        <w:t xml:space="preserve">TankBind</w:t>
      </w:r>
      <w:r>
        <w:t xml:space="preserve"> </w:t>
      </w:r>
      <w:r>
        <w:t xml:space="preserve">(Lu et al., 2022) keeps prediction one-shot but reframes</w:t>
      </w:r>
      <w:r>
        <w:t xml:space="preserve"> </w:t>
      </w:r>
      <w:r>
        <w:t xml:space="preserve">its</w:t>
      </w:r>
      <w:r>
        <w:t xml:space="preserve"> </w:t>
      </w:r>
      <w:r>
        <w:rPr>
          <w:i/>
          <w:iCs/>
        </w:rPr>
        <w:t xml:space="preserve">target</w:t>
      </w:r>
      <w:r>
        <w:t xml:space="preserve">: rather than regress atomic coordinates directly, it</w:t>
      </w:r>
      <w:r>
        <w:t xml:space="preserve"> </w:t>
      </w:r>
      <w:r>
        <w:t xml:space="preserve">segments the receptor surface into candidate functional blocks</w:t>
      </w:r>
      <w:r>
        <w:t xml:space="preserve"> </w:t>
      </w:r>
      <w:r>
        <w:t xml:space="preserve">(pocket-sized regions), predicts, for each block, a full pairwise</w:t>
      </w:r>
      <w:r>
        <w:t xml:space="preserve"> </w:t>
      </w:r>
      <w:r>
        <w:t xml:space="preserve">distance matrix between every ligand atom and every block residue, and</w:t>
      </w:r>
      <w:r>
        <w:t xml:space="preserve"> </w:t>
      </w:r>
      <w:r>
        <w:t xml:space="preserve">reconstructs the 3D pose from that distance matrix by distance geometry</w:t>
      </w:r>
      <w:r>
        <w:t xml:space="preserve"> </w:t>
      </w:r>
      <w:r>
        <w:t xml:space="preserve">— a trigonometry-aware architecture that explicitly enforces the</w:t>
      </w:r>
      <w:r>
        <w:t xml:space="preserve"> </w:t>
      </w:r>
      <w:r>
        <w:t xml:space="preserve">triangle inequality between predicted distances during training (hence</w:t>
      </w:r>
      <w:r>
        <w:t xml:space="preserve"> </w:t>
      </w:r>
      <w:r>
        <w:t xml:space="preserve">the name), which plain per-atom coordinate regression has no mechanism</w:t>
      </w:r>
      <w:r>
        <w:t xml:space="preserve"> </w:t>
      </w:r>
      <w:r>
        <w:t xml:space="preserve">to guarantee. Scoring every candidate block against the same ligand</w:t>
      </w:r>
      <w:r>
        <w:t xml:space="preserve"> </w:t>
      </w:r>
      <w:r>
        <w:t xml:space="preserve">also gives TankBind a natural, built-in way to ask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site a</w:t>
      </w:r>
      <w:r>
        <w:t xml:space="preserve"> </w:t>
      </w:r>
      <w:r>
        <w:t xml:space="preserve">ligand most likely binds, not only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binds a site assumed known</w:t>
      </w:r>
      <w:r>
        <w:t xml:space="preserve"> </w:t>
      </w:r>
      <w:r>
        <w:t xml:space="preserve">in advance.</w:t>
      </w:r>
    </w:p>
    <w:p>
      <w:pPr>
        <w:pStyle w:val="BodyText"/>
      </w:pPr>
      <w:r>
        <w:rPr>
          <w:b/>
          <w:bCs/>
        </w:rPr>
        <w:t xml:space="preserve">DiffDock</w:t>
      </w:r>
      <w:r>
        <w:t xml:space="preserve"> </w:t>
      </w:r>
      <w:r>
        <w:t xml:space="preserve">(Corso et al., 2023) instead frames docking as</w:t>
      </w:r>
      <w:r>
        <w:t xml:space="preserve"> </w:t>
      </w:r>
      <w:r>
        <w:rPr>
          <w:i/>
          <w:iCs/>
        </w:rPr>
        <w:t xml:space="preserve">generative</w:t>
      </w:r>
      <w:r>
        <w:t xml:space="preserve"> </w:t>
      </w:r>
      <w:r>
        <w:t xml:space="preserve">modeling over the manifold of possible poses, applying the</w:t>
      </w:r>
      <w:r>
        <w:t xml:space="preserve"> </w:t>
      </w:r>
      <w:r>
        <w:t xml:space="preserve">same denoising-diffusion principle Chapter 7 §7.4 used for generating</w:t>
      </w:r>
      <w:r>
        <w:t xml:space="preserve"> </w:t>
      </w:r>
      <w:r>
        <w:t xml:space="preserve">3D molecular structures from nothing and Chapter 10 §10.1 used for</w:t>
      </w:r>
      <w:r>
        <w:t xml:space="preserve"> </w:t>
      </w:r>
      <w:r>
        <w:t xml:space="preserve">generating protein backbones — here, to generating a ligand pose</w:t>
      </w:r>
      <w:r>
        <w:t xml:space="preserve"> </w:t>
      </w:r>
      <w:r>
        <w:t xml:space="preserve">conditioned on a fixed receptor. A pose’s true degrees of freedom are</w:t>
      </w:r>
      <w:r>
        <w:t xml:space="preserve"> </w:t>
      </w:r>
      <w:r>
        <w:t xml:space="preserve">not 3</w:t>
      </w:r>
      <m:oMath>
        <m:r>
          <m:t>N</m:t>
        </m:r>
      </m:oMath>
      <w:r>
        <w:t xml:space="preserve"> </w:t>
      </w:r>
      <w:r>
        <w:t xml:space="preserve">independent atomic coordinates but exactly the low-dimensional</w:t>
      </w:r>
      <w:r>
        <w:t xml:space="preserve"> </w:t>
      </w:r>
      <w:r>
        <w:t xml:space="preserve">product space this chapter’s own Section 11.1 named for physics-based</w:t>
      </w:r>
      <w:r>
        <w:t xml:space="preserve"> </w:t>
      </w:r>
      <w:r>
        <w:t xml:space="preserve">search: translation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global rotation in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rot</m:t>
            </m:r>
          </m:sub>
        </m:sSub>
      </m:oMath>
      <w:r>
        <w:t xml:space="preserve"> </w:t>
      </w:r>
      <w:r>
        <w:t xml:space="preserve">torsion angles each in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. DiffDock defines its</w:t>
      </w:r>
      <w:r>
        <w:t xml:space="preserve"> </w:t>
      </w:r>
      <w:r>
        <w:t xml:space="preserve">forward noising process, and therefore the reverse denoising process a</w:t>
      </w:r>
      <w:r>
        <w:t xml:space="preserve"> </w:t>
      </w:r>
      <w:r>
        <w:t xml:space="preserve">trained score network learns to run, directly on this product manifold</w:t>
      </w:r>
      <w:r>
        <w:t xml:space="preserve"> </w:t>
      </w:r>
      <w:r>
        <w:t xml:space="preserve">rather than on raw coordinates — a substantially lower-dimensional</w:t>
      </w:r>
      <w:r>
        <w:t xml:space="preserve"> </w:t>
      </w:r>
      <w:r>
        <w:t xml:space="preserve">space to search than physics-based methods implicitly explore atom by</w:t>
      </w:r>
      <w:r>
        <w:t xml:space="preserve"> </w:t>
      </w:r>
      <w:r>
        <w:t xml:space="preserve">atom, and a</w:t>
      </w:r>
      <w:r>
        <w:t xml:space="preserve"> </w:t>
      </w:r>
      <w:r>
        <w:rPr>
          <w:i/>
          <w:iCs/>
        </w:rPr>
        <w:t xml:space="preserve">generative</w:t>
      </w:r>
      <w:r>
        <w:t xml:space="preserve"> </w:t>
      </w:r>
      <w:r>
        <w:t xml:space="preserve">one: sampling the reverse process repeatedly</w:t>
      </w:r>
      <w:r>
        <w:t xml:space="preserve"> </w:t>
      </w:r>
      <w:r>
        <w:t xml:space="preserve">from different random starting poses yields multiple, diverse candidate</w:t>
      </w:r>
      <w:r>
        <w:t xml:space="preserve"> </w:t>
      </w:r>
      <w:r>
        <w:t xml:space="preserve">poses per complex rather than regression’s single deterministic answer,</w:t>
      </w:r>
      <w:r>
        <w:t xml:space="preserve"> </w:t>
      </w:r>
      <w:r>
        <w:t xml:space="preserve">together with a learned confidence model that ranks them. Corso et al.</w:t>
      </w:r>
      <w:r>
        <w:t xml:space="preserve"> </w:t>
      </w:r>
      <w:r>
        <w:t xml:space="preserve">(2024) subsequently released DiffDock-L, an updated model trained on</w:t>
      </w:r>
      <w:r>
        <w:t xml:space="preserve"> </w:t>
      </w:r>
      <w:r>
        <w:t xml:space="preserve">substantially more data with generalization-focused refinements to the</w:t>
      </w:r>
      <w:r>
        <w:t xml:space="preserve"> </w:t>
      </w:r>
      <w:r>
        <w:t xml:space="preserve">same underlying architecture; this chapter’s citations and comparisons</w:t>
      </w:r>
      <w:r>
        <w:t xml:space="preserve"> </w:t>
      </w:r>
      <w:r>
        <w:t xml:space="preserve">refer to the original DiffDock unless noted otherwise, since it is the</w:t>
      </w:r>
      <w:r>
        <w:t xml:space="preserve"> </w:t>
      </w:r>
      <w:r>
        <w:t xml:space="preserve">version with the longest-standing, most widely reproduced benchmark</w:t>
      </w:r>
      <w:r>
        <w:t xml:space="preserve"> </w:t>
      </w:r>
      <w:r>
        <w:t xml:space="preserve">record.</w:t>
      </w:r>
    </w:p>
    <w:p>
      <w:pPr>
        <w:pStyle w:val="BodyText"/>
      </w:pPr>
      <w:r>
        <w:rPr>
          <w:b/>
          <w:bCs/>
        </w:rPr>
        <w:t xml:space="preserve">A feasibility investigation, before any code was written.</w:t>
      </w:r>
      <w:r>
        <w:t xml:space="preserve"> </w:t>
      </w:r>
      <w:r>
        <w:t xml:space="preserve">Before</w:t>
      </w:r>
      <w:r>
        <w:t xml:space="preserve"> </w:t>
      </w:r>
      <w:r>
        <w:t xml:space="preserve">deciding whether to run DiffDock in this chapter’s hands-on project</w:t>
      </w:r>
      <w:r>
        <w:t xml:space="preserve"> </w:t>
      </w:r>
      <w:r>
        <w:t xml:space="preserve">(Section 11.4), its real installation and inference requirements were</w:t>
      </w:r>
      <w:r>
        <w:t xml:space="preserve"> </w:t>
      </w:r>
      <w:r>
        <w:t xml:space="preserve">checked directly, the same way Chapter 10 §10.1 checked RFdiffusion’s.</w:t>
      </w:r>
      <w:r>
        <w:t xml:space="preserve"> </w:t>
      </w:r>
      <w:r>
        <w:t xml:space="preserve">The official</w:t>
      </w:r>
      <w:r>
        <w:t xml:space="preserve"> </w:t>
      </w:r>
      <w:r>
        <w:rPr>
          <w:rStyle w:val="VerbatimChar"/>
        </w:rPr>
        <w:t xml:space="preserve">gcorso/DiffDock</w:t>
      </w:r>
      <w:r>
        <w:t xml:space="preserve"> </w:t>
      </w:r>
      <w:r>
        <w:t xml:space="preserve">repository documents environment setup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conda env create</w:t>
      </w:r>
      <w:r>
        <w:t xml:space="preserve"> </w:t>
      </w:r>
      <w:r>
        <w:t xml:space="preserve">command pinned to a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/</w:t>
      </w:r>
      <w:r>
        <w:rPr>
          <w:rStyle w:val="VerbatimChar"/>
        </w:rPr>
        <w:t xml:space="preserve">torch-geometric</w:t>
      </w:r>
      <w:r>
        <w:t xml:space="preserve">/</w:t>
      </w:r>
      <w:r>
        <w:rPr>
          <w:rStyle w:val="VerbatimChar"/>
        </w:rPr>
        <w:t xml:space="preserve">e3nn</w:t>
      </w:r>
      <w:r>
        <w:t xml:space="preserve"> </w:t>
      </w:r>
      <w:r>
        <w:t xml:space="preserve">stack, recommends GPU inference explicitly (</w:t>
      </w:r>
      <w:r>
        <w:t xml:space="preserve">“we recommend using a GPU</w:t>
      </w:r>
      <w:r>
        <w:t xml:space="preserve"> </w:t>
      </w:r>
      <w:r>
        <w:t xml:space="preserve">as the model runs significantly faster”</w:t>
      </w:r>
      <w:r>
        <w:t xml:space="preserve">), and offers no batch</w:t>
      </w:r>
      <w:r>
        <w:t xml:space="preserve"> </w:t>
      </w:r>
      <w:r>
        <w:t xml:space="preserve">programmatic API beyond its own command-line inference script and</w:t>
      </w:r>
      <w:r>
        <w:t xml:space="preserve"> </w:t>
      </w:r>
      <w:r>
        <w:t xml:space="preserve">dataset-CSV interface — the only zero-install option is a public</w:t>
      </w:r>
      <w:r>
        <w:t xml:space="preserve"> </w:t>
      </w:r>
      <w:r>
        <w:t xml:space="preserve">Hugging Face Space (</w:t>
      </w:r>
      <w:r>
        <w:rPr>
          <w:rStyle w:val="VerbatimChar"/>
        </w:rPr>
        <w:t xml:space="preserve">reginabarzilaygroup/DiffDock-Web</w:t>
      </w:r>
      <w:r>
        <w:t xml:space="preserve">) whose own</w:t>
      </w:r>
      <w:r>
        <w:t xml:space="preserve"> </w:t>
      </w:r>
      <w:r>
        <w:t xml:space="preserve">documentation states it</w:t>
      </w:r>
      <w:r>
        <w:t xml:space="preserve"> </w:t>
      </w:r>
      <w:r>
        <w:t xml:space="preserve">“is designed to take 1 protein… and 1</w:t>
      </w:r>
      <w:r>
        <w:t xml:space="preserve"> </w:t>
      </w:r>
      <w:r>
        <w:t xml:space="preserve">ligand… at a time”</w:t>
      </w:r>
      <w:r>
        <w:t xml:space="preserve"> </w:t>
      </w:r>
      <w:r>
        <w:t xml:space="preserve">and explicitly directs bulk use back to the</w:t>
      </w:r>
      <w:r>
        <w:t xml:space="preserve"> </w:t>
      </w:r>
      <w:r>
        <w:t xml:space="preserve">command-line interface; querying that Space directly while preparing</w:t>
      </w:r>
      <w:r>
        <w:t xml:space="preserve"> </w:t>
      </w:r>
      <w:r>
        <w:t xml:space="preserve">this chapter returned an HTTP 503 (service unavailable), consistent</w:t>
      </w:r>
      <w:r>
        <w:t xml:space="preserve"> </w:t>
      </w:r>
      <w:r>
        <w:t xml:space="preserve">with it being a best-effort community demo rather than a stable,</w:t>
      </w:r>
      <w:r>
        <w:t xml:space="preserve"> </w:t>
      </w:r>
      <w:r>
        <w:t xml:space="preserve">reproducible batch endpoint. This is the same category of constraint</w:t>
      </w:r>
      <w:r>
        <w:t xml:space="preserve"> </w:t>
      </w:r>
      <w:r>
        <w:t xml:space="preserve">Chapter 10 hit with RFdiffusion: no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-only path, a GPU</w:t>
      </w:r>
      <w:r>
        <w:t xml:space="preserve"> </w:t>
      </w:r>
      <w:r>
        <w:t xml:space="preserve">recommendation this book’s CPU-only authoring environment cannot</w:t>
      </w:r>
      <w:r>
        <w:t xml:space="preserve"> </w:t>
      </w:r>
      <w:r>
        <w:t xml:space="preserve">satisfy, and no lightweight hosted API standing in for it the way the</w:t>
      </w:r>
      <w:r>
        <w:t xml:space="preserve"> </w:t>
      </w:r>
      <w:r>
        <w:t xml:space="preserve">ESM Metagenomic Atlas API did for ESMFold in Chapters 9-10. Section</w:t>
      </w:r>
      <w:r>
        <w:t xml:space="preserve"> </w:t>
      </w:r>
      <w:r>
        <w:t xml:space="preserve">11.4’s hands-on project therefore runs real physics-based (Vina)</w:t>
      </w:r>
      <w:r>
        <w:t xml:space="preserve"> </w:t>
      </w:r>
      <w:r>
        <w:t xml:space="preserve">docking end to end and discusses DiffDock’s reported benchmark numbers</w:t>
      </w:r>
      <w:r>
        <w:t xml:space="preserve"> </w:t>
      </w:r>
      <w:r>
        <w:t xml:space="preserve">as literature (Section 11.3), rather than re-running DiffDock itself —</w:t>
      </w:r>
      <w:r>
        <w:t xml:space="preserve"> </w:t>
      </w:r>
      <w:r>
        <w:t xml:space="preserve">stated here explicitly rather than silently substituted.</w:t>
      </w:r>
    </w:p>
    <w:bookmarkEnd w:id="10"/>
    <w:bookmarkStart w:id="11" w:name="speed-vs.-accuracy-trade-offs"/>
    <w:p>
      <w:pPr>
        <w:pStyle w:val="Heading2"/>
      </w:pPr>
      <w:r>
        <w:t xml:space="preserve">11.3 Speed vs. Accuracy Trade-offs</w:t>
      </w:r>
    </w:p>
    <w:p>
      <w:pPr>
        <w:pStyle w:val="FirstParagraph"/>
      </w:pPr>
      <w:r>
        <w:t xml:space="preserve">The two paradigms just described are not merely different</w:t>
      </w:r>
      <w:r>
        <w:t xml:space="preserve"> </w:t>
      </w:r>
      <w:r>
        <w:t xml:space="preserve">implementations of the same task; the published record shows them</w:t>
      </w:r>
      <w:r>
        <w:t xml:space="preserve"> </w:t>
      </w:r>
      <w:r>
        <w:t xml:space="preserve">trading speed and accuracy against each other in opposite directions,</w:t>
      </w:r>
      <w:r>
        <w:t xml:space="preserve"> </w:t>
      </w:r>
      <w:r>
        <w:t xml:space="preserve">and this chapter separates what the literature reports about that</w:t>
      </w:r>
      <w:r>
        <w:t xml:space="preserve"> </w:t>
      </w:r>
      <w:r>
        <w:t xml:space="preserve">trade-off from what its own hands-on project independently measures.</w:t>
      </w:r>
    </w:p>
    <w:p>
      <w:pPr>
        <w:pStyle w:val="BodyText"/>
      </w:pPr>
      <w:r>
        <w:rPr>
          <w:b/>
          <w:bCs/>
        </w:rPr>
        <w:t xml:space="preserve">What the literature reports.</w:t>
      </w:r>
      <w:r>
        <w:t xml:space="preserve"> </w:t>
      </w:r>
      <w:r>
        <w:t xml:space="preserve">Benchmarking on PDBBind (the standard</w:t>
      </w:r>
      <w:r>
        <w:t xml:space="preserve"> </w:t>
      </w:r>
      <w:r>
        <w:t xml:space="preserve">curated set of experimentally solved protein-ligand complexes docking</w:t>
      </w:r>
      <w:r>
        <w:t xml:space="preserve"> </w:t>
      </w:r>
      <w:r>
        <w:t xml:space="preserve">methods are evaluated against), Corso et al. (2023) report DiffDock</w:t>
      </w:r>
      <w:r>
        <w:t xml:space="preserve"> </w:t>
      </w:r>
      <w:r>
        <w:t xml:space="preserve">reaching a</w:t>
      </w:r>
      <w:r>
        <w:t xml:space="preserve"> </w:t>
      </w:r>
      <w:r>
        <w:rPr>
          <w:b/>
          <w:bCs/>
        </w:rPr>
        <w:t xml:space="preserve">38% top-1 success rate</w:t>
      </w:r>
      <w:r>
        <w:t xml:space="preserve"> </w:t>
      </w:r>
      <w:r>
        <w:t xml:space="preserve">(fraction of complexes whose</w:t>
      </w:r>
      <w:r>
        <w:t xml:space="preserve"> </w:t>
      </w:r>
      <w:r>
        <w:t xml:space="preserve">top-ranked predicted pose falls within 2 Å heavy-atom RMSD of the true</w:t>
      </w:r>
      <w:r>
        <w:t xml:space="preserve"> </w:t>
      </w:r>
      <w:r>
        <w:t xml:space="preserve">crystal pose) — against</w:t>
      </w:r>
      <w:r>
        <w:t xml:space="preserve"> </w:t>
      </w:r>
      <w:r>
        <w:rPr>
          <w:b/>
          <w:bCs/>
        </w:rPr>
        <w:t xml:space="preserve">23%</w:t>
      </w:r>
      <w:r>
        <w:t xml:space="preserve"> </w:t>
      </w:r>
      <w:r>
        <w:t xml:space="preserve">for the traditional physics-based</w:t>
      </w:r>
      <w:r>
        <w:t xml:space="preserve"> </w:t>
      </w:r>
      <w:r>
        <w:t xml:space="preserve">docking methods and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for prior regression-based deep learning</w:t>
      </w:r>
      <w:r>
        <w:t xml:space="preserve"> </w:t>
      </w:r>
      <w:r>
        <w:t xml:space="preserve">methods (EquiBind’s own paradigm) they compare against in the same</w:t>
      </w:r>
      <w:r>
        <w:t xml:space="preserve"> </w:t>
      </w:r>
      <w:r>
        <w:t xml:space="preserve">evaluation. The gap widens further on</w:t>
      </w:r>
      <w:r>
        <w:t xml:space="preserve"> </w:t>
      </w:r>
      <w:r>
        <w:rPr>
          <w:i/>
          <w:iCs/>
        </w:rPr>
        <w:t xml:space="preserve">computationally predicted</w:t>
      </w:r>
      <w:r>
        <w:t xml:space="preserve"> </w:t>
      </w:r>
      <w:r>
        <w:t xml:space="preserve">receptor structures rather than experimental ones (i.e., an AlphaFold2-</w:t>
      </w:r>
      <w:r>
        <w:t xml:space="preserve"> </w:t>
      </w:r>
      <w:r>
        <w:t xml:space="preserve">or ESMFold-predicted structure standing in for a crystal structure, the</w:t>
      </w:r>
      <w:r>
        <w:t xml:space="preserve"> </w:t>
      </w:r>
      <w:r>
        <w:t xml:space="preserve">realistic scenario for any target without its own solved structure):</w:t>
      </w:r>
      <w:r>
        <w:t xml:space="preserve"> </w:t>
      </w:r>
      <w:r>
        <w:t xml:space="preserve">prior methods reach at most 10.4% success, while DiffDock reaches</w:t>
      </w:r>
      <w:r>
        <w:t xml:space="preserve"> </w:t>
      </w:r>
      <w:r>
        <w:t xml:space="preserve">21.7% — evidence that a learned pose distribution generalizes to</w:t>
      </w:r>
      <w:r>
        <w:t xml:space="preserve"> </w:t>
      </w:r>
      <w:r>
        <w:t xml:space="preserve">structural noise more gracefully than a rigid physics-based search</w:t>
      </w:r>
      <w:r>
        <w:t xml:space="preserve"> </w:t>
      </w:r>
      <w:r>
        <w:t xml:space="preserve">does. Separately, DiffDock’s diffusion sampling is reported to run in</w:t>
      </w:r>
      <w:r>
        <w:t xml:space="preserve"> </w:t>
      </w:r>
      <w:r>
        <w:t xml:space="preserve">roughly seconds to tens of seconds per complex on GPU — the source of</w:t>
      </w:r>
      <w:r>
        <w:t xml:space="preserve"> </w:t>
      </w:r>
      <w:r>
        <w:t xml:space="preserve">deep-learning docking’s headline speed advantage over exhaustive</w:t>
      </w:r>
      <w:r>
        <w:t xml:space="preserve"> </w:t>
      </w:r>
      <w:r>
        <w:t xml:space="preserve">physics-based search, though a fair comparison requires a like-for-like</w:t>
      </w:r>
      <w:r>
        <w:t xml:space="preserve"> </w:t>
      </w:r>
      <w:r>
        <w:t xml:space="preserve">hardware basis (GPU inference vs. CPU search) that published</w:t>
      </w:r>
      <w:r>
        <w:t xml:space="preserve"> </w:t>
      </w:r>
      <w:r>
        <w:t xml:space="preserve">comparisons do not always make explicit.</w:t>
      </w:r>
    </w:p>
    <w:p>
      <w:pPr>
        <w:pStyle w:val="BodyText"/>
      </w:pPr>
      <w:r>
        <w:rPr>
          <w:b/>
          <w:bCs/>
        </w:rPr>
        <w:t xml:space="preserve">What this chapter’s own experiment measures.</w:t>
      </w:r>
      <w:r>
        <w:t xml:space="preserve"> </w:t>
      </w:r>
      <w:r>
        <w:t xml:space="preserve">Section 11.4 runs the</w:t>
      </w:r>
      <w:r>
        <w:t xml:space="preserve"> </w:t>
      </w:r>
      <w:r>
        <w:t xml:space="preserve">one paradigm that is feasible to execute directly in this book’s</w:t>
      </w:r>
      <w:r>
        <w:t xml:space="preserve"> </w:t>
      </w:r>
      <w:r>
        <w:t xml:space="preserve">authoring environment — real AutoDock Vina, on real CPU hardware,</w:t>
      </w:r>
      <w:r>
        <w:t xml:space="preserve"> </w:t>
      </w:r>
      <w:r>
        <w:t xml:space="preserve">against a real oncology target — under both the focused and blind</w:t>
      </w:r>
      <w:r>
        <w:t xml:space="preserve"> </w:t>
      </w:r>
      <w:r>
        <w:t xml:space="preserve">search-box conditions Section 11.1 distinguished, and reports real</w:t>
      </w:r>
      <w:r>
        <w:t xml:space="preserve"> </w:t>
      </w:r>
      <w:r>
        <w:t xml:space="preserve">wall-clock time and pose agreement between them. This is not a</w:t>
      </w:r>
      <w:r>
        <w:t xml:space="preserve"> </w:t>
      </w:r>
      <w:r>
        <w:t xml:space="preserve">replication of DiffDock’s own benchmark (a GPU-based, learned-model</w:t>
      </w:r>
      <w:r>
        <w:t xml:space="preserve"> </w:t>
      </w:r>
      <w:r>
        <w:t xml:space="preserve">comparison this environment cannot run, per Section 11.2’s feasibility</w:t>
      </w:r>
      <w:r>
        <w:t xml:space="preserve"> </w:t>
      </w:r>
      <w:r>
        <w:t xml:space="preserve">finding) but a direct, real measurement of physics-based search’s own</w:t>
      </w:r>
      <w:r>
        <w:t xml:space="preserve"> </w:t>
      </w:r>
      <w:r>
        <w:t xml:space="preserve">internal speed/accuracy trade-off — exactly what changes, and by how</w:t>
      </w:r>
      <w:r>
        <w:t xml:space="preserve"> </w:t>
      </w:r>
      <w:r>
        <w:t xml:space="preserve">much, when the same scoring function and search algorithm are asked to</w:t>
      </w:r>
      <w:r>
        <w:t xml:space="preserve"> </w:t>
      </w:r>
      <w:r>
        <w:t xml:space="preserve">cover a receptor’s full surface instead of a known pocket.</w:t>
      </w:r>
    </w:p>
    <w:bookmarkEnd w:id="11"/>
    <w:bookmarkStart w:id="22" w:name="Xf21da39065442284b6235ef1e1f1e9928b52d54"/>
    <w:p>
      <w:pPr>
        <w:pStyle w:val="Heading2"/>
      </w:pPr>
      <w:r>
        <w:t xml:space="preserve">11.4 Hands-on Project: Real AutoDock Vina Docking Against a Real Oncology Target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ch11_molecular_docking/</w:t>
      </w:r>
      <w:r>
        <w:t xml:space="preserve">). Given Section 11.2’s feasibility finding,</w:t>
      </w:r>
      <w:r>
        <w:t xml:space="preserve"> </w:t>
      </w:r>
      <w:r>
        <w:t xml:space="preserve">this project runs real, physics-based AutoDock Vina docking end to end</w:t>
      </w:r>
      <w:r>
        <w:t xml:space="preserve"> </w:t>
      </w:r>
      <w:r>
        <w:t xml:space="preserve">— real receptor and ligand preparation, real scoring, and a real</w:t>
      </w:r>
      <w:r>
        <w:t xml:space="preserve"> </w:t>
      </w:r>
      <w:r>
        <w:t xml:space="preserve">redocking validation control — rather than re-running DiffDock.</w:t>
      </w:r>
    </w:p>
    <w:bookmarkStart w:id="12" w:name="X805f7a475d33499cad59e895e7afcaaa8445a91"/>
    <w:p>
      <w:pPr>
        <w:pStyle w:val="Heading3"/>
      </w:pPr>
      <w:r>
        <w:t xml:space="preserve">Real data: one real receptor, a real curated ChEMBL benchmark set</w:t>
      </w:r>
    </w:p>
    <w:p>
      <w:pPr>
        <w:pStyle w:val="FirstParagraph"/>
      </w:pPr>
      <w:r>
        <w:rPr>
          <w:b/>
          <w:bCs/>
        </w:rPr>
        <w:t xml:space="preserve">PDB 1M17</w:t>
      </w:r>
      <w:r>
        <w:t xml:space="preserve"> </w:t>
      </w:r>
      <w:r>
        <w:t xml:space="preserve">(Stamos, Sliwkowski &amp; Eigenbrot, 2002): the EGFR tyrosine</w:t>
      </w:r>
      <w:r>
        <w:t xml:space="preserve"> </w:t>
      </w:r>
      <w:r>
        <w:t xml:space="preserve">kinase domain in complex with</w:t>
      </w:r>
      <w:r>
        <w:t xml:space="preserve"> </w:t>
      </w:r>
      <w:r>
        <w:rPr>
          <w:b/>
          <w:bCs/>
        </w:rPr>
        <w:t xml:space="preserve">erlotinib</w:t>
      </w:r>
      <w:r>
        <w:t xml:space="preserve">, a real, clinically approved</w:t>
      </w:r>
      <w:r>
        <w:t xml:space="preserve"> </w:t>
      </w:r>
      <w:r>
        <w:t xml:space="preserve">non-small-cell-lung-cancer drug (PDB heteroatom code AQ4) —</w:t>
      </w:r>
      <w:r>
        <w:t xml:space="preserve"> </w:t>
      </w:r>
      <w:r>
        <w:t xml:space="preserve">continuing this book’s EGFR thread from Chapters 1 and 3, and a</w:t>
      </w:r>
      <w:r>
        <w:t xml:space="preserve"> </w:t>
      </w:r>
      <w:r>
        <w:t xml:space="preserve">well-characterized oncology target with an unambiguous, experimentally</w:t>
      </w:r>
      <w:r>
        <w:t xml:space="preserve"> </w:t>
      </w:r>
      <w:r>
        <w:t xml:space="preserve">defined binding pocket this project uses for its redocking control and</w:t>
      </w:r>
      <w:r>
        <w:t xml:space="preserve"> </w:t>
      </w:r>
      <w:r>
        <w:t xml:space="preserve">its focused-search box.</w:t>
      </w:r>
    </w:p>
    <w:p>
      <w:pPr>
        <w:pStyle w:val="BodyText"/>
      </w:pPr>
      <w:r>
        <w:rPr>
          <w:b/>
          <w:bCs/>
        </w:rPr>
        <w:t xml:space="preserve">A real, curated ChEMBL EGFR benchmark set.</w:t>
      </w:r>
      <w:r>
        <w:t xml:space="preserve"> </w:t>
      </w:r>
      <w:r>
        <w:rPr>
          <w:rStyle w:val="VerbatimChar"/>
        </w:rPr>
        <w:t xml:space="preserve">molecular_docking.py</w:t>
      </w:r>
      <w:r>
        <w:t xml:space="preserve"> </w:t>
      </w:r>
      <w:r>
        <w:t xml:space="preserve">fetches real, measured IC50 binding-assay records for EGFR (ChEMBL</w:t>
      </w:r>
      <w:r>
        <w:t xml:space="preserve"> </w:t>
      </w:r>
      <w:r>
        <w:t xml:space="preserve">target CHEMBL203, human) live from the ChEMBL REST API (Mendez et al.,</w:t>
      </w:r>
      <w:r>
        <w:t xml:space="preserve"> </w:t>
      </w:r>
      <w:r>
        <w:t xml:space="preserve">2019) — 18,123 records carried a measured pChEMBL value at the time</w:t>
      </w:r>
      <w:r>
        <w:t xml:space="preserve"> </w:t>
      </w:r>
      <w:r>
        <w:t xml:space="preserve">this chapter was written, of which the first 1,000 were fetched (a</w:t>
      </w:r>
      <w:r>
        <w:t xml:space="preserve"> </w:t>
      </w:r>
      <w:r>
        <w:t xml:space="preserve">bounded page, sufficient for a diverse curated subset; see</w:t>
      </w:r>
      <w:r>
        <w:t xml:space="preserve"> </w:t>
      </w:r>
      <w:r>
        <w:rPr>
          <w:rStyle w:val="VerbatimChar"/>
        </w:rPr>
        <w:t xml:space="preserve">fetch_egfr_activities</w:t>
      </w:r>
      <w:r>
        <w:t xml:space="preserve">). These are deduplicated to one entry per real</w:t>
      </w:r>
      <w:r>
        <w:t xml:space="preserve"> </w:t>
      </w:r>
      <w:r>
        <w:t xml:space="preserve">molecule (median pChEMBL across repeated measurements), filtered to</w:t>
      </w:r>
      <w:r>
        <w:t xml:space="preserve"> </w:t>
      </w:r>
      <w:r>
        <w:t xml:space="preserve">single-fragment, RDKit-sanitizable structures under 700 Da (the same</w:t>
      </w:r>
      <w:r>
        <w:t xml:space="preserve"> </w:t>
      </w:r>
      <w:r>
        <w:t xml:space="preserve">drug-likeness sanity filter Chapter 2 §2.5 applied via Lipinski’s</w:t>
      </w:r>
      <w:r>
        <w:t xml:space="preserve"> </w:t>
      </w:r>
      <w:r>
        <w:t xml:space="preserve">Ro5), and deterministically stratified-sampled to</w:t>
      </w:r>
      <w:r>
        <w:t xml:space="preserve"> </w:t>
      </w:r>
      <w:r>
        <w:rPr>
          <w:b/>
          <w:bCs/>
        </w:rPr>
        <w:t xml:space="preserve">30 compounds evenly</w:t>
      </w:r>
      <w:r>
        <w:rPr>
          <w:b/>
          <w:bCs/>
        </w:rPr>
        <w:t xml:space="preserve"> </w:t>
      </w:r>
      <w:r>
        <w:rPr>
          <w:b/>
          <w:bCs/>
        </w:rPr>
        <w:t xml:space="preserve">spaced across the real measured potency range</w:t>
      </w:r>
      <w:r>
        <w:t xml:space="preserve"> </w:t>
      </w:r>
      <w:r>
        <w:t xml:space="preserve">— from the pool’s</w:t>
      </w:r>
      <w:r>
        <w:t xml:space="preserve"> </w:t>
      </w:r>
      <w:r>
        <w:t xml:space="preserve">weakest to its most potent measured EGFR binder, not an arbitrary or</w:t>
      </w:r>
      <w:r>
        <w:t xml:space="preserve"> </w:t>
      </w:r>
      <w:r>
        <w:t xml:space="preserve">convenience subset. The curated set and its provenance are cached in</w:t>
      </w:r>
      <w:r>
        <w:t xml:space="preserve"> </w:t>
      </w:r>
      <w:r>
        <w:rPr>
          <w:rStyle w:val="VerbatimChar"/>
        </w:rPr>
        <w:t xml:space="preserve">data/egfr_chembl_benchmark.json</w:t>
      </w:r>
      <w:r>
        <w:t xml:space="preserve"> </w:t>
      </w:r>
      <w:r>
        <w:t xml:space="preserve">for offline reproducibility.</w:t>
      </w:r>
    </w:p>
    <w:p>
      <w:pPr>
        <w:pStyle w:val="BodyText"/>
      </w:pPr>
      <w:r>
        <w:rPr>
          <w:b/>
          <w:bCs/>
        </w:rPr>
        <w:t xml:space="preserve">Why 30 compounds, not the outline’s illustrative 1,000.</w:t>
      </w:r>
      <w:r>
        <w:t xml:space="preserve"> </w:t>
      </w:r>
      <w:r>
        <w:t xml:space="preserve">Docking</w:t>
      </w:r>
      <w:r>
        <w:t xml:space="preserve"> </w:t>
      </w:r>
      <w:r>
        <w:t xml:space="preserve">this real 30-compound set under both conditions (60 real Vina runs) was</w:t>
      </w:r>
      <w:r>
        <w:t xml:space="preserve"> </w:t>
      </w:r>
      <w:r>
        <w:t xml:space="preserve">timed directly: a mean of 568 s (focused) and 576 s (blind) of</w:t>
      </w:r>
      <w:r>
        <w:t xml:space="preserve"> </w:t>
      </w:r>
      <w:r>
        <w:t xml:space="preserve">wall-clock CPU time per run — roughly 9.5 minutes each, and</w:t>
      </w:r>
      <w:r>
        <w:t xml:space="preserve"> </w:t>
      </w:r>
      <w:r>
        <w:t xml:space="preserve">substantially higher than either condition’s per-ligand cost measured</w:t>
      </w:r>
      <w:r>
        <w:t xml:space="preserve"> </w:t>
      </w:r>
      <w:r>
        <w:t xml:space="preserve">in isolation earlier in this project’s development (roughly 1-3</w:t>
      </w:r>
      <w:r>
        <w:t xml:space="preserve"> </w:t>
      </w:r>
      <w:r>
        <w:t xml:space="preserve">minutes per run with no other Vina process competing for the same</w:t>
      </w:r>
      <w:r>
        <w:t xml:space="preserve"> </w:t>
      </w:r>
      <w:r>
        <w:t xml:space="preserve">cores). The real, measured cause is resource contention: this chapter’s</w:t>
      </w:r>
      <w:r>
        <w:t xml:space="preserve"> </w:t>
      </w:r>
      <w:r>
        <w:t xml:space="preserve">own code runs four docking jobs in parallel (</w:t>
      </w:r>
      <w:r>
        <w:rPr>
          <w:rStyle w:val="VerbatimChar"/>
        </w:rPr>
        <w:t xml:space="preserve">--n-workers 4</w:t>
      </w:r>
      <w:r>
        <w:t xml:space="preserve">, one</w:t>
      </w:r>
      <w:r>
        <w:t xml:space="preserve"> </w:t>
      </w:r>
      <w:r>
        <w:t xml:space="preserve">per CPU core) to keep total wall-clock time down, and four independent</w:t>
      </w:r>
      <w:r>
        <w:t xml:space="preserve"> </w:t>
      </w:r>
      <w:r>
        <w:t xml:space="preserve">Vina searches sharing the same small number of physical cores each</w:t>
      </w:r>
      <w:r>
        <w:t xml:space="preserve"> </w:t>
      </w:r>
      <w:r>
        <w:t xml:space="preserve">individually slow down under that real contention — a genuine,</w:t>
      </w:r>
      <w:r>
        <w:t xml:space="preserve"> </w:t>
      </w:r>
      <w:r>
        <w:t xml:space="preserve">disclosed systems-engineering cost of parallelizing on limited</w:t>
      </w:r>
      <w:r>
        <w:t xml:space="preserve"> </w:t>
      </w:r>
      <w:r>
        <w:t xml:space="preserve">hardware, not a property of Vina’s algorithm itself. At that real,</w:t>
      </w:r>
      <w:r>
        <w:t xml:space="preserve"> </w:t>
      </w:r>
      <w:r>
        <w:t xml:space="preserve">measured per-run cost, docking 1,000 compounds under both conditions</w:t>
      </w:r>
      <w:r>
        <w:t xml:space="preserve"> </w:t>
      </w:r>
      <w:r>
        <w:t xml:space="preserve">this chapter compares (2,000 real Vina runs) would need on the order of</w:t>
      </w:r>
      <w:r>
        <w:t xml:space="preserve"> </w:t>
      </w:r>
      <w:r>
        <w:t xml:space="preserve">300 CPU-hours — far beyond what this book’s free-tier-Colab-compatible</w:t>
      </w:r>
      <w:r>
        <w:t xml:space="preserve"> </w:t>
      </w:r>
      <w:r>
        <w:t xml:space="preserve">authoring environment can reasonably absorb in one working session; the</w:t>
      </w:r>
      <w:r>
        <w:t xml:space="preserve"> </w:t>
      </w:r>
      <w:r>
        <w:t xml:space="preserve">outline’s own Chapter 13 (High-Throughput Virtual Screening) exists</w:t>
      </w:r>
      <w:r>
        <w:t xml:space="preserve"> </w:t>
      </w:r>
      <w:r>
        <w:t xml:space="preserve">specifically to address campaigns at that scale, via the tiered</w:t>
      </w:r>
      <w:r>
        <w:t xml:space="preserve"> </w:t>
      </w:r>
      <w:r>
        <w:t xml:space="preserve">fast-filter-then-dock-then-simulate funnel this chapter’s smaller,</w:t>
      </w:r>
      <w:r>
        <w:t xml:space="preserve"> </w:t>
      </w:r>
      <w:r>
        <w:t xml:space="preserve">fully-executed benchmark foreshadows rather than replaces. Thirty real,</w:t>
      </w:r>
      <w:r>
        <w:t xml:space="preserve"> </w:t>
      </w:r>
      <w:r>
        <w:t xml:space="preserve">potency-labeled compounds are enough to compute a real Spearman</w:t>
      </w:r>
      <w:r>
        <w:t xml:space="preserve"> </w:t>
      </w:r>
      <w:r>
        <w:t xml:space="preserve">correlation and a real focused-vs-blind agreement statistic with</w:t>
      </w:r>
      <w:r>
        <w:t xml:space="preserve"> </w:t>
      </w:r>
      <w:r>
        <w:t xml:space="preserve">reasonable statistical power, while remaining honestly executable</w:t>
      </w:r>
      <w:r>
        <w:t xml:space="preserve"> </w:t>
      </w:r>
      <w:r>
        <w:t xml:space="preserve">within this environment — the same</w:t>
      </w:r>
      <w:r>
        <w:t xml:space="preserve"> </w:t>
      </w:r>
      <w:r>
        <w:t xml:space="preserve">“shrink the real experiment rather</w:t>
      </w:r>
      <w:r>
        <w:t xml:space="preserve"> </w:t>
      </w:r>
      <w:r>
        <w:t xml:space="preserve">than fabricate the large one”</w:t>
      </w:r>
      <w:r>
        <w:t xml:space="preserve"> </w:t>
      </w:r>
      <w:r>
        <w:t xml:space="preserve">choice Chapter 10 made for its own</w:t>
      </w:r>
      <w:r>
        <w:t xml:space="preserve"> </w:t>
      </w:r>
      <w:r>
        <w:t xml:space="preserve">compute-bound hands-on project.</w:t>
      </w:r>
    </w:p>
    <w:bookmarkEnd w:id="12"/>
    <w:bookmarkStart w:id="13" w:name="real-receptor-and-ligand-preparation"/>
    <w:p>
      <w:pPr>
        <w:pStyle w:val="Heading3"/>
      </w:pPr>
      <w:r>
        <w:t xml:space="preserve">Real receptor and ligand preparation</w:t>
      </w:r>
    </w:p>
    <w:p>
      <w:pPr>
        <w:pStyle w:val="FirstParagraph"/>
      </w:pPr>
      <w:r>
        <w:t xml:space="preserve">The real 1M17 structure is split into a protein-only file (all</w:t>
      </w:r>
      <w:r>
        <w:t xml:space="preserve"> </w:t>
      </w:r>
      <w:r>
        <w:rPr>
          <w:rStyle w:val="VerbatimChar"/>
        </w:rPr>
        <w:t xml:space="preserve">ATOM</w:t>
      </w:r>
      <w:r>
        <w:t xml:space="preserve"> </w:t>
      </w:r>
      <w:r>
        <w:t xml:space="preserve">records) and the native ligand’s</w:t>
      </w:r>
      <w:r>
        <w:t xml:space="preserve"> </w:t>
      </w:r>
      <w:r>
        <w:rPr>
          <w:rStyle w:val="VerbatimChar"/>
        </w:rPr>
        <w:t xml:space="preserve">HETATM</w:t>
      </w:r>
      <w:r>
        <w:t xml:space="preserve"> </w:t>
      </w:r>
      <w:r>
        <w:t xml:space="preserve">records, and the receptor is</w:t>
      </w:r>
      <w:r>
        <w:t xml:space="preserve"> </w:t>
      </w:r>
      <w:r>
        <w:t xml:space="preserve">protonated at pH 7.4 and converted to a rigid AutoDock PDBQT file with</w:t>
      </w:r>
      <w:r>
        <w:t xml:space="preserve"> </w:t>
      </w:r>
      <w:r>
        <w:rPr>
          <w:b/>
          <w:bCs/>
        </w:rPr>
        <w:t xml:space="preserve">OpenBabel</w:t>
      </w:r>
      <w:r>
        <w:t xml:space="preserve"> </w:t>
      </w:r>
      <w:r>
        <w:t xml:space="preserve">(O’Boyle et al., 2011) — the standard simplified</w:t>
      </w:r>
      <w:r>
        <w:t xml:space="preserve"> </w:t>
      </w:r>
      <w:r>
        <w:t xml:space="preserve">rigid-receptor protocol most Vina pipelines use, distinct from (and far</w:t>
      </w:r>
      <w:r>
        <w:t xml:space="preserve"> </w:t>
      </w:r>
      <w:r>
        <w:t xml:space="preserve">cheaper than) predicting explicit side-chain flexibility. Each ligand is</w:t>
      </w:r>
      <w:r>
        <w:t xml:space="preserve"> </w:t>
      </w:r>
      <w:r>
        <w:t xml:space="preserve">embedded as a real 3D conformer from its ChEMBL SMILES string with</w:t>
      </w:r>
      <w:r>
        <w:t xml:space="preserve"> </w:t>
      </w:r>
      <w:r>
        <w:t xml:space="preserve">RDKit’s ETKDG algorithm (Chapter 2 §2.4) and MMFF94-optimized, then</w:t>
      </w:r>
      <w:r>
        <w:t xml:space="preserve"> </w:t>
      </w:r>
      <w:r>
        <w:t xml:space="preserve">converted to a PDBQT file — rotatable-bond torsion tree and Gasteiger</w:t>
      </w:r>
      <w:r>
        <w:t xml:space="preserve"> </w:t>
      </w:r>
      <w:r>
        <w:t xml:space="preserve">partial charges assigned automatically — with</w:t>
      </w:r>
      <w:r>
        <w:t xml:space="preserve"> </w:t>
      </w:r>
      <w:r>
        <w:rPr>
          <w:b/>
          <w:bCs/>
        </w:rPr>
        <w:t xml:space="preserve">Meeko</w:t>
      </w:r>
      <w:r>
        <w:t xml:space="preserve"> </w:t>
      </w:r>
      <w:r>
        <w:t xml:space="preserve">(github.com/forlilab/meeko), the docking-preparation toolkit maintained</w:t>
      </w:r>
      <w:r>
        <w:t xml:space="preserve"> </w:t>
      </w:r>
      <w:r>
        <w:t xml:space="preserve">by the same Scripps Research lab that develops AutoDock Vina itself: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prepare_ligand_pdbqt(smiles: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"""Embed a real 3D conformer (ETKDG + MMFF94) and convert it to an</w:t>
      </w:r>
      <w:r>
        <w:br/>
      </w:r>
      <w:r>
        <w:rPr>
          <w:rStyle w:val="CommentTok"/>
        </w:rPr>
        <w:t xml:space="preserve">    AutoDock PDBQT string via Meeko. Returns None if 3D embedding fails."""</w:t>
      </w:r>
      <w:r>
        <w:br/>
      </w:r>
      <w:r>
        <w:rPr>
          <w:rStyle w:val="NormalTok"/>
        </w:rPr>
        <w:t xml:space="preserve">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Chem.AddHs(Chem.MolFromSmiles(smiles))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AllChem.EmbedMolecule(mol, randomSeed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useRandomCoords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AllChem.MMFFOptimizeMolecule(mol)</w:t>
      </w:r>
      <w:r>
        <w:br/>
      </w:r>
      <w:r>
        <w:rPr>
          <w:rStyle w:val="NormalTok"/>
        </w:rPr>
        <w:t xml:space="preserve">    mol_setups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MoleculePreparation().prepare(mol)</w:t>
      </w:r>
      <w:r>
        <w:br/>
      </w:r>
      <w:r>
        <w:rPr>
          <w:rStyle w:val="NormalTok"/>
        </w:rPr>
        <w:t xml:space="preserve">    pdbqt_string, is_ok,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PDBQTWriterLegacy.write_string(mol_setups[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pdbqt_string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Docking itself calls the real, official AutoDock Vina engine — the</w:t>
      </w:r>
      <w:r>
        <w:t xml:space="preserve"> </w:t>
      </w:r>
      <w:r>
        <w:rPr>
          <w:rStyle w:val="VerbatimChar"/>
        </w:rPr>
        <w:t xml:space="preserve">vina</w:t>
      </w:r>
      <w:r>
        <w:t xml:space="preserve"> </w:t>
      </w:r>
      <w:r>
        <w:t xml:space="preserve">Python bindings when importable (the zero-friction path a Colab</w:t>
      </w:r>
      <w:r>
        <w:t xml:space="preserve"> </w:t>
      </w:r>
      <w:r>
        <w:t xml:space="preserve">or Linux reader gets from</w:t>
      </w:r>
      <w:r>
        <w:t xml:space="preserve"> </w:t>
      </w:r>
      <w:r>
        <w:rPr>
          <w:rStyle w:val="VerbatimChar"/>
        </w:rPr>
        <w:t xml:space="preserve">pip install vina</w:t>
      </w:r>
      <w:r>
        <w:t xml:space="preserve">), falling back to the</w:t>
      </w:r>
      <w:r>
        <w:t xml:space="preserve"> </w:t>
      </w:r>
      <w:r>
        <w:t xml:space="preserve">official standalone Vina executable when the Python bindings are not</w:t>
      </w:r>
      <w:r>
        <w:t xml:space="preserve"> </w:t>
      </w:r>
      <w:r>
        <w:t xml:space="preserve">installed for the host platform. This is a real, disclosed environment</w:t>
      </w:r>
      <w:r>
        <w:t xml:space="preserve"> </w:t>
      </w:r>
      <w:r>
        <w:t xml:space="preserve">constraint rather than a hypothetical one: the</w:t>
      </w:r>
      <w:r>
        <w:t xml:space="preserve"> </w:t>
      </w:r>
      <w:r>
        <w:rPr>
          <w:rStyle w:val="VerbatimChar"/>
        </w:rPr>
        <w:t xml:space="preserve">vina</w:t>
      </w:r>
      <w:r>
        <w:t xml:space="preserve"> </w:t>
      </w:r>
      <w:r>
        <w:t xml:space="preserve">PyPI package</w:t>
      </w:r>
      <w:r>
        <w:t xml:space="preserve"> </w:t>
      </w:r>
      <w:r>
        <w:t xml:space="preserve">ships prebuilt wheels only for</w:t>
      </w:r>
      <w:r>
        <w:t xml:space="preserve"> </w:t>
      </w:r>
      <w:r>
        <w:rPr>
          <w:rStyle w:val="VerbatimChar"/>
        </w:rPr>
        <w:t xml:space="preserve">manylinux</w:t>
      </w:r>
      <w:r>
        <w:t xml:space="preserve">/</w:t>
      </w:r>
      <w:r>
        <w:rPr>
          <w:rStyle w:val="VerbatimChar"/>
        </w:rPr>
        <w:t xml:space="preserve">musllinux</w:t>
      </w:r>
      <w:r>
        <w:t xml:space="preserve">/macOS, with no</w:t>
      </w:r>
      <w:r>
        <w:t xml:space="preserve"> </w:t>
      </w:r>
      <w:r>
        <w:t xml:space="preserve">Windows wheel, and building it from source requires the Boost C++</w:t>
      </w:r>
      <w:r>
        <w:t xml:space="preserve"> </w:t>
      </w:r>
      <w:r>
        <w:t xml:space="preserve">libraries; this chapter’s own results were generated by exercising the</w:t>
      </w:r>
      <w:r>
        <w:t xml:space="preserve"> </w:t>
      </w:r>
      <w:r>
        <w:t xml:space="preserve">CLI-binary fallback path directly, invoking the identical official</w:t>
      </w:r>
      <w:r>
        <w:t xml:space="preserve"> </w:t>
      </w:r>
      <w:r>
        <w:rPr>
          <w:rStyle w:val="VerbatimChar"/>
        </w:rPr>
        <w:t xml:space="preserve">ccsb-scripps/AutoDock-Vina</w:t>
      </w:r>
      <w:r>
        <w:t xml:space="preserve"> </w:t>
      </w:r>
      <w:r>
        <w:t xml:space="preserve">v1.2.7 release binary that</w:t>
      </w:r>
      <w:r>
        <w:t xml:space="preserve"> </w:t>
      </w:r>
      <w:r>
        <w:rPr>
          <w:rStyle w:val="VerbatimChar"/>
        </w:rPr>
        <w:t xml:space="preserve">pip install vina</w:t>
      </w:r>
      <w:r>
        <w:t xml:space="preserve"> </w:t>
      </w:r>
      <w:r>
        <w:t xml:space="preserve">itself wraps in Boost.Python on supported platforms — the same</w:t>
      </w:r>
      <w:r>
        <w:t xml:space="preserve"> </w:t>
      </w:r>
      <w:r>
        <w:t xml:space="preserve">underlying scoring and search engine either way, confirmed directly</w:t>
      </w:r>
      <w:r>
        <w:t xml:space="preserve"> </w:t>
      </w:r>
      <w:r>
        <w:t xml:space="preserve">against the output format both paths produce (every pose’s affinity</w:t>
      </w:r>
      <w:r>
        <w:t xml:space="preserve"> </w:t>
      </w:r>
      <w:r>
        <w:t xml:space="preserve">appears as an identical</w:t>
      </w:r>
      <w:r>
        <w:t xml:space="preserve"> </w:t>
      </w:r>
      <w:r>
        <w:rPr>
          <w:rStyle w:val="VerbatimChar"/>
        </w:rPr>
        <w:t xml:space="preserve">REMARK VINA RESULT:</w:t>
      </w:r>
      <w:r>
        <w:t xml:space="preserve"> </w:t>
      </w:r>
      <w:r>
        <w:t xml:space="preserve">line regardless of which</w:t>
      </w:r>
      <w:r>
        <w:t xml:space="preserve"> </w:t>
      </w:r>
      <w:r>
        <w:t xml:space="preserve">entry point wrote it).</w:t>
      </w:r>
    </w:p>
    <w:bookmarkEnd w:id="13"/>
    <w:bookmarkStart w:id="14" w:name="X2fcf5b054004a670173b8655f1a2a8c7f2c1178"/>
    <w:p>
      <w:pPr>
        <w:pStyle w:val="Heading3"/>
      </w:pPr>
      <w:r>
        <w:t xml:space="preserve">Real docking boxes, computed from real geometry</w:t>
      </w:r>
    </w:p>
    <w:p>
      <w:pPr>
        <w:pStyle w:val="FirstParagraph"/>
      </w:pPr>
      <w:r>
        <w:t xml:space="preserve">The focused search box is a 22.5-Å cube centered on erlotinib’s real</w:t>
      </w:r>
      <w:r>
        <w:t xml:space="preserve"> </w:t>
      </w:r>
      <w:r>
        <w:t xml:space="preserve">crystallographic centroid (22.01, 0.25, 52.79); the blind search box</w:t>
      </w:r>
      <w:r>
        <w:t xml:space="preserve"> </w:t>
      </w:r>
      <w:r>
        <w:t xml:space="preserve">covers the receptor’s own real atomic bounding box plus a 6-Å margin on</w:t>
      </w:r>
      <w:r>
        <w:t xml:space="preserve"> </w:t>
      </w:r>
      <w:r>
        <w:t xml:space="preserve">every side — 104.2 × 77.9 × 63.4 Å, roughly 517,000 Å³, over nineteen</w:t>
      </w:r>
      <w:r>
        <w:t xml:space="preserve"> </w:t>
      </w:r>
      <w:r>
        <w:t xml:space="preserve">times the focused box’s volume and a volume Vina’s own runtime output</w:t>
      </w:r>
      <w:r>
        <w:t xml:space="preserve"> </w:t>
      </w:r>
      <w:r>
        <w:t xml:space="preserve">flags directly (</w:t>
      </w:r>
      <w:r>
        <w:t xml:space="preserve">“WARNING: Search space volume is greater than 27000</w:t>
      </w:r>
      <w:r>
        <w:t xml:space="preserve"> </w:t>
      </w:r>
      <w:r>
        <w:t xml:space="preserve">Angstrom^3 (See FAQ)”</w:t>
      </w:r>
      <w:r>
        <w:t xml:space="preserve">), a real, first-hand confirmation of Section</w:t>
      </w:r>
      <w:r>
        <w:t xml:space="preserve"> </w:t>
      </w:r>
      <w:r>
        <w:t xml:space="preserve">11.1’s point that blind search trades defined volume for an explicit,</w:t>
      </w:r>
      <w:r>
        <w:t xml:space="preserve"> </w:t>
      </w:r>
      <w:r>
        <w:t xml:space="preserve">tool-reported reliability caveat.</w:t>
      </w:r>
    </w:p>
    <w:bookmarkEnd w:id="14"/>
    <w:bookmarkStart w:id="15" w:name="redocking-validation"/>
    <w:p>
      <w:pPr>
        <w:pStyle w:val="Heading3"/>
      </w:pPr>
      <w:r>
        <w:t xml:space="preserve">Redocking validation</w:t>
      </w:r>
    </w:p>
    <w:p>
      <w:pPr>
        <w:pStyle w:val="FirstParagraph"/>
      </w:pPr>
      <w:r>
        <w:t xml:space="preserve">Before docking any ChEMBL compound, erlotinib is docked back into its</w:t>
      </w:r>
      <w:r>
        <w:t xml:space="preserve"> </w:t>
      </w:r>
      <w:r>
        <w:t xml:space="preserve">own real crystallographic pocket and the resulting top pose’s</w:t>
      </w:r>
      <w:r>
        <w:t xml:space="preserve"> </w:t>
      </w:r>
      <w:r>
        <w:t xml:space="preserve">heavy-atom RMSD to the real 1M17 crystal structure is computed (RDKit’s</w:t>
      </w:r>
      <w:r>
        <w:t xml:space="preserve"> </w:t>
      </w:r>
      <w:r>
        <w:rPr>
          <w:rStyle w:val="VerbatimChar"/>
        </w:rPr>
        <w:t xml:space="preserve">GetBestRMS</w:t>
      </w:r>
      <w:r>
        <w:t xml:space="preserve">, which handles atom-index correspondence and molecular</w:t>
      </w:r>
      <w:r>
        <w:t xml:space="preserve"> </w:t>
      </w:r>
      <w:r>
        <w:t xml:space="preserve">symmetry automatically) — the standard redocking self-consistency</w:t>
      </w:r>
      <w:r>
        <w:t xml:space="preserve"> </w:t>
      </w:r>
      <w:r>
        <w:t xml:space="preserve">control the field uses to validate a docking setup before trusting it</w:t>
      </w:r>
      <w:r>
        <w:t xml:space="preserve"> </w:t>
      </w:r>
      <w:r>
        <w:t xml:space="preserve">on any compound without a known answer, against the literature’s</w:t>
      </w:r>
      <w:r>
        <w:t xml:space="preserve"> </w:t>
      </w:r>
      <w:r>
        <w:t xml:space="preserve">conventional &lt;2.0-Å</w:t>
      </w:r>
      <w:r>
        <w:t xml:space="preserve"> </w:t>
      </w:r>
      <w:r>
        <w:t xml:space="preserve">“correct pose”</w:t>
      </w:r>
      <w:r>
        <w:t xml:space="preserve"> </w:t>
      </w:r>
      <w:r>
        <w:t xml:space="preserve">threshold (unrelated to any</w:t>
      </w:r>
      <w:r>
        <w:t xml:space="preserve"> </w:t>
      </w:r>
      <w:r>
        <w:t xml:space="preserve">arbitrary choice made elsewhere in this chapter). This chapter runs the</w:t>
      </w:r>
      <w:r>
        <w:t xml:space="preserve"> </w:t>
      </w:r>
      <w:r>
        <w:t xml:space="preserve">control</w:t>
      </w:r>
      <w:r>
        <w:t xml:space="preserve"> </w:t>
      </w:r>
      <w:r>
        <w:rPr>
          <w:b/>
          <w:bCs/>
        </w:rPr>
        <w:t xml:space="preserve">five independent times</w:t>
      </w:r>
      <w:r>
        <w:t xml:space="preserve"> </w:t>
      </w:r>
      <w:r>
        <w:t xml:space="preserve">(different random seeds each time),</w:t>
      </w:r>
      <w:r>
        <w:t xml:space="preserve"> </w:t>
      </w:r>
      <w:r>
        <w:t xml:space="preserve">because an early, real observation made while developing this project</w:t>
      </w:r>
      <w:r>
        <w:t xml:space="preserve"> </w:t>
      </w:r>
      <w:r>
        <w:t xml:space="preserve">was that AutoDock Vina’s own reported affinity and pose RMSD are not</w:t>
      </w:r>
      <w:r>
        <w:t xml:space="preserve"> </w:t>
      </w:r>
      <w:r>
        <w:t xml:space="preserve">perfectly reproducible run to run even with a fixed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and</w:t>
      </w:r>
      <w:r>
        <w:t xml:space="preserve"> </w:t>
      </w:r>
      <w:r>
        <w:t xml:space="preserve">single-threaded (</w:t>
      </w:r>
      <w:r>
        <w:rPr>
          <w:rStyle w:val="VerbatimChar"/>
        </w:rPr>
        <w:t xml:space="preserve">--cpu 1</w:t>
      </w:r>
      <w:r>
        <w:t xml:space="preserve">) execution, with receptor and ligand PDBQT</w:t>
      </w:r>
      <w:r>
        <w:t xml:space="preserve"> </w:t>
      </w:r>
      <w:r>
        <w:t xml:space="preserve">preparation both independently confirmed byte-identical across repeated</w:t>
      </w:r>
      <w:r>
        <w:t xml:space="preserve"> </w:t>
      </w:r>
      <w:r>
        <w:t xml:space="preserve">runs — reporting a distribution is the honest response to that real</w:t>
      </w:r>
      <w:r>
        <w:t xml:space="preserve"> </w:t>
      </w:r>
      <w:r>
        <w:t xml:space="preserve">finding, not a single, possibly favorable, point estimate: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Affinity (kcal/mol)</w:t>
            </w:r>
          </w:p>
        </w:tc>
        <w:tc>
          <w:tcPr/>
          <w:p>
            <w:pPr>
              <w:pStyle w:val="Compact"/>
            </w:pPr>
            <w:r>
              <w:t xml:space="preserve">RMSD to crystal pose (Å)</w:t>
            </w:r>
          </w:p>
        </w:tc>
        <w:tc>
          <w:tcPr/>
          <w:p>
            <w:pPr>
              <w:pStyle w:val="Compact"/>
            </w:pPr>
            <w:r>
              <w:t xml:space="preserve">Correct pose (&lt;2.0 Å)?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-7.678</w:t>
            </w:r>
          </w:p>
        </w:tc>
        <w:tc>
          <w:tcPr/>
          <w:p>
            <w:pPr>
              <w:pStyle w:val="Compact"/>
            </w:pPr>
            <w:r>
              <w:t xml:space="preserve">2.604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-7.735</w:t>
            </w:r>
          </w:p>
        </w:tc>
        <w:tc>
          <w:tcPr/>
          <w:p>
            <w:pPr>
              <w:pStyle w:val="Compact"/>
            </w:pPr>
            <w:r>
              <w:t xml:space="preserve">2.632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-7.475</w:t>
            </w:r>
          </w:p>
        </w:tc>
        <w:tc>
          <w:tcPr/>
          <w:p>
            <w:pPr>
              <w:pStyle w:val="Compact"/>
            </w:pPr>
            <w:r>
              <w:t xml:space="preserve">2.166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-7.700</w:t>
            </w:r>
          </w:p>
        </w:tc>
        <w:tc>
          <w:tcPr/>
          <w:p>
            <w:pPr>
              <w:pStyle w:val="Compact"/>
            </w:pPr>
            <w:r>
              <w:t xml:space="preserve">2.617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-7.619</w:t>
            </w:r>
          </w:p>
        </w:tc>
        <w:tc>
          <w:tcPr/>
          <w:p>
            <w:pPr>
              <w:pStyle w:val="Compact"/>
            </w:pPr>
            <w:r>
              <w:t xml:space="preserve">2.611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± SD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-7.641 ± 0.091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2.526 ± 0.180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0/5</w:t>
            </w:r>
          </w:p>
        </w:tc>
      </w:tr>
    </w:tbl>
    <w:p>
      <w:pPr>
        <w:pStyle w:val="BodyText"/>
      </w:pPr>
      <w:r>
        <w:t xml:space="preserve">Erlotinib’s real, correctly-favorable (negative) predicted binding</w:t>
      </w:r>
      <w:r>
        <w:t xml:space="preserve"> </w:t>
      </w:r>
      <w:r>
        <w:t xml:space="preserve">affinity is reproduced consistently and with low variance across</w:t>
      </w:r>
      <w:r>
        <w:t xml:space="preserve"> </w:t>
      </w:r>
      <w:r>
        <w:t xml:space="preserve">replicates (SD 0.09 kcal/mol) — the search reliably finds a</w:t>
      </w:r>
      <w:r>
        <w:t xml:space="preserve"> </w:t>
      </w:r>
      <w:r>
        <w:t xml:space="preserve">strongly-scoring pose in the right general region of the pocket. Its</w:t>
      </w:r>
      <w:r>
        <w:t xml:space="preserve"> </w:t>
      </w:r>
      <w:r>
        <w:t xml:space="preserve">RMSD to the crystal pose, however, consistently lands just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</w:t>
      </w:r>
      <w:r>
        <w:t xml:space="preserve"> </w:t>
      </w:r>
      <w:r>
        <w:t xml:space="preserve">field’s conventional 2.0-Å</w:t>
      </w:r>
      <w:r>
        <w:t xml:space="preserve"> </w:t>
      </w:r>
      <w:r>
        <w:t xml:space="preserve">“correct pose”</w:t>
      </w:r>
      <w:r>
        <w:t xml:space="preserve"> </w:t>
      </w:r>
      <w:r>
        <w:t xml:space="preserve">threshold (2.17-2.63 Å across</w:t>
      </w:r>
      <w:r>
        <w:t xml:space="preserve"> </w:t>
      </w:r>
      <w:r>
        <w:t xml:space="preserve">all five replicates, none passing) rather than comfortably below it.</w:t>
      </w:r>
      <w:r>
        <w:t xml:space="preserve"> </w:t>
      </w:r>
      <w:r>
        <w:t xml:space="preserve">This is reported as the real result, not adjusted or reframed as a</w:t>
      </w:r>
      <w:r>
        <w:t xml:space="preserve"> </w:t>
      </w:r>
      <w:r>
        <w:t xml:space="preserve">near-miss: with a fully rigid receptor (no side-chain flexibility), a</w:t>
      </w:r>
      <w:r>
        <w:t xml:space="preserve"> </w:t>
      </w:r>
      <w:r>
        <w:t xml:space="preserve">simplified Gasteiger-charge electrostatic model, and Vina’s own default</w:t>
      </w:r>
      <w:r>
        <w:t xml:space="preserve"> </w:t>
      </w:r>
      <w:r>
        <w:t xml:space="preserve">exhaustiveness, this docking setup consistently finds a pose in</w:t>
      </w:r>
      <w:r>
        <w:t xml:space="preserve"> </w:t>
      </w:r>
      <w:r>
        <w:t xml:space="preserve">erlotinib’s real binding pocket but not, by the field’s own strict</w:t>
      </w:r>
      <w:r>
        <w:t xml:space="preserve"> </w:t>
      </w:r>
      <w:r>
        <w:t xml:space="preserve">convention,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crystallographic orientation — a genuine,</w:t>
      </w:r>
      <w:r>
        <w:t xml:space="preserve"> </w:t>
      </w:r>
      <w:r>
        <w:t xml:space="preserve">disclosed limitation of the simplified protocol used throughout this</w:t>
      </w:r>
      <w:r>
        <w:t xml:space="preserve"> </w:t>
      </w:r>
      <w:r>
        <w:t xml:space="preserve">chapter’s hands-on project, not a bug, and the reason the ChEMBL</w:t>
      </w:r>
      <w:r>
        <w:t xml:space="preserve"> </w:t>
      </w:r>
      <w:r>
        <w:t xml:space="preserve">benchmark results below are interpreted as evidence about relative</w:t>
      </w:r>
      <w:r>
        <w:t xml:space="preserve"> </w:t>
      </w:r>
      <w:r>
        <w:t xml:space="preserve">ranking and pocket identification rather than sub-2-Å pose accuracy.</w:t>
      </w:r>
    </w:p>
    <w:bookmarkEnd w:id="15"/>
    <w:bookmarkStart w:id="16" w:name="docking-the-real-benchmark-set-results"/>
    <w:p>
      <w:pPr>
        <w:pStyle w:val="Heading3"/>
      </w:pPr>
      <w:r>
        <w:t xml:space="preserve">Docking the real benchmark set: results</w:t>
      </w:r>
    </w:p>
    <w:p>
      <w:pPr>
        <w:pStyle w:val="FirstParagraph"/>
      </w:pPr>
      <w:r>
        <w:t xml:space="preserve">Docking all 30 real curated compounds against the real EGFR receptor,</w:t>
      </w:r>
      <w:r>
        <w:t xml:space="preserve"> </w:t>
      </w:r>
      <w:r>
        <w:t xml:space="preserve">under both the focused and blind conditions, succeeded for every</w:t>
      </w:r>
      <w:r>
        <w:t xml:space="preserve"> </w:t>
      </w:r>
      <w:r>
        <w:t xml:space="preserve">compound (30/30; one transient single-run Vina failure did occur</w:t>
      </w:r>
      <w:r>
        <w:t xml:space="preserve"> </w:t>
      </w:r>
      <w:r>
        <w:t xml:space="preserve">mid-campaign under the four-way parallel CPU contention just described,</w:t>
      </w:r>
      <w:r>
        <w:t xml:space="preserve"> </w:t>
      </w:r>
      <w:r>
        <w:t xml:space="preserve">handled by this chapter’s own retry/resume logic — see</w:t>
      </w:r>
      <w:r>
        <w:t xml:space="preserve"> </w:t>
      </w:r>
      <w:r>
        <w:rPr>
          <w:rStyle w:val="VerbatimChar"/>
        </w:rPr>
        <w:t xml:space="preserve">molecular_docking.py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run_vina_docking</w:t>
      </w:r>
      <w:r>
        <w:t xml:space="preserve">, and the</w:t>
      </w:r>
      <w:r>
        <w:t xml:space="preserve"> </w:t>
      </w:r>
      <w:r>
        <w:t xml:space="preserve">“A real mid-run</w:t>
      </w:r>
      <w:r>
        <w:t xml:space="preserve"> </w:t>
      </w:r>
      <w:r>
        <w:t xml:space="preserve">failure”</w:t>
      </w:r>
      <w:r>
        <w:t xml:space="preserve"> </w:t>
      </w:r>
      <w:r>
        <w:t xml:space="preserve">note below):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Focused</w:t>
            </w:r>
          </w:p>
        </w:tc>
        <w:tc>
          <w:tcPr/>
          <w:p>
            <w:pPr>
              <w:pStyle w:val="Compact"/>
            </w:pPr>
            <w:r>
              <w:t xml:space="preserve">Blind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affinity (kcal/mol)</w:t>
            </w:r>
          </w:p>
        </w:tc>
        <w:tc>
          <w:tcPr/>
          <w:p>
            <w:pPr>
              <w:pStyle w:val="Compact"/>
            </w:pPr>
            <w:r>
              <w:t xml:space="preserve">-8.655 ± 0.758 (range -11.065 to -7.618)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wall time (s)</w:t>
            </w:r>
          </w:p>
        </w:tc>
        <w:tc>
          <w:tcPr/>
          <w:p>
            <w:pPr>
              <w:pStyle w:val="Compact"/>
            </w:pPr>
            <w:r>
              <w:t xml:space="preserve">568.4</w:t>
            </w:r>
          </w:p>
        </w:tc>
        <w:tc>
          <w:tcPr/>
          <w:p>
            <w:pPr>
              <w:pStyle w:val="Compact"/>
            </w:pPr>
            <w:r>
              <w:t xml:space="preserve">576.3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wall time (s)</w:t>
            </w:r>
          </w:p>
        </w:tc>
        <w:tc>
          <w:tcPr/>
          <w:p>
            <w:pPr>
              <w:pStyle w:val="Compact"/>
            </w:pPr>
            <w:r>
              <w:t xml:space="preserve">17,053</w:t>
            </w:r>
          </w:p>
        </w:tc>
        <w:tc>
          <w:tcPr/>
          <w:p>
            <w:pPr>
              <w:pStyle w:val="Compact"/>
            </w:pPr>
            <w:r>
              <w:t xml:space="preserve">17,287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Docking score vs. experimental potency: Spearman ρ = 0.245 (p =</w:t>
      </w:r>
      <w:r>
        <w:rPr>
          <w:b/>
          <w:bCs/>
        </w:rPr>
        <w:t xml:space="preserve"> </w:t>
      </w:r>
      <w:r>
        <w:rPr>
          <w:b/>
          <w:bCs/>
        </w:rPr>
        <w:t xml:space="preserve">0.19, n = 30) — not statistically significant.</w:t>
      </w:r>
      <w:r>
        <w:t xml:space="preserve"> </w:t>
      </w:r>
      <w:r>
        <w:t xml:space="preserve">This is the honest,</w:t>
      </w:r>
      <w:r>
        <w:t xml:space="preserve"> </w:t>
      </w:r>
      <w:r>
        <w:t xml:space="preserve">reportable result, not a disappointing one to explain away: AutoDock</w:t>
      </w:r>
      <w:r>
        <w:t xml:space="preserve"> </w:t>
      </w:r>
      <w:r>
        <w:t xml:space="preserve">Vina’s empirical scoring function is well documented in the primary</w:t>
      </w:r>
      <w:r>
        <w:t xml:space="preserve"> </w:t>
      </w:r>
      <w:r>
        <w:t xml:space="preserve">literature (Section 11.1) as a</w:t>
      </w:r>
      <w:r>
        <w:t xml:space="preserve"> </w:t>
      </w:r>
      <w:r>
        <w:rPr>
          <w:i/>
          <w:iCs/>
        </w:rPr>
        <w:t xml:space="preserve">pose-finding</w:t>
      </w:r>
      <w:r>
        <w:t xml:space="preserve"> </w:t>
      </w:r>
      <w:r>
        <w:t xml:space="preserve">energy function fit</w:t>
      </w:r>
      <w:r>
        <w:t xml:space="preserve"> </w:t>
      </w:r>
      <w:r>
        <w:t xml:space="preserve">globally across many complexes, not a compound-ranking affinity</w:t>
      </w:r>
      <w:r>
        <w:t xml:space="preserve"> </w:t>
      </w:r>
      <w:r>
        <w:t xml:space="preserve">predictor for one target’s structure-activity series, and this</w:t>
      </w:r>
      <w:r>
        <w:t xml:space="preserve"> </w:t>
      </w:r>
      <w:r>
        <w:t xml:space="preserve">chapter’s own real data illustrates exactly that distinction. The</w:t>
      </w:r>
      <w:r>
        <w:t xml:space="preserve"> </w:t>
      </w:r>
      <w:r>
        <w:t xml:space="preserve">single most striking example:</w:t>
      </w:r>
      <w:r>
        <w:t xml:space="preserve"> </w:t>
      </w:r>
      <w:r>
        <w:rPr>
          <w:b/>
          <w:bCs/>
        </w:rPr>
        <w:t xml:space="preserve">CHEMBL62843</w:t>
      </w:r>
      <w:r>
        <w:t xml:space="preserve">, the</w:t>
      </w:r>
      <w:r>
        <w:t xml:space="preserve"> </w:t>
      </w:r>
      <w:r>
        <w:rPr>
          <w:i/>
          <w:iCs/>
        </w:rPr>
        <w:t xml:space="preserve">weakest</w:t>
      </w:r>
      <w:r>
        <w:t xml:space="preserve"> </w:t>
      </w:r>
      <w:r>
        <w:t xml:space="preserve">measured</w:t>
      </w:r>
      <w:r>
        <w:t xml:space="preserve"> </w:t>
      </w:r>
      <w:r>
        <w:t xml:space="preserve">binder in the entire curated set (pChEMBL 4.00, roughly 100 µM),</w:t>
      </w:r>
      <w:r>
        <w:t xml:space="preserve"> </w:t>
      </w:r>
      <w:r>
        <w:t xml:space="preserve">receives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favorable focused-docking affinity of all 30</w:t>
      </w:r>
      <w:r>
        <w:t xml:space="preserve"> </w:t>
      </w:r>
      <w:r>
        <w:t xml:space="preserve">compounds (-11.065 kcal/mol) — it is also, at 594.7 Da, the heaviest</w:t>
      </w:r>
      <w:r>
        <w:t xml:space="preserve"> </w:t>
      </w:r>
      <w:r>
        <w:t xml:space="preserve">and most polar-surface-rich compound in the set, and Vina’s scoring</w:t>
      </w:r>
      <w:r>
        <w:t xml:space="preserve"> </w:t>
      </w:r>
      <w:r>
        <w:t xml:space="preserve">terms (Section 11.1) reward extensive favorable atom-pair contacts</w:t>
      </w:r>
      <w:r>
        <w:t xml:space="preserve"> </w:t>
      </w:r>
      <w:r>
        <w:t xml:space="preserve">somewhat independently of whether those contacts correspond to the</w:t>
      </w:r>
      <w:r>
        <w:t xml:space="preserve"> </w:t>
      </w:r>
      <w:r>
        <w:t xml:space="preserve">specific chemistry that makes a real inhibitor potent. This is a real,</w:t>
      </w:r>
      <w:r>
        <w:t xml:space="preserve"> </w:t>
      </w:r>
      <w:r>
        <w:t xml:space="preserve">literature-consistent limitation of empirical scoring functions (the</w:t>
      </w:r>
      <w:r>
        <w:t xml:space="preserve"> </w:t>
      </w:r>
      <w:r>
        <w:t xml:space="preserve">same one motivating deep-learning approaches trained end-to-end for</w:t>
      </w:r>
      <w:r>
        <w:t xml:space="preserve"> </w:t>
      </w:r>
      <w:r>
        <w:t xml:space="preserve">pose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affinity, Section 11.2) rather than a defect in this</w:t>
      </w:r>
      <w:r>
        <w:t xml:space="preserve"> </w:t>
      </w:r>
      <w:r>
        <w:t xml:space="preserve">chapter’s implementation.</w:t>
      </w:r>
    </w:p>
    <w:p>
      <w:pPr>
        <w:pStyle w:val="BodyText"/>
      </w:pPr>
      <w:r>
        <w:rPr>
          <w:b/>
          <w:bCs/>
        </w:rPr>
        <w:t xml:space="preserve">Focused vs. blind agreement: Spearman ρ = 0.882 (p &lt; 0.001) between</w:t>
      </w:r>
      <w:r>
        <w:rPr>
          <w:b/>
          <w:bCs/>
        </w:rPr>
        <w:t xml:space="preserve"> </w:t>
      </w:r>
      <w:r>
        <w:rPr>
          <w:b/>
          <w:bCs/>
        </w:rPr>
        <w:t xml:space="preserve">the two conditions’ affinities, and a median top-pose centroid distance</w:t>
      </w:r>
      <w:r>
        <w:rPr>
          <w:b/>
          <w:bCs/>
        </w:rPr>
        <w:t xml:space="preserve"> </w:t>
      </w:r>
      <w:r>
        <w:rPr>
          <w:b/>
          <w:bCs/>
        </w:rPr>
        <w:t xml:space="preserve">of only 0.49 Å (mean 1.58 Å; 93.3% of compounds land within 5 Å of</w:t>
      </w:r>
      <w:r>
        <w:rPr>
          <w:b/>
          <w:bCs/>
        </w:rPr>
        <w:t xml:space="preserve"> </w:t>
      </w:r>
      <w:r>
        <w:rPr>
          <w:b/>
          <w:bCs/>
        </w:rPr>
        <w:t xml:space="preserve">their own focused-search pose).</w:t>
      </w:r>
      <w:r>
        <w:t xml:space="preserve"> </w:t>
      </w:r>
      <w:r>
        <w:t xml:space="preserve">For this particular target — a deep,</w:t>
      </w:r>
      <w:r>
        <w:t xml:space="preserve"> </w:t>
      </w:r>
      <w:r>
        <w:t xml:space="preserve">well-defined ATP-competitive kinase pocket, not a shallow or</w:t>
      </w:r>
      <w:r>
        <w:t xml:space="preserve"> </w:t>
      </w:r>
      <w:r>
        <w:t xml:space="preserve">multi-site surface — blind search across the receptor’s entire real</w:t>
      </w:r>
      <w:r>
        <w:t xml:space="preserve"> </w:t>
      </w:r>
      <w:r>
        <w:t xml:space="preserve">bounding box (Section 11.1’s ~517,000-ų box, over nineteen times the</w:t>
      </w:r>
      <w:r>
        <w:t xml:space="preserve"> </w:t>
      </w:r>
      <w:r>
        <w:t xml:space="preserve">focused box’s volume) converges to essentially the same site and pose</w:t>
      </w:r>
      <w:r>
        <w:t xml:space="preserve"> </w:t>
      </w:r>
      <w:r>
        <w:t xml:space="preserve">the pocket-informed search finds, for the large majority of real</w:t>
      </w:r>
      <w:r>
        <w:t xml:space="preserve"> </w:t>
      </w:r>
      <w:r>
        <w:t xml:space="preserve">compounds tested, despite Vina’s own runtime warning about that box’s</w:t>
      </w:r>
      <w:r>
        <w:t xml:space="preserve"> </w:t>
      </w:r>
      <w:r>
        <w:t xml:space="preserve">size. This is a genuinely positive, real finding about blind docking’s</w:t>
      </w:r>
      <w:r>
        <w:t xml:space="preserve"> </w:t>
      </w:r>
      <w:r>
        <w:t xml:space="preserve">practical reliability</w:t>
      </w:r>
      <w:r>
        <w:t xml:space="preserve"> </w:t>
      </w:r>
      <w:r>
        <w:rPr>
          <w:i/>
          <w:iCs/>
        </w:rPr>
        <w:t xml:space="preserve">for this specific, well-characterized pocket</w:t>
      </w:r>
      <w:r>
        <w:rPr>
          <w:i/>
          <w:iCs/>
        </w:rP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— it should not be read as a general claim that blind docking</w:t>
      </w:r>
      <w:r>
        <w:t xml:space="preserve"> </w:t>
      </w:r>
      <w:r>
        <w:t xml:space="preserve">reliably finds the correct site on any target, since a shallow or</w:t>
      </w:r>
      <w:r>
        <w:t xml:space="preserve"> </w:t>
      </w:r>
      <w:r>
        <w:t xml:space="preserve">multi-pocket surface would not necessarily replicate it.</w:t>
      </w:r>
    </w:p>
    <w:p>
      <w:pPr>
        <w:pStyle w:val="BodyText"/>
      </w:pPr>
      <w:r>
        <w:rPr>
          <w:b/>
          <w:bCs/>
        </w:rPr>
        <w:t xml:space="preserve">A real mid-run failure, handled rather than hidden.</w:t>
      </w:r>
      <w:r>
        <w:t xml:space="preserve"> </w:t>
      </w:r>
      <w:r>
        <w:t xml:space="preserve">During this</w:t>
      </w:r>
      <w:r>
        <w:t xml:space="preserve"> </w:t>
      </w:r>
      <w:r>
        <w:t xml:space="preserve">benchmark’s execution, one of the 60 real Vina subprocess calls exited</w:t>
      </w:r>
      <w:r>
        <w:t xml:space="preserve"> </w:t>
      </w:r>
      <w:r>
        <w:t xml:space="preserve">non-zero under the four-way parallel contention described above (real</w:t>
      </w:r>
      <w:r>
        <w:t xml:space="preserve"> </w:t>
      </w:r>
      <w:r>
        <w:t xml:space="preserve">stderr captured, not fabricated); re-running that exact real</w:t>
      </w:r>
      <w:r>
        <w:t xml:space="preserve"> </w:t>
      </w:r>
      <w:r>
        <w:t xml:space="preserve">receptor/ligand/seed combination in isolation immediately afterward</w:t>
      </w:r>
      <w:r>
        <w:t xml:space="preserve"> </w:t>
      </w:r>
      <w:r>
        <w:t xml:space="preserve">succeeded cleanly (-11.07 kcal/mol, consistent with the -11.065/-11.128</w:t>
      </w:r>
      <w:r>
        <w:t xml:space="preserve"> </w:t>
      </w:r>
      <w:r>
        <w:t xml:space="preserve">kcal/mol this same compound’s focused/blind runs eventually recorded),</w:t>
      </w:r>
      <w:r>
        <w:t xml:space="preserve"> </w:t>
      </w:r>
      <w:r>
        <w:t xml:space="preserve">confirming the failure was a transient resource-contention effect, not</w:t>
      </w:r>
      <w:r>
        <w:t xml:space="preserve"> </w:t>
      </w:r>
      <w:r>
        <w:t xml:space="preserve">a property of that molecule or a bug in this chapter’s chemistry</w:t>
      </w:r>
      <w:r>
        <w:t xml:space="preserve"> </w:t>
      </w:r>
      <w:r>
        <w:t xml:space="preserve">pipeline.</w:t>
      </w:r>
      <w:r>
        <w:t xml:space="preserve"> </w:t>
      </w:r>
      <w:r>
        <w:rPr>
          <w:rStyle w:val="VerbatimChar"/>
        </w:rPr>
        <w:t xml:space="preserve">molecular_docking.py</w:t>
      </w:r>
      <w:r>
        <w:t xml:space="preserve"> </w:t>
      </w:r>
      <w:r>
        <w:t xml:space="preserve">records such failures per-compound</w:t>
      </w:r>
      <w:r>
        <w:t xml:space="preserve"> </w:t>
      </w:r>
      <w:r>
        <w:t xml:space="preserve">(rather than letting one bad subprocess call crash the entire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 </w:t>
      </w:r>
      <w:r>
        <w:t xml:space="preserve">pool and discard every other compound’s</w:t>
      </w:r>
      <w:r>
        <w:t xml:space="preserve"> </w:t>
      </w:r>
      <w:r>
        <w:t xml:space="preserve">already-completed real result) and supports resuming a run from</w:t>
      </w:r>
      <w:r>
        <w:t xml:space="preserve"> </w:t>
      </w:r>
      <w:r>
        <w:t xml:space="preserve">whatever real, valid PDBQT output already exists on disk — an</w:t>
      </w:r>
      <w:r>
        <w:t xml:space="preserve"> </w:t>
      </w:r>
      <w:r>
        <w:t xml:space="preserve">engineering property any long-running real docking campaign needs, not</w:t>
      </w:r>
      <w:r>
        <w:t xml:space="preserve"> </w:t>
      </w:r>
      <w:r>
        <w:t xml:space="preserve">a workaround specific to this one incident.</w:t>
      </w:r>
    </w:p>
    <w:bookmarkEnd w:id="16"/>
    <w:bookmarkStart w:id="19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rdkit&gt;=2023.9</w:t>
      </w:r>
      <w:r>
        <w:t xml:space="preserve">,</w:t>
      </w:r>
      <w:r>
        <w:t xml:space="preserve"> </w:t>
      </w:r>
      <w:r>
        <w:rPr>
          <w:rStyle w:val="VerbatimChar"/>
        </w:rPr>
        <w:t xml:space="preserve">meeko&gt;=0.6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numpy&gt;=1.24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scipy&gt;=1.10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requests&gt;=2.28</w:t>
      </w:r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VerbatimChar"/>
          </w:rPr>
          <w:t xml:space="preserve">requirements.txt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vina&gt;=1.2.5</w:t>
      </w:r>
      <w:r>
        <w:t xml:space="preserve"> </w:t>
      </w:r>
      <w:r>
        <w:t xml:space="preserve">on platforms with</w:t>
      </w:r>
      <w:r>
        <w:t xml:space="preserve"> </w:t>
      </w:r>
      <w:r>
        <w:t xml:space="preserve">a prebuilt wheel — validated against rdkit 2026.03.5, meeko 0.7.1,</w:t>
      </w:r>
      <w:r>
        <w:t xml:space="preserve"> </w:t>
      </w:r>
      <w:r>
        <w:t xml:space="preserve">numpy 2.5.2, scipy 1.18.0, requests 2.34.2, and OpenBabel 3.1.0 on</w:t>
      </w:r>
      <w:r>
        <w:t xml:space="preserve"> </w:t>
      </w:r>
      <w:r>
        <w:t xml:space="preserve">Python 3.12).</w:t>
      </w:r>
      <w:r>
        <w:t xml:space="preserve"> </w:t>
      </w:r>
      <w:r>
        <w:rPr>
          <w:rStyle w:val="VerbatimChar"/>
        </w:rPr>
        <w:t xml:space="preserve">data/egfr_chembl_benchmark.json</w:t>
      </w:r>
      <w:r>
        <w:t xml:space="preserve"> </w:t>
      </w:r>
      <w:r>
        <w:t xml:space="preserve">caches the exact real curated compound set this chapter’s results were</w:t>
      </w:r>
      <w:r>
        <w:t xml:space="preserve"> </w:t>
      </w:r>
      <w:r>
        <w:t xml:space="preserve">computed from, so</w:t>
      </w:r>
      <w:r>
        <w:t xml:space="preserve"> </w:t>
      </w:r>
      <w:r>
        <w:rPr>
          <w:rStyle w:val="VerbatimChar"/>
        </w:rPr>
        <w:t xml:space="preserve">python molecular_docking.py</w:t>
      </w:r>
      <w:r>
        <w:t xml:space="preserve"> </w:t>
      </w:r>
      <w:r>
        <w:t xml:space="preserve">reproduces the same 30</w:t>
      </w:r>
      <w:r>
        <w:t xml:space="preserve"> </w:t>
      </w:r>
      <w:r>
        <w:t xml:space="preserve">compounds offline without a live ChEMBL API call (pass</w:t>
      </w:r>
      <w:r>
        <w:t xml:space="preserve"> </w:t>
      </w:r>
      <w:r>
        <w:rPr>
          <w:rStyle w:val="VerbatimChar"/>
        </w:rPr>
        <w:t xml:space="preserve">--refresh-cache</w:t>
      </w:r>
      <w:r>
        <w:t xml:space="preserve"> </w:t>
      </w:r>
      <w:r>
        <w:t xml:space="preserve">to re-curate from a fresh live fetch instead). The</w:t>
      </w:r>
      <w:r>
        <w:t xml:space="preserve"> </w:t>
      </w:r>
      <w:hyperlink r:id="rId18">
        <w:r>
          <w:rPr>
            <w:rStyle w:val="VerbatimChar"/>
          </w:rPr>
          <w:t xml:space="preserve">tests/test_molecular_docking.py</w:t>
        </w:r>
      </w:hyperlink>
      <w:r>
        <w:t xml:space="preserve"> </w:t>
      </w:r>
      <w:r>
        <w:t xml:space="preserve">suite exercises real receptor/ligand preparation and the real ChEMBL</w:t>
      </w:r>
      <w:r>
        <w:t xml:space="preserve"> </w:t>
      </w:r>
      <w:r>
        <w:t xml:space="preserve">curation logic directly against bundled fixtures; the small number of</w:t>
      </w:r>
      <w:r>
        <w:t xml:space="preserve"> </w:t>
      </w:r>
      <w:r>
        <w:t xml:space="preserve">tests that would otherwise invoke Vina itself are skipped automatically</w:t>
      </w:r>
      <w:r>
        <w:t xml:space="preserve"> </w:t>
      </w:r>
      <w:r>
        <w:t xml:space="preserve">when no Vina engine (Python bindings or executable) is available on the</w:t>
      </w:r>
      <w:r>
        <w:t xml:space="preserve"> </w:t>
      </w:r>
      <w:r>
        <w:t xml:space="preserve">host, following the same</w:t>
      </w:r>
      <w:r>
        <w:t xml:space="preserve"> </w:t>
      </w:r>
      <w:r>
        <w:t xml:space="preserve">“real where feasible, honestly skipped where</w:t>
      </w:r>
      <w:r>
        <w:t xml:space="preserve"> </w:t>
      </w:r>
      <w:r>
        <w:t xml:space="preserve">not”</w:t>
      </w:r>
      <w:r>
        <w:t xml:space="preserve"> </w:t>
      </w:r>
      <w:r>
        <w:t xml:space="preserve">principle as the rest of this book’s test suites.</w:t>
      </w:r>
    </w:p>
    <w:bookmarkEnd w:id="19"/>
    <w:bookmarkStart w:id="20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This project validates real, physics-based AutoDock Vina docking</w:t>
      </w:r>
      <w:r>
        <w:t xml:space="preserve"> </w:t>
      </w:r>
      <w:r>
        <w:t xml:space="preserve">against one real, well-characterized oncology target with a real</w:t>
      </w:r>
      <w:r>
        <w:t xml:space="preserve"> </w:t>
      </w:r>
      <w:r>
        <w:t xml:space="preserve">redocking control and a real, potency-labeled compound benchmark — it</w:t>
      </w:r>
      <w:r>
        <w:t xml:space="preserve"> </w:t>
      </w:r>
      <w:r>
        <w:t xml:space="preserve">does not run or re-benchmark any deep-learning docking method itself,</w:t>
      </w:r>
      <w:r>
        <w:t xml:space="preserve"> </w:t>
      </w:r>
      <w:r>
        <w:t xml:space="preserve">for the feasibility reasons Section 11.2 documents explicitly, and its</w:t>
      </w:r>
      <w:r>
        <w:t xml:space="preserve"> </w:t>
      </w:r>
      <w:r>
        <w:t xml:space="preserve">30-compound benchmark is a real, honestly-scoped subset rather than the</w:t>
      </w:r>
      <w:r>
        <w:t xml:space="preserve"> </w:t>
      </w:r>
      <w:r>
        <w:t xml:space="preserve">outline’s illustrative 1,000-compound figure, for the compute-time</w:t>
      </w:r>
      <w:r>
        <w:t xml:space="preserve"> </w:t>
      </w:r>
      <w:r>
        <w:t xml:space="preserve">reasons documented above. Rigid-receptor docking also cannot model</w:t>
      </w:r>
      <w:r>
        <w:t xml:space="preserve"> </w:t>
      </w:r>
      <w:r>
        <w:t xml:space="preserve">genuine induced-fit conformational change on binding — a real physical</w:t>
      </w:r>
      <w:r>
        <w:t xml:space="preserve"> </w:t>
      </w:r>
      <w:r>
        <w:t xml:space="preserve">limitation of the simplified protocol used here, not specific to this</w:t>
      </w:r>
      <w:r>
        <w:t xml:space="preserve"> </w:t>
      </w:r>
      <w:r>
        <w:t xml:space="preserve">chapter’s implementation. Chapter 12 picks up the natural next question</w:t>
      </w:r>
      <w:r>
        <w:t xml:space="preserve"> </w:t>
      </w:r>
      <w:r>
        <w:t xml:space="preserve">this limitation raises directly: given a predicted pose, is it actually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once real molecular motion and solvent are simulated, rather</w:t>
      </w:r>
      <w:r>
        <w:t xml:space="preserve"> </w:t>
      </w:r>
      <w:r>
        <w:t xml:space="preserve">than frozen at whatever single conformation docking returned?</w:t>
      </w:r>
    </w:p>
    <w:bookmarkEnd w:id="20"/>
    <w:bookmarkStart w:id="21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rPr>
          <w:rStyle w:val="VerbatimChar"/>
        </w:rPr>
        <w:t xml:space="preserve">rdkit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are preinstalled on Colab’s</w:t>
      </w:r>
      <w:r>
        <w:t xml:space="preserve"> </w:t>
      </w:r>
      <w:r>
        <w:t xml:space="preserve">default runtime;</w:t>
      </w:r>
      <w:r>
        <w:t xml:space="preserve"> </w:t>
      </w:r>
      <w:r>
        <w:rPr>
          <w:rStyle w:val="VerbatimChar"/>
        </w:rPr>
        <w:t xml:space="preserve">meeko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vina</w:t>
      </w:r>
      <w:r>
        <w:t xml:space="preserve"> </w:t>
      </w:r>
      <w:r>
        <w:t xml:space="preserve">need</w:t>
      </w:r>
      <w:r>
        <w:t xml:space="preserve"> </w:t>
      </w:r>
      <w:r>
        <w:rPr>
          <w:rStyle w:val="VerbatimChar"/>
        </w:rPr>
        <w:t xml:space="preserve">!pip install meeko vina</w:t>
      </w:r>
      <w:r>
        <w:t xml:space="preserve">, and</w:t>
      </w:r>
      <w:r>
        <w:t xml:space="preserve"> </w:t>
      </w:r>
      <w:r>
        <w:t xml:space="preserve">OpenBabel needs</w:t>
      </w:r>
      <w:r>
        <w:t xml:space="preserve"> </w:t>
      </w:r>
      <w:r>
        <w:rPr>
          <w:rStyle w:val="VerbatimChar"/>
        </w:rPr>
        <w:t xml:space="preserve">!apt-get install -y openbabel</w:t>
      </w:r>
      <w:r>
        <w:t xml:space="preserve"> </w:t>
      </w:r>
      <w:r>
        <w:t xml:space="preserve">(a system package, not</w:t>
      </w:r>
      <w:r>
        <w:t xml:space="preserve"> </w:t>
      </w:r>
      <w:r>
        <w:t xml:space="preserve">a Python one, since this chapter uses OpenBabel’s command-line tool</w:t>
      </w:r>
      <w:r>
        <w:t xml:space="preserve"> </w:t>
      </w:r>
      <w:r>
        <w:t xml:space="preserve">directly). No GPU is required — every step in this hands-on project</w:t>
      </w:r>
      <w:r>
        <w:t xml:space="preserve"> </w:t>
      </w:r>
      <w:r>
        <w:t xml:space="preserve">runs on CPU, exactly as it was run to produce the results above.</w:t>
      </w:r>
    </w:p>
    <w:bookmarkEnd w:id="21"/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Trott, O., &amp; Olson, A. J. (2010). AutoDock Vina: Improving the speed</w:t>
      </w:r>
      <w:r>
        <w:t xml:space="preserve"> </w:t>
      </w:r>
      <w:r>
        <w:t xml:space="preserve">and accuracy of docking with a new scoring function, efficient</w:t>
      </w:r>
      <w:r>
        <w:t xml:space="preserve"> </w:t>
      </w:r>
      <w:r>
        <w:t xml:space="preserve">optimization, and multithreading.</w:t>
      </w:r>
      <w:r>
        <w:t xml:space="preserve"> </w:t>
      </w:r>
      <w:r>
        <w:rPr>
          <w:i/>
          <w:iCs/>
        </w:rPr>
        <w:t xml:space="preserve">Journal of Computational</w:t>
      </w:r>
      <w:r>
        <w:rPr>
          <w:i/>
          <w:iCs/>
        </w:rPr>
        <w:t xml:space="preserve"> </w:t>
      </w:r>
      <w:r>
        <w:rPr>
          <w:i/>
          <w:iCs/>
        </w:rPr>
        <w:t xml:space="preserve">Chemistry</w:t>
      </w:r>
      <w:r>
        <w:t xml:space="preserve">, 31(2), 455-461. https://doi.org/10.1002/jcc.21334</w:t>
      </w:r>
    </w:p>
    <w:p>
      <w:pPr>
        <w:pStyle w:val="Compact"/>
        <w:numPr>
          <w:ilvl w:val="0"/>
          <w:numId w:val="1001"/>
        </w:numPr>
      </w:pPr>
      <w:r>
        <w:t xml:space="preserve">Eberhardt, J., Santos-Martins, D., Tillack, A. F., &amp; Forli, S. (2021).</w:t>
      </w:r>
      <w:r>
        <w:t xml:space="preserve"> </w:t>
      </w:r>
      <w:r>
        <w:t xml:space="preserve">AutoDock Vina 1.2.0: New docking methods, expanded force field, and</w:t>
      </w:r>
      <w:r>
        <w:t xml:space="preserve"> </w:t>
      </w:r>
      <w:r>
        <w:t xml:space="preserve">Python bindings.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,</w:t>
      </w:r>
      <w:r>
        <w:t xml:space="preserve"> </w:t>
      </w:r>
      <w:r>
        <w:t xml:space="preserve">61(8), 3891-3898. https://doi.org/10.1021/acs.jcim.1c00203</w:t>
      </w:r>
    </w:p>
    <w:p>
      <w:pPr>
        <w:pStyle w:val="Compact"/>
        <w:numPr>
          <w:ilvl w:val="0"/>
          <w:numId w:val="1001"/>
        </w:numPr>
      </w:pPr>
      <w:r>
        <w:t xml:space="preserve">Stärk, H., Ganea, O., Pattanaik, L., Barzilay, R., &amp; Jaakkola, T.</w:t>
      </w:r>
      <w:r>
        <w:t xml:space="preserve"> </w:t>
      </w:r>
      <w:r>
        <w:t xml:space="preserve">(2022). EquiBind: Geometric Deep Learning for Drug Binding Structure</w:t>
      </w:r>
      <w:r>
        <w:t xml:space="preserve"> </w:t>
      </w:r>
      <w:r>
        <w:t xml:space="preserve">Prediction.</w:t>
      </w:r>
      <w:r>
        <w:t xml:space="preserve"> </w:t>
      </w:r>
      <w:r>
        <w:rPr>
          <w:i/>
          <w:iCs/>
        </w:rPr>
        <w:t xml:space="preserve">Proceedings of the 39th International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Machine Learning (ICML)</w:t>
      </w:r>
      <w:r>
        <w:t xml:space="preserve">, PMLR 162, 20503-20521.</w:t>
      </w:r>
    </w:p>
    <w:p>
      <w:pPr>
        <w:pStyle w:val="Compact"/>
        <w:numPr>
          <w:ilvl w:val="0"/>
          <w:numId w:val="1001"/>
        </w:numPr>
      </w:pPr>
      <w:r>
        <w:t xml:space="preserve">Lu, W., Wu, Q., Zhang, J., Rao, J., Li, C., &amp; Zheng, S. (2022).</w:t>
      </w:r>
      <w:r>
        <w:t xml:space="preserve"> </w:t>
      </w:r>
      <w:r>
        <w:t xml:space="preserve">TANKBind: Trigonometry-Aware Neural NetworKs for Drug-Protein Binding</w:t>
      </w:r>
      <w:r>
        <w:t xml:space="preserve"> </w:t>
      </w:r>
      <w:r>
        <w:t xml:space="preserve">Structure Prediction.</w:t>
      </w:r>
      <w:r>
        <w:t xml:space="preserve"> </w:t>
      </w:r>
      <w:r>
        <w:rPr>
          <w:i/>
          <w:iCs/>
        </w:rPr>
        <w:t xml:space="preserve">Advances in Neural 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Systems (NeurIPS) 35</w:t>
      </w:r>
      <w:r>
        <w:t xml:space="preserve">. Preprint: bioRxiv 2022.06.06.495043.</w:t>
      </w:r>
      <w:r>
        <w:t xml:space="preserve"> </w:t>
      </w:r>
      <w:r>
        <w:t xml:space="preserve">https://doi.org/10.1101/2022.06.06.495043</w:t>
      </w:r>
    </w:p>
    <w:p>
      <w:pPr>
        <w:pStyle w:val="Compact"/>
        <w:numPr>
          <w:ilvl w:val="0"/>
          <w:numId w:val="1001"/>
        </w:numPr>
      </w:pPr>
      <w:r>
        <w:t xml:space="preserve">Corso, G., Stärk, H., Jing, B., Barzilay, R., &amp; Jaakkola, T. (2023).</w:t>
      </w:r>
      <w:r>
        <w:t xml:space="preserve"> </w:t>
      </w:r>
      <w:r>
        <w:t xml:space="preserve">DiffDock: Diffusion Steps, Twists, and Turns for Molecular Docking.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r>
        <w:t xml:space="preserve">arXiv:2210.01776. https://arxiv.org/abs/2210.01776</w:t>
      </w:r>
    </w:p>
    <w:p>
      <w:pPr>
        <w:pStyle w:val="Compact"/>
        <w:numPr>
          <w:ilvl w:val="0"/>
          <w:numId w:val="1001"/>
        </w:numPr>
      </w:pPr>
      <w:r>
        <w:t xml:space="preserve">Corso, G., Deng, A., Polizzi, N., Barzilay, R., &amp; Jaakkola, T. (2024).</w:t>
      </w:r>
      <w:r>
        <w:t xml:space="preserve"> </w:t>
      </w:r>
      <w:r>
        <w:t xml:space="preserve">Deep Confident Steps to New Pockets: Strategies for Docking</w:t>
      </w:r>
      <w:r>
        <w:t xml:space="preserve"> </w:t>
      </w:r>
      <w:r>
        <w:t xml:space="preserve">Generalization.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rPr>
          <w:i/>
          <w:iCs/>
        </w:rPr>
        <w:t xml:space="preserve"> </w:t>
      </w:r>
      <w:r>
        <w:rPr>
          <w:i/>
          <w:iCs/>
        </w:rPr>
        <w:t xml:space="preserve">(ICLR)</w:t>
      </w:r>
      <w:r>
        <w:t xml:space="preserve">. arXiv:2402.18396. https://arxiv.org/abs/2402.18396</w:t>
      </w:r>
    </w:p>
    <w:p>
      <w:pPr>
        <w:pStyle w:val="Compact"/>
        <w:numPr>
          <w:ilvl w:val="0"/>
          <w:numId w:val="1001"/>
        </w:numPr>
      </w:pPr>
      <w:r>
        <w:t xml:space="preserve">Stamos, J., Sliwkowski, M. X., &amp; Eigenbrot, C. (2002). Structure of</w:t>
      </w:r>
      <w:r>
        <w:t xml:space="preserve"> </w:t>
      </w:r>
      <w:r>
        <w:t xml:space="preserve">the epidermal growth factor receptor kinase domain alone and in</w:t>
      </w:r>
      <w:r>
        <w:t xml:space="preserve"> </w:t>
      </w:r>
      <w:r>
        <w:t xml:space="preserve">complex with a 4-anilinoquinazoline inhibitor.</w:t>
      </w:r>
      <w:r>
        <w:t xml:space="preserve"> </w:t>
      </w:r>
      <w:r>
        <w:rPr>
          <w:i/>
          <w:iCs/>
        </w:rPr>
        <w:t xml:space="preserve">Journal of Biological</w:t>
      </w:r>
      <w:r>
        <w:rPr>
          <w:i/>
          <w:iCs/>
        </w:rPr>
        <w:t xml:space="preserve"> </w:t>
      </w:r>
      <w:r>
        <w:rPr>
          <w:i/>
          <w:iCs/>
        </w:rPr>
        <w:t xml:space="preserve">Chemistry</w:t>
      </w:r>
      <w:r>
        <w:t xml:space="preserve">, 277(48), 46265-46272.</w:t>
      </w:r>
      <w:r>
        <w:t xml:space="preserve"> </w:t>
      </w:r>
      <w:r>
        <w:t xml:space="preserve">https://doi.org/10.1074/jbc.M207135200</w:t>
      </w:r>
    </w:p>
    <w:p>
      <w:pPr>
        <w:pStyle w:val="Compact"/>
        <w:numPr>
          <w:ilvl w:val="0"/>
          <w:numId w:val="1001"/>
        </w:numPr>
      </w:pPr>
      <w:r>
        <w:t xml:space="preserve">O’Boyle, N. M., Banck, M., James, C. A., Morley, C., Vandermeersch,</w:t>
      </w:r>
      <w:r>
        <w:t xml:space="preserve"> </w:t>
      </w:r>
      <w:r>
        <w:t xml:space="preserve">T., &amp; Hutchison, G. R. (2011). Open Babel: An open chemical toolbox.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, 3, 33.</w:t>
      </w:r>
      <w:r>
        <w:t xml:space="preserve"> </w:t>
      </w:r>
      <w:r>
        <w:t xml:space="preserve">https://doi.org/10.1186/1758-2946-3-33</w:t>
      </w:r>
    </w:p>
    <w:p>
      <w:pPr>
        <w:pStyle w:val="FirstParagraph"/>
      </w:pPr>
      <w:r>
        <w:t xml:space="preserve">See Chapter 1’s references for Mendez et al. (2019, ChEMBL), reused</w:t>
      </w:r>
      <w:r>
        <w:t xml:space="preserve"> </w:t>
      </w:r>
      <w:r>
        <w:t xml:space="preserve">directly for this chapter’s live bioactivity data source. RDKit</w:t>
      </w:r>
      <w:r>
        <w:t xml:space="preserve"> </w:t>
      </w:r>
      <w:r>
        <w:t xml:space="preserve">(Chapters 2, 4) and Meeko (github.com/forlilab/meeko, no separate</w:t>
      </w:r>
      <w:r>
        <w:t xml:space="preserve"> </w:t>
      </w:r>
      <w:r>
        <w:t xml:space="preserve">primary paper) are used for ligand preparation but play no scoring</w:t>
      </w:r>
      <w:r>
        <w:t xml:space="preserve"> </w:t>
      </w:r>
      <w:r>
        <w:t xml:space="preserve">role of their own — AutoDock Vina’s scoring function and search</w:t>
      </w:r>
      <w:r>
        <w:t xml:space="preserve"> </w:t>
      </w:r>
      <w:r>
        <w:t xml:space="preserve">algorithm, described in Section 11.1, are unmodified.</w:t>
      </w:r>
    </w:p>
    <w:p>
      <w:pPr>
        <w:pStyle w:val="BodyText"/>
      </w:pPr>
      <w:r>
        <w:t xml:space="preserve">All affinities, timings, RMSD values, and correlation statistics cited</w:t>
      </w:r>
      <w:r>
        <w:t xml:space="preserve"> </w:t>
      </w:r>
      <w:r>
        <w:t xml:space="preserve">in Section 11.4 were computed directly by running</w:t>
      </w:r>
      <w:r>
        <w:t xml:space="preserve"> </w:t>
      </w:r>
      <w:r>
        <w:rPr>
          <w:rStyle w:val="VerbatimChar"/>
        </w:rPr>
        <w:t xml:space="preserve">molecular_docking.py</w:t>
      </w:r>
      <w:r>
        <w:t xml:space="preserve"> </w:t>
      </w:r>
      <w:r>
        <w:t xml:space="preserve">against the real bundled PDB 1M17 structure and the real curated</w:t>
      </w:r>
      <w:r>
        <w:t xml:space="preserve"> </w:t>
      </w:r>
      <w:r>
        <w:t xml:space="preserve">ChEMBL benchmark set on 2026-08-20/21 (the real 60-run docking</w:t>
      </w:r>
      <w:r>
        <w:t xml:space="preserve"> </w:t>
      </w:r>
      <w:r>
        <w:t xml:space="preserve">campaign’s wall-clock cost, detailed above, spanned the two calendar</w:t>
      </w:r>
      <w:r>
        <w:t xml:space="preserve"> </w:t>
      </w:r>
      <w:r>
        <w:t xml:space="preserve">dates), not taken from a secondary source 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results/molecular_docking_results.json</w:t>
      </w:r>
      <w:r>
        <w:t xml:space="preserve"> </w:t>
      </w:r>
      <w:r>
        <w:t xml:space="preserve">to reproduce.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requirements.txt" TargetMode="External" /><Relationship Type="http://schemas.openxmlformats.org/officeDocument/2006/relationships/hyperlink" Id="rId18" Target="tests/test_molecular_docking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requirements.txt" TargetMode="External" /><Relationship Type="http://schemas.openxmlformats.org/officeDocument/2006/relationships/hyperlink" Id="rId18" Target="tests/test_molecular_docking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2026-08-21T08:22:12Z</dcterms:created>
  <dcterms:modified xsi:type="dcterms:W3CDTF">2026-08-21T08:22:12Z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