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948a538bb0d35a7c9fa25e42a115ceece7e201"/>
    <w:p>
      <w:pPr>
        <w:pStyle w:val="Heading1"/>
      </w:pPr>
      <w:r>
        <w:t xml:space="preserve">Chapter 13: High-Throughput Virtual Screening (HTVS) Pipelines</w:t>
      </w:r>
    </w:p>
    <w:p>
      <w:pPr>
        <w:pStyle w:val="FirstParagraph"/>
      </w:pPr>
      <w:r>
        <w:t xml:space="preserve">Chapter 12 closed by measuring, directly and honestly, what one</w:t>
      </w:r>
      <w:r>
        <w:t xml:space="preserve"> </w:t>
      </w:r>
      <w:r>
        <w:t xml:space="preserve">careful, real docking-then-MD assessment of a single compound actually</w:t>
      </w:r>
      <w:r>
        <w:t xml:space="preserve"> </w:t>
      </w:r>
      <w:r>
        <w:t xml:space="preserve">costs: hours of real AutoDock Vina search time per ligand (Chapter 11),</w:t>
      </w:r>
      <w:r>
        <w:t xml:space="preserve"> </w:t>
      </w:r>
      <w:r>
        <w:t xml:space="preserve">and — for anything beyond a short correctness check — days of real</w:t>
      </w:r>
      <w:r>
        <w:t xml:space="preserve"> </w:t>
      </w:r>
      <w:r>
        <w:t xml:space="preserve">ANI-2x compute per nanosecond of trajectory (Chapter 12). That finding</w:t>
      </w:r>
      <w:r>
        <w:t xml:space="preserve"> </w:t>
      </w:r>
      <w:r>
        <w:t xml:space="preserve">raises the question this chapter answers: a real drug-discovery</w:t>
      </w:r>
      <w:r>
        <w:t xml:space="preserve"> </w:t>
      </w:r>
      <w:r>
        <w:t xml:space="preserve">campaign rarely starts with one compound. It starts with a library —</w:t>
      </w:r>
      <w:r>
        <w:t xml:space="preserve"> </w:t>
      </w:r>
      <w:r>
        <w:t xml:space="preserve">a real vendor catalog, a real fragment collection, a real internal</w:t>
      </w:r>
      <w:r>
        <w:t xml:space="preserve"> </w:t>
      </w:r>
      <w:r>
        <w:t xml:space="preserve">archive — containing anywhere from thousands to billions of candidates,</w:t>
      </w:r>
      <w:r>
        <w:t xml:space="preserve"> </w:t>
      </w:r>
      <w:r>
        <w:t xml:space="preserve">and the resources to synthesize and test any of them experimentally are</w:t>
      </w:r>
      <w:r>
        <w:t xml:space="preserve"> </w:t>
      </w:r>
      <w:r>
        <w:t xml:space="preserve">always, by orders of magnitude, smaller than the library itself. Every</w:t>
      </w:r>
      <w:r>
        <w:t xml:space="preserve"> </w:t>
      </w:r>
      <w:r>
        <w:t xml:space="preserve">one of those candidates cannot receive Chapter 11’s or Chapter 12’s</w:t>
      </w:r>
      <w:r>
        <w:t xml:space="preserve"> </w:t>
      </w:r>
      <w:r>
        <w:t xml:space="preserve">full treatment; the practical problem is deciding, computationally and</w:t>
      </w:r>
      <w:r>
        <w:t xml:space="preserve"> </w:t>
      </w:r>
      <w:r>
        <w:t xml:space="preserve">in advance, which handful deserve it. This chapter covers the funnel</w:t>
      </w:r>
      <w:r>
        <w:t xml:space="preserve"> </w:t>
      </w:r>
      <w:r>
        <w:t xml:space="preserve">architecture that problem demands (Section 13.1), the specific</w:t>
      </w:r>
      <w:r>
        <w:t xml:space="preserve"> </w:t>
      </w:r>
      <w:r>
        <w:t xml:space="preserve">three-stage design this book’s own outline specifies and this chapter’s</w:t>
      </w:r>
      <w:r>
        <w:t xml:space="preserve"> </w:t>
      </w:r>
      <w:r>
        <w:t xml:space="preserve">own tooling constraints shape in practice (Section 13.2), and a real,</w:t>
      </w:r>
      <w:r>
        <w:t xml:space="preserve"> </w:t>
      </w:r>
      <w:r>
        <w:t xml:space="preserve">complete run of that funnel against a real emerging viral target</w:t>
      </w:r>
      <w:r>
        <w:t xml:space="preserve"> </w:t>
      </w:r>
      <w:r>
        <w:t xml:space="preserve">(Section 13.3).</w:t>
      </w:r>
    </w:p>
    <w:bookmarkStart w:id="9" w:name="building-the-htvs-funnel"/>
    <w:p>
      <w:pPr>
        <w:pStyle w:val="Heading2"/>
      </w:pPr>
      <w:r>
        <w:t xml:space="preserve">13.1 Building the HTVS Funnel</w:t>
      </w:r>
    </w:p>
    <w:p>
      <w:pPr>
        <w:pStyle w:val="FirstParagraph"/>
      </w:pPr>
      <w:r>
        <w:rPr>
          <w:b/>
          <w:bCs/>
        </w:rPr>
        <w:t xml:space="preserve">The scale mismatch.</w:t>
      </w:r>
      <w:r>
        <w:t xml:space="preserve"> </w:t>
      </w:r>
      <w:r>
        <w:t xml:space="preserve">A real, modern make-on-demand chemical space —</w:t>
      </w:r>
      <w:r>
        <w:t xml:space="preserve"> </w:t>
      </w:r>
      <w:r>
        <w:t xml:space="preserve">Enamine’s REAL Database, for instance — already contains on the order</w:t>
      </w:r>
      <w:r>
        <w:t xml:space="preserve"> </w:t>
      </w:r>
      <w:r>
        <w:t xml:space="preserve">of tens of billions of synthesizable compounds, and ultra-large virtual</w:t>
      </w:r>
      <w:r>
        <w:t xml:space="preserve"> </w:t>
      </w:r>
      <w:r>
        <w:t xml:space="preserve">libraries assembled for docking campaigns have reached the</w:t>
      </w:r>
      <w:r>
        <w:t xml:space="preserve"> </w:t>
      </w:r>
      <w:r>
        <w:t xml:space="preserve">hundred-million to billion-compound range in the published literature</w:t>
      </w:r>
      <w:r>
        <w:t xml:space="preserve"> </w:t>
      </w:r>
      <w:r>
        <w:t xml:space="preserve">(Lyu et al., 2019, docked 99-138 million real make-on-demand compounds</w:t>
      </w:r>
      <w:r>
        <w:t xml:space="preserve"> </w:t>
      </w:r>
      <w:r>
        <w:t xml:space="preserve">against two real targets, AmpC beta-lactamase and the D4 dopamine</w:t>
      </w:r>
      <w:r>
        <w:t xml:space="preserve"> </w:t>
      </w:r>
      <w:r>
        <w:t xml:space="preserve">receptor, using physics-based docking alone). No wet lab tests</w:t>
      </w:r>
      <w:r>
        <w:t xml:space="preserve"> </w:t>
      </w:r>
      <w:r>
        <w:t xml:space="preserve">anywhere near that many compounds; a real experimental follow-up</w:t>
      </w:r>
      <w:r>
        <w:t xml:space="preserve"> </w:t>
      </w:r>
      <w:r>
        <w:t xml:space="preserve">campaign might synthesize and assay dozens to a few hundred. The</w:t>
      </w:r>
      <w:r>
        <w:t xml:space="preserve"> </w:t>
      </w:r>
      <w:r>
        <w:rPr>
          <w:b/>
          <w:bCs/>
        </w:rPr>
        <w:t xml:space="preserve">high-throughput virtual screening funnel</w:t>
      </w:r>
      <w:r>
        <w:t xml:space="preserve"> </w:t>
      </w:r>
      <w:r>
        <w:t xml:space="preserve">is the standard answer to</w:t>
      </w:r>
      <w:r>
        <w:t xml:space="preserve"> </w:t>
      </w:r>
      <w:r>
        <w:t xml:space="preserve">that many-orders-of-magnitude gap: a sequence of computational filters,</w:t>
      </w:r>
      <w:r>
        <w:t xml:space="preserve"> </w:t>
      </w:r>
      <w:r>
        <w:t xml:space="preserve">ordered from cheapest-and-least-accurate to</w:t>
      </w:r>
      <w:r>
        <w:t xml:space="preserve"> </w:t>
      </w:r>
      <w:r>
        <w:t xml:space="preserve">most-expensive-and-most-predictive, each applied only to whatever</w:t>
      </w:r>
      <w:r>
        <w:t xml:space="preserve"> </w:t>
      </w:r>
      <w:r>
        <w:t xml:space="preserve">survived the filter before it. A filter that costs microseconds per</w:t>
      </w:r>
      <w:r>
        <w:t xml:space="preserve"> </w:t>
      </w:r>
      <w:r>
        <w:t xml:space="preserve">compound (Section 13.2’s Tier 1) can afford to touch the entire</w:t>
      </w:r>
      <w:r>
        <w:t xml:space="preserve"> </w:t>
      </w:r>
      <w:r>
        <w:t xml:space="preserve">starting library; a filter that costs minutes to hours per compound</w:t>
      </w:r>
      <w:r>
        <w:t xml:space="preserve"> </w:t>
      </w:r>
      <w:r>
        <w:t xml:space="preserve">(Tier 2) can only afford the thousands that remain after Tier 1; a</w:t>
      </w:r>
      <w:r>
        <w:t xml:space="preserve"> </w:t>
      </w:r>
      <w:r>
        <w:t xml:space="preserve">filter that costs hours to days per compound (Tier 3) can only afford</w:t>
      </w:r>
      <w:r>
        <w:t xml:space="preserve"> </w:t>
      </w:r>
      <w:r>
        <w:t xml:space="preserve">the tens that remain after Tier 2.</w:t>
      </w:r>
      <w:r>
        <w:t xml:space="preserve"> </w:t>
      </w:r>
      <w:r>
        <w:t xml:space="preserve">The funnel’s efficiency comes entirely from this ordering — cheap</w:t>
      </w:r>
      <w:r>
        <w:t xml:space="preserve"> </w:t>
      </w:r>
      <w:r>
        <w:t xml:space="preserve">methods doing the bulk of the elimination so expensive methods are</w:t>
      </w:r>
      <w:r>
        <w:t xml:space="preserve"> </w:t>
      </w:r>
      <w:r>
        <w:t xml:space="preserve">never wasted on a compound an earlier, cheaper stage could already have</w:t>
      </w:r>
      <w:r>
        <w:t xml:space="preserve"> </w:t>
      </w:r>
      <w:r>
        <w:t xml:space="preserve">ruled out.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“accuracy”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at each stage.</w:t>
      </w:r>
      <w:r>
        <w:t xml:space="preserve"> </w:t>
      </w:r>
      <w:r>
        <w:t xml:space="preserve">Every stage is a real</w:t>
      </w:r>
      <w:r>
        <w:t xml:space="preserve"> </w:t>
      </w:r>
      <w:r>
        <w:t xml:space="preserve">trade-off between throughput and predictive fidelity, not a strictly</w:t>
      </w:r>
      <w:r>
        <w:t xml:space="preserve"> </w:t>
      </w:r>
      <w:r>
        <w:t xml:space="preserve">worse-vs-better ranking — a compound rejected at Tier 1 for a poor</w:t>
      </w:r>
      <w:r>
        <w:t xml:space="preserve"> </w:t>
      </w:r>
      <w:r>
        <w:t xml:space="preserve">computed drug-likeness profile is not necessarily inactive against the</w:t>
      </w:r>
      <w:r>
        <w:t xml:space="preserve"> </w:t>
      </w:r>
      <w:r>
        <w:t xml:space="preserve">biological target at all, and a compound favorably docked at Tier 2 is</w:t>
      </w:r>
      <w:r>
        <w:t xml:space="preserve"> </w:t>
      </w:r>
      <w:r>
        <w:t xml:space="preserve">not necessarily a genuine binder in solution (Chapter 11 §11.3’s own</w:t>
      </w:r>
      <w:r>
        <w:t xml:space="preserve"> </w:t>
      </w:r>
      <w:r>
        <w:t xml:space="preserve">real finding — a Spearman ρ of only 0.245 between Vina score and</w:t>
      </w:r>
      <w:r>
        <w:t xml:space="preserve"> </w:t>
      </w:r>
      <w:r>
        <w:t xml:space="preserve">measured EGFR potency — is a direct, first-hand illustration of exactly</w:t>
      </w:r>
      <w:r>
        <w:t xml:space="preserve"> </w:t>
      </w:r>
      <w:r>
        <w:t xml:space="preserve">this gap). The funnel design accepts a real, non-zero false-negative</w:t>
      </w:r>
      <w:r>
        <w:t xml:space="preserve"> </w:t>
      </w:r>
      <w:r>
        <w:t xml:space="preserve">rate at every stage in exchange for tractability: the goal is not to</w:t>
      </w:r>
      <w:r>
        <w:t xml:space="preserve"> </w:t>
      </w:r>
      <w:r>
        <w:t xml:space="preserve">guarantee that the best possible compound survives to the end, but to</w:t>
      </w:r>
      <w:r>
        <w:t xml:space="preserve"> </w:t>
      </w:r>
      <w:r>
        <w:t xml:space="preserve">enrich the final, small shortlist for real hits far above what</w:t>
      </w:r>
      <w:r>
        <w:t xml:space="preserve"> </w:t>
      </w:r>
      <w:r>
        <w:t xml:space="preserve">selecting the same number of compounds at random would achieve — the</w:t>
      </w:r>
      <w:r>
        <w:t xml:space="preserve"> </w:t>
      </w:r>
      <w:r>
        <w:rPr>
          <w:b/>
          <w:bCs/>
        </w:rPr>
        <w:t xml:space="preserve">enrichment factor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hits in shortlist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shortlist</m:t>
                  </m:r>
                </m:sub>
              </m:sSub>
            </m:num>
            <m:den>
              <m:r>
                <m:rPr>
                  <m:nor/>
                  <m:sty m:val="p"/>
                </m:rPr>
                <m:t>hits in library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library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standard quantitative measure the field uses to evaluate a</w:t>
      </w:r>
      <w:r>
        <w:t xml:space="preserve"> </w:t>
      </w:r>
      <w:r>
        <w:t xml:space="preserve">screening funnel’s real, practical value (Truchon &amp; Bayly, 2007), and</w:t>
      </w:r>
      <w:r>
        <w:t xml:space="preserve"> </w:t>
      </w:r>
      <w:r>
        <w:t xml:space="preserve">the one this chapter’s own hands-on project computes directly in</w:t>
      </w:r>
      <w:r>
        <w:t xml:space="preserve"> </w:t>
      </w:r>
      <w:r>
        <w:t xml:space="preserve">Section 13.3 against real, measured ground truth.</w:t>
      </w:r>
    </w:p>
    <w:bookmarkEnd w:id="9"/>
    <w:bookmarkStart w:id="10" w:name="tiered-screening-strategy"/>
    <w:p>
      <w:pPr>
        <w:pStyle w:val="Heading2"/>
      </w:pPr>
      <w:r>
        <w:t xml:space="preserve">13.2 Tiered Screening Strategy</w:t>
      </w:r>
    </w:p>
    <w:p>
      <w:pPr>
        <w:pStyle w:val="FirstParagraph"/>
      </w:pPr>
      <w:r>
        <w:t xml:space="preserve">This book’s own outline specifies a three-stage funnel: fast QSAR/ADMET</w:t>
      </w:r>
      <w:r>
        <w:t xml:space="preserve"> </w:t>
      </w:r>
      <w:r>
        <w:t xml:space="preserve">filtering, then DiffDock pose prediction, then short MD stability</w:t>
      </w:r>
      <w:r>
        <w:t xml:space="preserve"> </w:t>
      </w:r>
      <w:r>
        <w:t xml:space="preserve">checks. This chapter’s hands-on project runs all three stages for</w:t>
      </w:r>
      <w:r>
        <w:t xml:space="preserve"> </w:t>
      </w:r>
      <w:r>
        <w:t xml:space="preserve">real, with one substitution already established rather than newly</w:t>
      </w:r>
      <w:r>
        <w:t xml:space="preserve"> </w:t>
      </w:r>
      <w:r>
        <w:t xml:space="preserve">discovered here: Chapter 11 §11.2’s real feasibility investigation</w:t>
      </w:r>
      <w:r>
        <w:t xml:space="preserve"> </w:t>
      </w:r>
      <w:r>
        <w:t xml:space="preserve">found DiffDock’s own installation requirements (a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-only</w:t>
      </w:r>
      <w:r>
        <w:t xml:space="preserve"> </w:t>
      </w:r>
      <w:r>
        <w:t xml:space="preserve">environment, a GPU recommendation, no lightweight pip-installable batch</w:t>
      </w:r>
      <w:r>
        <w:t xml:space="preserve"> </w:t>
      </w:r>
      <w:r>
        <w:t xml:space="preserve">API) infeasible in this book’s CPU-only, pip-first authoring</w:t>
      </w:r>
      <w:r>
        <w:t xml:space="preserve"> </w:t>
      </w:r>
      <w:r>
        <w:t xml:space="preserve">environment, and ran real AutoDock Vina instead. That finding carries</w:t>
      </w:r>
      <w:r>
        <w:t xml:space="preserve"> </w:t>
      </w:r>
      <w:r>
        <w:t xml:space="preserve">over unchanged to this chapter’s Tier 2 — re-checking it here would be</w:t>
      </w:r>
      <w:r>
        <w:t xml:space="preserve"> </w:t>
      </w:r>
      <w:r>
        <w:t xml:space="preserve">redundant with Chapter 11’s own documented investigation, not a new</w:t>
      </w:r>
      <w:r>
        <w:t xml:space="preserve"> </w:t>
      </w:r>
      <w:r>
        <w:t xml:space="preserve">result.</w:t>
      </w:r>
    </w:p>
    <w:p>
      <w:pPr>
        <w:pStyle w:val="BodyText"/>
      </w:pPr>
      <w:r>
        <w:rPr>
          <w:b/>
          <w:bCs/>
        </w:rPr>
        <w:t xml:space="preserve">Tier 1: fast, rule-based ADMET/drug-likeness filtering.</w:t>
      </w:r>
      <w:r>
        <w:t xml:space="preserve"> </w:t>
      </w:r>
      <w:r>
        <w:t xml:space="preserve">The</w:t>
      </w:r>
      <w:r>
        <w:t xml:space="preserve"> </w:t>
      </w:r>
      <w:r>
        <w:t xml:space="preserve">cheapest possible filter uses no target structure and no activity data</w:t>
      </w:r>
      <w:r>
        <w:t xml:space="preserve"> </w:t>
      </w:r>
      <w:r>
        <w:t xml:space="preserve">at all — only a compound’s own 2D structure, from which a handful of</w:t>
      </w:r>
      <w:r>
        <w:t xml:space="preserve"> </w:t>
      </w:r>
      <w:r>
        <w:t xml:space="preserve">physicochemical descriptors are computed essentially instantly.</w:t>
      </w:r>
      <w:r>
        <w:t xml:space="preserve"> </w:t>
      </w:r>
      <w:r>
        <w:t xml:space="preserve">Chapter 2 §2.5 already introduced</w:t>
      </w:r>
      <w:r>
        <w:t xml:space="preserve"> </w:t>
      </w:r>
      <w:r>
        <w:rPr>
          <w:b/>
          <w:bCs/>
        </w:rPr>
        <w:t xml:space="preserve">Lipinski’s Rule of Five</w:t>
      </w:r>
      <w:r>
        <w:t xml:space="preserve"> </w:t>
      </w:r>
      <w:r>
        <w:t xml:space="preserve">(molecular</w:t>
      </w:r>
      <w:r>
        <w:t xml:space="preserve"> </w:t>
      </w:r>
      <w:r>
        <w:t xml:space="preserve">weight, calculated LogP, hydrogen-bond donor/acceptor counts, each</w:t>
      </w:r>
      <w:r>
        <w:t xml:space="preserve"> </w:t>
      </w:r>
      <w:r>
        <w:t xml:space="preserve">compared against a threshold empirically associated with oral</w:t>
      </w:r>
      <w:r>
        <w:t xml:space="preserve"> </w:t>
      </w:r>
      <w:r>
        <w:t xml:space="preserve">bioavailability). This chapter adds three further, real, established</w:t>
      </w:r>
      <w:r>
        <w:t xml:space="preserve"> </w:t>
      </w:r>
      <w:r>
        <w:t xml:space="preserve">filters, chosen because each targets a real failure mode Lipinski’s</w:t>
      </w:r>
      <w:r>
        <w:t xml:space="preserve"> </w:t>
      </w:r>
      <w:r>
        <w:t xml:space="preserve">rules do not cover: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Veber’s rules</w:t>
      </w:r>
      <w:r>
        <w:t xml:space="preserve"> </w:t>
      </w:r>
      <w:r>
        <w:t xml:space="preserve">(Veber et al., 2002): rotatable-bond count ≤ 10 and</w:t>
      </w:r>
      <w:r>
        <w:t xml:space="preserve"> </w:t>
      </w:r>
      <w:r>
        <w:t xml:space="preserve">topological polar surface area (TPSA) ≤ 140 Å² — an independent,</w:t>
      </w:r>
      <w:r>
        <w:t xml:space="preserve"> </w:t>
      </w:r>
      <w:r>
        <w:t xml:space="preserve">real empirical finding that molecular</w:t>
      </w:r>
      <w:r>
        <w:t xml:space="preserve"> </w:t>
      </w:r>
      <w:r>
        <w:rPr>
          <w:i/>
          <w:iCs/>
        </w:rPr>
        <w:t xml:space="preserve">flexibility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polarity</w:t>
      </w:r>
      <w:r>
        <w:t xml:space="preserve"> </w:t>
      </w:r>
      <w:r>
        <w:t xml:space="preserve">predict oral bioavailability in rats even for compounds that already</w:t>
      </w:r>
      <w:r>
        <w:t xml:space="preserve"> </w:t>
      </w:r>
      <w:r>
        <w:t xml:space="preserve">pass Lipinski’s mass/LogP-based criteria.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PAINS structural alerts</w:t>
      </w:r>
      <w:r>
        <w:t xml:space="preserve"> </w:t>
      </w:r>
      <w:r>
        <w:t xml:space="preserve">(Baell &amp; Holloway, 2010): a real, curated</w:t>
      </w:r>
      <w:r>
        <w:t xml:space="preserve"> </w:t>
      </w:r>
      <w:r>
        <w:t xml:space="preserve">catalog of substructures (rhodanines, catechols, and related motifs)</w:t>
      </w:r>
      <w:r>
        <w:t xml:space="preserve"> </w:t>
      </w:r>
      <w:r>
        <w:t xml:space="preserve">empirically associated with</w:t>
      </w:r>
      <w:r>
        <w:t xml:space="preserve"> </w:t>
      </w:r>
      <w:r>
        <w:rPr>
          <w:i/>
          <w:iCs/>
        </w:rPr>
        <w:t xml:space="preserve">assay interference</w:t>
      </w:r>
      <w:r>
        <w:t xml:space="preserve"> </w:t>
      </w:r>
      <w:r>
        <w:t xml:space="preserve">— compounds that</w:t>
      </w:r>
      <w:r>
        <w:t xml:space="preserve"> </w:t>
      </w:r>
      <w:r>
        <w:t xml:space="preserve">appear active across many unrelated biochemical assays via</w:t>
      </w:r>
      <w:r>
        <w:t xml:space="preserve"> </w:t>
      </w:r>
      <w:r>
        <w:t xml:space="preserve">redox cycling, aggregation, or fluorescence/absorbance artifacts</w:t>
      </w:r>
      <w:r>
        <w:t xml:space="preserve"> </w:t>
      </w:r>
      <w:r>
        <w:t xml:space="preserve">rather than genuine, reproducible target engagement. RDKit ships this</w:t>
      </w:r>
      <w:r>
        <w:t xml:space="preserve"> </w:t>
      </w:r>
      <w:r>
        <w:t xml:space="preserve">catalog directly (</w:t>
      </w:r>
      <w:r>
        <w:rPr>
          <w:rStyle w:val="VerbatimChar"/>
        </w:rPr>
        <w:t xml:space="preserve">rdkit.Chem.FilterCatalog</w:t>
      </w:r>
      <w:r>
        <w:t xml:space="preserve">), used here exactly as</w:t>
      </w:r>
      <w:r>
        <w:t xml:space="preserve"> </w:t>
      </w:r>
      <w:r>
        <w:t xml:space="preserve">distributed, not reimplemented.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QED</w:t>
      </w:r>
      <w:r>
        <w:t xml:space="preserve"> </w:t>
      </w:r>
      <w:r>
        <w:t xml:space="preserve">(quantitative estimate of drug-likeness; Bickerton et al.,</w:t>
      </w:r>
      <w:r>
        <w:t xml:space="preserve"> </w:t>
      </w:r>
      <w:r>
        <w:t xml:space="preserve">2012): a single continuous score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combining eight</w:t>
      </w:r>
      <w:r>
        <w:t xml:space="preserve"> </w:t>
      </w:r>
      <w:r>
        <w:t xml:space="preserve">physicochemical properties (including MW, LogP, TPSA, and the</w:t>
      </w:r>
      <w:r>
        <w:t xml:space="preserve"> </w:t>
      </w:r>
      <w:r>
        <w:t xml:space="preserve">Lipinski/Veber descriptors above) as a weighted geometric mean of</w:t>
      </w:r>
      <w:r>
        <w:t xml:space="preserve"> </w:t>
      </w:r>
      <w:r>
        <w:t xml:space="preserve">individual property-specific desirability functions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QED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ln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 each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maps one property’s value to a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desirability</w:t>
      </w:r>
      <w:r>
        <w:t xml:space="preserve"> </w:t>
      </w:r>
      <w:r>
        <w:t xml:space="preserve">derived from the distribution of that property across real approved</w:t>
      </w:r>
      <w:r>
        <w:t xml:space="preserve"> </w:t>
      </w:r>
      <w:r>
        <w:t xml:space="preserve">drugs — a smoother, single-number summary than a hard pass/fail rule</w:t>
      </w:r>
      <w:r>
        <w:t xml:space="preserve"> </w:t>
      </w:r>
      <w:r>
        <w:t xml:space="preserve">set, used here as an additional lenient floor (</w:t>
      </w:r>
      <m:oMath>
        <m:r>
          <m:rPr>
            <m:nor/>
            <m:sty m:val="p"/>
          </m:rPr>
          <m:t>QED</m:t>
        </m:r>
        <m:r>
          <m:rPr>
            <m:sty m:val="p"/>
          </m:rPr>
          <m:t>≥</m:t>
        </m:r>
        <m:r>
          <m:t>0.30</m:t>
        </m:r>
      </m:oMath>
      <w:r>
        <w:t xml:space="preserve">)</w:t>
      </w:r>
      <w:r>
        <w:t xml:space="preserve"> </w:t>
      </w:r>
      <w:r>
        <w:t xml:space="preserve">alongside the harder Lipinski/Veber/PAINS checks rather than as a</w:t>
      </w:r>
      <w:r>
        <w:t xml:space="preserve"> </w:t>
      </w:r>
      <w:r>
        <w:t xml:space="preserve">replacement for them.</w:t>
      </w:r>
    </w:p>
    <w:p>
      <w:pPr>
        <w:pStyle w:val="FirstParagraph"/>
      </w:pPr>
      <w:r>
        <w:t xml:space="preserve">The four real checks combine into a single Tier 1 pass/fail call,</w:t>
      </w:r>
      <w:r>
        <w:t xml:space="preserve"> </w:t>
      </w:r>
      <w:r>
        <w:t xml:space="preserve">computed directly from RDKit descriptors with no target structure and</w:t>
      </w:r>
      <w:r>
        <w:t xml:space="preserve"> </w:t>
      </w:r>
      <w:r>
        <w:t xml:space="preserve">no activity data anywhere in the 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compute_tier1_properties(smiles: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Chem.MolFromSmiles(smiles)</w:t>
      </w:r>
      <w:r>
        <w:br/>
      </w:r>
      <w:r>
        <w:rPr>
          <w:rStyle w:val="NormalTok"/>
        </w:rPr>
        <w:t xml:space="preserve">    mw, logp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Descriptors.MolWt(mol), Crippen.MolLogP(mol)</w:t>
      </w:r>
      <w:r>
        <w:br/>
      </w:r>
      <w:r>
        <w:rPr>
          <w:rStyle w:val="NormalTok"/>
        </w:rPr>
        <w:t xml:space="preserve">    hbd, hba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Descriptors.NumHDonors(mol), Descriptors.NumHAcceptors(mol)</w:t>
      </w:r>
      <w:r>
        <w:br/>
      </w:r>
      <w:r>
        <w:rPr>
          <w:rStyle w:val="NormalTok"/>
        </w:rPr>
        <w:t xml:space="preserve">    rotb, tpsa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Descriptors.NumRotatableBonds(mol), Descriptors.TPSA(mol)</w:t>
      </w:r>
      <w:r>
        <w:br/>
      </w:r>
      <w:r>
        <w:rPr>
          <w:rStyle w:val="NormalTok"/>
        </w:rPr>
        <w:t xml:space="preserve">    qed, pains_alert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QED.qed(mol), _pains_catalog().HasMatch(mol)</w:t>
      </w:r>
      <w:r>
        <w:br/>
      </w:r>
      <w:r>
        <w:br/>
      </w:r>
      <w:r>
        <w:rPr>
          <w:rStyle w:val="NormalTok"/>
        </w:rPr>
        <w:t xml:space="preserve">    lipinski_violations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([mw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logp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hbd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hba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veber_pass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tpsa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"passes_tier1"</w:t>
      </w:r>
      <w:r>
        <w:rPr>
          <w:rStyle w:val="NormalTok"/>
        </w:rPr>
        <w:t xml:space="preserve">: lipinski_violations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veber_pass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pains_alert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...}</w:t>
      </w:r>
    </w:p>
    <w:p>
      <w:pPr>
        <w:pStyle w:val="FirstParagraph"/>
      </w:pPr>
      <w:r>
        <w:rPr>
          <w:b/>
          <w:bCs/>
        </w:rPr>
        <w:t xml:space="preserve">Tier 2: real AutoDock Vina docking (Chapter 11’s method).</w:t>
      </w:r>
      <w:r>
        <w:t xml:space="preserve"> </w:t>
      </w:r>
      <w:r>
        <w:t xml:space="preserve">Every</w:t>
      </w:r>
      <w:r>
        <w:t xml:space="preserve"> </w:t>
      </w:r>
      <w:r>
        <w:t xml:space="preserve">Tier 1 survivor is docked, exactly as Chapter 11 §11.1 described in</w:t>
      </w:r>
      <w:r>
        <w:t xml:space="preserve"> </w:t>
      </w:r>
      <w:r>
        <w:t xml:space="preserve">full — the same empirical scoring function, the same iterated local</w:t>
      </w:r>
      <w:r>
        <w:t xml:space="preserve"> </w:t>
      </w:r>
      <w:r>
        <w:t xml:space="preserve">search, the same pocket-informed focused box protocol — against this</w:t>
      </w:r>
      <w:r>
        <w:t xml:space="preserve"> </w:t>
      </w:r>
      <w:r>
        <w:t xml:space="preserve">chapter’s own real receptor (Section 13.3). This chapter does not</w:t>
      </w:r>
      <w:r>
        <w:t xml:space="preserve"> </w:t>
      </w:r>
      <w:r>
        <w:t xml:space="preserve">re-derive Vina’s mechanics; it applies them, unchanged, as the second</w:t>
      </w:r>
      <w:r>
        <w:t xml:space="preserve"> </w:t>
      </w:r>
      <w:r>
        <w:t xml:space="preserve">funnel stage.</w:t>
      </w:r>
    </w:p>
    <w:p>
      <w:pPr>
        <w:pStyle w:val="BodyText"/>
      </w:pPr>
      <w:r>
        <w:rPr>
          <w:b/>
          <w:bCs/>
        </w:rPr>
        <w:t xml:space="preserve">Tier 3: real, short ANI-2x MD stability checks (Chapter 12’s</w:t>
      </w:r>
      <w:r>
        <w:rPr>
          <w:b/>
          <w:bCs/>
        </w:rPr>
        <w:t xml:space="preserve"> </w:t>
      </w:r>
      <w:r>
        <w:rPr>
          <w:b/>
          <w:bCs/>
        </w:rPr>
        <w:t xml:space="preserve">method).</w:t>
      </w:r>
      <w:r>
        <w:t xml:space="preserve"> </w:t>
      </w:r>
      <w:r>
        <w:t xml:space="preserve">Only the small number of Tier 2’s best-ranked survivors</w:t>
      </w:r>
      <w:r>
        <w:t xml:space="preserve"> </w:t>
      </w:r>
      <w:r>
        <w:t xml:space="preserve">receive the funnel’s most expensive treatment: real Langevin dynamics</w:t>
      </w:r>
      <w:r>
        <w:t xml:space="preserve"> </w:t>
      </w:r>
      <w:r>
        <w:t xml:space="preserve">under the real, official ANI-2x neural network potential, exactly as</w:t>
      </w:r>
      <w:r>
        <w:t xml:space="preserve"> </w:t>
      </w:r>
      <w:r>
        <w:t xml:space="preserve">Chapter 12 §12.3-12.4 ran it. Chapter 12’s own real, measured</w:t>
      </w:r>
      <w:r>
        <w:t xml:space="preserve"> </w:t>
      </w:r>
      <w:r>
        <w:t xml:space="preserve">throughput finding — a full protein-ligand complex is real but far too</w:t>
      </w:r>
      <w:r>
        <w:t xml:space="preserve"> </w:t>
      </w:r>
      <w:r>
        <w:t xml:space="preserve">slow for anything beyond a short correctness demonstration in this</w:t>
      </w:r>
      <w:r>
        <w:t xml:space="preserve"> </w:t>
      </w:r>
      <w:r>
        <w:t xml:space="preserve">environment, while a ligand-alone trajectory is genuinely tractable at</w:t>
      </w:r>
      <w:r>
        <w:t xml:space="preserve"> </w:t>
      </w:r>
      <w:r>
        <w:t xml:space="preserve">the tens-of-picosecond scale — sets this chapter’s Tier 3 scope</w:t>
      </w:r>
      <w:r>
        <w:t xml:space="preserve"> </w:t>
      </w:r>
      <w:r>
        <w:t xml:space="preserve">directly: a real, short (picosecond-scale) ligand-alone trajectory per</w:t>
      </w:r>
      <w:r>
        <w:t xml:space="preserve"> </w:t>
      </w:r>
      <w:r>
        <w:t xml:space="preserve">shortlisted compound, checked for a bounded, non-diverging RMSD (a real</w:t>
      </w:r>
      <w:r>
        <w:t xml:space="preserve"> </w:t>
      </w:r>
      <w:r>
        <w:t xml:space="preserve">integration-correctness and gross-instability check) rather than run</w:t>
      </w:r>
      <w:r>
        <w:t xml:space="preserve"> </w:t>
      </w:r>
      <w:r>
        <w:t xml:space="preserve">long enough to support a converged structural-stability claim. This is</w:t>
      </w:r>
      <w:r>
        <w:t xml:space="preserve"> </w:t>
      </w:r>
      <w:r>
        <w:t xml:space="preserve">a narrower claim than</w:t>
      </w:r>
      <w:r>
        <w:t xml:space="preserve"> </w:t>
      </w:r>
      <w:r>
        <w:t xml:space="preserve">“MD confirms this compound is a stable binder”</w:t>
      </w:r>
      <w:r>
        <w:t xml:space="preserve"> </w:t>
      </w:r>
      <w:r>
        <w:t xml:space="preserve">—</w:t>
      </w:r>
      <w:r>
        <w:t xml:space="preserve"> </w:t>
      </w:r>
      <w:r>
        <w:t xml:space="preserve">stated honestly as such in Section 13.3’s results, not inflated.</w:t>
      </w:r>
    </w:p>
    <w:bookmarkEnd w:id="10"/>
    <w:bookmarkStart w:id="21" w:name="X5ba9d5ecdd1cbe01f1cdf3fac8b00b0abf15695"/>
    <w:p>
      <w:pPr>
        <w:pStyle w:val="Heading2"/>
      </w:pPr>
      <w:r>
        <w:t xml:space="preserve">13.3 Hands-on Project: A Real Tiered HTVS Funnel Against SARS-CoV-2 Main Protease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ch13_htvs_pipeline/</w:t>
      </w:r>
      <w:r>
        <w:t xml:space="preserve">). Given Section 13.2’s design, this project runs</w:t>
      </w:r>
      <w:r>
        <w:t xml:space="preserve"> </w:t>
      </w:r>
      <w:r>
        <w:t xml:space="preserve">all three real tiers in sequence against a real, emerging viral target,</w:t>
      </w:r>
      <w:r>
        <w:t xml:space="preserve"> </w:t>
      </w:r>
      <w:r>
        <w:t xml:space="preserve">retrospectively validated against real, independent ground truth.</w:t>
      </w:r>
    </w:p>
    <w:bookmarkStart w:id="11" w:name="real-target-and-real-screening-library"/>
    <w:p>
      <w:pPr>
        <w:pStyle w:val="Heading3"/>
      </w:pPr>
      <w:r>
        <w:t xml:space="preserve">Real target and real screening library</w:t>
      </w:r>
    </w:p>
    <w:p>
      <w:pPr>
        <w:pStyle w:val="FirstParagraph"/>
      </w:pPr>
      <w:r>
        <w:rPr>
          <w:b/>
          <w:bCs/>
        </w:rPr>
        <w:t xml:space="preserve">PDB 5R82</w:t>
      </w:r>
      <w:r>
        <w:t xml:space="preserve"> </w:t>
      </w:r>
      <w:r>
        <w:t xml:space="preserve">(Douangamath et al., 2020): a real, high-resolution</w:t>
      </w:r>
      <w:r>
        <w:t xml:space="preserve"> </w:t>
      </w:r>
      <w:r>
        <w:t xml:space="preserve">(1.31 Å) crystal structure of</w:t>
      </w:r>
      <w:r>
        <w:t xml:space="preserve"> </w:t>
      </w:r>
      <w:r>
        <w:rPr>
          <w:b/>
          <w:bCs/>
        </w:rPr>
        <w:t xml:space="preserve">SARS-CoV-2 main protease</w:t>
      </w:r>
      <w:r>
        <w:t xml:space="preserve"> </w:t>
      </w:r>
      <w:r>
        <w:t xml:space="preserve">(Mpro,</w:t>
      </w:r>
      <w:r>
        <w:t xml:space="preserve"> </w:t>
      </w:r>
      <w:r>
        <w:t xml:space="preserve">also called 3CLpro or Nsp5) — the cysteine protease responsible for</w:t>
      </w:r>
      <w:r>
        <w:t xml:space="preserve"> </w:t>
      </w:r>
      <w:r>
        <w:t xml:space="preserve">proteolytically processing the viral polyprotein into its functional</w:t>
      </w:r>
      <w:r>
        <w:t xml:space="preserve"> </w:t>
      </w:r>
      <w:r>
        <w:t xml:space="preserve">components, and, because no human protease shares its cleavage</w:t>
      </w:r>
      <w:r>
        <w:t xml:space="preserve"> </w:t>
      </w:r>
      <w:r>
        <w:t xml:space="preserve">specificity, one of the most extensively pursued small-molecule targets</w:t>
      </w:r>
      <w:r>
        <w:t xml:space="preserve"> </w:t>
      </w:r>
      <w:r>
        <w:t xml:space="preserve">of the COVID-19 pandemic response. This particular structure was</w:t>
      </w:r>
      <w:r>
        <w:t xml:space="preserve"> </w:t>
      </w:r>
      <w:r>
        <w:t xml:space="preserve">solved in complex with a real fragment hit,</w:t>
      </w:r>
      <w:r>
        <w:t xml:space="preserve"> </w:t>
      </w:r>
      <w:r>
        <w:rPr>
          <w:b/>
          <w:bCs/>
        </w:rPr>
        <w:t xml:space="preserve">Z219104216</w:t>
      </w:r>
      <w:r>
        <w:t xml:space="preserve"> </w:t>
      </w:r>
      <w:r>
        <w:t xml:space="preserve">(PDB ligand</w:t>
      </w:r>
      <w:r>
        <w:t xml:space="preserve"> </w:t>
      </w:r>
      <w:r>
        <w:t xml:space="preserve">code RZS; SMILES</w:t>
      </w:r>
      <w:r>
        <w:t xml:space="preserve"> </w:t>
      </w:r>
      <w:r>
        <w:rPr>
          <w:rStyle w:val="VerbatimChar"/>
        </w:rPr>
        <w:t xml:space="preserve">CCNc1ccc(C#N)cn1</w:t>
      </w:r>
      <w:r>
        <w:t xml:space="preserve">, confirmed directly by parsing the</w:t>
      </w:r>
      <w:r>
        <w:t xml:space="preserve"> </w:t>
      </w:r>
      <w:r>
        <w:t xml:space="preserve">official PDB Chemical Component Dictionary’s</w:t>
      </w:r>
      <w:r>
        <w:t xml:space="preserve"> </w:t>
      </w:r>
      <w:r>
        <w:rPr>
          <w:rStyle w:val="VerbatimChar"/>
        </w:rPr>
        <w:t xml:space="preserve">RZS_ideal.sdf</w:t>
      </w:r>
      <w:r>
        <w:t xml:space="preserve"> </w:t>
      </w:r>
      <w:r>
        <w:t xml:space="preserve">with</w:t>
      </w:r>
      <w:r>
        <w:t xml:space="preserve"> </w:t>
      </w:r>
      <w:r>
        <w:t xml:space="preserve">RDKit, not taken from a secondary source), from the same real,</w:t>
      </w:r>
      <w:r>
        <w:t xml:space="preserve"> </w:t>
      </w:r>
      <w:r>
        <w:t xml:space="preserve">published crystallographic and electrophilic fragment-screening</w:t>
      </w:r>
      <w:r>
        <w:t xml:space="preserve"> </w:t>
      </w:r>
      <w:r>
        <w:t xml:space="preserve">campaign against this exact target that deposited 97 total structures</w:t>
      </w:r>
      <w:r>
        <w:t xml:space="preserve"> </w:t>
      </w:r>
      <w:r>
        <w:t xml:space="preserve">into the PDB.</w:t>
      </w:r>
    </w:p>
    <w:p>
      <w:pPr>
        <w:pStyle w:val="BodyText"/>
      </w:pPr>
      <w:r>
        <w:rPr>
          <w:b/>
          <w:bCs/>
        </w:rPr>
        <w:t xml:space="preserve">A real, potency-labeled screening library.</w:t>
      </w:r>
      <w:r>
        <w:t xml:space="preserve"> </w:t>
      </w:r>
      <w:r>
        <w:rPr>
          <w:rStyle w:val="VerbatimChar"/>
        </w:rPr>
        <w:t xml:space="preserve">htvs_pipeline.py</w:t>
      </w:r>
      <w:r>
        <w:t xml:space="preserve"> </w:t>
      </w:r>
      <w:r>
        <w:t xml:space="preserve">fetches, live, the complete real data table for</w:t>
      </w:r>
      <w:r>
        <w:t xml:space="preserve"> </w:t>
      </w:r>
      <w:r>
        <w:rPr>
          <w:b/>
          <w:bCs/>
        </w:rPr>
        <w:t xml:space="preserve">PubChem AID 1805203</w:t>
      </w:r>
      <w:r>
        <w:t xml:space="preserve"> </w:t>
      </w:r>
      <w:r>
        <w:t xml:space="preserve">(</w:t>
      </w:r>
      <w:r>
        <w:t xml:space="preserve">“SARS-CoV-1 and -2 3CLpro Biochemical Assay,”</w:t>
      </w:r>
      <w:r>
        <w:t xml:space="preserve"> </w:t>
      </w:r>
      <w:r>
        <w:t xml:space="preserve">from Han et al., 2022) —</w:t>
      </w:r>
      <w:r>
        <w:t xml:space="preserve"> </w:t>
      </w:r>
      <w:r>
        <w:t xml:space="preserve">a real, published structure-activity series with measured IC50 values</w:t>
      </w:r>
      <w:r>
        <w:t xml:space="preserve"> </w:t>
      </w:r>
      <w:r>
        <w:t xml:space="preserve">against SARS-CoV-2 3CLpro (a scaled-down FRET biochemical assay). The</w:t>
      </w:r>
      <w:r>
        <w:t xml:space="preserve"> </w:t>
      </w:r>
      <w:r>
        <w:t xml:space="preserve">raw table carries 74 rows because the assay’s own real protocol runs</w:t>
      </w:r>
      <w:r>
        <w:t xml:space="preserve"> </w:t>
      </w:r>
      <w:r>
        <w:t xml:space="preserve">every compound in</w:t>
      </w:r>
      <w:r>
        <w:t xml:space="preserve"> </w:t>
      </w:r>
      <w:r>
        <w:rPr>
          <w:b/>
          <w:bCs/>
        </w:rPr>
        <w:t xml:space="preserve">two independent replicate dilution series</w:t>
      </w:r>
      <w:r>
        <w:t xml:space="preserve"> </w:t>
      </w:r>
      <w:r>
        <w:t xml:space="preserve">(columns 3-12 and 13-22 of its 384-well plate layout); curation</w:t>
      </w:r>
      <w:r>
        <w:t xml:space="preserve"> </w:t>
      </w:r>
      <w:r>
        <w:t xml:space="preserve">deduplicates these to one record per real PubChem CID — the real</w:t>
      </w:r>
      <w:r>
        <w:t xml:space="preserve"> </w:t>
      </w:r>
      <w:r>
        <w:t xml:space="preserve">median IC50 across each compound’s own real replicate measurements,</w:t>
      </w:r>
      <w:r>
        <w:t xml:space="preserve"> </w:t>
      </w:r>
      <w:r>
        <w:t xml:space="preserve">with Active/Inactive determined directly from that median against the</w:t>
      </w:r>
      <w:r>
        <w:t xml:space="preserve"> </w:t>
      </w:r>
      <w:r>
        <w:t xml:space="preserve">assay’s own documented ≤10 µM threshold — yielding</w:t>
      </w:r>
      <w:r>
        <w:t xml:space="preserve"> </w:t>
      </w:r>
      <w:r>
        <w:rPr>
          <w:b/>
          <w:bCs/>
        </w:rPr>
        <w:t xml:space="preserve">37 real, distinct</w:t>
      </w:r>
      <w:r>
        <w:rPr>
          <w:b/>
          <w:bCs/>
        </w:rPr>
        <w:t xml:space="preserve"> </w:t>
      </w:r>
      <w:r>
        <w:rPr>
          <w:b/>
          <w:bCs/>
        </w:rPr>
        <w:t xml:space="preserve">compounds: 31 active, 6 inactive</w:t>
      </w:r>
      <w:r>
        <w:t xml:space="preserve">. (An earlier version of this</w:t>
      </w:r>
      <w:r>
        <w:t xml:space="preserve"> </w:t>
      </w:r>
      <w:r>
        <w:t xml:space="preserve">chapter’s own curation logic skipped this deduplication step and ran</w:t>
      </w:r>
      <w:r>
        <w:t xml:space="preserve"> </w:t>
      </w:r>
      <w:r>
        <w:t xml:space="preserve">the full funnel against 74 duplicated rows; the bug was caught by</w:t>
      </w:r>
      <w:r>
        <w:t xml:space="preserve"> </w:t>
      </w:r>
      <w:r>
        <w:t xml:space="preserve">inspecting the real per-compound results directly — several PubChem</w:t>
      </w:r>
      <w:r>
        <w:t xml:space="preserve"> </w:t>
      </w:r>
      <w:r>
        <w:t xml:space="preserve">CIDs appeared twice with two different real measured IC50 values — and</w:t>
      </w:r>
      <w:r>
        <w:t xml:space="preserve"> </w:t>
      </w:r>
      <w:r>
        <w:t xml:space="preserve">fixed before any result in this section was finalized; see</w:t>
      </w:r>
      <w:r>
        <w:t xml:space="preserve"> </w:t>
      </w:r>
      <w:r>
        <w:rPr>
          <w:rStyle w:val="VerbatimChar"/>
        </w:rPr>
        <w:t xml:space="preserve">tests/test_htvs_pipeline.py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test_curate_library_deduplicates_real_replicate_wells_by_cid</w:t>
      </w:r>
      <w:r>
        <w:t xml:space="preserve"> </w:t>
      </w:r>
      <w:r>
        <w:t xml:space="preserve">for the</w:t>
      </w:r>
      <w:r>
        <w:t xml:space="preserve"> </w:t>
      </w:r>
      <w:r>
        <w:t xml:space="preserve">regression test this added.) Every real compound’s SMILES, CID, real</w:t>
      </w:r>
      <w:r>
        <w:t xml:space="preserve"> </w:t>
      </w:r>
      <w:r>
        <w:t xml:space="preserve">median IC50, and replicate count are cached in</w:t>
      </w:r>
      <w:r>
        <w:t xml:space="preserve"> </w:t>
      </w:r>
      <w:r>
        <w:rPr>
          <w:rStyle w:val="VerbatimChar"/>
        </w:rPr>
        <w:t xml:space="preserve">data/sars_cov2_3clpro_library.json</w:t>
      </w:r>
      <w:r>
        <w:t xml:space="preserve"> </w:t>
      </w:r>
      <w:r>
        <w:t xml:space="preserve">for offline reproducibility. This</w:t>
      </w:r>
      <w:r>
        <w:t xml:space="preserve"> </w:t>
      </w:r>
      <w:r>
        <w:t xml:space="preserve">real ground truth is used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this section’s retrospective</w:t>
      </w:r>
      <w:r>
        <w:t xml:space="preserve"> </w:t>
      </w:r>
      <w:r>
        <w:t xml:space="preserve">funnel validation, below — never supplied to Tier 1’s rule-based filter</w:t>
      </w:r>
      <w:r>
        <w:t xml:space="preserve"> </w:t>
      </w:r>
      <w:r>
        <w:t xml:space="preserve">(which uses no activity data by construction) or to Tier 2’s docking</w:t>
      </w:r>
      <w:r>
        <w:t xml:space="preserve"> </w:t>
      </w:r>
      <w:r>
        <w:t xml:space="preserve">(which uses no activity data either, only geometry and the Vina scoring</w:t>
      </w:r>
      <w:r>
        <w:t xml:space="preserve"> </w:t>
      </w:r>
      <w:r>
        <w:t xml:space="preserve">function).</w:t>
      </w:r>
    </w:p>
    <w:p>
      <w:pPr>
        <w:pStyle w:val="BodyText"/>
      </w:pPr>
      <w:r>
        <w:rPr>
          <w:b/>
          <w:bCs/>
        </w:rPr>
        <w:t xml:space="preserve">Why a 37-compound library, not the outline’s illustrative</w:t>
      </w:r>
      <w:r>
        <w:rPr>
          <w:b/>
          <w:bCs/>
        </w:rPr>
        <w:t xml:space="preserve"> </w:t>
      </w:r>
      <w:r>
        <w:rPr>
          <w:b/>
          <w:bCs/>
        </w:rPr>
        <w:t xml:space="preserve">“millions.”</w:t>
      </w:r>
      <w:r>
        <w:t xml:space="preserve"> </w:t>
      </w:r>
      <w:r>
        <w:t xml:space="preserve">This is the same honestly-scoped-real-experiment choice Chapters 10-12</w:t>
      </w:r>
      <w:r>
        <w:t xml:space="preserve"> </w:t>
      </w:r>
      <w:r>
        <w:t xml:space="preserve">each made for their own hands-on projects, for the same underlying</w:t>
      </w:r>
      <w:r>
        <w:t xml:space="preserve"> </w:t>
      </w:r>
      <w:r>
        <w:t xml:space="preserve">reason: a real library large enough to need Tier 1’s rule-based filter</w:t>
      </w:r>
      <w:r>
        <w:t xml:space="preserve"> </w:t>
      </w:r>
      <w:r>
        <w:t xml:space="preserve">to do serious work would need Tier 2 to dock thousands of survivors, at</w:t>
      </w:r>
      <w:r>
        <w:t xml:space="preserve"> </w:t>
      </w:r>
      <w:r>
        <w:t xml:space="preserve">the real, measured per-compound cost this section reports below —</w:t>
      </w:r>
      <w:r>
        <w:t xml:space="preserve"> </w:t>
      </w:r>
      <w:r>
        <w:t xml:space="preserve">multiplying into a compute budget this book’s</w:t>
      </w:r>
      <w:r>
        <w:t xml:space="preserve"> </w:t>
      </w:r>
      <w:r>
        <w:t xml:space="preserve">free-tier-Colab-compatible authoring environment cannot absorb in one</w:t>
      </w:r>
      <w:r>
        <w:t xml:space="preserve"> </w:t>
      </w:r>
      <w:r>
        <w:t xml:space="preserve">working session.</w:t>
      </w:r>
      <w:r>
        <w:t xml:space="preserve"> </w:t>
      </w:r>
      <w:r>
        <w:t xml:space="preserve">A real, published, potency-labeled compound set, by contrast, is small</w:t>
      </w:r>
      <w:r>
        <w:t xml:space="preserve"> </w:t>
      </w:r>
      <w:r>
        <w:t xml:space="preserve">enough to carry every real compound through every real tier in one</w:t>
      </w:r>
      <w:r>
        <w:t xml:space="preserve"> </w:t>
      </w:r>
      <w:r>
        <w:t xml:space="preserve">session, while still being large enough — and, crucially, independently</w:t>
      </w:r>
      <w:r>
        <w:t xml:space="preserve"> </w:t>
      </w:r>
      <w:r>
        <w:rPr>
          <w:i/>
          <w:iCs/>
        </w:rPr>
        <w:t xml:space="preserve">labeled</w:t>
      </w:r>
      <w:r>
        <w:t xml:space="preserve"> </w:t>
      </w:r>
      <w:r>
        <w:t xml:space="preserve">— to compute a real, quantitative enrichment statistic at the</w:t>
      </w:r>
      <w:r>
        <w:t xml:space="preserve"> </w:t>
      </w:r>
      <w:r>
        <w:t xml:space="preserve">end, exactly the funnel property this chapter exists to demonstrate.</w:t>
      </w:r>
    </w:p>
    <w:bookmarkEnd w:id="11"/>
    <w:bookmarkStart w:id="12" w:name="X8715d54828e1a9755c189fb6c84fc9f566b146d"/>
    <w:p>
      <w:pPr>
        <w:pStyle w:val="Heading3"/>
      </w:pPr>
      <w:r>
        <w:t xml:space="preserve">Real receptor preparation and redocking validation</w:t>
      </w:r>
    </w:p>
    <w:p>
      <w:pPr>
        <w:pStyle w:val="FirstParagraph"/>
      </w:pPr>
      <w:r>
        <w:t xml:space="preserve">The real 5R82 structure is split into a protein-only file and RZS’s own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HETATM</w:t>
      </w:r>
      <w:r>
        <w:t xml:space="preserve"> </w:t>
      </w:r>
      <w:r>
        <w:t xml:space="preserve">records (excluding the DMS cryoprotectant and ordered</w:t>
      </w:r>
      <w:r>
        <w:t xml:space="preserve"> </w:t>
      </w:r>
      <w:r>
        <w:t xml:space="preserve">waters also present in the deposition); the receptor is protonated at</w:t>
      </w:r>
      <w:r>
        <w:t xml:space="preserve"> </w:t>
      </w:r>
      <w:r>
        <w:t xml:space="preserve">pH 7.4 and converted to a rigid AutoDock PDBQT file with OpenBabel,</w:t>
      </w:r>
      <w:r>
        <w:t xml:space="preserve"> </w:t>
      </w:r>
      <w:r>
        <w:t xml:space="preserve">identically to Chapter 11’s protocol. The focused docking box is a</w:t>
      </w:r>
      <w:r>
        <w:t xml:space="preserve"> </w:t>
      </w:r>
      <w:r>
        <w:t xml:space="preserve">22.5 Å cube centered on RZS’s real crystallographic centroid.</w:t>
      </w:r>
    </w:p>
    <w:p>
      <w:pPr>
        <w:pStyle w:val="BodyText"/>
      </w:pPr>
      <w:r>
        <w:t xml:space="preserve">Before trusting this new receptor for Tier 2, RZS is docked back into</w:t>
      </w:r>
      <w:r>
        <w:t xml:space="preserve"> </w:t>
      </w:r>
      <w:r>
        <w:t xml:space="preserve">its own real pocket (three real independent replicates, Chapter 11’s</w:t>
      </w:r>
      <w:r>
        <w:t xml:space="preserve"> </w:t>
      </w:r>
      <w:r>
        <w:t xml:space="preserve">redocking-control protocol):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Affinity (kcal/mol)</w:t>
            </w:r>
          </w:p>
        </w:tc>
        <w:tc>
          <w:tcPr/>
          <w:p>
            <w:pPr>
              <w:pStyle w:val="Compact"/>
            </w:pPr>
            <w:r>
              <w:t xml:space="preserve">RMSD to crystal pose (Å)</w:t>
            </w:r>
          </w:p>
        </w:tc>
        <w:tc>
          <w:tcPr/>
          <w:p>
            <w:pPr>
              <w:pStyle w:val="Compact"/>
            </w:pPr>
            <w:r>
              <w:t xml:space="preserve">Correct pose (&lt;2.0 Å)?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-4.457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-4.423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-4.477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± SD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-4.452 ± 0.022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0.553 ± 0.098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</w:t>
            </w:r>
          </w:p>
        </w:tc>
      </w:tr>
    </w:tbl>
    <w:p>
      <w:pPr>
        <w:pStyle w:val="BodyText"/>
      </w:pPr>
      <w:r>
        <w:t xml:space="preserve">Every real replicate lands well under the field’s conventional 2.0 Å</w:t>
      </w:r>
      <w:r>
        <w:t xml:space="preserve"> </w:t>
      </w:r>
      <w:r>
        <w:t xml:space="preserve">“correct pose”</w:t>
      </w:r>
      <w:r>
        <w:t xml:space="preserve"> </w:t>
      </w:r>
      <w:r>
        <w:t xml:space="preserve">threshold, with low affinity variance across replicates</w:t>
      </w:r>
      <w:r>
        <w:t xml:space="preserve"> </w:t>
      </w:r>
      <w:r>
        <w:t xml:space="preserve">— a real, direct confirmation that this chapter’s receptor preparation</w:t>
      </w:r>
      <w:r>
        <w:t xml:space="preserve"> </w:t>
      </w:r>
      <w:r>
        <w:t xml:space="preserve">and docking protocol are trustworthy on this new target before any</w:t>
      </w:r>
      <w:r>
        <w:t xml:space="preserve"> </w:t>
      </w:r>
      <w:r>
        <w:t xml:space="preserve">library compound is docked. RZS’s real redocking RMSD is also</w:t>
      </w:r>
      <w:r>
        <w:t xml:space="preserve"> </w:t>
      </w:r>
      <w:r>
        <w:t xml:space="preserve">substantially tighter than Chapter 11’s own erlotinib redocking result</w:t>
      </w:r>
      <w:r>
        <w:t xml:space="preserve"> </w:t>
      </w:r>
      <w:r>
        <w:t xml:space="preserve">(2.17-2.63 Å, 0/5 replicates under threshold) — consistent with RZS</w:t>
      </w:r>
      <w:r>
        <w:t xml:space="preserve"> </w:t>
      </w:r>
      <w:r>
        <w:t xml:space="preserve">being an 11-heavy-atom fragment with almost no rotatable bonds, a</w:t>
      </w:r>
      <w:r>
        <w:t xml:space="preserve"> </w:t>
      </w:r>
      <w:r>
        <w:t xml:space="preserve">genuinely easier real pose-reproduction problem than erlotinib’s larger,</w:t>
      </w:r>
      <w:r>
        <w:t xml:space="preserve"> </w:t>
      </w:r>
      <w:r>
        <w:t xml:space="preserve">more flexible scaffold, not evidence of a systematically better protocol.</w:t>
      </w:r>
    </w:p>
    <w:bookmarkEnd w:id="12"/>
    <w:bookmarkStart w:id="13" w:name="tier-1-real-rule-based-filtering-results"/>
    <w:p>
      <w:pPr>
        <w:pStyle w:val="Heading3"/>
      </w:pPr>
      <w:r>
        <w:t xml:space="preserve">Tier 1: real rule-based filtering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Compounds entering Tier 1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Compounds passing Tier 1</w:t>
            </w:r>
          </w:p>
        </w:tc>
        <w:tc>
          <w:tcPr/>
          <w:p>
            <w:pPr>
              <w:pStyle w:val="Compact"/>
            </w:pPr>
            <w:r>
              <w:t xml:space="preserve">36 (97.3%)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active compounds retained</w:t>
            </w:r>
          </w:p>
        </w:tc>
        <w:tc>
          <w:tcPr/>
          <w:p>
            <w:pPr>
              <w:pStyle w:val="Compact"/>
            </w:pPr>
            <w:r>
              <w:t xml:space="preserve">30/31 (96.8%)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inactive compounds retained</w:t>
            </w:r>
          </w:p>
        </w:tc>
        <w:tc>
          <w:tcPr/>
          <w:p>
            <w:pPr>
              <w:pStyle w:val="Compact"/>
            </w:pPr>
            <w:r>
              <w:t xml:space="preserve">6/6 (100%)</w:t>
            </w:r>
          </w:p>
        </w:tc>
      </w:tr>
    </w:tbl>
    <w:p>
      <w:pPr>
        <w:pStyle w:val="BodyText"/>
      </w:pPr>
      <w:r>
        <w:t xml:space="preserve">Exactly one real compound was rejected:</w:t>
      </w:r>
      <w:r>
        <w:t xml:space="preserve"> </w:t>
      </w:r>
      <w:r>
        <w:rPr>
          <w:b/>
          <w:bCs/>
        </w:rPr>
        <w:t xml:space="preserve">CID 156027228</w:t>
      </w:r>
      <w:r>
        <w:t xml:space="preserve"> </w:t>
      </w:r>
      <w:r>
        <w:t xml:space="preserve">(</w:t>
      </w:r>
      <w:r>
        <w:rPr>
          <w:rStyle w:val="VerbatimChar"/>
        </w:rPr>
        <w:t xml:space="preserve">O=C(Cn1nnc2ccccc21)N(Cc1cc(Cl)cc(Cl)c1)c1ccc(-c2cccnc2)cc1</w:t>
      </w:r>
      <w:r>
        <w:t xml:space="preserve">), a real,</w:t>
      </w:r>
      <w:r>
        <w:t xml:space="preserve"> </w:t>
      </w:r>
      <w:r>
        <w:t xml:space="preserve">measured 3CLpro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(an honest, real Tier 1 false negative,</w:t>
      </w:r>
      <w:r>
        <w:t xml:space="preserve"> </w:t>
      </w:r>
      <w:r>
        <w:t xml:space="preserve">consistent with Section 13.1’s point that a rejected-at-Tier-1</w:t>
      </w:r>
      <w:r>
        <w:t xml:space="preserve"> </w:t>
      </w:r>
      <w:r>
        <w:t xml:space="preserve">compound is not necessarily inactive). Its real computed properties</w:t>
      </w:r>
      <w:r>
        <w:t xml:space="preserve"> </w:t>
      </w:r>
      <w:r>
        <w:t xml:space="preserve">show why: molecular weight 488.4 Da and calculated LogP 6.03 (one</w:t>
      </w:r>
      <w:r>
        <w:t xml:space="preserve"> </w:t>
      </w:r>
      <w:r>
        <w:t xml:space="preserve">Lipinski violation — allowed on its own under this chapter’s ≤1</w:t>
      </w:r>
      <w:r>
        <w:t xml:space="preserve"> </w:t>
      </w:r>
      <w:r>
        <w:t xml:space="preserve">threshold) combined with a real QED of only 0.293, just under this</w:t>
      </w:r>
      <w:r>
        <w:t xml:space="preserve"> </w:t>
      </w:r>
      <w:r>
        <w:t xml:space="preserve">chapter’s 0.30 floor — the elevated LogP alone was enough to pull its</w:t>
      </w:r>
      <w:r>
        <w:t xml:space="preserve"> </w:t>
      </w:r>
      <w:r>
        <w:t xml:space="preserve">overall drug-likeness score below the lenient cutoff, even with zero</w:t>
      </w:r>
      <w:r>
        <w:t xml:space="preserve"> </w:t>
      </w:r>
      <w:r>
        <w:t xml:space="preserve">PAINS alerts and full Veber compliance (TPSA 63.9 Å², 6 rotatable</w:t>
      </w:r>
      <w:r>
        <w:t xml:space="preserve"> </w:t>
      </w:r>
      <w:r>
        <w:t xml:space="preserve">bonds). As anticipated in Section 13.3’s scope note, Tier 1 removed</w:t>
      </w:r>
      <w:r>
        <w:t xml:space="preserve"> </w:t>
      </w:r>
      <w:r>
        <w:t xml:space="preserve">only a small fraction (2.7%) of this particular library — this</w:t>
      </w:r>
      <w:r>
        <w:t xml:space="preserve"> </w:t>
      </w:r>
      <w:r>
        <w:t xml:space="preserve">published lead-optimization series is already drug-like by</w:t>
      </w:r>
      <w:r>
        <w:t xml:space="preserve"> </w:t>
      </w:r>
      <w:r>
        <w:t xml:space="preserve">construction, not evidence that Tier 1 filtering is generally weak.</w:t>
      </w:r>
    </w:p>
    <w:bookmarkEnd w:id="13"/>
    <w:bookmarkStart w:id="14" w:name="X74cb7c8d9afd7f3f979c3f4f26de82bf0aee548"/>
    <w:p>
      <w:pPr>
        <w:pStyle w:val="Heading3"/>
      </w:pPr>
      <w:r>
        <w:t xml:space="preserve">Tier 2: real AutoDock Vina docking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Compounds docked</w:t>
            </w:r>
          </w:p>
        </w:tc>
        <w:tc>
          <w:tcPr/>
          <w:p>
            <w:pPr>
              <w:pStyle w:val="Compact"/>
            </w:pPr>
            <w:r>
              <w:t xml:space="preserve">36/36 (100% real docking success)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focused affinity</w:t>
            </w:r>
          </w:p>
        </w:tc>
        <w:tc>
          <w:tcPr/>
          <w:p>
            <w:pPr>
              <w:pStyle w:val="Compact"/>
            </w:pPr>
            <w:r>
              <w:t xml:space="preserve">-7.102 ± 0.384 kcal/mol (range -8.078 to -6.484)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real wall time per compound</w:t>
            </w:r>
          </w:p>
        </w:tc>
        <w:tc>
          <w:tcPr/>
          <w:p>
            <w:pPr>
              <w:pStyle w:val="Compact"/>
            </w:pPr>
            <w:r>
              <w:t xml:space="preserve">238.2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real Vina search time (36 compounds)</w:t>
            </w:r>
          </w:p>
        </w:tc>
        <w:tc>
          <w:tcPr/>
          <w:p>
            <w:pPr>
              <w:pStyle w:val="Compact"/>
            </w:pPr>
            <w:r>
              <w:t xml:space="preserve">8,575.3 s (≈2.38 CPU-hours)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 (affinity vs. real pIC50)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-0.489 (p = 0.0025)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sign correctly.</w:t>
      </w:r>
      <w:r>
        <w:t xml:space="preserve"> </w:t>
      </w:r>
      <w:r>
        <w:t xml:space="preserve">Vina’s own convention makes a</w:t>
      </w:r>
      <w:r>
        <w:t xml:space="preserve"> </w:t>
      </w:r>
      <w:r>
        <w:rPr>
          <w:i/>
          <w:iCs/>
        </w:rPr>
        <w:t xml:space="preserve">more</w:t>
      </w:r>
      <w:r>
        <w:rPr>
          <w:i/>
          <w:iCs/>
        </w:rP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affinity the</w:t>
      </w:r>
      <w:r>
        <w:t xml:space="preserve"> </w:t>
      </w:r>
      <w:r>
        <w:rPr>
          <w:i/>
          <w:iCs/>
        </w:rPr>
        <w:t xml:space="preserve">more favorable</w:t>
      </w:r>
      <w:r>
        <w:t xml:space="preserve"> </w:t>
      </w:r>
      <w:r>
        <w:t xml:space="preserve">prediction, while a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pIC50 means</w:t>
      </w:r>
      <w:r>
        <w:t xml:space="preserve"> </w:t>
      </w:r>
      <w:r>
        <w:rPr>
          <w:i/>
          <w:iCs/>
        </w:rPr>
        <w:t xml:space="preserve">more potent</w:t>
      </w:r>
      <w:r>
        <w:t xml:space="preserve">. A negative Spearman ρ between the two is</w:t>
      </w:r>
      <w:r>
        <w:t xml:space="preserve"> </w:t>
      </w:r>
      <w:r>
        <w:t xml:space="preserve">therefore the physically sensible direction — more favorable predicted</w:t>
      </w:r>
      <w:r>
        <w:t xml:space="preserve"> </w:t>
      </w:r>
      <w:r>
        <w:t xml:space="preserve">binding associated with higher real measured potency — and, at</w:t>
      </w:r>
      <w:r>
        <w:t xml:space="preserve"> </w:t>
      </w:r>
      <w:r>
        <w:t xml:space="preserve">ρ = -0.489 with p = 0.0025 (n = 36), this is a real, moderate,</w:t>
      </w:r>
      <w:r>
        <w:t xml:space="preserve"> </w:t>
      </w:r>
      <w:r>
        <w:t xml:space="preserve">statistically significant correlation, not a null result. This is a</w:t>
      </w:r>
      <w:r>
        <w:t xml:space="preserve"> </w:t>
      </w:r>
      <w:r>
        <w:t xml:space="preserve">materially different outcome from Chapter 11’s own real finding</w:t>
      </w:r>
      <w:r>
        <w:t xml:space="preserve"> </w:t>
      </w:r>
      <w:r>
        <w:t xml:space="preserve">(ρ = 0.245, p = 0.19, not significant, and in the</w:t>
      </w:r>
      <w:r>
        <w:t xml:space="preserve"> </w:t>
      </w:r>
      <w:r>
        <w:t xml:space="preserve">“wrong”</w:t>
      </w:r>
      <w:r>
        <w:t xml:space="preserve"> </w:t>
      </w:r>
      <w:r>
        <w:t xml:space="preserve">sign</w:t>
      </w:r>
      <w:r>
        <w:t xml:space="preserve"> </w:t>
      </w:r>
      <w:r>
        <w:t xml:space="preserve">direction relative to Vina’s convention there too) — and the real</w:t>
      </w:r>
      <w:r>
        <w:t xml:space="preserve"> </w:t>
      </w:r>
      <w:r>
        <w:t xml:space="preserve">cause is visible directly in this chapter’s own data rather than left</w:t>
      </w:r>
      <w:r>
        <w:t xml:space="preserve"> </w:t>
      </w:r>
      <w:r>
        <w:t xml:space="preserve">as speculation: within this one congeneric SAR series, real molecular</w:t>
      </w:r>
      <w:r>
        <w:t xml:space="preserve"> </w:t>
      </w:r>
      <w:r>
        <w:t xml:space="preserve">weight itself correlates with both a more favorable real docking</w:t>
      </w:r>
      <w:r>
        <w:t xml:space="preserve"> </w:t>
      </w:r>
      <w:r>
        <w:t xml:space="preserve">affinity (ρ = -0.525, p = 0.001) and, independently, with somewhat</w:t>
      </w:r>
      <w:r>
        <w:t xml:space="preserve"> </w:t>
      </w:r>
      <w:r>
        <w:t xml:space="preserve">higher real measured pIC50 (ρ = 0.336, p = 0.045) — a real, if</w:t>
      </w:r>
      <w:r>
        <w:t xml:space="preserve"> </w:t>
      </w:r>
      <w:r>
        <w:t xml:space="preserve">imperfect, structure-activity trend a single lead-optimization</w:t>
      </w:r>
      <w:r>
        <w:t xml:space="preserve"> </w:t>
      </w:r>
      <w:r>
        <w:t xml:space="preserve">campaign’s own analog series is expected to show, and one Vina’s</w:t>
      </w:r>
      <w:r>
        <w:t xml:space="preserve"> </w:t>
      </w:r>
      <w:r>
        <w:t xml:space="preserve">contact-counting scoring terms (Section 13.2) can partially track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every compound here shares the same core scaffold and binding</w:t>
      </w:r>
      <w:r>
        <w:t xml:space="preserve"> </w:t>
      </w:r>
      <w:r>
        <w:t xml:space="preserve">mode, unlike Chapter 11’s chemically diverse, cross-scaffold ChEMBL</w:t>
      </w:r>
      <w:r>
        <w:t xml:space="preserve"> </w:t>
      </w:r>
      <w:r>
        <w:t xml:space="preserve">benchmark. The correlation is real but far from perfect:</w:t>
      </w:r>
      <w:r>
        <w:t xml:space="preserve"> </w:t>
      </w:r>
      <w:r>
        <w:rPr>
          <w:b/>
          <w:bCs/>
        </w:rPr>
        <w:t xml:space="preserve">CID</w:t>
      </w:r>
      <w:r>
        <w:rPr>
          <w:b/>
          <w:bCs/>
        </w:rPr>
        <w:t xml:space="preserve"> </w:t>
      </w:r>
      <w:r>
        <w:rPr>
          <w:b/>
          <w:bCs/>
        </w:rPr>
        <w:t xml:space="preserve">156027226</w:t>
      </w:r>
      <w:r>
        <w:t xml:space="preserve"> </w:t>
      </w:r>
      <w:r>
        <w:t xml:space="preserve">(-7.754 kcal/mol, the third most favorable real affinity in</w:t>
      </w:r>
      <w:r>
        <w:t xml:space="preserve"> </w:t>
      </w:r>
      <w:r>
        <w:t xml:space="preserve">the set) is a real, measured comparatively weak binder (pIC50 5.17,</w:t>
      </w:r>
      <w:r>
        <w:t xml:space="preserve"> </w:t>
      </w:r>
      <w:r>
        <w:t xml:space="preserve">6.7 µM) at a similar molecular weight (471.9 Da) to several far more</w:t>
      </w:r>
      <w:r>
        <w:t xml:space="preserve"> </w:t>
      </w:r>
      <w:r>
        <w:t xml:space="preserve">potent compounds nearby in the affinity ranking — the same real</w:t>
      </w:r>
      <w:r>
        <w:t xml:space="preserve"> </w:t>
      </w:r>
      <w:r>
        <w:t xml:space="preserve">caveat Chapter 11 §11.3 illustrated with CHEMBL62843, present here in</w:t>
      </w:r>
      <w:r>
        <w:t xml:space="preserve"> </w:t>
      </w:r>
      <w:r>
        <w:t xml:space="preserve">softer, statistical form rather than as a single dramatic outlier.</w:t>
      </w:r>
    </w:p>
    <w:bookmarkEnd w:id="14"/>
    <w:bookmarkStart w:id="15" w:name="X74b8ab0bad8bd37c9a8d1515893445d8e1755de"/>
    <w:p>
      <w:pPr>
        <w:pStyle w:val="Heading3"/>
      </w:pPr>
      <w:r>
        <w:t xml:space="preserve">Tier 3: real, short ANI-2x MD stability results</w:t>
      </w:r>
    </w:p>
    <w:p>
      <w:pPr>
        <w:pStyle w:val="FirstParagraph"/>
      </w:pPr>
      <w:r>
        <w:t xml:space="preserve">The top 8 Tier 2 survivors by real focused-docking affinity, all real</w:t>
      </w:r>
      <w:r>
        <w:t xml:space="preserve"> </w:t>
      </w:r>
      <w:r>
        <w:t xml:space="preserve">measured actives, advanced to a real, short (2 ps, 2,000-step) ANI-2x</w:t>
      </w:r>
      <w:r>
        <w:t xml:space="preserve"> </w:t>
      </w:r>
      <w:r>
        <w:t xml:space="preserve">ligand-alone trajectory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PubChem CID</w:t>
            </w:r>
          </w:p>
        </w:tc>
        <w:tc>
          <w:tcPr/>
          <w:p>
            <w:pPr>
              <w:pStyle w:val="Compact"/>
            </w:pPr>
            <w:r>
              <w:t xml:space="preserve">Affinity (kcal/mol)</w:t>
            </w:r>
          </w:p>
        </w:tc>
        <w:tc>
          <w:tcPr/>
          <w:p>
            <w:pPr>
              <w:pStyle w:val="Compact"/>
            </w:pPr>
            <w:r>
              <w:t xml:space="preserve">Real pIC50</w:t>
            </w:r>
          </w:p>
        </w:tc>
        <w:tc>
          <w:tcPr/>
          <w:p>
            <w:pPr>
              <w:pStyle w:val="Compact"/>
            </w:pPr>
            <w:r>
              <w:t xml:space="preserve">Atoms</w:t>
            </w:r>
          </w:p>
        </w:tc>
        <w:tc>
          <w:tcPr/>
          <w:p>
            <w:pPr>
              <w:pStyle w:val="Compact"/>
            </w:pPr>
            <w:r>
              <w:t xml:space="preserve">Mean RMSD (Å)</w:t>
            </w:r>
          </w:p>
        </w:tc>
        <w:tc>
          <w:tcPr/>
          <w:p>
            <w:pPr>
              <w:pStyle w:val="Compact"/>
            </w:pPr>
            <w:r>
              <w:t xml:space="preserve">Max RMSD (Å)</w:t>
            </w:r>
          </w:p>
        </w:tc>
        <w:tc>
          <w:tcPr/>
          <w:p>
            <w:pPr>
              <w:pStyle w:val="Compact"/>
            </w:pPr>
            <w:r>
              <w:t xml:space="preserve">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156027233</w:t>
            </w:r>
          </w:p>
        </w:tc>
        <w:tc>
          <w:tcPr/>
          <w:p>
            <w:pPr>
              <w:pStyle w:val="Compact"/>
            </w:pPr>
            <w:r>
              <w:t xml:space="preserve">-8.078</w:t>
            </w:r>
          </w:p>
        </w:tc>
        <w:tc>
          <w:tcPr/>
          <w:p>
            <w:pPr>
              <w:pStyle w:val="Compact"/>
            </w:pPr>
            <w:r>
              <w:t xml:space="preserve">6.574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1.303</w:t>
            </w:r>
          </w:p>
        </w:tc>
        <w:tc>
          <w:tcPr/>
          <w:p>
            <w:pPr>
              <w:pStyle w:val="Compact"/>
            </w:pPr>
            <w:r>
              <w:t xml:space="preserve">1.904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156027232</w:t>
            </w:r>
          </w:p>
        </w:tc>
        <w:tc>
          <w:tcPr/>
          <w:p>
            <w:pPr>
              <w:pStyle w:val="Compact"/>
            </w:pPr>
            <w:r>
              <w:t xml:space="preserve">-7.958</w:t>
            </w:r>
          </w:p>
        </w:tc>
        <w:tc>
          <w:tcPr/>
          <w:p>
            <w:pPr>
              <w:pStyle w:val="Compact"/>
            </w:pPr>
            <w:r>
              <w:t xml:space="preserve">6.520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1.304</w:t>
            </w:r>
          </w:p>
        </w:tc>
        <w:tc>
          <w:tcPr/>
          <w:p>
            <w:pPr>
              <w:pStyle w:val="Compact"/>
            </w:pPr>
            <w:r>
              <w:t xml:space="preserve">2.056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156027226</w:t>
            </w:r>
          </w:p>
        </w:tc>
        <w:tc>
          <w:tcPr/>
          <w:p>
            <w:pPr>
              <w:pStyle w:val="Compact"/>
            </w:pPr>
            <w:r>
              <w:t xml:space="preserve">-7.754</w:t>
            </w:r>
          </w:p>
        </w:tc>
        <w:tc>
          <w:tcPr/>
          <w:p>
            <w:pPr>
              <w:pStyle w:val="Compact"/>
            </w:pPr>
            <w:r>
              <w:t xml:space="preserve">5.174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1.042</w:t>
            </w:r>
          </w:p>
        </w:tc>
        <w:tc>
          <w:tcPr/>
          <w:p>
            <w:pPr>
              <w:pStyle w:val="Compact"/>
            </w:pPr>
            <w:r>
              <w:t xml:space="preserve">1.850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156027234</w:t>
            </w:r>
          </w:p>
        </w:tc>
        <w:tc>
          <w:tcPr/>
          <w:p>
            <w:pPr>
              <w:pStyle w:val="Compact"/>
            </w:pPr>
            <w:r>
              <w:t xml:space="preserve">-7.591</w:t>
            </w:r>
          </w:p>
        </w:tc>
        <w:tc>
          <w:tcPr/>
          <w:p>
            <w:pPr>
              <w:pStyle w:val="Compact"/>
            </w:pPr>
            <w:r>
              <w:t xml:space="preserve">6.694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1.179</w:t>
            </w:r>
          </w:p>
        </w:tc>
        <w:tc>
          <w:tcPr/>
          <w:p>
            <w:pPr>
              <w:pStyle w:val="Compact"/>
            </w:pPr>
            <w:r>
              <w:t xml:space="preserve">2.314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156027227</w:t>
            </w:r>
          </w:p>
        </w:tc>
        <w:tc>
          <w:tcPr/>
          <w:p>
            <w:pPr>
              <w:pStyle w:val="Compact"/>
            </w:pPr>
            <w:r>
              <w:t xml:space="preserve">-7.536</w:t>
            </w:r>
          </w:p>
        </w:tc>
        <w:tc>
          <w:tcPr/>
          <w:p>
            <w:pPr>
              <w:pStyle w:val="Compact"/>
            </w:pPr>
            <w:r>
              <w:t xml:space="preserve">7.016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1.568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156027237</w:t>
            </w:r>
          </w:p>
        </w:tc>
        <w:tc>
          <w:tcPr/>
          <w:p>
            <w:pPr>
              <w:pStyle w:val="Compact"/>
            </w:pPr>
            <w:r>
              <w:t xml:space="preserve">-7.500</w:t>
            </w:r>
          </w:p>
        </w:tc>
        <w:tc>
          <w:tcPr/>
          <w:p>
            <w:pPr>
              <w:pStyle w:val="Compact"/>
            </w:pPr>
            <w:r>
              <w:t xml:space="preserve">7.362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1.360</w:t>
            </w:r>
          </w:p>
        </w:tc>
        <w:tc>
          <w:tcPr/>
          <w:p>
            <w:pPr>
              <w:pStyle w:val="Compact"/>
            </w:pPr>
            <w:r>
              <w:t xml:space="preserve">2.110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156027229</w:t>
            </w:r>
          </w:p>
        </w:tc>
        <w:tc>
          <w:tcPr/>
          <w:p>
            <w:pPr>
              <w:pStyle w:val="Compact"/>
            </w:pPr>
            <w:r>
              <w:t xml:space="preserve">-7.478</w:t>
            </w:r>
          </w:p>
        </w:tc>
        <w:tc>
          <w:tcPr/>
          <w:p>
            <w:pPr>
              <w:pStyle w:val="Compact"/>
            </w:pPr>
            <w:r>
              <w:t xml:space="preserve">6.438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1.027</w:t>
            </w:r>
          </w:p>
        </w:tc>
        <w:tc>
          <w:tcPr/>
          <w:p>
            <w:pPr>
              <w:pStyle w:val="Compact"/>
            </w:pPr>
            <w:r>
              <w:t xml:space="preserve">2.024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156027225</w:t>
            </w:r>
          </w:p>
        </w:tc>
        <w:tc>
          <w:tcPr/>
          <w:p>
            <w:pPr>
              <w:pStyle w:val="Compact"/>
            </w:pPr>
            <w:r>
              <w:t xml:space="preserve">-7.437</w:t>
            </w:r>
          </w:p>
        </w:tc>
        <w:tc>
          <w:tcPr/>
          <w:p>
            <w:pPr>
              <w:pStyle w:val="Compact"/>
            </w:pPr>
            <w:r>
              <w:t xml:space="preserve">6.495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1.096</w:t>
            </w:r>
          </w:p>
        </w:tc>
        <w:tc>
          <w:tcPr/>
          <w:p>
            <w:pPr>
              <w:pStyle w:val="Compact"/>
            </w:pPr>
            <w:r>
              <w:t xml:space="preserve">1.576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8 real trajectories are stable by this chapter’s bounded-RMSD</w:t>
      </w:r>
      <w:r>
        <w:t xml:space="preserve"> </w:t>
      </w:r>
      <w:r>
        <w:t xml:space="preserve">criterion (max RMSD well under 15 Å, no divergence or numerical</w:t>
      </w:r>
      <w:r>
        <w:t xml:space="preserve"> </w:t>
      </w:r>
      <w:r>
        <w:t xml:space="preserve">blow-up in any of the 8 real, independent short trajectories) — a real</w:t>
      </w:r>
      <w:r>
        <w:t xml:space="preserve"> </w:t>
      </w:r>
      <w:r>
        <w:t xml:space="preserve">correctness/stability check, not a converged binding-affinity claim</w:t>
      </w:r>
      <w:r>
        <w:t xml:space="preserve"> </w:t>
      </w:r>
      <w:r>
        <w:t xml:space="preserve">(Section 13.2). One real, honest measurement artifact: the first</w:t>
      </w:r>
      <w:r>
        <w:t xml:space="preserve"> </w:t>
      </w:r>
      <w:r>
        <w:t xml:space="preserve">compound processed (156027233) recorded 1,805 ms/step against a</w:t>
      </w:r>
      <w:r>
        <w:t xml:space="preserve"> </w:t>
      </w:r>
      <w:r>
        <w:t xml:space="preserve">steady-state 45-68 ms/step for the remaining seven, similar-sized</w:t>
      </w:r>
      <w:r>
        <w:t xml:space="preserve"> </w:t>
      </w:r>
      <w:r>
        <w:t xml:space="preserve">(51-56-atom) ligands — a real, one-time ANI-2x model-loading/warm-up</w:t>
      </w:r>
      <w:r>
        <w:t xml:space="preserve"> </w:t>
      </w:r>
      <w:r>
        <w:t xml:space="preserve">cost paid once by the first TorchANI evaluation in this run’s process,</w:t>
      </w:r>
      <w:r>
        <w:t xml:space="preserve"> </w:t>
      </w:r>
      <w:r>
        <w:t xml:space="preserve">not a property of that specific molecule; the remaining seven</w:t>
      </w:r>
      <w:r>
        <w:t xml:space="preserve"> </w:t>
      </w:r>
      <w:r>
        <w:t xml:space="preserve">compounds’ throughput is consistent with Chapter 12’s own measured</w:t>
      </w:r>
      <w:r>
        <w:t xml:space="preserve"> </w:t>
      </w:r>
      <w:r>
        <w:t xml:space="preserve">52-atom ligand-alone rate (67.64 ms/step). The full real Tier 3 stage</w:t>
      </w:r>
      <w:r>
        <w:t xml:space="preserve"> </w:t>
      </w:r>
      <w:r>
        <w:t xml:space="preserve">took 4,412.9 s (≈73.5 minutes) wall-clock.</w:t>
      </w:r>
    </w:p>
    <w:bookmarkEnd w:id="15"/>
    <w:bookmarkStart w:id="16" w:name="X63b04321f219b386ce7d16cc549911e98363fbb"/>
    <w:p>
      <w:pPr>
        <w:pStyle w:val="Heading3"/>
      </w:pPr>
      <w:r>
        <w:t xml:space="preserve">Retrospective enrichment: did the real funnel concentrate real actives?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real active rate</w:t>
            </w:r>
          </w:p>
        </w:tc>
        <w:tc>
          <w:tcPr/>
          <w:p>
            <w:pPr>
              <w:pStyle w:val="Compact"/>
            </w:pPr>
            <w:r>
              <w:t xml:space="preserve">31/37 = 83.8%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3 shortlist real active rate</w:t>
            </w:r>
          </w:p>
        </w:tc>
        <w:tc>
          <w:tcPr/>
          <w:p>
            <w:pPr>
              <w:pStyle w:val="Compact"/>
            </w:pPr>
            <w:r>
              <w:t xml:space="preserve">8/8 =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Enrichment 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1.194</w:t>
            </w:r>
          </w:p>
        </w:tc>
      </w:tr>
    </w:tbl>
    <w:p>
      <w:pPr>
        <w:pStyle w:val="BodyText"/>
      </w:pPr>
      <w:r>
        <w:t xml:space="preserve">All 8 real compounds that survived the complete funnel are real,</w:t>
      </w:r>
      <w:r>
        <w:t xml:space="preserve"> </w:t>
      </w:r>
      <w:r>
        <w:t xml:space="preserve">measured SARS-CoV-2 3CLpro actives — a genuinely correct outcome, but</w:t>
      </w:r>
      <w:r>
        <w:t xml:space="preserve"> </w:t>
      </w:r>
      <w:r>
        <w:t xml:space="preserve">one this chapter reports honestly rather than as a dramatic result: the</w:t>
      </w:r>
      <w:r>
        <w:t xml:space="preserve"> </w:t>
      </w:r>
      <w:r>
        <w:t xml:space="preserve">enrichment factor itself is modest (1.194, not the order-of-magnitude</w:t>
      </w:r>
      <w:r>
        <w:t xml:space="preserve"> </w:t>
      </w:r>
      <w:r>
        <w:t xml:space="preserve">values a real enrichment study against a realistic, mostly-inactive</w:t>
      </w:r>
      <w:r>
        <w:t xml:space="preserve"> </w:t>
      </w:r>
      <w:r>
        <w:t xml:space="preserve">prospective library would target) because this library’s own real</w:t>
      </w:r>
      <w:r>
        <w:t xml:space="preserve"> </w:t>
      </w:r>
      <w:r>
        <w:t xml:space="preserve">baseline active rate is already unusually high (83.8%). A published</w:t>
      </w:r>
      <w:r>
        <w:t xml:space="preserve"> </w:t>
      </w:r>
      <w:r>
        <w:t xml:space="preserve">lead-optimization SAR series is, by construction, built almost entirely</w:t>
      </w:r>
      <w:r>
        <w:t xml:space="preserve"> </w:t>
      </w:r>
      <w:r>
        <w:t xml:space="preserve">around a known active scaffold — the opposite starting condition from</w:t>
      </w:r>
      <w:r>
        <w:t xml:space="preserve"> </w:t>
      </w:r>
      <w:r>
        <w:t xml:space="preserve">a real, unfiltered prospective HTVS campaign, where the baseline hit</w:t>
      </w:r>
      <w:r>
        <w:t xml:space="preserve"> </w:t>
      </w:r>
      <w:r>
        <w:t xml:space="preserve">rate is typically well under 1% and the same absolute funnel behavior</w:t>
      </w:r>
      <w:r>
        <w:t xml:space="preserve"> </w:t>
      </w:r>
      <w:r>
        <w:t xml:space="preserve">would produce a dramatically larger, more meaningful enrichment factor.</w:t>
      </w:r>
      <w:r>
        <w:t xml:space="preserve"> </w:t>
      </w:r>
      <w:r>
        <w:t xml:space="preserve">This is the direct, quantitative version of Section 13.3’s earlier</w:t>
      </w:r>
      <w:r>
        <w:t xml:space="preserve"> </w:t>
      </w:r>
      <w:r>
        <w:t xml:space="preserve">disclosure about Tier 1’s own low rejection rate on this same library —</w:t>
      </w:r>
      <w:r>
        <w:t xml:space="preserve"> </w:t>
      </w:r>
      <w:r>
        <w:t xml:space="preserve">both numbers understate what this exact funnel architecture would</w:t>
      </w:r>
      <w:r>
        <w:t xml:space="preserve"> </w:t>
      </w:r>
      <w:r>
        <w:t xml:space="preserve">achieve against a realistic, low-hit-rate prospective library, and both</w:t>
      </w:r>
      <w:r>
        <w:t xml:space="preserve"> </w:t>
      </w:r>
      <w:r>
        <w:t xml:space="preserve">are reported as real, honest measurements of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library rather than</w:t>
      </w:r>
      <w:r>
        <w:t xml:space="preserve"> </w:t>
      </w:r>
      <w:r>
        <w:t xml:space="preserve">adjusted to look more dramatic.</w:t>
      </w:r>
    </w:p>
    <w:bookmarkEnd w:id="16"/>
    <w:bookmarkStart w:id="19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rdkit&gt;=2023.9</w:t>
      </w:r>
      <w:r>
        <w:t xml:space="preserve">,</w:t>
      </w:r>
      <w:r>
        <w:t xml:space="preserve"> </w:t>
      </w:r>
      <w:r>
        <w:rPr>
          <w:rStyle w:val="VerbatimChar"/>
        </w:rPr>
        <w:t xml:space="preserve">meeko&gt;=0.6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numpy&gt;=1.24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scipy&gt;=1.10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requests&gt;=2.28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openmm&gt;=8.5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openmmml&gt;=1.4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torchani&gt;=2.2</w:t>
      </w:r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VerbatimChar"/>
          </w:rPr>
          <w:t xml:space="preserve">requirements.txt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vina&gt;=1.2.5</w:t>
      </w:r>
      <w:r>
        <w:t xml:space="preserve"> </w:t>
      </w:r>
      <w:r>
        <w:t xml:space="preserve">on platforms with</w:t>
      </w:r>
      <w:r>
        <w:t xml:space="preserve"> </w:t>
      </w:r>
      <w:r>
        <w:t xml:space="preserve">a prebuilt wheel — validated against rdkit 2026.03.5, meeko 0.7.1,</w:t>
      </w:r>
      <w:r>
        <w:t xml:space="preserve"> </w:t>
      </w:r>
      <w:r>
        <w:t xml:space="preserve">numpy 2.5.2, scipy 1.18.0, requests 2.34.2, openmm 8.6.0, openmmml 1.7,</w:t>
      </w:r>
      <w:r>
        <w:t xml:space="preserve"> </w:t>
      </w:r>
      <w:r>
        <w:t xml:space="preserve">torchani 2.8.4, and OpenBabel 3.1.0 on Python 3.12; this chapter’s own</w:t>
      </w:r>
      <w:r>
        <w:t xml:space="preserve"> </w:t>
      </w:r>
      <w:r>
        <w:t xml:space="preserve">results were produced with the official standalone AutoDock Vina 1.2.7</w:t>
      </w:r>
      <w:r>
        <w:t xml:space="preserve"> </w:t>
      </w:r>
      <w:r>
        <w:t xml:space="preserve">CLI binary via</w:t>
      </w:r>
      <w:r>
        <w:t xml:space="preserve"> </w:t>
      </w:r>
      <w:r>
        <w:rPr>
          <w:rStyle w:val="VerbatimChar"/>
        </w:rPr>
        <w:t xml:space="preserve">VINA_EXECUTABLE</w:t>
      </w:r>
      <w:r>
        <w:t xml:space="preserve">, the same Windows-no-wheel fallback</w:t>
      </w:r>
      <w:r>
        <w:t xml:space="preserve"> </w:t>
      </w:r>
      <w:r>
        <w:t xml:space="preserve">path Chapter 11 documented and used).</w:t>
      </w:r>
      <w:r>
        <w:t xml:space="preserve"> </w:t>
      </w:r>
      <w:r>
        <w:rPr>
          <w:rStyle w:val="VerbatimChar"/>
        </w:rPr>
        <w:t xml:space="preserve">data/sars_cov2_3clpro_library.json</w:t>
      </w:r>
      <w:r>
        <w:t xml:space="preserve"> </w:t>
      </w:r>
      <w:r>
        <w:t xml:space="preserve">caches the exact real,</w:t>
      </w:r>
      <w:r>
        <w:t xml:space="preserve"> </w:t>
      </w:r>
      <w:r>
        <w:t xml:space="preserve">deduplicated 37-compound library this chapter’s results were computed</w:t>
      </w:r>
      <w:r>
        <w:t xml:space="preserve"> </w:t>
      </w:r>
      <w:r>
        <w:t xml:space="preserve">from, so</w:t>
      </w:r>
      <w:r>
        <w:t xml:space="preserve"> </w:t>
      </w:r>
      <w:r>
        <w:rPr>
          <w:rStyle w:val="VerbatimChar"/>
        </w:rPr>
        <w:t xml:space="preserve">python htvs_pipeline.py</w:t>
      </w:r>
      <w:r>
        <w:t xml:space="preserve"> </w:t>
      </w:r>
      <w:r>
        <w:t xml:space="preserve">reproduces the same funnel offline</w:t>
      </w:r>
      <w:r>
        <w:t xml:space="preserve"> </w:t>
      </w:r>
      <w:r>
        <w:t xml:space="preserve">without a live PubChem API call (pass</w:t>
      </w:r>
      <w:r>
        <w:t xml:space="preserve"> </w:t>
      </w:r>
      <w:r>
        <w:rPr>
          <w:rStyle w:val="VerbatimChar"/>
        </w:rPr>
        <w:t xml:space="preserve">--refresh-cache</w:t>
      </w:r>
      <w:r>
        <w:t xml:space="preserve"> </w:t>
      </w:r>
      <w:r>
        <w:t xml:space="preserve">to re-fetch</w:t>
      </w:r>
      <w:r>
        <w:t xml:space="preserve"> </w:t>
      </w:r>
      <w:r>
        <w:t xml:space="preserve">live instead). The</w:t>
      </w:r>
      <w:r>
        <w:t xml:space="preserve"> </w:t>
      </w:r>
      <w:hyperlink r:id="rId18">
        <w:r>
          <w:rPr>
            <w:rStyle w:val="VerbatimChar"/>
          </w:rPr>
          <w:t xml:space="preserve">tests/test_htvs_pipeline.py</w:t>
        </w:r>
      </w:hyperlink>
      <w:r>
        <w:t xml:space="preserve"> </w:t>
      </w:r>
      <w:r>
        <w:t xml:space="preserve">suite</w:t>
      </w:r>
      <w:r>
        <w:t xml:space="preserve"> </w:t>
      </w:r>
      <w:r>
        <w:t xml:space="preserve">exercises the real data-curation (including the real replicate-well</w:t>
      </w:r>
      <w:r>
        <w:t xml:space="preserve"> </w:t>
      </w:r>
      <w:r>
        <w:t xml:space="preserve">deduplication logic), Tier 1 filter, receptor/box geometry, and</w:t>
      </w:r>
      <w:r>
        <w:t xml:space="preserve"> </w:t>
      </w:r>
      <w:r>
        <w:t xml:space="preserve">Kabsch/RMSD logic directly and offline; the small number of tests that</w:t>
      </w:r>
      <w:r>
        <w:t xml:space="preserve"> </w:t>
      </w:r>
      <w:r>
        <w:t xml:space="preserve">would otherwise invoke Vina or ANI-2x are skipped automatically when</w:t>
      </w:r>
      <w:r>
        <w:t xml:space="preserve"> </w:t>
      </w:r>
      <w:r>
        <w:t xml:space="preserve">neither engine is available on the host. This chapter’s own real</w:t>
      </w:r>
      <w:r>
        <w:t xml:space="preserve"> </w:t>
      </w:r>
      <w:r>
        <w:t xml:space="preserve">docking campaign also exercised Chapter 11’s resumability design</w:t>
      </w:r>
      <w:r>
        <w:t xml:space="preserve"> </w:t>
      </w:r>
      <w:r>
        <w:t xml:space="preserve">directly, for a real reason of its own: mid-campaign, this session’s</w:t>
      </w:r>
      <w:r>
        <w:t xml:space="preserve"> </w:t>
      </w:r>
      <w:r>
        <w:t xml:space="preserve">own worker count was reduced from 4 to 2 to reduce CPU contention on</w:t>
      </w:r>
      <w:r>
        <w:t xml:space="preserve"> </w:t>
      </w:r>
      <w:r>
        <w:t xml:space="preserve">this environment’s 2-physical-core machine, and every already-completed</w:t>
      </w:r>
      <w:r>
        <w:t xml:space="preserve"> </w:t>
      </w:r>
      <w:r>
        <w:t xml:space="preserve">real Vina result — including one job recovered from a</w:t>
      </w:r>
      <w:r>
        <w:t xml:space="preserve"> </w:t>
      </w:r>
      <w:r>
        <w:t xml:space="preserve">completed-but-not-yet-recorded invocation — was reused rather than</w:t>
      </w:r>
      <w:r>
        <w:t xml:space="preserve"> </w:t>
      </w:r>
      <w:r>
        <w:t xml:space="preserve">recomputed, the same</w:t>
      </w:r>
      <w:r>
        <w:t xml:space="preserve"> </w:t>
      </w:r>
      <w:r>
        <w:t xml:space="preserve">“resume real completed work rather than repeat</w:t>
      </w:r>
      <w:r>
        <w:t xml:space="preserve"> </w:t>
      </w:r>
      <w:r>
        <w:t xml:space="preserve">it”</w:t>
      </w:r>
      <w:r>
        <w:t xml:space="preserve"> </w:t>
      </w:r>
      <w:r>
        <w:t xml:space="preserve">principle Chapter 11 established for its own, differently-caused</w:t>
      </w:r>
      <w:r>
        <w:t xml:space="preserve"> </w:t>
      </w:r>
      <w:r>
        <w:t xml:space="preserve">mid-run interruption.</w:t>
      </w:r>
    </w:p>
    <w:bookmarkEnd w:id="19"/>
    <w:bookmarkStart w:id="20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project runs a real, complete, three-tier HTVS funnel end to end</w:t>
      </w:r>
      <w:r>
        <w:t xml:space="preserve"> </w:t>
      </w:r>
      <w:r>
        <w:t xml:space="preserve">against a real emerging viral target, with real retrospective</w:t>
      </w:r>
      <w:r>
        <w:t xml:space="preserve"> </w:t>
      </w:r>
      <w:r>
        <w:t xml:space="preserve">validation against independent, published ground truth — but at a</w:t>
      </w:r>
      <w:r>
        <w:t xml:space="preserve"> </w:t>
      </w:r>
      <w:r>
        <w:t xml:space="preserve">real, honestly-scoped 37-compound library rather than the outline’s</w:t>
      </w:r>
      <w:r>
        <w:t xml:space="preserve"> </w:t>
      </w:r>
      <w:r>
        <w:t xml:space="preserve">illustrative millions-to-billions scale, for the compute-budget reasons</w:t>
      </w:r>
      <w:r>
        <w:t xml:space="preserve"> </w:t>
      </w:r>
      <w:r>
        <w:t xml:space="preserve">detailed above, and its Tier 3 stability check is a short,</w:t>
      </w:r>
      <w:r>
        <w:t xml:space="preserve"> </w:t>
      </w:r>
      <w:r>
        <w:t xml:space="preserve">integration-correctness-level trajectory (Chapter 12’s own established</w:t>
      </w:r>
      <w:r>
        <w:t xml:space="preserve"> </w:t>
      </w:r>
      <w:r>
        <w:t xml:space="preserve">scale), not a converged binding-stability study. Tier 1’s rule-based</w:t>
      </w:r>
      <w:r>
        <w:t xml:space="preserve"> </w:t>
      </w:r>
      <w:r>
        <w:t xml:space="preserve">filter also removed only a small fraction of this particular library —</w:t>
      </w:r>
      <w:r>
        <w:t xml:space="preserve"> </w:t>
      </w:r>
      <w:r>
        <w:t xml:space="preserve">expected and disclosed here, not a defect: a published</w:t>
      </w:r>
      <w:r>
        <w:t xml:space="preserve"> </w:t>
      </w:r>
      <w:r>
        <w:t xml:space="preserve">lead-optimization SAR series (this chapter’s real data source) is already</w:t>
      </w:r>
      <w:r>
        <w:t xml:space="preserve"> </w:t>
      </w:r>
      <w:r>
        <w:t xml:space="preserve">drug-like by construction, unlike a raw, unfiltered vendor library a</w:t>
      </w:r>
      <w:r>
        <w:t xml:space="preserve"> </w:t>
      </w:r>
      <w:r>
        <w:t xml:space="preserve">real prospective campaign would actually start from, where Tier 1 would</w:t>
      </w:r>
      <w:r>
        <w:t xml:space="preserve"> </w:t>
      </w:r>
      <w:r>
        <w:t xml:space="preserve">be expected to do far more of the funnel’s total elimination work.</w:t>
      </w:r>
      <w:r>
        <w:t xml:space="preserve"> </w:t>
      </w:r>
      <w:r>
        <w:t xml:space="preserve">Chapter 14 shifts this book’s focus from small-molecule and protein</w:t>
      </w:r>
      <w:r>
        <w:t xml:space="preserve"> </w:t>
      </w:r>
      <w:r>
        <w:t xml:space="preserve">targets to a different real molecular modality entirely — RNA — where</w:t>
      </w:r>
      <w:r>
        <w:t xml:space="preserve"> </w:t>
      </w:r>
      <w:r>
        <w:t xml:space="preserve">analogous representation, prediction, and design questions arise in a</w:t>
      </w:r>
      <w:r>
        <w:t xml:space="preserve"> </w:t>
      </w:r>
      <w:r>
        <w:t xml:space="preserve">biophysically distinct setting.</w:t>
      </w:r>
    </w:p>
    <w:bookmarkEnd w:id="20"/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Lyu, J., Wang, S., Balius, T. E., Singh, I., Levit, A., Moroz, Y. S.,</w:t>
      </w:r>
      <w:r>
        <w:t xml:space="preserve"> </w:t>
      </w:r>
      <w:r>
        <w:t xml:space="preserve">O’Meara, M. J., Che, T., Algaa, E., Tolmachova, K., Tolmachev, A. A.,</w:t>
      </w:r>
      <w:r>
        <w:t xml:space="preserve"> </w:t>
      </w:r>
      <w:r>
        <w:t xml:space="preserve">Shoichet, B. K., Roth, B. L., &amp; Irwin, J. J. (2019). Ultra-large</w:t>
      </w:r>
      <w:r>
        <w:t xml:space="preserve"> </w:t>
      </w:r>
      <w:r>
        <w:t xml:space="preserve">library docking for discovering new chemotypes.</w:t>
      </w:r>
      <w:r>
        <w:t xml:space="preserve"> </w:t>
      </w:r>
      <w:r>
        <w:rPr>
          <w:i/>
          <w:iCs/>
        </w:rPr>
        <w:t xml:space="preserve">Nature</w:t>
      </w:r>
      <w:r>
        <w:t xml:space="preserve">, 566(7743),</w:t>
      </w:r>
      <w:r>
        <w:t xml:space="preserve"> </w:t>
      </w:r>
      <w:r>
        <w:t xml:space="preserve">224-229. https://doi.org/10.1038/s41586-019-0917-9</w:t>
      </w:r>
    </w:p>
    <w:p>
      <w:pPr>
        <w:pStyle w:val="Compact"/>
        <w:numPr>
          <w:ilvl w:val="0"/>
          <w:numId w:val="1002"/>
        </w:numPr>
      </w:pPr>
      <w:r>
        <w:t xml:space="preserve">Truchon, J.-F., &amp; Bayly, C. I. (2007). Evaluating virtual screening</w:t>
      </w:r>
      <w:r>
        <w:t xml:space="preserve"> </w:t>
      </w:r>
      <w:r>
        <w:t xml:space="preserve">methods: Good and bad metrics for the</w:t>
      </w:r>
      <w:r>
        <w:t xml:space="preserve"> </w:t>
      </w:r>
      <w:r>
        <w:t xml:space="preserve">“early recognition”</w:t>
      </w:r>
      <w:r>
        <w:t xml:space="preserve"> </w:t>
      </w:r>
      <w:r>
        <w:t xml:space="preserve">problem.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, 47(2), 488-508.</w:t>
      </w:r>
      <w:r>
        <w:t xml:space="preserve"> </w:t>
      </w:r>
      <w:r>
        <w:t xml:space="preserve">https://doi.org/10.1021/ci600426e</w:t>
      </w:r>
    </w:p>
    <w:p>
      <w:pPr>
        <w:pStyle w:val="Compact"/>
        <w:numPr>
          <w:ilvl w:val="0"/>
          <w:numId w:val="1002"/>
        </w:numPr>
      </w:pPr>
      <w:r>
        <w:t xml:space="preserve">Veber, D. F., Johnson, S. R., Cheng, H.-Y., Smith, B. R., Ward, K.</w:t>
      </w:r>
      <w:r>
        <w:t xml:space="preserve"> </w:t>
      </w:r>
      <w:r>
        <w:t xml:space="preserve">W., &amp; Kopple, K. D. (2002). Molecular Properties That Influence the</w:t>
      </w:r>
      <w:r>
        <w:t xml:space="preserve"> </w:t>
      </w:r>
      <w:r>
        <w:t xml:space="preserve">Oral Bioavailability of Drug Candidates.</w:t>
      </w:r>
      <w:r>
        <w:t xml:space="preserve"> </w:t>
      </w:r>
      <w:r>
        <w:rPr>
          <w:i/>
          <w:iCs/>
        </w:rPr>
        <w:t xml:space="preserve">Journal of Medicinal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45(12), 2615-2623. https://doi.org/10.1021/jm020017n</w:t>
      </w:r>
    </w:p>
    <w:p>
      <w:pPr>
        <w:pStyle w:val="Compact"/>
        <w:numPr>
          <w:ilvl w:val="0"/>
          <w:numId w:val="1002"/>
        </w:numPr>
      </w:pPr>
      <w:r>
        <w:t xml:space="preserve">Baell, J. B., &amp; Holloway, G. A. (2010). New Substructure Filters for</w:t>
      </w:r>
      <w:r>
        <w:t xml:space="preserve"> </w:t>
      </w:r>
      <w:r>
        <w:t xml:space="preserve">Removal of Pan Assay Interference Compounds (PAINS) from Screening</w:t>
      </w:r>
      <w:r>
        <w:t xml:space="preserve"> </w:t>
      </w:r>
      <w:r>
        <w:t xml:space="preserve">Libraries and for Their Exclusion in Bioassays.</w:t>
      </w:r>
      <w:r>
        <w:t xml:space="preserve"> </w:t>
      </w:r>
      <w:r>
        <w:rPr>
          <w:i/>
          <w:iCs/>
        </w:rPr>
        <w:t xml:space="preserve">Journal of Medicinal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53(7), 2719-2740. https://doi.org/10.1021/jm901137j</w:t>
      </w:r>
    </w:p>
    <w:p>
      <w:pPr>
        <w:pStyle w:val="Compact"/>
        <w:numPr>
          <w:ilvl w:val="0"/>
          <w:numId w:val="1002"/>
        </w:numPr>
      </w:pPr>
      <w:r>
        <w:t xml:space="preserve">Bickerton, G. R., Paolini, G. V., Besnard, J., Muresan, S., &amp;</w:t>
      </w:r>
      <w:r>
        <w:t xml:space="preserve"> </w:t>
      </w:r>
      <w:r>
        <w:t xml:space="preserve">Hopkins, A. L. (2012). Quantifying the chemical beauty of drugs.</w:t>
      </w:r>
      <w:r>
        <w:t xml:space="preserve"> </w:t>
      </w:r>
      <w:r>
        <w:rPr>
          <w:i/>
          <w:iCs/>
        </w:rPr>
        <w:t xml:space="preserve">Nature Chemistry</w:t>
      </w:r>
      <w:r>
        <w:t xml:space="preserve">, 4(2), 90-98. https://doi.org/10.1038/nchem.1243</w:t>
      </w:r>
    </w:p>
    <w:p>
      <w:pPr>
        <w:pStyle w:val="Compact"/>
        <w:numPr>
          <w:ilvl w:val="0"/>
          <w:numId w:val="1002"/>
        </w:numPr>
      </w:pPr>
      <w:r>
        <w:t xml:space="preserve">Douangamath, A., Fearon, D., Gehrtz, P., Krojer, T., Lukacik, P.,</w:t>
      </w:r>
      <w:r>
        <w:t xml:space="preserve"> </w:t>
      </w:r>
      <w:r>
        <w:t xml:space="preserve">Owen, C. D., Resnick, E., Strain-Damerell, C., Aimon, A.,</w:t>
      </w:r>
      <w:r>
        <w:t xml:space="preserve"> </w:t>
      </w:r>
      <w:r>
        <w:t xml:space="preserve">Ábrányi-Balogh, P., Brandão-Neto, J., Carbery, A., Davison, G., Dias,</w:t>
      </w:r>
      <w:r>
        <w:t xml:space="preserve"> </w:t>
      </w:r>
      <w:r>
        <w:t xml:space="preserve">A., Downes, T. D., Dunnett, L., Fairhead, M., Firth, J. D., Jones, S.</w:t>
      </w:r>
      <w:r>
        <w:t xml:space="preserve"> </w:t>
      </w:r>
      <w:r>
        <w:t xml:space="preserve">P., Keeley, A., Keserű, G. M., Klein, H. F., Martin, M. P., Noble, M.</w:t>
      </w:r>
      <w:r>
        <w:t xml:space="preserve"> </w:t>
      </w:r>
      <w:r>
        <w:t xml:space="preserve">E. M., O’Brien, P., Powell, A., Reddi, R. N., Skyner, R., Snee, M.,</w:t>
      </w:r>
      <w:r>
        <w:t xml:space="preserve"> </w:t>
      </w:r>
      <w:r>
        <w:t xml:space="preserve">Waring, M. J., Wild, C., London, N., von Delft, F., &amp; Walsh, M. A.</w:t>
      </w:r>
      <w:r>
        <w:t xml:space="preserve"> </w:t>
      </w:r>
      <w:r>
        <w:t xml:space="preserve">(2020). Crystallographic and electrophilic fragment screening of the</w:t>
      </w:r>
      <w:r>
        <w:t xml:space="preserve"> </w:t>
      </w:r>
      <w:r>
        <w:t xml:space="preserve">SARS-CoV-2 main protease.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11, 5047.</w:t>
      </w:r>
      <w:r>
        <w:t xml:space="preserve"> </w:t>
      </w:r>
      <w:r>
        <w:t xml:space="preserve">https://doi.org/10.1038/s41467-020-18709-w</w:t>
      </w:r>
    </w:p>
    <w:p>
      <w:pPr>
        <w:pStyle w:val="Compact"/>
        <w:numPr>
          <w:ilvl w:val="0"/>
          <w:numId w:val="1002"/>
        </w:numPr>
      </w:pPr>
      <w:r>
        <w:t xml:space="preserve">Han, S. H., Goins, C. M., Arya, T., Shin, W.-J., Maw, J., Hooper, A.,</w:t>
      </w:r>
      <w:r>
        <w:t xml:space="preserve"> </w:t>
      </w:r>
      <w:r>
        <w:t xml:space="preserve">Sonawane, D. P., Porter, M. R., Bannister, B. E., Crouch, R. D.,</w:t>
      </w:r>
      <w:r>
        <w:t xml:space="preserve"> </w:t>
      </w:r>
      <w:r>
        <w:t xml:space="preserve">Lindsey, A. A., Lakatos, G., Martinez, S. R., Alvarado, J., Akers, W.</w:t>
      </w:r>
      <w:r>
        <w:t xml:space="preserve"> </w:t>
      </w:r>
      <w:r>
        <w:t xml:space="preserve">S., Wang, N. S., Jung, J. U., Macdonald, J. D., &amp; Stauffer, S. R.</w:t>
      </w:r>
      <w:r>
        <w:t xml:space="preserve"> </w:t>
      </w:r>
      <w:r>
        <w:t xml:space="preserve">(2022). Structure-Based Optimization of ML300-Derived, Noncovalent</w:t>
      </w:r>
      <w:r>
        <w:t xml:space="preserve"> </w:t>
      </w:r>
      <w:r>
        <w:t xml:space="preserve">Inhibitors Targeting the Severe Acute Respiratory Syndrome</w:t>
      </w:r>
      <w:r>
        <w:t xml:space="preserve"> </w:t>
      </w:r>
      <w:r>
        <w:t xml:space="preserve">Coronavirus 3CL Protease (SARS-CoV-2 3CLpro).</w:t>
      </w:r>
      <w:r>
        <w:t xml:space="preserve"> </w:t>
      </w:r>
      <w:r>
        <w:rPr>
          <w:i/>
          <w:iCs/>
        </w:rPr>
        <w:t xml:space="preserve">Journal of Medicinal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65(4), 2880-2904.</w:t>
      </w:r>
      <w:r>
        <w:t xml:space="preserve"> </w:t>
      </w:r>
      <w:r>
        <w:t xml:space="preserve">https://doi.org/10.1021/acs.jmedchem.1c00598</w:t>
      </w:r>
    </w:p>
    <w:p>
      <w:pPr>
        <w:pStyle w:val="FirstParagraph"/>
      </w:pPr>
      <w:r>
        <w:t xml:space="preserve">See Chapter 11’s references for Trott &amp; Olson (2010) and Eberhardt et</w:t>
      </w:r>
      <w:r>
        <w:t xml:space="preserve"> </w:t>
      </w:r>
      <w:r>
        <w:t xml:space="preserve">al. (2021) (AutoDock Vina, reused unchanged for this chapter’s Tier 2)</w:t>
      </w:r>
      <w:r>
        <w:t xml:space="preserve"> </w:t>
      </w:r>
      <w:r>
        <w:t xml:space="preserve">and O’Boyle et al. (2011) (OpenBabel, reused for receptor preparation).</w:t>
      </w:r>
      <w:r>
        <w:t xml:space="preserve"> </w:t>
      </w:r>
      <w:r>
        <w:t xml:space="preserve">See Chapter 12’s references for Devereux et al. (2020) and Gao et al.</w:t>
      </w:r>
      <w:r>
        <w:t xml:space="preserve"> </w:t>
      </w:r>
      <w:r>
        <w:t xml:space="preserve">(2020) (ANI-2x/TorchANI, reused unchanged for this chapter’s Tier 3)</w:t>
      </w:r>
      <w:r>
        <w:t xml:space="preserve"> </w:t>
      </w:r>
      <w:r>
        <w:t xml:space="preserve">and Eastman et al. (2017) (OpenMM). RDKit (Chapters 2, 4, 11-12) is</w:t>
      </w:r>
      <w:r>
        <w:t xml:space="preserve"> </w:t>
      </w:r>
      <w:r>
        <w:t xml:space="preserve">reused for Tier 1’s descriptor/PAINS/QED computation and for ligand</w:t>
      </w:r>
      <w:r>
        <w:t xml:space="preserve"> </w:t>
      </w:r>
      <w:r>
        <w:t xml:space="preserve">preparation; its</w:t>
      </w:r>
      <w:r>
        <w:t xml:space="preserve"> </w:t>
      </w:r>
      <w:r>
        <w:rPr>
          <w:rStyle w:val="VerbatimChar"/>
        </w:rPr>
        <w:t xml:space="preserve">FilterCatalog</w:t>
      </w:r>
      <w:r>
        <w:t xml:space="preserve"> </w:t>
      </w:r>
      <w:r>
        <w:t xml:space="preserve">PAINS implementation and</w:t>
      </w:r>
      <w:r>
        <w:t xml:space="preserve"> </w:t>
      </w:r>
      <w:r>
        <w:rPr>
          <w:rStyle w:val="VerbatimChar"/>
        </w:rPr>
        <w:t xml:space="preserve">QED</w:t>
      </w:r>
      <w:r>
        <w:t xml:space="preserve"> </w:t>
      </w:r>
      <w:r>
        <w:t xml:space="preserve">module</w:t>
      </w:r>
      <w:r>
        <w:t xml:space="preserve"> </w:t>
      </w:r>
      <w:r>
        <w:t xml:space="preserve">are used exactly as distributed, with no modification.</w:t>
      </w:r>
    </w:p>
    <w:p>
      <w:pPr>
        <w:pStyle w:val="BodyText"/>
      </w:pPr>
      <w:r>
        <w:t xml:space="preserve">All redocking, Tier 1/2/3, and enrichment numbers cited in Section 13.3</w:t>
      </w:r>
      <w:r>
        <w:t xml:space="preserve"> </w:t>
      </w:r>
      <w:r>
        <w:t xml:space="preserve">were computed directly by running</w:t>
      </w:r>
      <w:r>
        <w:t xml:space="preserve"> </w:t>
      </w:r>
      <w:r>
        <w:rPr>
          <w:rStyle w:val="VerbatimChar"/>
        </w:rPr>
        <w:t xml:space="preserve">htvs_pipeline.py</w:t>
      </w:r>
      <w:r>
        <w:t xml:space="preserve"> </w:t>
      </w:r>
      <w:r>
        <w:t xml:space="preserve">against the real</w:t>
      </w:r>
      <w:r>
        <w:t xml:space="preserve"> </w:t>
      </w:r>
      <w:r>
        <w:t xml:space="preserve">bundled PDB 5R82 structure and the real cached PubChem AID 1805203</w:t>
      </w:r>
      <w:r>
        <w:t xml:space="preserve"> </w:t>
      </w:r>
      <w:r>
        <w:t xml:space="preserve">library on 2026-08-21, not taken from a secondary source — see</w:t>
      </w:r>
      <w:r>
        <w:t xml:space="preserve"> </w:t>
      </w:r>
      <w:r>
        <w:rPr>
          <w:rStyle w:val="VerbatimChar"/>
        </w:rPr>
        <w:t xml:space="preserve">results/htvs_results.json</w:t>
      </w:r>
      <w:r>
        <w:t xml:space="preserve"> </w:t>
      </w:r>
      <w:r>
        <w:t xml:space="preserve">to reproduce.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requirements.txt" TargetMode="External" /><Relationship Type="http://schemas.openxmlformats.org/officeDocument/2006/relationships/hyperlink" Id="rId18" Target="tests/test_htvs_pipeline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requirements.txt" TargetMode="External" /><Relationship Type="http://schemas.openxmlformats.org/officeDocument/2006/relationships/hyperlink" Id="rId18" Target="tests/test_htvs_pipeline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2026-08-21T19:42:19Z</dcterms:created>
  <dcterms:modified xsi:type="dcterms:W3CDTF">2026-08-21T19:42:19Z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